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7D7FBA">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eastAsia" w:ascii="方正小标宋_GBK" w:hAnsi="仿宋" w:eastAsia="方正小标宋_GBK"/>
          <w:color w:val="auto"/>
          <w:sz w:val="44"/>
          <w:szCs w:val="44"/>
          <w:lang w:eastAsia="zh-CN"/>
        </w:rPr>
      </w:pPr>
      <w:r>
        <w:rPr>
          <w:rFonts w:hint="eastAsia" w:ascii="方正小标宋_GBK" w:hAnsi="仿宋" w:eastAsia="方正小标宋_GBK"/>
          <w:color w:val="auto"/>
          <w:sz w:val="44"/>
          <w:szCs w:val="44"/>
        </w:rPr>
        <w:t>曲靖市生态环境局关</w:t>
      </w:r>
      <w:r>
        <w:rPr>
          <w:rFonts w:hint="eastAsia" w:ascii="方正小标宋_GBK" w:hAnsi="仿宋" w:eastAsia="方正小标宋_GBK" w:cs="Times New Roman"/>
          <w:color w:val="auto"/>
          <w:sz w:val="44"/>
          <w:szCs w:val="44"/>
        </w:rPr>
        <w:t>于</w:t>
      </w:r>
      <w:r>
        <w:rPr>
          <w:rFonts w:hint="eastAsia" w:ascii="方正小标宋_GBK" w:hAnsi="仿宋" w:eastAsia="方正小标宋_GBK"/>
          <w:color w:val="auto"/>
          <w:sz w:val="44"/>
          <w:szCs w:val="44"/>
          <w:lang w:eastAsia="zh-CN"/>
        </w:rPr>
        <w:t>富源县老厂镇大格村委会新发村煤基固废用于地貌整治项目</w:t>
      </w:r>
    </w:p>
    <w:p w14:paraId="63F44AEA">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eastAsia" w:ascii="方正小标宋_GBK" w:hAnsi="仿宋" w:eastAsia="方正小标宋_GBK"/>
          <w:color w:val="auto"/>
          <w:sz w:val="44"/>
          <w:szCs w:val="44"/>
        </w:rPr>
      </w:pPr>
      <w:r>
        <w:rPr>
          <w:rFonts w:hint="eastAsia" w:ascii="方正小标宋_GBK" w:hAnsi="仿宋" w:eastAsia="方正小标宋_GBK"/>
          <w:color w:val="auto"/>
          <w:sz w:val="44"/>
          <w:szCs w:val="44"/>
        </w:rPr>
        <w:t>环境影响报告表的批复</w:t>
      </w:r>
    </w:p>
    <w:p w14:paraId="1CC0BF09">
      <w:pPr>
        <w:keepNext w:val="0"/>
        <w:keepLines w:val="0"/>
        <w:pageBreakBefore w:val="0"/>
        <w:widowControl w:val="0"/>
        <w:kinsoku/>
        <w:overflowPunct/>
        <w:topLinePunct w:val="0"/>
        <w:autoSpaceDE/>
        <w:autoSpaceDN/>
        <w:bidi w:val="0"/>
        <w:adjustRightInd/>
        <w:snapToGrid/>
        <w:spacing w:line="360" w:lineRule="exact"/>
        <w:textAlignment w:val="auto"/>
        <w:rPr>
          <w:rFonts w:hint="eastAsia"/>
        </w:rPr>
      </w:pPr>
    </w:p>
    <w:p w14:paraId="24138D4D">
      <w:pPr>
        <w:keepNext w:val="0"/>
        <w:keepLines w:val="0"/>
        <w:pageBreakBefore w:val="0"/>
        <w:widowControl w:val="0"/>
        <w:pBdr>
          <w:top w:val="none" w:color="auto" w:sz="0" w:space="1"/>
          <w:left w:val="none" w:color="auto" w:sz="0" w:space="4"/>
          <w:bottom w:val="none" w:color="FF0000" w:sz="0" w:space="1"/>
          <w:right w:val="none" w:color="auto" w:sz="0" w:space="4"/>
          <w:between w:val="none" w:color="auto" w:sz="0" w:space="0"/>
        </w:pBdr>
        <w:kinsoku/>
        <w:overflowPunct/>
        <w:topLinePunct w:val="0"/>
        <w:autoSpaceDE/>
        <w:autoSpaceDN/>
        <w:bidi w:val="0"/>
        <w:adjustRightInd/>
        <w:snapToGrid/>
        <w:spacing w:line="360" w:lineRule="exact"/>
        <w:jc w:val="center"/>
        <w:textAlignment w:val="auto"/>
        <w:rPr>
          <w:rFonts w:hint="eastAsia"/>
          <w:lang w:val="en-US" w:eastAsia="zh-CN"/>
        </w:rPr>
      </w:pPr>
      <w:r>
        <w:rPr>
          <w:rFonts w:hint="eastAsia"/>
        </w:rPr>
        <w:t>曲环审</w:t>
      </w:r>
      <w:r>
        <w:rPr>
          <w:rFonts w:hint="default"/>
        </w:rPr>
        <w:t>〔</w:t>
      </w:r>
      <w:r>
        <w:rPr>
          <w:rFonts w:hint="eastAsia"/>
          <w:lang w:val="en-US" w:eastAsia="zh-CN"/>
        </w:rPr>
        <w:t>2026</w:t>
      </w:r>
      <w:r>
        <w:rPr>
          <w:rFonts w:hint="default"/>
        </w:rPr>
        <w:t>〕</w:t>
      </w:r>
      <w:r>
        <w:rPr>
          <w:rFonts w:hint="eastAsia"/>
          <w:lang w:val="en-US" w:eastAsia="zh-CN"/>
        </w:rPr>
        <w:t>8-18号</w:t>
      </w:r>
    </w:p>
    <w:p w14:paraId="2F2DA61D">
      <w:pPr>
        <w:keepNext w:val="0"/>
        <w:keepLines w:val="0"/>
        <w:pageBreakBefore w:val="0"/>
        <w:widowControl w:val="0"/>
        <w:suppressLineNumbers w:val="0"/>
        <w:kinsoku/>
        <w:wordWrap w:val="0"/>
        <w:overflowPunct/>
        <w:topLinePunct w:val="0"/>
        <w:autoSpaceDE/>
        <w:autoSpaceDN/>
        <w:bidi w:val="0"/>
        <w:adjustRightInd/>
        <w:snapToGrid/>
        <w:spacing w:line="360" w:lineRule="exact"/>
        <w:jc w:val="both"/>
        <w:textAlignment w:val="auto"/>
        <w:rPr>
          <w:rFonts w:hint="eastAsia" w:ascii="Times New Roman" w:hAnsi="Times New Roman" w:eastAsia="方正仿宋_GBK" w:cs="Times New Roman"/>
          <w:color w:val="auto"/>
          <w:lang w:val="en-US" w:eastAsia="zh-CN"/>
        </w:rPr>
      </w:pPr>
    </w:p>
    <w:p w14:paraId="6CDE3126">
      <w:pPr>
        <w:keepNext w:val="0"/>
        <w:keepLines w:val="0"/>
        <w:pageBreakBefore w:val="0"/>
        <w:widowControl w:val="0"/>
        <w:suppressLineNumbers w:val="0"/>
        <w:kinsoku/>
        <w:wordWrap w:val="0"/>
        <w:overflowPunct/>
        <w:topLinePunct w:val="0"/>
        <w:autoSpaceDE/>
        <w:autoSpaceDN/>
        <w:bidi w:val="0"/>
        <w:adjustRightInd/>
        <w:snapToGrid/>
        <w:spacing w:line="240" w:lineRule="auto"/>
        <w:jc w:val="both"/>
        <w:textAlignment w:val="auto"/>
        <w:rPr>
          <w:rFonts w:hint="default" w:ascii="Times New Roman" w:hAnsi="Times New Roman" w:eastAsia="方正仿宋_GBK" w:cs="Times New Roman"/>
          <w:color w:val="auto"/>
          <w:kern w:val="21"/>
          <w:sz w:val="32"/>
          <w:lang w:val="en-US" w:eastAsia="zh-CN"/>
        </w:rPr>
      </w:pPr>
      <w:r>
        <w:rPr>
          <w:rFonts w:hint="eastAsia" w:cs="Times New Roman"/>
          <w:color w:val="auto"/>
          <w:kern w:val="21"/>
          <w:sz w:val="32"/>
          <w:lang w:val="en-US" w:eastAsia="zh-CN"/>
        </w:rPr>
        <w:t>富源县博新商贸有限公司</w:t>
      </w:r>
      <w:r>
        <w:rPr>
          <w:rFonts w:hint="default" w:ascii="Times New Roman" w:hAnsi="Times New Roman" w:eastAsia="方正仿宋_GBK" w:cs="Times New Roman"/>
          <w:color w:val="auto"/>
          <w:kern w:val="21"/>
          <w:sz w:val="32"/>
          <w:lang w:val="en-US" w:eastAsia="zh-CN"/>
        </w:rPr>
        <w:t>：</w:t>
      </w:r>
    </w:p>
    <w:p w14:paraId="3892C19A">
      <w:pPr>
        <w:keepNext w:val="0"/>
        <w:keepLines w:val="0"/>
        <w:pageBreakBefore w:val="0"/>
        <w:widowControl w:val="0"/>
        <w:suppressLineNumbers w:val="0"/>
        <w:kinsoku/>
        <w:wordWrap w:val="0"/>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kern w:val="21"/>
          <w:sz w:val="32"/>
          <w:lang w:val="en-US" w:eastAsia="zh-CN"/>
        </w:rPr>
      </w:pPr>
      <w:r>
        <w:rPr>
          <w:rFonts w:hint="default" w:ascii="Times New Roman" w:hAnsi="Times New Roman" w:eastAsia="方正仿宋_GBK" w:cs="Times New Roman"/>
          <w:color w:val="auto"/>
          <w:kern w:val="21"/>
          <w:sz w:val="32"/>
          <w:lang w:val="en-US" w:eastAsia="zh-CN"/>
        </w:rPr>
        <w:t>你公司申请审批的《</w:t>
      </w:r>
      <w:r>
        <w:rPr>
          <w:rFonts w:hint="eastAsia" w:cs="Times New Roman"/>
          <w:color w:val="auto"/>
          <w:sz w:val="32"/>
          <w:lang w:val="en-US" w:eastAsia="zh-CN"/>
        </w:rPr>
        <w:t>富源县老厂镇大格村委会新发村煤基固废用于地貌整治项目环境影响报告表（报批稿）</w:t>
      </w:r>
      <w:r>
        <w:rPr>
          <w:rFonts w:hint="default" w:ascii="Times New Roman" w:hAnsi="Times New Roman" w:eastAsia="方正仿宋_GBK" w:cs="Times New Roman"/>
          <w:color w:val="auto"/>
          <w:kern w:val="21"/>
          <w:sz w:val="32"/>
          <w:lang w:val="en-US" w:eastAsia="zh-CN"/>
        </w:rPr>
        <w:t>》（以下简称《报告表》）及相关附件材料收悉。经研究，批复如下：</w:t>
      </w:r>
    </w:p>
    <w:p w14:paraId="74E262F0">
      <w:pPr>
        <w:keepNext w:val="0"/>
        <w:keepLines w:val="0"/>
        <w:pageBreakBefore w:val="0"/>
        <w:widowControl w:val="0"/>
        <w:suppressLineNumbers w:val="0"/>
        <w:kinsoku/>
        <w:wordWrap w:val="0"/>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kern w:val="21"/>
          <w:sz w:val="32"/>
          <w:lang w:val="en-US" w:eastAsia="zh-CN"/>
        </w:rPr>
      </w:pPr>
      <w:r>
        <w:rPr>
          <w:rFonts w:hint="eastAsia" w:ascii="Times New Roman" w:hAnsi="Times New Roman" w:eastAsia="方正仿宋_GBK" w:cs="Times New Roman"/>
          <w:color w:val="auto"/>
          <w:kern w:val="21"/>
          <w:sz w:val="32"/>
          <w:lang w:val="en-US" w:eastAsia="zh-CN"/>
        </w:rPr>
        <w:t>一、</w:t>
      </w:r>
      <w:r>
        <w:rPr>
          <w:rFonts w:hint="eastAsia" w:cs="Times New Roman"/>
          <w:color w:val="auto"/>
          <w:kern w:val="21"/>
          <w:sz w:val="32"/>
          <w:lang w:val="en-US" w:eastAsia="zh-CN"/>
        </w:rPr>
        <w:t>该项目位于富源县老厂镇大格村委会新发村，地理坐标：东经104度30分26.169秒，北纬25度11分45.543秒。建设内容及规模为：项目占地面积约33453m</w:t>
      </w:r>
      <w:r>
        <w:rPr>
          <w:rFonts w:hint="eastAsia" w:cs="Times New Roman"/>
          <w:color w:val="auto"/>
          <w:kern w:val="21"/>
          <w:sz w:val="32"/>
          <w:vertAlign w:val="superscript"/>
          <w:lang w:val="en-US" w:eastAsia="zh-CN"/>
        </w:rPr>
        <w:t>2</w:t>
      </w:r>
      <w:r>
        <w:rPr>
          <w:rFonts w:hint="eastAsia" w:cs="Times New Roman"/>
          <w:color w:val="auto"/>
          <w:kern w:val="21"/>
          <w:sz w:val="32"/>
          <w:lang w:val="en-US" w:eastAsia="zh-CN"/>
        </w:rPr>
        <w:t>，利用煤矸石进行荒沟回填后复垦，回填煤矸石量15.75万m</w:t>
      </w:r>
      <w:r>
        <w:rPr>
          <w:rFonts w:hint="eastAsia" w:cs="Times New Roman"/>
          <w:color w:val="auto"/>
          <w:kern w:val="21"/>
          <w:sz w:val="32"/>
          <w:vertAlign w:val="superscript"/>
          <w:lang w:val="en-US" w:eastAsia="zh-CN"/>
        </w:rPr>
        <w:t>3</w:t>
      </w:r>
      <w:r>
        <w:rPr>
          <w:rFonts w:hint="eastAsia" w:cs="Times New Roman"/>
          <w:color w:val="auto"/>
          <w:kern w:val="21"/>
          <w:sz w:val="32"/>
          <w:lang w:val="en-US" w:eastAsia="zh-CN"/>
        </w:rPr>
        <w:t>（26.77万吨）。新建盲沟1条共270米；新建截排水系统，其中新建场地外围截水沟595m，场地内截水沟5条共计291m；设计下游挡矸坝为毛石混凝土坝，轴线长37.43m，坝体体积为991.93m</w:t>
      </w:r>
      <w:r>
        <w:rPr>
          <w:rFonts w:hint="eastAsia" w:cs="Times New Roman"/>
          <w:color w:val="auto"/>
          <w:kern w:val="21"/>
          <w:sz w:val="32"/>
          <w:vertAlign w:val="superscript"/>
          <w:lang w:val="en-US" w:eastAsia="zh-CN"/>
        </w:rPr>
        <w:t>3</w:t>
      </w:r>
      <w:r>
        <w:rPr>
          <w:rFonts w:hint="eastAsia" w:cs="Times New Roman"/>
          <w:color w:val="auto"/>
          <w:kern w:val="21"/>
          <w:sz w:val="32"/>
          <w:lang w:val="en-US" w:eastAsia="zh-CN"/>
        </w:rPr>
        <w:t>；设置一个表土堆场，堆放占地面积为0.33hm</w:t>
      </w:r>
      <w:r>
        <w:rPr>
          <w:rFonts w:hint="eastAsia" w:cs="Times New Roman"/>
          <w:color w:val="auto"/>
          <w:kern w:val="21"/>
          <w:sz w:val="32"/>
          <w:vertAlign w:val="superscript"/>
          <w:lang w:val="en-US" w:eastAsia="zh-CN"/>
        </w:rPr>
        <w:t>2</w:t>
      </w:r>
      <w:r>
        <w:rPr>
          <w:rFonts w:hint="eastAsia" w:cs="Times New Roman"/>
          <w:color w:val="auto"/>
          <w:kern w:val="21"/>
          <w:sz w:val="32"/>
          <w:lang w:val="en-US" w:eastAsia="zh-CN"/>
        </w:rPr>
        <w:t>，规划容量2.64万m</w:t>
      </w:r>
      <w:r>
        <w:rPr>
          <w:rFonts w:hint="eastAsia" w:cs="Times New Roman"/>
          <w:color w:val="auto"/>
          <w:kern w:val="21"/>
          <w:sz w:val="32"/>
          <w:vertAlign w:val="superscript"/>
          <w:lang w:val="en-US" w:eastAsia="zh-CN"/>
        </w:rPr>
        <w:t>3</w:t>
      </w:r>
      <w:r>
        <w:rPr>
          <w:rFonts w:hint="eastAsia" w:cs="Times New Roman"/>
          <w:color w:val="auto"/>
          <w:kern w:val="21"/>
          <w:sz w:val="32"/>
          <w:lang w:val="en-US" w:eastAsia="zh-CN"/>
        </w:rPr>
        <w:t>。项目使用煤矸石来自富源县小凹子煤矿，使用煤矸石属于第Ⅰ类一般工业固体废物，入场煤矸石含硫量必须小于1%，且烧失量必须小于20%。作业方式：由下游至上游，由下至上分层回填，并按40m×40m的作业单元填充，每回填1m厚的矸石层进行一次压实，压实系数为0.80，在矸石每回填至3.5m厚覆土0.5m并压实，形成阻隔层，压实度应不小于93%。堆填覆土后按照要求复垦为0.10hm</w:t>
      </w:r>
      <w:r>
        <w:rPr>
          <w:rFonts w:hint="eastAsia" w:cs="Times New Roman"/>
          <w:color w:val="auto"/>
          <w:kern w:val="21"/>
          <w:sz w:val="32"/>
          <w:vertAlign w:val="superscript"/>
          <w:lang w:val="en-US" w:eastAsia="zh-CN"/>
        </w:rPr>
        <w:t>2</w:t>
      </w:r>
      <w:r>
        <w:rPr>
          <w:rFonts w:hint="eastAsia" w:cs="Times New Roman"/>
          <w:color w:val="auto"/>
          <w:kern w:val="21"/>
          <w:sz w:val="32"/>
          <w:lang w:val="en-US" w:eastAsia="zh-CN"/>
        </w:rPr>
        <w:t>的耕地、2.38hm</w:t>
      </w:r>
      <w:r>
        <w:rPr>
          <w:rFonts w:hint="eastAsia" w:cs="Times New Roman"/>
          <w:color w:val="auto"/>
          <w:kern w:val="21"/>
          <w:sz w:val="32"/>
          <w:vertAlign w:val="superscript"/>
          <w:lang w:val="en-US" w:eastAsia="zh-CN"/>
        </w:rPr>
        <w:t>2</w:t>
      </w:r>
      <w:r>
        <w:rPr>
          <w:rFonts w:hint="eastAsia" w:cs="Times New Roman"/>
          <w:color w:val="auto"/>
          <w:kern w:val="21"/>
          <w:sz w:val="32"/>
          <w:lang w:val="en-US" w:eastAsia="zh-CN"/>
        </w:rPr>
        <w:t>的林地（0.27hm</w:t>
      </w:r>
      <w:r>
        <w:rPr>
          <w:rFonts w:hint="eastAsia" w:cs="Times New Roman"/>
          <w:color w:val="auto"/>
          <w:kern w:val="21"/>
          <w:sz w:val="32"/>
          <w:vertAlign w:val="superscript"/>
          <w:lang w:val="en-US" w:eastAsia="zh-CN"/>
        </w:rPr>
        <w:t>2</w:t>
      </w:r>
      <w:r>
        <w:rPr>
          <w:rFonts w:hint="eastAsia" w:cs="Times New Roman"/>
          <w:color w:val="auto"/>
          <w:kern w:val="21"/>
          <w:sz w:val="32"/>
          <w:lang w:val="en-US" w:eastAsia="zh-CN"/>
        </w:rPr>
        <w:t>的灌木林地、1.01hm</w:t>
      </w:r>
      <w:r>
        <w:rPr>
          <w:rFonts w:hint="eastAsia" w:cs="Times New Roman"/>
          <w:color w:val="auto"/>
          <w:kern w:val="21"/>
          <w:sz w:val="32"/>
          <w:vertAlign w:val="superscript"/>
          <w:lang w:val="en-US" w:eastAsia="zh-CN"/>
        </w:rPr>
        <w:t>2</w:t>
      </w:r>
      <w:r>
        <w:rPr>
          <w:rFonts w:hint="eastAsia" w:cs="Times New Roman"/>
          <w:color w:val="auto"/>
          <w:kern w:val="21"/>
          <w:sz w:val="32"/>
          <w:lang w:val="en-US" w:eastAsia="zh-CN"/>
        </w:rPr>
        <w:t>的乔木林地、1.10hm</w:t>
      </w:r>
      <w:r>
        <w:rPr>
          <w:rFonts w:hint="eastAsia" w:cs="Times New Roman"/>
          <w:color w:val="auto"/>
          <w:kern w:val="21"/>
          <w:sz w:val="32"/>
          <w:vertAlign w:val="superscript"/>
          <w:lang w:val="en-US" w:eastAsia="zh-CN"/>
        </w:rPr>
        <w:t>2</w:t>
      </w:r>
      <w:r>
        <w:rPr>
          <w:rFonts w:hint="eastAsia" w:cs="Times New Roman"/>
          <w:color w:val="auto"/>
          <w:kern w:val="21"/>
          <w:sz w:val="32"/>
          <w:lang w:val="en-US" w:eastAsia="zh-CN"/>
        </w:rPr>
        <w:t>的竹林地）、0.86hm</w:t>
      </w:r>
      <w:r>
        <w:rPr>
          <w:rFonts w:hint="eastAsia" w:cs="Times New Roman"/>
          <w:color w:val="auto"/>
          <w:kern w:val="21"/>
          <w:sz w:val="32"/>
          <w:vertAlign w:val="superscript"/>
          <w:lang w:val="en-US" w:eastAsia="zh-CN"/>
        </w:rPr>
        <w:t>2</w:t>
      </w:r>
      <w:r>
        <w:rPr>
          <w:rFonts w:hint="eastAsia" w:cs="Times New Roman"/>
          <w:color w:val="auto"/>
          <w:kern w:val="21"/>
          <w:sz w:val="32"/>
          <w:lang w:val="en-US" w:eastAsia="zh-CN"/>
        </w:rPr>
        <w:t>的草地。项目所有工程措施须按照《富源县老厂镇大格村委会新发村煤基固废用于地貌整治项目实施方案》、《富源县老厂镇大格村委会新发村煤基固废用于地貌整治项目失稳影响分析评价报告》等风险防控要求落实后方可进行煤矸石回填及地貌整治。项目总投资300万元，其中环保投资77.2万元。</w:t>
      </w:r>
    </w:p>
    <w:p w14:paraId="17A23015">
      <w:pPr>
        <w:pStyle w:val="7"/>
        <w:keepNext w:val="0"/>
        <w:keepLines w:val="0"/>
        <w:pageBreakBefore w:val="0"/>
        <w:widowControl w:val="0"/>
        <w:numPr>
          <w:ilvl w:val="0"/>
          <w:numId w:val="0"/>
        </w:numPr>
        <w:kinsoku/>
        <w:wordWrap w:val="0"/>
        <w:overflowPunct/>
        <w:topLinePunct w:val="0"/>
        <w:autoSpaceDE/>
        <w:autoSpaceDN/>
        <w:bidi w:val="0"/>
        <w:adjustRightInd/>
        <w:snapToGrid/>
        <w:spacing w:after="0" w:line="240" w:lineRule="auto"/>
        <w:ind w:leftChars="0" w:firstLine="632" w:firstLineChars="200"/>
        <w:jc w:val="both"/>
        <w:textAlignment w:val="auto"/>
        <w:outlineLvl w:val="9"/>
        <w:rPr>
          <w:rFonts w:hint="default" w:ascii="Times New Roman" w:hAnsi="Times New Roman" w:eastAsia="方正仿宋_GBK" w:cs="Times New Roman"/>
          <w:color w:val="auto"/>
          <w:kern w:val="21"/>
          <w:sz w:val="32"/>
          <w:szCs w:val="32"/>
          <w:lang w:eastAsia="zh-CN"/>
        </w:rPr>
      </w:pPr>
      <w:r>
        <w:rPr>
          <w:rFonts w:hint="default" w:ascii="Times New Roman" w:hAnsi="Times New Roman" w:eastAsia="方正仿宋_GBK" w:cs="Times New Roman"/>
          <w:color w:val="auto"/>
          <w:kern w:val="21"/>
          <w:sz w:val="32"/>
          <w:szCs w:val="32"/>
        </w:rPr>
        <w:t>根据《报告</w:t>
      </w:r>
      <w:r>
        <w:rPr>
          <w:rFonts w:hint="default" w:ascii="Times New Roman" w:hAnsi="Times New Roman" w:eastAsia="方正仿宋_GBK" w:cs="Times New Roman"/>
          <w:color w:val="auto"/>
          <w:kern w:val="21"/>
          <w:sz w:val="32"/>
          <w:szCs w:val="32"/>
          <w:lang w:eastAsia="zh-CN"/>
        </w:rPr>
        <w:t>表</w:t>
      </w:r>
      <w:r>
        <w:rPr>
          <w:rFonts w:hint="default" w:ascii="Times New Roman" w:hAnsi="Times New Roman" w:eastAsia="方正仿宋_GBK" w:cs="Times New Roman"/>
          <w:color w:val="auto"/>
          <w:kern w:val="21"/>
          <w:sz w:val="32"/>
          <w:szCs w:val="32"/>
        </w:rPr>
        <w:t>》评价结论，项目不涉及</w:t>
      </w:r>
      <w:r>
        <w:rPr>
          <w:rFonts w:hint="default" w:ascii="Times New Roman" w:hAnsi="Times New Roman" w:eastAsia="方正仿宋_GBK" w:cs="Times New Roman"/>
          <w:color w:val="auto"/>
          <w:kern w:val="21"/>
          <w:sz w:val="32"/>
          <w:szCs w:val="32"/>
          <w:lang w:eastAsia="zh-CN"/>
        </w:rPr>
        <w:t>占用</w:t>
      </w:r>
      <w:r>
        <w:rPr>
          <w:rFonts w:hint="default" w:ascii="Times New Roman" w:hAnsi="Times New Roman" w:eastAsia="方正仿宋_GBK" w:cs="Times New Roman"/>
          <w:color w:val="auto"/>
          <w:kern w:val="21"/>
          <w:sz w:val="32"/>
          <w:szCs w:val="32"/>
        </w:rPr>
        <w:t>依法设立的自然保护区、风景名胜区、</w:t>
      </w:r>
      <w:r>
        <w:rPr>
          <w:rFonts w:hint="default" w:ascii="Times New Roman" w:hAnsi="Times New Roman" w:eastAsia="方正仿宋_GBK" w:cs="Times New Roman"/>
          <w:color w:val="auto"/>
          <w:kern w:val="21"/>
          <w:sz w:val="32"/>
          <w:szCs w:val="32"/>
          <w:lang w:eastAsia="zh-CN"/>
        </w:rPr>
        <w:t>国家公园、</w:t>
      </w:r>
      <w:r>
        <w:rPr>
          <w:rFonts w:hint="default" w:ascii="Times New Roman" w:hAnsi="Times New Roman" w:eastAsia="方正仿宋_GBK" w:cs="Times New Roman"/>
          <w:b w:val="0"/>
          <w:bCs w:val="0"/>
          <w:color w:val="auto"/>
          <w:kern w:val="21"/>
          <w:sz w:val="32"/>
          <w:szCs w:val="32"/>
        </w:rPr>
        <w:t>饮用水水源保护区</w:t>
      </w:r>
      <w:r>
        <w:rPr>
          <w:rFonts w:hint="eastAsia" w:eastAsia="方正仿宋_GBK" w:cs="Times New Roman"/>
          <w:b w:val="0"/>
          <w:bCs w:val="0"/>
          <w:color w:val="auto"/>
          <w:kern w:val="21"/>
          <w:sz w:val="32"/>
          <w:szCs w:val="32"/>
          <w:lang w:eastAsia="zh-CN"/>
        </w:rPr>
        <w:t>、生态保护红线</w:t>
      </w:r>
      <w:r>
        <w:rPr>
          <w:rFonts w:hint="default" w:ascii="Times New Roman" w:hAnsi="Times New Roman" w:eastAsia="方正仿宋_GBK" w:cs="Times New Roman"/>
          <w:color w:val="auto"/>
          <w:kern w:val="21"/>
          <w:sz w:val="32"/>
          <w:szCs w:val="32"/>
          <w:lang w:val="en-US" w:eastAsia="zh-CN"/>
        </w:rPr>
        <w:t>等环境敏感区</w:t>
      </w:r>
      <w:r>
        <w:rPr>
          <w:rFonts w:hint="eastAsia" w:cs="Times New Roman"/>
          <w:color w:val="auto"/>
          <w:kern w:val="21"/>
          <w:sz w:val="32"/>
          <w:szCs w:val="32"/>
          <w:lang w:val="en-US" w:eastAsia="zh-CN"/>
        </w:rPr>
        <w:t>，</w:t>
      </w:r>
      <w:r>
        <w:rPr>
          <w:rFonts w:hint="default" w:ascii="Times New Roman" w:hAnsi="Times New Roman" w:eastAsia="方正仿宋_GBK" w:cs="Times New Roman"/>
          <w:color w:val="auto"/>
          <w:kern w:val="21"/>
          <w:sz w:val="32"/>
          <w:szCs w:val="32"/>
        </w:rPr>
        <w:t>符合国家产业政策</w:t>
      </w:r>
      <w:r>
        <w:rPr>
          <w:rFonts w:hint="default" w:ascii="Times New Roman" w:hAnsi="Times New Roman" w:eastAsia="方正仿宋_GBK" w:cs="Times New Roman"/>
          <w:b w:val="0"/>
          <w:bCs/>
          <w:color w:val="auto"/>
          <w:kern w:val="21"/>
          <w:sz w:val="32"/>
          <w:szCs w:val="32"/>
          <w:lang w:eastAsia="zh-CN"/>
        </w:rPr>
        <w:t>及生态环境分区管控要求</w:t>
      </w:r>
      <w:r>
        <w:rPr>
          <w:rFonts w:hint="default" w:ascii="Times New Roman" w:hAnsi="Times New Roman" w:eastAsia="方正仿宋_GBK" w:cs="Times New Roman"/>
          <w:color w:val="auto"/>
          <w:kern w:val="21"/>
          <w:sz w:val="32"/>
          <w:szCs w:val="32"/>
          <w:highlight w:val="none"/>
          <w:lang w:eastAsia="zh-CN"/>
        </w:rPr>
        <w:t>。</w:t>
      </w:r>
      <w:r>
        <w:rPr>
          <w:rFonts w:hint="default" w:ascii="Times New Roman" w:hAnsi="Times New Roman" w:eastAsia="方正仿宋_GBK" w:cs="Times New Roman"/>
          <w:color w:val="auto"/>
          <w:kern w:val="21"/>
          <w:sz w:val="32"/>
          <w:szCs w:val="32"/>
        </w:rPr>
        <w:t>在全面落实《报告</w:t>
      </w:r>
      <w:r>
        <w:rPr>
          <w:rFonts w:hint="default" w:ascii="Times New Roman" w:hAnsi="Times New Roman" w:eastAsia="方正仿宋_GBK" w:cs="Times New Roman"/>
          <w:color w:val="auto"/>
          <w:kern w:val="21"/>
          <w:sz w:val="32"/>
          <w:szCs w:val="32"/>
          <w:lang w:eastAsia="zh-CN"/>
        </w:rPr>
        <w:t>表</w:t>
      </w:r>
      <w:r>
        <w:rPr>
          <w:rFonts w:hint="default" w:ascii="Times New Roman" w:hAnsi="Times New Roman" w:eastAsia="方正仿宋_GBK" w:cs="Times New Roman"/>
          <w:color w:val="auto"/>
          <w:kern w:val="21"/>
          <w:sz w:val="32"/>
          <w:szCs w:val="32"/>
        </w:rPr>
        <w:t>》提出的各项生态保护和污染防治措施的前提下，项目建设对环境的不利影响可以降低或得到有效控制，</w:t>
      </w:r>
      <w:r>
        <w:rPr>
          <w:rFonts w:hint="eastAsia" w:eastAsia="方正仿宋_GBK" w:cs="Times New Roman"/>
          <w:color w:val="auto"/>
          <w:kern w:val="21"/>
          <w:sz w:val="32"/>
          <w:szCs w:val="32"/>
          <w:lang w:val="en-US" w:eastAsia="zh-CN"/>
        </w:rPr>
        <w:t>我局</w:t>
      </w:r>
      <w:r>
        <w:rPr>
          <w:rFonts w:hint="default" w:ascii="Times New Roman" w:hAnsi="Times New Roman" w:eastAsia="方正仿宋_GBK" w:cs="Times New Roman"/>
          <w:color w:val="auto"/>
          <w:kern w:val="21"/>
          <w:sz w:val="32"/>
          <w:szCs w:val="32"/>
        </w:rPr>
        <w:t>原则同意你</w:t>
      </w:r>
      <w:r>
        <w:rPr>
          <w:rFonts w:hint="default" w:ascii="Times New Roman" w:hAnsi="Times New Roman" w:eastAsia="方正仿宋_GBK" w:cs="Times New Roman"/>
          <w:bCs/>
          <w:color w:val="auto"/>
          <w:kern w:val="21"/>
          <w:sz w:val="32"/>
          <w:szCs w:val="32"/>
          <w:lang w:eastAsia="zh-CN"/>
        </w:rPr>
        <w:t>公司</w:t>
      </w:r>
      <w:r>
        <w:rPr>
          <w:rFonts w:hint="default" w:ascii="Times New Roman" w:hAnsi="Times New Roman" w:eastAsia="方正仿宋_GBK" w:cs="Times New Roman"/>
          <w:color w:val="auto"/>
          <w:kern w:val="21"/>
          <w:sz w:val="32"/>
          <w:szCs w:val="32"/>
        </w:rPr>
        <w:t>按《报告</w:t>
      </w:r>
      <w:r>
        <w:rPr>
          <w:rFonts w:hint="default" w:ascii="Times New Roman" w:hAnsi="Times New Roman" w:eastAsia="方正仿宋_GBK" w:cs="Times New Roman"/>
          <w:color w:val="auto"/>
          <w:kern w:val="21"/>
          <w:sz w:val="32"/>
          <w:szCs w:val="32"/>
          <w:lang w:eastAsia="zh-CN"/>
        </w:rPr>
        <w:t>表</w:t>
      </w:r>
      <w:r>
        <w:rPr>
          <w:rFonts w:hint="default" w:ascii="Times New Roman" w:hAnsi="Times New Roman" w:eastAsia="方正仿宋_GBK" w:cs="Times New Roman"/>
          <w:color w:val="auto"/>
          <w:kern w:val="21"/>
          <w:sz w:val="32"/>
          <w:szCs w:val="32"/>
        </w:rPr>
        <w:t>》中所列建设项目的地点、性质、规模</w:t>
      </w:r>
      <w:r>
        <w:rPr>
          <w:rFonts w:hint="eastAsia" w:eastAsia="方正仿宋_GBK" w:cs="Times New Roman"/>
          <w:color w:val="auto"/>
          <w:kern w:val="21"/>
          <w:sz w:val="32"/>
          <w:szCs w:val="32"/>
          <w:lang w:eastAsia="zh-CN"/>
        </w:rPr>
        <w:t>、生产工艺</w:t>
      </w:r>
      <w:r>
        <w:rPr>
          <w:rFonts w:hint="default" w:ascii="Times New Roman" w:hAnsi="Times New Roman" w:eastAsia="方正仿宋_GBK" w:cs="Times New Roman"/>
          <w:color w:val="auto"/>
          <w:kern w:val="21"/>
          <w:sz w:val="32"/>
          <w:szCs w:val="32"/>
        </w:rPr>
        <w:t>和拟采取的环境保护措施建设</w:t>
      </w:r>
      <w:r>
        <w:rPr>
          <w:rFonts w:hint="default" w:ascii="Times New Roman" w:hAnsi="Times New Roman" w:eastAsia="方正仿宋_GBK" w:cs="Times New Roman"/>
          <w:color w:val="auto"/>
          <w:kern w:val="21"/>
          <w:sz w:val="32"/>
          <w:szCs w:val="32"/>
          <w:lang w:eastAsia="zh-CN"/>
        </w:rPr>
        <w:t>。</w:t>
      </w:r>
    </w:p>
    <w:p w14:paraId="6BA36DD4">
      <w:pPr>
        <w:keepNext w:val="0"/>
        <w:keepLines w:val="0"/>
        <w:pageBreakBefore w:val="0"/>
        <w:widowControl w:val="0"/>
        <w:kinsoku/>
        <w:wordWrap w:val="0"/>
        <w:overflowPunct/>
        <w:topLinePunct w:val="0"/>
        <w:autoSpaceDE/>
        <w:autoSpaceDN/>
        <w:bidi w:val="0"/>
        <w:adjustRightInd/>
        <w:snapToGrid/>
        <w:spacing w:line="240" w:lineRule="auto"/>
        <w:ind w:firstLine="632" w:firstLineChars="200"/>
        <w:jc w:val="both"/>
        <w:textAlignment w:val="auto"/>
        <w:rPr>
          <w:rFonts w:hint="eastAsia" w:ascii="Times New Roman" w:hAnsi="Times New Roman" w:eastAsia="方正仿宋_GBK" w:cs="Times New Roman"/>
          <w:color w:val="auto"/>
          <w:kern w:val="21"/>
          <w:sz w:val="32"/>
          <w:szCs w:val="32"/>
          <w:lang w:eastAsia="zh-CN"/>
        </w:rPr>
      </w:pPr>
      <w:r>
        <w:rPr>
          <w:rFonts w:hint="default" w:ascii="Times New Roman" w:hAnsi="Times New Roman" w:eastAsia="方正仿宋_GBK" w:cs="Times New Roman"/>
          <w:color w:val="auto"/>
          <w:kern w:val="21"/>
          <w:sz w:val="32"/>
          <w:szCs w:val="32"/>
          <w:lang w:eastAsia="zh-CN"/>
        </w:rPr>
        <w:t>二</w:t>
      </w:r>
      <w:r>
        <w:rPr>
          <w:rFonts w:hint="default" w:ascii="Times New Roman" w:hAnsi="Times New Roman" w:eastAsia="方正仿宋_GBK" w:cs="Times New Roman"/>
          <w:color w:val="auto"/>
          <w:kern w:val="21"/>
          <w:sz w:val="32"/>
          <w:szCs w:val="32"/>
        </w:rPr>
        <w:t>、项目建设</w:t>
      </w:r>
      <w:r>
        <w:rPr>
          <w:rFonts w:hint="default" w:ascii="Times New Roman" w:hAnsi="Times New Roman" w:eastAsia="方正仿宋_GBK" w:cs="Times New Roman"/>
          <w:color w:val="auto"/>
          <w:kern w:val="21"/>
          <w:sz w:val="32"/>
          <w:szCs w:val="32"/>
          <w:lang w:val="en-US" w:eastAsia="zh-CN"/>
        </w:rPr>
        <w:t>和运营</w:t>
      </w:r>
      <w:r>
        <w:rPr>
          <w:rFonts w:hint="default" w:ascii="Times New Roman" w:hAnsi="Times New Roman" w:eastAsia="方正仿宋_GBK" w:cs="Times New Roman"/>
          <w:color w:val="auto"/>
          <w:kern w:val="21"/>
          <w:sz w:val="32"/>
          <w:szCs w:val="32"/>
        </w:rPr>
        <w:t>过程中须严格按照《报告表》的要求落实各项污染防治措施，同时应重点做好以下工作</w:t>
      </w:r>
      <w:r>
        <w:rPr>
          <w:rFonts w:hint="eastAsia" w:cs="Times New Roman"/>
          <w:color w:val="auto"/>
          <w:kern w:val="21"/>
          <w:sz w:val="32"/>
          <w:szCs w:val="32"/>
          <w:lang w:eastAsia="zh-CN"/>
        </w:rPr>
        <w:t>。</w:t>
      </w:r>
    </w:p>
    <w:p w14:paraId="109B5CE6">
      <w:pPr>
        <w:keepNext w:val="0"/>
        <w:keepLines w:val="0"/>
        <w:pageBreakBefore w:val="0"/>
        <w:widowControl w:val="0"/>
        <w:suppressLineNumbers w:val="0"/>
        <w:kinsoku/>
        <w:wordWrap w:val="0"/>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kern w:val="21"/>
          <w:sz w:val="32"/>
          <w:lang w:val="en-US" w:eastAsia="zh-CN"/>
        </w:rPr>
      </w:pPr>
      <w:r>
        <w:rPr>
          <w:rFonts w:hint="eastAsia" w:ascii="Times New Roman" w:hAnsi="Times New Roman" w:eastAsia="方正仿宋_GBK" w:cs="Times New Roman"/>
          <w:color w:val="auto"/>
          <w:kern w:val="21"/>
          <w:sz w:val="32"/>
          <w:lang w:val="en-US" w:eastAsia="zh-CN"/>
        </w:rPr>
        <w:t>（一）加强施工期环境管理。</w:t>
      </w:r>
      <w:r>
        <w:rPr>
          <w:rFonts w:hint="default" w:ascii="Times New Roman" w:hAnsi="Times New Roman" w:eastAsia="方正仿宋_GBK" w:cs="Times New Roman"/>
          <w:color w:val="auto"/>
          <w:kern w:val="21"/>
          <w:sz w:val="32"/>
          <w:lang w:val="en-US" w:eastAsia="zh-CN"/>
        </w:rPr>
        <w:t>采用洒水抑尘、物料遮盖、靠近新发村一侧施工场地设置围挡、车辆密闭运输、运输车辆冲洗后出场等防尘措施，减少扬尘对周围环境的污染。施工废水设置临时沉淀池，经沉淀池沉淀处理后用于施工场地洒水抑尘；施工期优先建设截水沟，暴雨径流经截水沟收集于临时雨水收集池沉淀处理后部分回用于施工场地洒水抑尘，剩余部分外排；施工人员为周边村民，食宿等均依托村庄现有设施。加强施工管理、规范操作、合理布置施工现场及施工时间，对施工动力机械设备定期进行维修和养护，确保施工场界噪声排放达到《建筑施工噪声排放标准》（GB12523-2025）。项目施工过程开挖土石方用于场地平整和厂区回填，可实现土石方平衡；生活垃圾经垃圾收集桶收集后定期清运至当地垃圾集中收集点，由环卫部门统一清运处置。在施工期间，严格控制施工占地范围，严禁超范围施工。</w:t>
      </w:r>
    </w:p>
    <w:p w14:paraId="32333A92">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kern w:val="21"/>
          <w:sz w:val="32"/>
          <w:lang w:val="en-US" w:eastAsia="zh-CN"/>
        </w:rPr>
      </w:pPr>
      <w:r>
        <w:rPr>
          <w:rFonts w:hint="eastAsia" w:ascii="Times New Roman" w:hAnsi="Times New Roman" w:eastAsia="方正仿宋_GBK" w:cs="Times New Roman"/>
          <w:color w:val="auto"/>
          <w:kern w:val="21"/>
          <w:sz w:val="32"/>
          <w:lang w:val="en-US" w:eastAsia="zh-CN"/>
        </w:rPr>
        <w:t>（二）严格落实水环境保护措施。</w:t>
      </w:r>
      <w:r>
        <w:rPr>
          <w:rFonts w:hint="default" w:ascii="Times New Roman" w:hAnsi="Times New Roman" w:eastAsia="方正仿宋_GBK" w:cs="Times New Roman"/>
          <w:color w:val="auto"/>
          <w:kern w:val="21"/>
          <w:sz w:val="32"/>
          <w:lang w:val="en-US" w:eastAsia="zh-CN"/>
        </w:rPr>
        <w:t>实行雨污分流排水体制，场地</w:t>
      </w:r>
      <w:r>
        <w:rPr>
          <w:rFonts w:hint="eastAsia" w:cs="Times New Roman"/>
          <w:color w:val="auto"/>
          <w:kern w:val="21"/>
          <w:sz w:val="32"/>
          <w:lang w:val="en-US" w:eastAsia="zh-CN"/>
        </w:rPr>
        <w:t>内和场地外围设置截水沟</w:t>
      </w:r>
      <w:r>
        <w:rPr>
          <w:rFonts w:hint="default" w:ascii="Times New Roman" w:hAnsi="Times New Roman" w:eastAsia="方正仿宋_GBK" w:cs="Times New Roman"/>
          <w:color w:val="auto"/>
          <w:kern w:val="21"/>
          <w:sz w:val="32"/>
          <w:lang w:val="en-US" w:eastAsia="zh-CN"/>
        </w:rPr>
        <w:t>，在纵横向截水沟交汇处布设5座</w:t>
      </w:r>
      <w:r>
        <w:rPr>
          <w:rFonts w:hint="eastAsia" w:cs="Times New Roman"/>
          <w:color w:val="auto"/>
          <w:kern w:val="21"/>
          <w:sz w:val="32"/>
          <w:lang w:val="en-US" w:eastAsia="zh-CN"/>
        </w:rPr>
        <w:t>容积均为</w:t>
      </w:r>
      <w:r>
        <w:rPr>
          <w:rFonts w:hint="default" w:ascii="Times New Roman" w:hAnsi="Times New Roman" w:eastAsia="方正仿宋_GBK" w:cs="Times New Roman"/>
          <w:color w:val="auto"/>
          <w:kern w:val="21"/>
          <w:sz w:val="32"/>
          <w:lang w:val="en-US" w:eastAsia="zh-CN"/>
        </w:rPr>
        <w:t>1.08m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的消力池，经消力池沉淀后进入自然沟道。填土区域底部沿原始沟道的沟底设置1条排渗盲沟，排渗盲沟设置1个出口，位于挡矸坝下游外侧，从拦挡工程穿墙而出后进入渗滤液收集池，沉淀后回用于降尘，不外排。渗滤液经导排系统排入容积为150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的渗滤液收集池沉淀后用泵抽至300m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的高位水池，配套500m的塑料软管，所有渗滤液全部用于回填区与运输道路降尘，不外排。表土堆场设置截排水沟，表土堆场淋滤水经容积不小于10m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的表土堆场淋滤水收集池沉淀处理后回用于回填区与运输道路降尘，不外排。车辆进出口设一座自动洗车平台，配套建设2.25m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三级沉淀池，1.25m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清水池，车辆清洗废水经沉淀池处理后进入清水池用于向洗车平台供水循环利用，不外排。配置临时旱厕及5m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的化粪池，生活污水排入化粪池</w:t>
      </w:r>
      <w:r>
        <w:rPr>
          <w:rFonts w:hint="eastAsia" w:cs="Times New Roman"/>
          <w:color w:val="auto"/>
          <w:kern w:val="21"/>
          <w:sz w:val="32"/>
          <w:lang w:val="en-US" w:eastAsia="zh-CN"/>
        </w:rPr>
        <w:t>处理后</w:t>
      </w:r>
      <w:r>
        <w:rPr>
          <w:rFonts w:hint="default" w:ascii="Times New Roman" w:hAnsi="Times New Roman" w:eastAsia="方正仿宋_GBK" w:cs="Times New Roman"/>
          <w:color w:val="auto"/>
          <w:kern w:val="21"/>
          <w:sz w:val="32"/>
          <w:lang w:val="en-US" w:eastAsia="zh-CN"/>
        </w:rPr>
        <w:t>由周边村民清掏作为农家肥。</w:t>
      </w:r>
    </w:p>
    <w:p w14:paraId="66859A0D">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kern w:val="21"/>
          <w:sz w:val="32"/>
          <w:lang w:val="en-US" w:eastAsia="zh-CN"/>
        </w:rPr>
      </w:pPr>
      <w:r>
        <w:rPr>
          <w:rFonts w:hint="eastAsia" w:eastAsia="方正仿宋_GBK" w:cs="Times New Roman"/>
          <w:color w:val="auto"/>
          <w:kern w:val="21"/>
          <w:sz w:val="32"/>
          <w:lang w:val="en-US" w:eastAsia="zh-CN"/>
        </w:rPr>
        <w:t>（三）</w:t>
      </w:r>
      <w:r>
        <w:rPr>
          <w:rFonts w:hint="eastAsia" w:ascii="Times New Roman" w:hAnsi="Times New Roman" w:eastAsia="方正仿宋_GBK" w:cs="Times New Roman"/>
          <w:color w:val="auto"/>
          <w:kern w:val="21"/>
          <w:sz w:val="32"/>
          <w:lang w:val="en-US" w:eastAsia="zh-CN"/>
        </w:rPr>
        <w:t>认真</w:t>
      </w:r>
      <w:r>
        <w:rPr>
          <w:rFonts w:hint="default" w:ascii="Times New Roman" w:hAnsi="Times New Roman" w:eastAsia="方正仿宋_GBK" w:cs="Times New Roman"/>
          <w:color w:val="auto"/>
          <w:kern w:val="21"/>
          <w:sz w:val="32"/>
          <w:lang w:val="zh-CN" w:eastAsia="zh-CN"/>
        </w:rPr>
        <w:t>落实分区防控措施。</w:t>
      </w:r>
      <w:r>
        <w:rPr>
          <w:rFonts w:hint="default" w:ascii="Times New Roman" w:hAnsi="Times New Roman" w:eastAsia="方正仿宋_GBK" w:cs="Times New Roman"/>
          <w:color w:val="auto"/>
          <w:kern w:val="21"/>
          <w:sz w:val="32"/>
          <w:lang w:val="en-US" w:eastAsia="zh-CN"/>
        </w:rPr>
        <w:t>边坡及沟底压实：利用未剥离的深层黏土构建防渗层，压实厚度不小于0.75m，一般黏土压实后渗透系数为1×10</w:t>
      </w:r>
      <w:r>
        <w:rPr>
          <w:rFonts w:hint="default" w:ascii="Times New Roman" w:hAnsi="Times New Roman" w:eastAsia="方正仿宋_GBK" w:cs="Times New Roman"/>
          <w:color w:val="auto"/>
          <w:kern w:val="21"/>
          <w:sz w:val="32"/>
          <w:vertAlign w:val="superscript"/>
          <w:lang w:val="en-US" w:eastAsia="zh-CN"/>
        </w:rPr>
        <w:t>-7</w:t>
      </w:r>
      <w:r>
        <w:rPr>
          <w:rFonts w:hint="eastAsia" w:cs="Times New Roman"/>
          <w:color w:val="auto"/>
          <w:kern w:val="21"/>
          <w:sz w:val="32"/>
          <w:lang w:val="en-US" w:eastAsia="zh-CN"/>
        </w:rPr>
        <w:t>~</w:t>
      </w:r>
      <w:r>
        <w:rPr>
          <w:rFonts w:hint="default" w:ascii="Times New Roman" w:hAnsi="Times New Roman" w:eastAsia="方正仿宋_GBK" w:cs="Times New Roman"/>
          <w:color w:val="auto"/>
          <w:kern w:val="21"/>
          <w:sz w:val="32"/>
          <w:lang w:val="en-US" w:eastAsia="zh-CN"/>
        </w:rPr>
        <w:t>1×10</w:t>
      </w:r>
      <w:r>
        <w:rPr>
          <w:rFonts w:hint="default" w:ascii="Times New Roman" w:hAnsi="Times New Roman" w:eastAsia="方正仿宋_GBK" w:cs="Times New Roman"/>
          <w:color w:val="auto"/>
          <w:kern w:val="21"/>
          <w:sz w:val="32"/>
          <w:vertAlign w:val="superscript"/>
          <w:lang w:val="en-US" w:eastAsia="zh-CN"/>
        </w:rPr>
        <w:t>-9</w:t>
      </w:r>
      <w:r>
        <w:rPr>
          <w:rFonts w:hint="default" w:ascii="Times New Roman" w:hAnsi="Times New Roman" w:eastAsia="方正仿宋_GBK" w:cs="Times New Roman"/>
          <w:color w:val="auto"/>
          <w:kern w:val="21"/>
          <w:sz w:val="32"/>
          <w:lang w:val="en-US" w:eastAsia="zh-CN"/>
        </w:rPr>
        <w:t>cm/s，确保压实后渗透系数小于1×10</w:t>
      </w:r>
      <w:r>
        <w:rPr>
          <w:rFonts w:hint="default" w:ascii="Times New Roman" w:hAnsi="Times New Roman" w:eastAsia="方正仿宋_GBK" w:cs="Times New Roman"/>
          <w:color w:val="auto"/>
          <w:kern w:val="21"/>
          <w:sz w:val="32"/>
          <w:vertAlign w:val="superscript"/>
          <w:lang w:val="en-US" w:eastAsia="zh-CN"/>
        </w:rPr>
        <w:t>-5</w:t>
      </w:r>
      <w:r>
        <w:rPr>
          <w:rFonts w:hint="default" w:ascii="Times New Roman" w:hAnsi="Times New Roman" w:eastAsia="方正仿宋_GBK" w:cs="Times New Roman"/>
          <w:color w:val="auto"/>
          <w:kern w:val="21"/>
          <w:sz w:val="32"/>
          <w:lang w:val="en-US" w:eastAsia="zh-CN"/>
        </w:rPr>
        <w:t>cm/s。盲沟导排系统：渗滤液导排工程结构（从上到下）下部1700mm填充块石，上部300mm填充碎石，外侧包裹一层聚酯长丝土工布（幅宽3m，300g/m</w:t>
      </w:r>
      <w:r>
        <w:rPr>
          <w:rFonts w:hint="default" w:ascii="Times New Roman" w:hAnsi="Times New Roman" w:eastAsia="方正仿宋_GBK" w:cs="Times New Roman"/>
          <w:color w:val="auto"/>
          <w:kern w:val="21"/>
          <w:sz w:val="32"/>
          <w:vertAlign w:val="superscript"/>
          <w:lang w:val="en-US" w:eastAsia="zh-CN"/>
        </w:rPr>
        <w:t>2</w:t>
      </w:r>
      <w:r>
        <w:rPr>
          <w:rFonts w:hint="default" w:ascii="Times New Roman" w:hAnsi="Times New Roman" w:eastAsia="方正仿宋_GBK" w:cs="Times New Roman"/>
          <w:color w:val="auto"/>
          <w:kern w:val="21"/>
          <w:sz w:val="32"/>
          <w:lang w:val="en-US" w:eastAsia="zh-CN"/>
        </w:rPr>
        <w:t>）,其中块石和碎石为270m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，土工布1728m</w:t>
      </w:r>
      <w:r>
        <w:rPr>
          <w:rFonts w:hint="default" w:ascii="Times New Roman" w:hAnsi="Times New Roman" w:eastAsia="方正仿宋_GBK" w:cs="Times New Roman"/>
          <w:color w:val="auto"/>
          <w:kern w:val="21"/>
          <w:sz w:val="32"/>
          <w:vertAlign w:val="superscript"/>
          <w:lang w:val="en-US" w:eastAsia="zh-CN"/>
        </w:rPr>
        <w:t>2</w:t>
      </w:r>
      <w:r>
        <w:rPr>
          <w:rFonts w:hint="default" w:ascii="Times New Roman" w:hAnsi="Times New Roman" w:eastAsia="方正仿宋_GBK" w:cs="Times New Roman"/>
          <w:color w:val="auto"/>
          <w:kern w:val="21"/>
          <w:sz w:val="32"/>
          <w:lang w:val="en-US" w:eastAsia="zh-CN"/>
        </w:rPr>
        <w:t>。渗滤液收集池防渗：池体采用钢筋混凝土结构，混凝土等级不小于C30，抗渗等级不小于P8，抗冻等级不小于F100，在池内壁涂抹一层20mm厚1:2的水泥砂浆，并在池子内壁刷一层0.5</w:t>
      </w:r>
      <w:r>
        <w:rPr>
          <w:rFonts w:hint="eastAsia" w:cs="Times New Roman"/>
          <w:color w:val="auto"/>
          <w:kern w:val="21"/>
          <w:sz w:val="32"/>
          <w:lang w:val="en-US" w:eastAsia="zh-CN"/>
        </w:rPr>
        <w:t>~</w:t>
      </w:r>
      <w:r>
        <w:rPr>
          <w:rFonts w:hint="default" w:ascii="Times New Roman" w:hAnsi="Times New Roman" w:eastAsia="方正仿宋_GBK" w:cs="Times New Roman"/>
          <w:color w:val="auto"/>
          <w:kern w:val="21"/>
          <w:sz w:val="32"/>
          <w:lang w:val="en-US" w:eastAsia="zh-CN"/>
        </w:rPr>
        <w:t>1.0mm的无溶剂环氧自流平面漆或防滑面漆。表土场淋滤水收集池、消力池：混凝土等级不小于C30，抗渗等级不小于P8，抗冻等级不小于F100，在池内壁涂抹一层20mm厚1:2的水泥砂浆。三级沉淀池、化粪池：池体采用混凝土结构。</w:t>
      </w:r>
    </w:p>
    <w:p w14:paraId="131F7856">
      <w:pPr>
        <w:keepNext w:val="0"/>
        <w:keepLines w:val="0"/>
        <w:pageBreakBefore w:val="0"/>
        <w:widowControl w:val="0"/>
        <w:kinsoku/>
        <w:wordWrap w:val="0"/>
        <w:overflowPunct/>
        <w:topLinePunct w:val="0"/>
        <w:autoSpaceDE/>
        <w:autoSpaceDN/>
        <w:bidi w:val="0"/>
        <w:adjustRightInd/>
        <w:snapToGrid/>
        <w:spacing w:line="240" w:lineRule="auto"/>
        <w:ind w:firstLine="632" w:firstLineChars="200"/>
        <w:jc w:val="both"/>
        <w:textAlignment w:val="auto"/>
        <w:rPr>
          <w:rFonts w:hint="eastAsia" w:eastAsia="方正仿宋_GBK" w:cs="Times New Roman"/>
          <w:color w:val="auto"/>
          <w:kern w:val="21"/>
          <w:sz w:val="32"/>
          <w:szCs w:val="32"/>
          <w:highlight w:val="none"/>
          <w:lang w:val="en-US" w:eastAsia="zh-CN"/>
        </w:rPr>
      </w:pPr>
      <w:r>
        <w:rPr>
          <w:rFonts w:hint="eastAsia" w:ascii="Times New Roman" w:hAnsi="Times New Roman" w:eastAsia="方正仿宋_GBK" w:cs="Times New Roman"/>
          <w:color w:val="auto"/>
          <w:kern w:val="21"/>
          <w:sz w:val="32"/>
          <w:szCs w:val="32"/>
          <w:highlight w:val="none"/>
          <w:lang w:eastAsia="zh-CN"/>
        </w:rPr>
        <w:t>（</w:t>
      </w:r>
      <w:r>
        <w:rPr>
          <w:rFonts w:hint="eastAsia" w:ascii="Times New Roman" w:hAnsi="Times New Roman" w:eastAsia="方正仿宋_GBK" w:cs="Times New Roman"/>
          <w:color w:val="auto"/>
          <w:kern w:val="21"/>
          <w:sz w:val="32"/>
          <w:szCs w:val="32"/>
          <w:highlight w:val="none"/>
          <w:lang w:val="en-US" w:eastAsia="zh-CN"/>
        </w:rPr>
        <w:t>四</w:t>
      </w:r>
      <w:r>
        <w:rPr>
          <w:rFonts w:hint="eastAsia" w:ascii="Times New Roman" w:hAnsi="Times New Roman" w:eastAsia="方正仿宋_GBK" w:cs="Times New Roman"/>
          <w:color w:val="auto"/>
          <w:kern w:val="21"/>
          <w:sz w:val="32"/>
          <w:szCs w:val="32"/>
          <w:highlight w:val="none"/>
          <w:lang w:eastAsia="zh-CN"/>
        </w:rPr>
        <w:t>）</w:t>
      </w:r>
      <w:r>
        <w:rPr>
          <w:rFonts w:hint="eastAsia" w:ascii="Times New Roman" w:hAnsi="Times New Roman" w:eastAsia="方正仿宋_GBK" w:cs="Times New Roman"/>
          <w:color w:val="auto"/>
          <w:kern w:val="21"/>
          <w:sz w:val="32"/>
          <w:szCs w:val="32"/>
          <w:highlight w:val="none"/>
        </w:rPr>
        <w:t>落实大气污染防治措施。</w:t>
      </w:r>
      <w:r>
        <w:rPr>
          <w:rFonts w:hint="eastAsia" w:eastAsia="方正仿宋_GBK" w:cs="Times New Roman"/>
          <w:color w:val="auto"/>
          <w:kern w:val="21"/>
          <w:sz w:val="32"/>
          <w:szCs w:val="32"/>
          <w:highlight w:val="none"/>
          <w:lang w:val="en-US" w:eastAsia="zh-CN"/>
        </w:rPr>
        <w:t>1.运输扬尘：采取密闭运输、车辆清洗、加强车辆保养、限速行驶、定期洒水等措施。2.机械尾气：使用新能源车辆、加强车辆保养、按线路行驶等。3.矸石倾倒、回填及其覆土层堆积过程产生粉尘：加强回填施工现场扬尘管理，对充填的矸石及时</w:t>
      </w:r>
      <w:r>
        <w:rPr>
          <w:rFonts w:hint="eastAsia" w:cs="Times New Roman"/>
          <w:color w:val="auto"/>
          <w:kern w:val="21"/>
          <w:sz w:val="32"/>
          <w:szCs w:val="32"/>
          <w:highlight w:val="none"/>
          <w:lang w:val="en-US" w:eastAsia="zh-CN"/>
        </w:rPr>
        <w:t>采取</w:t>
      </w:r>
      <w:r>
        <w:rPr>
          <w:rFonts w:hint="eastAsia" w:eastAsia="方正仿宋_GBK" w:cs="Times New Roman"/>
          <w:color w:val="auto"/>
          <w:kern w:val="21"/>
          <w:sz w:val="32"/>
          <w:szCs w:val="32"/>
          <w:highlight w:val="none"/>
          <w:lang w:val="en-US" w:eastAsia="zh-CN"/>
        </w:rPr>
        <w:t>碾压、洒水抑尘措施；严格落实分区分段的作业方式，每一块分区达到堆填标高时及时覆土；配置移动式洒水车，使用洒水车定时进行洒水抑尘；倾倒过程中采取雾炮（设置2台雾炮机）降尘措施，降低物料落差。4.表土堆场扬尘：采取前期密目网遮盖+后期撒播草籽防尘措施。通过以上措施，确保无组织颗粒物排放达到《大气污染物综合排放标准》（GB16297-1996）表2中的无组织排放监控浓度限值要求。</w:t>
      </w:r>
    </w:p>
    <w:p w14:paraId="4ABE3925">
      <w:pPr>
        <w:keepNext w:val="0"/>
        <w:keepLines w:val="0"/>
        <w:pageBreakBefore w:val="0"/>
        <w:widowControl w:val="0"/>
        <w:kinsoku/>
        <w:wordWrap w:val="0"/>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kern w:val="21"/>
          <w:sz w:val="32"/>
        </w:rPr>
      </w:pPr>
      <w:r>
        <w:rPr>
          <w:rFonts w:hint="eastAsia" w:ascii="Times New Roman" w:hAnsi="Times New Roman" w:eastAsia="方正仿宋_GBK" w:cs="Times New Roman"/>
          <w:color w:val="auto"/>
          <w:kern w:val="21"/>
          <w:sz w:val="32"/>
        </w:rPr>
        <w:t>（</w:t>
      </w:r>
      <w:r>
        <w:rPr>
          <w:rFonts w:hint="eastAsia" w:ascii="Times New Roman" w:hAnsi="Times New Roman" w:eastAsia="方正仿宋_GBK" w:cs="Times New Roman"/>
          <w:color w:val="auto"/>
          <w:kern w:val="21"/>
          <w:sz w:val="32"/>
          <w:lang w:val="en-US" w:eastAsia="zh-CN"/>
        </w:rPr>
        <w:t>五</w:t>
      </w:r>
      <w:r>
        <w:rPr>
          <w:rFonts w:hint="eastAsia" w:ascii="Times New Roman" w:hAnsi="Times New Roman" w:eastAsia="方正仿宋_GBK" w:cs="Times New Roman"/>
          <w:color w:val="auto"/>
          <w:kern w:val="21"/>
          <w:sz w:val="32"/>
        </w:rPr>
        <w:t>）落实固体废物的贮存、处理和处置措施。</w:t>
      </w:r>
      <w:r>
        <w:rPr>
          <w:rFonts w:hint="default" w:ascii="Times New Roman" w:hAnsi="Times New Roman" w:eastAsia="方正仿宋_GBK" w:cs="Times New Roman"/>
          <w:color w:val="auto"/>
          <w:kern w:val="21"/>
          <w:sz w:val="32"/>
        </w:rPr>
        <w:t>生活垃圾经垃圾桶收集后统一运至当地垃圾收集点。渗滤液收集池、表土堆场淋滤水收集池、三级沉淀池、消力池污泥定期清理、干化后回填构造整治区。一般固废暂存及处置执行《一般工业固体废物贮存和填埋场污染控制标准》（GB18599-2020）。</w:t>
      </w:r>
    </w:p>
    <w:p w14:paraId="172ABD5C">
      <w:pPr>
        <w:keepNext w:val="0"/>
        <w:keepLines w:val="0"/>
        <w:pageBreakBefore w:val="0"/>
        <w:widowControl w:val="0"/>
        <w:kinsoku/>
        <w:wordWrap w:val="0"/>
        <w:overflowPunct/>
        <w:topLinePunct w:val="0"/>
        <w:autoSpaceDE/>
        <w:autoSpaceDN/>
        <w:bidi w:val="0"/>
        <w:adjustRightInd/>
        <w:snapToGrid/>
        <w:spacing w:line="240" w:lineRule="auto"/>
        <w:ind w:firstLine="632" w:firstLineChars="200"/>
        <w:jc w:val="both"/>
        <w:textAlignment w:val="auto"/>
        <w:rPr>
          <w:rFonts w:hint="eastAsia"/>
          <w:lang w:val="en-US" w:eastAsia="zh-CN"/>
        </w:rPr>
      </w:pPr>
      <w:r>
        <w:rPr>
          <w:rFonts w:hint="eastAsia" w:ascii="Times New Roman" w:hAnsi="Times New Roman" w:eastAsia="方正仿宋_GBK" w:cs="Times New Roman"/>
          <w:color w:val="auto"/>
          <w:kern w:val="21"/>
          <w:sz w:val="32"/>
          <w:szCs w:val="24"/>
          <w:lang w:val="en-US" w:eastAsia="zh-CN" w:bidi="ar-SA"/>
        </w:rPr>
        <w:t>（六）落实噪声污染防治</w:t>
      </w:r>
      <w:r>
        <w:rPr>
          <w:rFonts w:hint="eastAsia" w:ascii="Times New Roman" w:hAnsi="Times New Roman" w:eastAsia="方正仿宋_GBK" w:cs="Times New Roman"/>
          <w:color w:val="auto"/>
          <w:kern w:val="21"/>
          <w:sz w:val="32"/>
          <w:lang w:val="en-US" w:eastAsia="zh-CN"/>
        </w:rPr>
        <w:t>措施。合理安排施工、作业、运输时间，禁止午间、夜间作业运输；优先选用低噪声设备；对各声源设备进行合理布局，在不影响施工情况下，噪声设备尽量不集中安排；运输车辆严格按指定路线行驶，不得随意改变路线穿越村庄，途经敏感点时减速慢行、减少鸣笛等；靠近新发村一侧设置1.8-2.5m高的施工围栏。通过以上措施，确保厂界噪声满足《工业企业厂界环境噪声排放标准》（GB12348-2008）中的2类标准，确保区域声环境质量满足《声环境质量标准》（GB3096-2008）2类区标准。</w:t>
      </w:r>
    </w:p>
    <w:p w14:paraId="45FE9ABF">
      <w:pPr>
        <w:keepNext w:val="0"/>
        <w:keepLines w:val="0"/>
        <w:pageBreakBefore w:val="0"/>
        <w:widowControl w:val="0"/>
        <w:kinsoku/>
        <w:wordWrap w:val="0"/>
        <w:overflowPunct/>
        <w:topLinePunct w:val="0"/>
        <w:autoSpaceDE/>
        <w:autoSpaceDN/>
        <w:bidi w:val="0"/>
        <w:adjustRightInd/>
        <w:snapToGrid/>
        <w:spacing w:line="240" w:lineRule="auto"/>
        <w:ind w:firstLine="632" w:firstLineChars="200"/>
        <w:jc w:val="both"/>
        <w:textAlignment w:val="auto"/>
        <w:rPr>
          <w:rFonts w:hint="eastAsia" w:ascii="Times New Roman" w:hAnsi="Times New Roman" w:eastAsia="方正仿宋_GBK" w:cs="Times New Roman"/>
          <w:color w:val="auto"/>
          <w:kern w:val="21"/>
          <w:sz w:val="32"/>
          <w:szCs w:val="32"/>
          <w:lang w:val="en-US" w:eastAsia="zh-CN"/>
        </w:rPr>
      </w:pPr>
      <w:r>
        <w:rPr>
          <w:rFonts w:hint="eastAsia" w:ascii="Times New Roman" w:hAnsi="Times New Roman" w:eastAsia="方正仿宋_GBK" w:cs="Times New Roman"/>
          <w:color w:val="auto"/>
          <w:kern w:val="21"/>
          <w:sz w:val="32"/>
          <w:szCs w:val="32"/>
          <w:lang w:val="en-US" w:eastAsia="zh-CN"/>
        </w:rPr>
        <w:t>（七）</w:t>
      </w:r>
      <w:r>
        <w:rPr>
          <w:rFonts w:hint="eastAsia" w:ascii="Times New Roman" w:hAnsi="Times New Roman" w:cs="Times New Roman"/>
          <w:color w:val="auto"/>
          <w:kern w:val="21"/>
          <w:sz w:val="32"/>
          <w:szCs w:val="32"/>
          <w:lang w:val="en-US" w:eastAsia="zh-CN"/>
        </w:rPr>
        <w:t>严格落实生态环境保护措施。在生态回填区四周设置防护林带，逐年种植常青乔木和灌木，改善生态回填区周围的森林群落结构，构成生态功能强大的隔离林带。绿化植物以当地适宜种类为主。回填</w:t>
      </w:r>
      <w:r>
        <w:rPr>
          <w:rFonts w:hint="eastAsia" w:cs="Times New Roman"/>
          <w:color w:val="auto"/>
          <w:kern w:val="21"/>
          <w:sz w:val="32"/>
          <w:szCs w:val="32"/>
          <w:lang w:val="en-US" w:eastAsia="zh-CN"/>
        </w:rPr>
        <w:t>完成</w:t>
      </w:r>
      <w:r>
        <w:rPr>
          <w:rFonts w:hint="eastAsia" w:ascii="Times New Roman" w:hAnsi="Times New Roman" w:cs="Times New Roman"/>
          <w:color w:val="auto"/>
          <w:kern w:val="21"/>
          <w:sz w:val="32"/>
          <w:szCs w:val="32"/>
          <w:lang w:val="en-US" w:eastAsia="zh-CN"/>
        </w:rPr>
        <w:t>后及时按要求复垦为耕地、竹林地、灌木林地、乔木林地和草地，种植云南松、杉木、竹子、穴播火棘、撒播狗牙根，配备一定量的滴灌设施。</w:t>
      </w:r>
    </w:p>
    <w:p w14:paraId="261ECF3B">
      <w:pPr>
        <w:keepNext w:val="0"/>
        <w:keepLines w:val="0"/>
        <w:pageBreakBefore w:val="0"/>
        <w:widowControl w:val="0"/>
        <w:kinsoku/>
        <w:wordWrap w:val="0"/>
        <w:overflowPunct/>
        <w:topLinePunct w:val="0"/>
        <w:autoSpaceDE/>
        <w:autoSpaceDN/>
        <w:bidi w:val="0"/>
        <w:adjustRightInd/>
        <w:snapToGrid/>
        <w:spacing w:line="240" w:lineRule="auto"/>
        <w:ind w:firstLine="632" w:firstLineChars="200"/>
        <w:jc w:val="both"/>
        <w:textAlignment w:val="auto"/>
        <w:rPr>
          <w:rFonts w:hint="eastAsia" w:ascii="Times New Roman" w:hAnsi="Times New Roman" w:eastAsia="方正仿宋_GBK" w:cs="Times New Roman"/>
          <w:color w:val="auto"/>
          <w:kern w:val="21"/>
          <w:sz w:val="32"/>
          <w:szCs w:val="32"/>
        </w:rPr>
      </w:pPr>
      <w:r>
        <w:rPr>
          <w:rFonts w:hint="eastAsia" w:ascii="Times New Roman" w:hAnsi="Times New Roman" w:eastAsia="方正仿宋_GBK" w:cs="Times New Roman"/>
          <w:color w:val="auto"/>
          <w:kern w:val="21"/>
          <w:sz w:val="32"/>
          <w:szCs w:val="32"/>
          <w:lang w:val="en-US" w:eastAsia="zh-CN"/>
        </w:rPr>
        <w:t>（八）</w:t>
      </w:r>
      <w:r>
        <w:rPr>
          <w:rFonts w:hint="eastAsia" w:ascii="Times New Roman" w:hAnsi="Times New Roman" w:cs="Times New Roman"/>
          <w:color w:val="auto"/>
          <w:kern w:val="21"/>
          <w:sz w:val="32"/>
          <w:szCs w:val="32"/>
          <w:lang w:val="en-US" w:eastAsia="zh-CN"/>
        </w:rPr>
        <w:t>严格落实土壤和地下水环境保护措施。</w:t>
      </w:r>
      <w:r>
        <w:rPr>
          <w:rFonts w:hint="default" w:ascii="Times New Roman" w:hAnsi="Times New Roman" w:eastAsia="方正仿宋_GBK" w:cs="Times New Roman"/>
          <w:color w:val="auto"/>
          <w:kern w:val="21"/>
          <w:sz w:val="32"/>
          <w:szCs w:val="32"/>
          <w:lang w:val="zh-CN" w:eastAsia="zh-CN"/>
        </w:rPr>
        <w:t>项目所回填</w:t>
      </w:r>
      <w:r>
        <w:rPr>
          <w:rFonts w:hint="eastAsia" w:ascii="Times New Roman" w:hAnsi="Times New Roman" w:cs="Times New Roman"/>
          <w:color w:val="auto"/>
          <w:kern w:val="21"/>
          <w:sz w:val="32"/>
          <w:szCs w:val="32"/>
          <w:lang w:val="zh-CN" w:eastAsia="zh-CN"/>
        </w:rPr>
        <w:t>煤</w:t>
      </w:r>
      <w:r>
        <w:rPr>
          <w:rFonts w:hint="default" w:ascii="Times New Roman" w:hAnsi="Times New Roman" w:eastAsia="方正仿宋_GBK" w:cs="Times New Roman"/>
          <w:color w:val="auto"/>
          <w:kern w:val="21"/>
          <w:sz w:val="32"/>
          <w:szCs w:val="32"/>
          <w:lang w:val="zh-CN" w:eastAsia="zh-CN"/>
        </w:rPr>
        <w:t>矸石各污染物浓度应低于《危险废物鉴别标准 浸出毒性鉴别》（GB5085.3-2007）标准限值，</w:t>
      </w:r>
      <w:r>
        <w:rPr>
          <w:rFonts w:hint="eastAsia" w:ascii="Times New Roman" w:hAnsi="Times New Roman" w:cs="Times New Roman"/>
          <w:color w:val="auto"/>
          <w:kern w:val="21"/>
          <w:sz w:val="32"/>
          <w:szCs w:val="32"/>
          <w:lang w:val="zh-CN" w:eastAsia="zh-CN"/>
        </w:rPr>
        <w:t>且</w:t>
      </w:r>
      <w:r>
        <w:rPr>
          <w:rFonts w:hint="default" w:ascii="Times New Roman" w:hAnsi="Times New Roman" w:eastAsia="方正仿宋_GBK" w:cs="Times New Roman"/>
          <w:color w:val="auto"/>
          <w:kern w:val="21"/>
          <w:sz w:val="32"/>
          <w:szCs w:val="32"/>
          <w:lang w:val="zh-CN" w:eastAsia="zh-CN"/>
        </w:rPr>
        <w:t>禁止其他固体废物、危险废物和生活垃圾进入场区作为填充物。严格按要求建设各项建筑设施</w:t>
      </w:r>
      <w:r>
        <w:rPr>
          <w:rFonts w:hint="eastAsia" w:ascii="Times New Roman" w:hAnsi="Times New Roman" w:cs="Times New Roman"/>
          <w:color w:val="auto"/>
          <w:kern w:val="21"/>
          <w:sz w:val="32"/>
          <w:szCs w:val="32"/>
          <w:lang w:val="zh-CN" w:eastAsia="zh-CN"/>
        </w:rPr>
        <w:t>并确保安全。</w:t>
      </w:r>
      <w:r>
        <w:rPr>
          <w:rFonts w:hint="default" w:ascii="Times New Roman" w:hAnsi="Times New Roman" w:eastAsia="方正仿宋_GBK" w:cs="Times New Roman"/>
          <w:color w:val="auto"/>
          <w:kern w:val="21"/>
          <w:sz w:val="32"/>
          <w:szCs w:val="32"/>
          <w:lang w:val="zh-CN" w:eastAsia="zh-CN"/>
        </w:rPr>
        <w:t>企业</w:t>
      </w:r>
      <w:r>
        <w:rPr>
          <w:rFonts w:hint="eastAsia" w:ascii="Times New Roman" w:hAnsi="Times New Roman" w:cs="Times New Roman"/>
          <w:color w:val="auto"/>
          <w:kern w:val="21"/>
          <w:sz w:val="32"/>
          <w:szCs w:val="32"/>
          <w:lang w:val="zh-CN" w:eastAsia="zh-CN"/>
        </w:rPr>
        <w:t>应</w:t>
      </w:r>
      <w:r>
        <w:rPr>
          <w:rFonts w:hint="default" w:ascii="Times New Roman" w:hAnsi="Times New Roman" w:eastAsia="方正仿宋_GBK" w:cs="Times New Roman"/>
          <w:color w:val="auto"/>
          <w:kern w:val="21"/>
          <w:sz w:val="32"/>
          <w:szCs w:val="32"/>
          <w:lang w:val="zh-CN" w:eastAsia="zh-CN"/>
        </w:rPr>
        <w:t>制定和实施相应的监管措施，</w:t>
      </w:r>
      <w:r>
        <w:rPr>
          <w:rFonts w:hint="eastAsia" w:cs="Times New Roman"/>
          <w:color w:val="auto"/>
          <w:kern w:val="21"/>
          <w:sz w:val="32"/>
          <w:szCs w:val="32"/>
          <w:lang w:val="zh-CN" w:eastAsia="zh-CN"/>
        </w:rPr>
        <w:t>定期</w:t>
      </w:r>
      <w:r>
        <w:rPr>
          <w:rFonts w:hint="default" w:ascii="Times New Roman" w:hAnsi="Times New Roman" w:eastAsia="方正仿宋_GBK" w:cs="Times New Roman"/>
          <w:color w:val="auto"/>
          <w:kern w:val="21"/>
          <w:sz w:val="32"/>
          <w:szCs w:val="32"/>
          <w:lang w:val="zh-CN" w:eastAsia="zh-CN"/>
        </w:rPr>
        <w:t>巡视水池有无破损情况</w:t>
      </w:r>
      <w:r>
        <w:rPr>
          <w:rFonts w:hint="eastAsia" w:ascii="Times New Roman" w:hAnsi="Times New Roman" w:cs="Times New Roman"/>
          <w:color w:val="auto"/>
          <w:kern w:val="21"/>
          <w:sz w:val="32"/>
          <w:szCs w:val="32"/>
          <w:lang w:val="zh-CN" w:eastAsia="zh-CN"/>
        </w:rPr>
        <w:t>。</w:t>
      </w:r>
      <w:r>
        <w:rPr>
          <w:rFonts w:hint="default" w:ascii="Times New Roman" w:hAnsi="Times New Roman" w:eastAsia="方正仿宋_GBK" w:cs="Times New Roman"/>
          <w:color w:val="auto"/>
          <w:kern w:val="21"/>
          <w:sz w:val="32"/>
          <w:szCs w:val="32"/>
          <w:lang w:val="zh-CN" w:eastAsia="zh-CN"/>
        </w:rPr>
        <w:t>严格控制作业面积</w:t>
      </w:r>
      <w:r>
        <w:rPr>
          <w:rFonts w:hint="eastAsia" w:ascii="Times New Roman" w:hAnsi="Times New Roman" w:cs="Times New Roman"/>
          <w:color w:val="auto"/>
          <w:kern w:val="21"/>
          <w:sz w:val="32"/>
          <w:szCs w:val="32"/>
          <w:lang w:val="zh-CN" w:eastAsia="zh-CN"/>
        </w:rPr>
        <w:t>，</w:t>
      </w:r>
      <w:r>
        <w:rPr>
          <w:rFonts w:hint="default" w:ascii="Times New Roman" w:hAnsi="Times New Roman" w:eastAsia="方正仿宋_GBK" w:cs="Times New Roman"/>
          <w:color w:val="auto"/>
          <w:kern w:val="21"/>
          <w:sz w:val="32"/>
          <w:szCs w:val="32"/>
          <w:lang w:val="zh-CN" w:eastAsia="zh-CN"/>
        </w:rPr>
        <w:t>按要求分层回填矸石、素土覆盖。</w:t>
      </w:r>
      <w:r>
        <w:rPr>
          <w:rFonts w:hint="eastAsia" w:ascii="Times New Roman" w:hAnsi="Times New Roman" w:cs="Times New Roman"/>
          <w:color w:val="auto"/>
          <w:kern w:val="21"/>
          <w:sz w:val="32"/>
          <w:szCs w:val="32"/>
          <w:lang w:val="zh-CN" w:eastAsia="zh-CN"/>
        </w:rPr>
        <w:t>同时</w:t>
      </w:r>
      <w:r>
        <w:rPr>
          <w:rFonts w:hint="eastAsia" w:ascii="Times New Roman" w:hAnsi="Times New Roman" w:eastAsia="方正仿宋_GBK" w:cs="Times New Roman"/>
          <w:color w:val="auto"/>
          <w:kern w:val="21"/>
          <w:sz w:val="32"/>
          <w:szCs w:val="32"/>
          <w:lang w:val="zh-CN" w:eastAsia="zh-CN"/>
        </w:rPr>
        <w:t>做好防尘、防渗、水环境保护措施</w:t>
      </w:r>
      <w:r>
        <w:rPr>
          <w:rFonts w:hint="eastAsia" w:ascii="Times New Roman" w:hAnsi="Times New Roman" w:cs="Times New Roman"/>
          <w:color w:val="auto"/>
          <w:kern w:val="21"/>
          <w:sz w:val="32"/>
          <w:szCs w:val="32"/>
          <w:lang w:val="zh-CN" w:eastAsia="zh-CN"/>
        </w:rPr>
        <w:t>，</w:t>
      </w:r>
      <w:r>
        <w:rPr>
          <w:rFonts w:hint="default" w:ascii="Times New Roman" w:hAnsi="Times New Roman" w:eastAsia="方正仿宋_GBK" w:cs="Times New Roman"/>
          <w:color w:val="auto"/>
          <w:kern w:val="21"/>
          <w:sz w:val="32"/>
          <w:szCs w:val="32"/>
          <w:lang w:val="zh-CN" w:eastAsia="zh-CN"/>
        </w:rPr>
        <w:t>设置地下水跟踪监测井3</w:t>
      </w:r>
      <w:r>
        <w:rPr>
          <w:rFonts w:hint="eastAsia" w:cs="Times New Roman"/>
          <w:color w:val="auto"/>
          <w:kern w:val="21"/>
          <w:sz w:val="32"/>
          <w:szCs w:val="32"/>
          <w:lang w:val="zh-CN" w:eastAsia="zh-CN"/>
        </w:rPr>
        <w:t>口，</w:t>
      </w:r>
      <w:r>
        <w:rPr>
          <w:rFonts w:hint="eastAsia" w:ascii="Times New Roman" w:hAnsi="Times New Roman" w:cs="Times New Roman"/>
          <w:color w:val="auto"/>
          <w:kern w:val="21"/>
          <w:sz w:val="32"/>
          <w:szCs w:val="32"/>
          <w:lang w:val="zh-CN" w:eastAsia="zh-CN"/>
        </w:rPr>
        <w:t>并做好土壤和地下水环境</w:t>
      </w:r>
      <w:r>
        <w:rPr>
          <w:rFonts w:hint="eastAsia" w:ascii="Times New Roman" w:hAnsi="Times New Roman" w:eastAsia="方正仿宋_GBK" w:cs="Times New Roman"/>
          <w:color w:val="auto"/>
          <w:kern w:val="21"/>
          <w:sz w:val="32"/>
          <w:szCs w:val="32"/>
          <w:lang w:val="zh-CN" w:eastAsia="zh-CN"/>
        </w:rPr>
        <w:t>跟踪监测。</w:t>
      </w:r>
    </w:p>
    <w:p w14:paraId="763FC080">
      <w:pPr>
        <w:keepNext w:val="0"/>
        <w:keepLines w:val="0"/>
        <w:pageBreakBefore w:val="0"/>
        <w:widowControl w:val="0"/>
        <w:kinsoku/>
        <w:wordWrap w:val="0"/>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kern w:val="21"/>
          <w:sz w:val="32"/>
          <w:szCs w:val="32"/>
        </w:rPr>
      </w:pPr>
      <w:r>
        <w:rPr>
          <w:rFonts w:hint="eastAsia" w:ascii="Times New Roman" w:hAnsi="Times New Roman" w:eastAsia="方正仿宋_GBK" w:cs="Times New Roman"/>
          <w:color w:val="auto"/>
          <w:kern w:val="21"/>
          <w:sz w:val="32"/>
          <w:szCs w:val="32"/>
        </w:rPr>
        <w:t>（</w:t>
      </w:r>
      <w:r>
        <w:rPr>
          <w:rFonts w:hint="eastAsia" w:cs="Times New Roman"/>
          <w:color w:val="auto"/>
          <w:kern w:val="21"/>
          <w:sz w:val="32"/>
          <w:szCs w:val="32"/>
          <w:lang w:eastAsia="zh-CN"/>
        </w:rPr>
        <w:t>九</w:t>
      </w:r>
      <w:r>
        <w:rPr>
          <w:rFonts w:hint="eastAsia" w:ascii="Times New Roman" w:hAnsi="Times New Roman" w:eastAsia="方正仿宋_GBK" w:cs="Times New Roman"/>
          <w:color w:val="auto"/>
          <w:kern w:val="21"/>
          <w:sz w:val="32"/>
          <w:szCs w:val="32"/>
        </w:rPr>
        <w:t>）加强应急处置。</w:t>
      </w:r>
      <w:r>
        <w:rPr>
          <w:rFonts w:hint="default" w:ascii="Times New Roman" w:hAnsi="Times New Roman" w:eastAsia="方正仿宋_GBK" w:cs="Times New Roman"/>
          <w:color w:val="auto"/>
          <w:kern w:val="21"/>
          <w:sz w:val="32"/>
          <w:szCs w:val="32"/>
        </w:rPr>
        <w:t>制定和完善环境风险及突发环境事件应急预案，并报市生态环境局富源分局备案。按照“预防为主”的原则，做好日常环境管理工作，认真落实环境风险事故防范措施及应急措施。</w:t>
      </w:r>
    </w:p>
    <w:p w14:paraId="3BC76D3E">
      <w:pPr>
        <w:pStyle w:val="7"/>
        <w:keepNext w:val="0"/>
        <w:keepLines w:val="0"/>
        <w:pageBreakBefore w:val="0"/>
        <w:widowControl w:val="0"/>
        <w:kinsoku/>
        <w:wordWrap w:val="0"/>
        <w:overflowPunct/>
        <w:topLinePunct w:val="0"/>
        <w:autoSpaceDE/>
        <w:autoSpaceDN/>
        <w:bidi w:val="0"/>
        <w:adjustRightInd/>
        <w:snapToGrid/>
        <w:spacing w:after="0" w:line="240" w:lineRule="auto"/>
        <w:ind w:left="0" w:leftChars="0" w:firstLine="632" w:firstLineChars="200"/>
        <w:jc w:val="both"/>
        <w:textAlignment w:val="auto"/>
        <w:rPr>
          <w:rFonts w:hint="default" w:ascii="Times New Roman" w:hAnsi="Times New Roman" w:eastAsia="方正仿宋_GBK" w:cs="Times New Roman"/>
          <w:color w:val="auto"/>
          <w:kern w:val="21"/>
          <w:sz w:val="32"/>
          <w:szCs w:val="32"/>
        </w:rPr>
      </w:pPr>
      <w:r>
        <w:rPr>
          <w:rFonts w:hint="eastAsia" w:cs="Times New Roman"/>
          <w:color w:val="auto"/>
          <w:kern w:val="21"/>
          <w:sz w:val="32"/>
          <w:szCs w:val="32"/>
          <w:lang w:eastAsia="zh-CN"/>
        </w:rPr>
        <w:t>三</w:t>
      </w:r>
      <w:r>
        <w:rPr>
          <w:rFonts w:hint="default" w:ascii="Times New Roman" w:hAnsi="Times New Roman" w:eastAsia="方正仿宋_GBK" w:cs="Times New Roman"/>
          <w:color w:val="auto"/>
          <w:kern w:val="21"/>
          <w:sz w:val="32"/>
          <w:szCs w:val="32"/>
        </w:rPr>
        <w:t>、严格按照《报告</w:t>
      </w:r>
      <w:r>
        <w:rPr>
          <w:rFonts w:hint="default" w:ascii="Times New Roman" w:hAnsi="Times New Roman" w:eastAsia="方正仿宋_GBK" w:cs="Times New Roman"/>
          <w:color w:val="auto"/>
          <w:kern w:val="21"/>
          <w:sz w:val="32"/>
          <w:szCs w:val="32"/>
          <w:lang w:eastAsia="zh-CN"/>
        </w:rPr>
        <w:t>表</w:t>
      </w:r>
      <w:r>
        <w:rPr>
          <w:rFonts w:hint="default" w:ascii="Times New Roman" w:hAnsi="Times New Roman" w:eastAsia="方正仿宋_GBK" w:cs="Times New Roman"/>
          <w:color w:val="auto"/>
          <w:kern w:val="21"/>
          <w:sz w:val="32"/>
          <w:szCs w:val="32"/>
        </w:rPr>
        <w:t>》确定的监测点位、监测项目及监测频次开展监测工作</w:t>
      </w:r>
      <w:r>
        <w:rPr>
          <w:rFonts w:hint="default" w:ascii="Times New Roman" w:hAnsi="Times New Roman" w:eastAsia="方正仿宋_GBK" w:cs="Times New Roman"/>
          <w:color w:val="auto"/>
          <w:kern w:val="21"/>
          <w:sz w:val="32"/>
          <w:szCs w:val="32"/>
          <w:lang w:eastAsia="zh-CN"/>
        </w:rPr>
        <w:t>。</w:t>
      </w:r>
    </w:p>
    <w:p w14:paraId="27D3C3BB">
      <w:pPr>
        <w:pStyle w:val="7"/>
        <w:keepNext w:val="0"/>
        <w:keepLines w:val="0"/>
        <w:pageBreakBefore w:val="0"/>
        <w:widowControl w:val="0"/>
        <w:kinsoku/>
        <w:wordWrap w:val="0"/>
        <w:overflowPunct/>
        <w:topLinePunct w:val="0"/>
        <w:autoSpaceDE/>
        <w:autoSpaceDN/>
        <w:bidi w:val="0"/>
        <w:adjustRightInd/>
        <w:snapToGrid/>
        <w:spacing w:after="0" w:line="240" w:lineRule="auto"/>
        <w:ind w:left="0" w:leftChars="0" w:firstLine="632" w:firstLineChars="200"/>
        <w:jc w:val="both"/>
        <w:textAlignment w:val="auto"/>
        <w:rPr>
          <w:rFonts w:hint="default" w:ascii="Times New Roman" w:hAnsi="Times New Roman" w:eastAsia="方正仿宋_GBK" w:cs="Times New Roman"/>
          <w:color w:val="auto"/>
          <w:kern w:val="21"/>
          <w:sz w:val="32"/>
          <w:szCs w:val="32"/>
        </w:rPr>
      </w:pPr>
      <w:r>
        <w:rPr>
          <w:rFonts w:hint="eastAsia" w:cs="Times New Roman"/>
          <w:color w:val="auto"/>
          <w:kern w:val="21"/>
          <w:sz w:val="32"/>
          <w:szCs w:val="32"/>
          <w:lang w:eastAsia="zh-CN"/>
        </w:rPr>
        <w:t>四</w:t>
      </w:r>
      <w:r>
        <w:rPr>
          <w:rFonts w:hint="default" w:ascii="Times New Roman" w:hAnsi="Times New Roman" w:eastAsia="方正仿宋_GBK" w:cs="Times New Roman"/>
          <w:color w:val="auto"/>
          <w:kern w:val="21"/>
          <w:sz w:val="32"/>
          <w:szCs w:val="32"/>
          <w:lang w:eastAsia="zh-CN"/>
        </w:rPr>
        <w:t>、</w:t>
      </w:r>
      <w:r>
        <w:rPr>
          <w:rFonts w:hint="default" w:ascii="Times New Roman" w:hAnsi="Times New Roman" w:eastAsia="方正仿宋_GBK" w:cs="Times New Roman"/>
          <w:color w:val="auto"/>
          <w:kern w:val="21"/>
          <w:sz w:val="32"/>
          <w:szCs w:val="32"/>
          <w:lang w:val="en-US" w:eastAsia="zh-CN"/>
        </w:rPr>
        <w:t>项目建设必须严格执行配套的环境保护设施与主体工程同时设计、同时施工、同时投产使用的</w:t>
      </w:r>
      <w:r>
        <w:rPr>
          <w:rFonts w:hint="default" w:ascii="Times New Roman" w:hAnsi="Times New Roman" w:cs="Times New Roman"/>
          <w:color w:val="auto"/>
          <w:kern w:val="21"/>
          <w:sz w:val="32"/>
          <w:szCs w:val="32"/>
          <w:lang w:val="en-US" w:eastAsia="zh-CN"/>
        </w:rPr>
        <w:t>“</w:t>
      </w:r>
      <w:r>
        <w:rPr>
          <w:rFonts w:hint="default" w:ascii="Times New Roman" w:hAnsi="Times New Roman" w:eastAsia="方正仿宋_GBK" w:cs="Times New Roman"/>
          <w:color w:val="auto"/>
          <w:kern w:val="21"/>
          <w:sz w:val="32"/>
          <w:szCs w:val="32"/>
          <w:lang w:val="en-US" w:eastAsia="zh-CN"/>
        </w:rPr>
        <w:t>三同时</w:t>
      </w:r>
      <w:r>
        <w:rPr>
          <w:rFonts w:hint="default" w:ascii="Times New Roman" w:hAnsi="Times New Roman" w:cs="Times New Roman"/>
          <w:color w:val="auto"/>
          <w:kern w:val="21"/>
          <w:sz w:val="32"/>
          <w:szCs w:val="32"/>
          <w:lang w:val="en-US" w:eastAsia="zh-CN"/>
        </w:rPr>
        <w:t>”</w:t>
      </w:r>
      <w:r>
        <w:rPr>
          <w:rFonts w:hint="default" w:ascii="Times New Roman" w:hAnsi="Times New Roman" w:eastAsia="方正仿宋_GBK" w:cs="Times New Roman"/>
          <w:color w:val="auto"/>
          <w:kern w:val="21"/>
          <w:sz w:val="32"/>
          <w:szCs w:val="32"/>
          <w:lang w:val="en-US" w:eastAsia="zh-CN"/>
        </w:rPr>
        <w:t>制度。施工招标文件和施工合同应明确环保条款和责任，认真落实施工期环境保护工作。</w:t>
      </w:r>
      <w:r>
        <w:rPr>
          <w:rFonts w:hint="default" w:ascii="Times New Roman" w:hAnsi="Times New Roman" w:eastAsia="方正仿宋_GBK" w:cs="Times New Roman"/>
          <w:color w:val="auto"/>
          <w:kern w:val="21"/>
          <w:sz w:val="32"/>
          <w:szCs w:val="32"/>
          <w:lang w:eastAsia="zh-CN"/>
        </w:rPr>
        <w:t>项目建成后，</w:t>
      </w:r>
      <w:r>
        <w:rPr>
          <w:rFonts w:hint="default" w:ascii="Times New Roman" w:hAnsi="Times New Roman" w:eastAsia="方正仿宋_GBK" w:cs="Times New Roman"/>
          <w:color w:val="auto"/>
          <w:kern w:val="21"/>
          <w:sz w:val="32"/>
          <w:szCs w:val="32"/>
        </w:rPr>
        <w:t>你</w:t>
      </w:r>
      <w:r>
        <w:rPr>
          <w:rFonts w:hint="default" w:ascii="Times New Roman" w:hAnsi="Times New Roman" w:eastAsia="方正仿宋_GBK" w:cs="Times New Roman"/>
          <w:color w:val="auto"/>
          <w:kern w:val="21"/>
          <w:sz w:val="32"/>
          <w:szCs w:val="32"/>
          <w:lang w:eastAsia="zh-CN"/>
        </w:rPr>
        <w:t>公司</w:t>
      </w:r>
      <w:r>
        <w:rPr>
          <w:rFonts w:hint="default" w:ascii="Times New Roman" w:hAnsi="Times New Roman" w:eastAsia="方正仿宋_GBK" w:cs="Times New Roman"/>
          <w:color w:val="auto"/>
          <w:kern w:val="21"/>
          <w:sz w:val="32"/>
          <w:szCs w:val="32"/>
        </w:rPr>
        <w:t>应按照《建设项目竣工环境保护验收暂行办法》</w:t>
      </w:r>
      <w:r>
        <w:rPr>
          <w:rFonts w:hint="default" w:ascii="Times New Roman" w:hAnsi="Times New Roman" w:eastAsia="方正仿宋_GBK" w:cs="Times New Roman"/>
          <w:color w:val="auto"/>
          <w:kern w:val="21"/>
          <w:sz w:val="32"/>
          <w:szCs w:val="32"/>
          <w:lang w:eastAsia="zh-CN"/>
        </w:rPr>
        <w:t>（</w:t>
      </w:r>
      <w:r>
        <w:rPr>
          <w:rFonts w:hint="default" w:ascii="Times New Roman" w:hAnsi="Times New Roman" w:eastAsia="方正仿宋_GBK" w:cs="Times New Roman"/>
          <w:color w:val="auto"/>
          <w:kern w:val="21"/>
          <w:sz w:val="32"/>
          <w:szCs w:val="32"/>
        </w:rPr>
        <w:t>国环规环评〔2017〕4号</w:t>
      </w:r>
      <w:r>
        <w:rPr>
          <w:rFonts w:hint="default" w:ascii="Times New Roman" w:hAnsi="Times New Roman" w:eastAsia="方正仿宋_GBK" w:cs="Times New Roman"/>
          <w:color w:val="auto"/>
          <w:kern w:val="21"/>
          <w:sz w:val="32"/>
          <w:szCs w:val="32"/>
          <w:lang w:eastAsia="zh-CN"/>
        </w:rPr>
        <w:t>）</w:t>
      </w:r>
      <w:r>
        <w:rPr>
          <w:rFonts w:hint="default" w:ascii="Times New Roman" w:hAnsi="Times New Roman" w:eastAsia="方正仿宋_GBK" w:cs="Times New Roman"/>
          <w:color w:val="auto"/>
          <w:kern w:val="21"/>
          <w:sz w:val="32"/>
          <w:szCs w:val="32"/>
        </w:rPr>
        <w:t>相关要求完成竣工</w:t>
      </w:r>
      <w:r>
        <w:rPr>
          <w:rFonts w:hint="default" w:ascii="Times New Roman" w:hAnsi="Times New Roman" w:eastAsia="方正仿宋_GBK" w:cs="Times New Roman"/>
          <w:color w:val="auto"/>
          <w:kern w:val="21"/>
          <w:sz w:val="32"/>
          <w:szCs w:val="32"/>
          <w:lang w:eastAsia="zh-CN"/>
        </w:rPr>
        <w:t>环境保护</w:t>
      </w:r>
      <w:r>
        <w:rPr>
          <w:rFonts w:hint="default" w:ascii="Times New Roman" w:hAnsi="Times New Roman" w:eastAsia="方正仿宋_GBK" w:cs="Times New Roman"/>
          <w:color w:val="auto"/>
          <w:kern w:val="21"/>
          <w:sz w:val="32"/>
          <w:szCs w:val="32"/>
        </w:rPr>
        <w:t>自主验收。</w:t>
      </w:r>
    </w:p>
    <w:p w14:paraId="6CBCA45A">
      <w:pPr>
        <w:keepNext w:val="0"/>
        <w:keepLines w:val="0"/>
        <w:pageBreakBefore w:val="0"/>
        <w:widowControl w:val="0"/>
        <w:kinsoku/>
        <w:wordWrap w:val="0"/>
        <w:overflowPunct/>
        <w:topLinePunct w:val="0"/>
        <w:autoSpaceDE/>
        <w:autoSpaceDN/>
        <w:bidi w:val="0"/>
        <w:adjustRightInd/>
        <w:snapToGrid/>
        <w:spacing w:line="240" w:lineRule="auto"/>
        <w:ind w:left="0" w:firstLine="632" w:firstLineChars="200"/>
        <w:jc w:val="both"/>
        <w:textAlignment w:val="auto"/>
        <w:rPr>
          <w:rFonts w:hint="default" w:ascii="Times New Roman" w:hAnsi="Times New Roman" w:eastAsia="方正仿宋_GBK" w:cs="Times New Roman"/>
          <w:color w:val="auto"/>
          <w:kern w:val="21"/>
          <w:sz w:val="32"/>
          <w:szCs w:val="32"/>
        </w:rPr>
      </w:pPr>
      <w:r>
        <w:rPr>
          <w:rFonts w:hint="eastAsia" w:cs="Times New Roman"/>
          <w:color w:val="auto"/>
          <w:kern w:val="21"/>
          <w:sz w:val="32"/>
          <w:szCs w:val="32"/>
          <w:lang w:eastAsia="zh-CN"/>
        </w:rPr>
        <w:t>五</w:t>
      </w:r>
      <w:r>
        <w:rPr>
          <w:rFonts w:hint="default" w:ascii="Times New Roman" w:hAnsi="Times New Roman" w:eastAsia="方正仿宋_GBK" w:cs="Times New Roman"/>
          <w:color w:val="auto"/>
          <w:kern w:val="21"/>
          <w:sz w:val="32"/>
          <w:szCs w:val="32"/>
          <w:lang w:eastAsia="zh-CN"/>
        </w:rPr>
        <w:t>、</w:t>
      </w:r>
      <w:r>
        <w:rPr>
          <w:rFonts w:hint="default" w:ascii="Times New Roman" w:hAnsi="Times New Roman" w:eastAsia="方正仿宋_GBK" w:cs="Times New Roman"/>
          <w:color w:val="auto"/>
          <w:kern w:val="21"/>
          <w:sz w:val="32"/>
          <w:szCs w:val="32"/>
        </w:rPr>
        <w:t>如项目的性质、规模、地点、生产工艺或者防治污染、防止生态破坏的措施等发生重大变动，</w:t>
      </w:r>
      <w:r>
        <w:rPr>
          <w:rFonts w:hint="default" w:ascii="Times New Roman" w:hAnsi="Times New Roman" w:eastAsia="方正仿宋_GBK" w:cs="Times New Roman"/>
          <w:b w:val="0"/>
          <w:bCs w:val="0"/>
          <w:color w:val="auto"/>
          <w:kern w:val="21"/>
          <w:sz w:val="32"/>
          <w:szCs w:val="32"/>
          <w:lang w:eastAsia="zh-CN"/>
        </w:rPr>
        <w:t>应向有审批权限的生态环境部门报告并按要求办理相关手续</w:t>
      </w:r>
      <w:r>
        <w:rPr>
          <w:rFonts w:hint="default" w:ascii="Times New Roman" w:hAnsi="Times New Roman" w:eastAsia="方正仿宋_GBK" w:cs="Times New Roman"/>
          <w:color w:val="auto"/>
          <w:kern w:val="21"/>
          <w:sz w:val="32"/>
          <w:szCs w:val="32"/>
        </w:rPr>
        <w:t>。项目环境影响评价文件自批准之日起超过5年，方决定开工建设的，其环境影响评价文件应报</w:t>
      </w:r>
      <w:r>
        <w:rPr>
          <w:rFonts w:hint="eastAsia" w:eastAsia="方正仿宋_GBK" w:cs="Times New Roman"/>
          <w:color w:val="auto"/>
          <w:kern w:val="21"/>
          <w:sz w:val="32"/>
          <w:szCs w:val="32"/>
          <w:lang w:val="en-US" w:eastAsia="zh-CN"/>
        </w:rPr>
        <w:t>我</w:t>
      </w:r>
      <w:r>
        <w:rPr>
          <w:rFonts w:hint="default" w:ascii="Times New Roman" w:hAnsi="Times New Roman" w:eastAsia="方正仿宋_GBK" w:cs="Times New Roman"/>
          <w:color w:val="auto"/>
          <w:kern w:val="21"/>
          <w:sz w:val="32"/>
          <w:szCs w:val="32"/>
          <w:lang w:val="en-US" w:eastAsia="zh-CN"/>
        </w:rPr>
        <w:t>局</w:t>
      </w:r>
      <w:r>
        <w:rPr>
          <w:rFonts w:hint="default" w:ascii="Times New Roman" w:hAnsi="Times New Roman" w:eastAsia="方正仿宋_GBK" w:cs="Times New Roman"/>
          <w:color w:val="auto"/>
          <w:kern w:val="21"/>
          <w:sz w:val="32"/>
          <w:szCs w:val="32"/>
        </w:rPr>
        <w:t>重新审核。</w:t>
      </w:r>
    </w:p>
    <w:p w14:paraId="133FD252">
      <w:pPr>
        <w:pStyle w:val="6"/>
        <w:keepNext w:val="0"/>
        <w:keepLines w:val="0"/>
        <w:pageBreakBefore w:val="0"/>
        <w:widowControl w:val="0"/>
        <w:kinsoku/>
        <w:wordWrap w:val="0"/>
        <w:overflowPunct/>
        <w:topLinePunct w:val="0"/>
        <w:autoSpaceDE/>
        <w:autoSpaceDN/>
        <w:bidi w:val="0"/>
        <w:adjustRightInd/>
        <w:snapToGrid/>
        <w:spacing w:line="240" w:lineRule="auto"/>
        <w:ind w:left="0" w:leftChars="0" w:firstLine="632" w:firstLineChars="200"/>
        <w:textAlignment w:val="auto"/>
        <w:rPr>
          <w:rFonts w:hint="default" w:ascii="Times New Roman" w:hAnsi="Times New Roman" w:eastAsia="方正仿宋_GBK" w:cs="Times New Roman"/>
          <w:color w:val="auto"/>
          <w:kern w:val="21"/>
          <w:sz w:val="32"/>
          <w:szCs w:val="32"/>
        </w:rPr>
      </w:pPr>
      <w:r>
        <w:rPr>
          <w:rFonts w:hint="eastAsia" w:eastAsia="仿宋" w:cs="Times New Roman"/>
          <w:kern w:val="21"/>
          <w:sz w:val="32"/>
          <w:szCs w:val="32"/>
          <w:lang w:eastAsia="zh-CN"/>
        </w:rPr>
        <w:t>六</w:t>
      </w:r>
      <w:r>
        <w:rPr>
          <w:rFonts w:hint="default" w:ascii="Times New Roman" w:hAnsi="Times New Roman" w:eastAsia="仿宋" w:cs="Times New Roman"/>
          <w:kern w:val="21"/>
          <w:sz w:val="32"/>
          <w:szCs w:val="32"/>
        </w:rPr>
        <w:t>、</w:t>
      </w:r>
      <w:r>
        <w:rPr>
          <w:rFonts w:hint="default" w:ascii="Times New Roman" w:hAnsi="Times New Roman" w:eastAsia="方正仿宋_GBK" w:cs="Times New Roman"/>
          <w:kern w:val="21"/>
          <w:sz w:val="32"/>
          <w:szCs w:val="32"/>
          <w:lang w:eastAsia="zh-CN"/>
        </w:rPr>
        <w:t>请市</w:t>
      </w:r>
      <w:r>
        <w:rPr>
          <w:rFonts w:hint="default" w:ascii="Times New Roman" w:hAnsi="Times New Roman" w:eastAsia="方正仿宋_GBK" w:cs="Times New Roman"/>
          <w:color w:val="auto"/>
          <w:kern w:val="21"/>
          <w:sz w:val="32"/>
          <w:szCs w:val="32"/>
          <w:lang w:eastAsia="zh-CN"/>
        </w:rPr>
        <w:t>生态环境局</w:t>
      </w:r>
      <w:r>
        <w:rPr>
          <w:rFonts w:hint="eastAsia" w:ascii="Times New Roman" w:hAnsi="Times New Roman" w:eastAsia="方正仿宋_GBK" w:cs="Times New Roman"/>
          <w:color w:val="auto"/>
          <w:kern w:val="21"/>
          <w:sz w:val="32"/>
          <w:szCs w:val="32"/>
          <w:lang w:eastAsia="zh-CN"/>
        </w:rPr>
        <w:t>富源</w:t>
      </w:r>
      <w:r>
        <w:rPr>
          <w:rFonts w:hint="default" w:ascii="Times New Roman" w:hAnsi="Times New Roman" w:eastAsia="方正仿宋_GBK" w:cs="Times New Roman"/>
          <w:color w:val="auto"/>
          <w:kern w:val="21"/>
          <w:sz w:val="32"/>
          <w:szCs w:val="32"/>
          <w:lang w:eastAsia="zh-CN"/>
        </w:rPr>
        <w:t>分局负责该项目的环境执法监察和监督管理，请市生态环境保护综合行政执法支队加强监督检查。</w:t>
      </w:r>
    </w:p>
    <w:p w14:paraId="10DED572">
      <w:pPr>
        <w:pStyle w:val="6"/>
        <w:keepNext w:val="0"/>
        <w:keepLines w:val="0"/>
        <w:pageBreakBefore w:val="0"/>
        <w:widowControl w:val="0"/>
        <w:kinsoku/>
        <w:wordWrap w:val="0"/>
        <w:overflowPunct/>
        <w:topLinePunct w:val="0"/>
        <w:autoSpaceDE/>
        <w:autoSpaceDN/>
        <w:bidi w:val="0"/>
        <w:adjustRightInd/>
        <w:snapToGrid/>
        <w:spacing w:line="240" w:lineRule="auto"/>
        <w:ind w:leftChars="0" w:firstLine="4424" w:firstLineChars="1400"/>
        <w:textAlignment w:val="auto"/>
        <w:rPr>
          <w:rFonts w:hint="default" w:ascii="Times New Roman" w:hAnsi="Times New Roman" w:eastAsia="方正仿宋_GBK" w:cs="Times New Roman"/>
          <w:color w:val="auto"/>
          <w:kern w:val="21"/>
          <w:sz w:val="32"/>
          <w:szCs w:val="32"/>
        </w:rPr>
      </w:pPr>
    </w:p>
    <w:p w14:paraId="108FBB12">
      <w:pPr>
        <w:pStyle w:val="6"/>
        <w:keepNext w:val="0"/>
        <w:keepLines w:val="0"/>
        <w:pageBreakBefore w:val="0"/>
        <w:widowControl w:val="0"/>
        <w:kinsoku/>
        <w:wordWrap w:val="0"/>
        <w:overflowPunct/>
        <w:topLinePunct w:val="0"/>
        <w:autoSpaceDE/>
        <w:autoSpaceDN/>
        <w:bidi w:val="0"/>
        <w:adjustRightInd/>
        <w:snapToGrid/>
        <w:spacing w:line="240" w:lineRule="auto"/>
        <w:ind w:leftChars="0" w:firstLine="4424" w:firstLineChars="1400"/>
        <w:textAlignment w:val="auto"/>
        <w:rPr>
          <w:rFonts w:hint="default" w:ascii="Times New Roman" w:hAnsi="Times New Roman" w:eastAsia="方正仿宋_GBK" w:cs="Times New Roman"/>
          <w:color w:val="auto"/>
          <w:kern w:val="21"/>
          <w:sz w:val="32"/>
          <w:szCs w:val="32"/>
        </w:rPr>
      </w:pPr>
    </w:p>
    <w:p w14:paraId="01EE2256">
      <w:pPr>
        <w:pStyle w:val="6"/>
        <w:keepNext w:val="0"/>
        <w:keepLines w:val="0"/>
        <w:pageBreakBefore w:val="0"/>
        <w:widowControl w:val="0"/>
        <w:kinsoku/>
        <w:wordWrap w:val="0"/>
        <w:overflowPunct/>
        <w:topLinePunct w:val="0"/>
        <w:autoSpaceDE/>
        <w:autoSpaceDN/>
        <w:bidi w:val="0"/>
        <w:adjustRightInd/>
        <w:snapToGrid/>
        <w:spacing w:line="240" w:lineRule="auto"/>
        <w:ind w:leftChars="0" w:firstLine="4424" w:firstLineChars="1400"/>
        <w:textAlignment w:val="auto"/>
        <w:rPr>
          <w:rFonts w:hint="default" w:ascii="Times New Roman" w:hAnsi="Times New Roman" w:eastAsia="方正仿宋_GBK" w:cs="Times New Roman"/>
          <w:color w:val="auto"/>
          <w:kern w:val="21"/>
          <w:sz w:val="32"/>
          <w:szCs w:val="32"/>
        </w:rPr>
      </w:pPr>
    </w:p>
    <w:p w14:paraId="3F3C09C1">
      <w:pPr>
        <w:keepNext w:val="0"/>
        <w:keepLines w:val="0"/>
        <w:pageBreakBefore w:val="0"/>
        <w:widowControl w:val="0"/>
        <w:kinsoku/>
        <w:wordWrap w:val="0"/>
        <w:overflowPunct/>
        <w:topLinePunct w:val="0"/>
        <w:autoSpaceDE/>
        <w:autoSpaceDN/>
        <w:bidi w:val="0"/>
        <w:adjustRightInd/>
        <w:snapToGrid/>
        <w:ind w:leftChars="1700"/>
        <w:jc w:val="center"/>
        <w:textAlignment w:val="auto"/>
        <w:rPr>
          <w:rFonts w:hint="default"/>
          <w:kern w:val="21"/>
          <w:sz w:val="32"/>
        </w:rPr>
      </w:pPr>
      <w:r>
        <w:rPr>
          <w:rFonts w:hint="default"/>
          <w:kern w:val="21"/>
          <w:sz w:val="32"/>
        </w:rPr>
        <w:t>曲靖市生态环境局</w:t>
      </w:r>
    </w:p>
    <w:p w14:paraId="76B15C9D">
      <w:pPr>
        <w:keepNext w:val="0"/>
        <w:keepLines w:val="0"/>
        <w:pageBreakBefore w:val="0"/>
        <w:widowControl w:val="0"/>
        <w:kinsoku/>
        <w:wordWrap w:val="0"/>
        <w:overflowPunct/>
        <w:topLinePunct w:val="0"/>
        <w:autoSpaceDE/>
        <w:autoSpaceDN/>
        <w:bidi w:val="0"/>
        <w:adjustRightInd/>
        <w:snapToGrid/>
        <w:ind w:leftChars="1700"/>
        <w:jc w:val="center"/>
        <w:textAlignment w:val="auto"/>
        <w:rPr>
          <w:rFonts w:hint="default"/>
          <w:kern w:val="21"/>
          <w:sz w:val="32"/>
        </w:rPr>
      </w:pPr>
      <w:r>
        <w:rPr>
          <w:rFonts w:hint="default"/>
          <w:kern w:val="21"/>
          <w:sz w:val="32"/>
        </w:rPr>
        <w:t>202</w:t>
      </w:r>
      <w:r>
        <w:rPr>
          <w:rFonts w:hint="eastAsia"/>
          <w:kern w:val="21"/>
          <w:sz w:val="32"/>
          <w:lang w:val="en-US" w:eastAsia="zh-CN"/>
        </w:rPr>
        <w:t>6</w:t>
      </w:r>
      <w:r>
        <w:rPr>
          <w:rFonts w:hint="default"/>
          <w:kern w:val="21"/>
          <w:sz w:val="32"/>
        </w:rPr>
        <w:t>年</w:t>
      </w:r>
      <w:r>
        <w:rPr>
          <w:rFonts w:hint="eastAsia"/>
          <w:kern w:val="21"/>
          <w:sz w:val="32"/>
          <w:lang w:val="en-US" w:eastAsia="zh-CN"/>
        </w:rPr>
        <w:t>8</w:t>
      </w:r>
      <w:r>
        <w:rPr>
          <w:rFonts w:hint="default"/>
          <w:kern w:val="21"/>
          <w:sz w:val="32"/>
        </w:rPr>
        <w:t>月</w:t>
      </w:r>
      <w:r>
        <w:rPr>
          <w:rFonts w:hint="eastAsia"/>
          <w:kern w:val="21"/>
          <w:sz w:val="32"/>
          <w:lang w:val="en-US" w:eastAsia="zh-CN"/>
        </w:rPr>
        <w:t>27</w:t>
      </w:r>
      <w:r>
        <w:rPr>
          <w:rFonts w:hint="default"/>
          <w:kern w:val="21"/>
          <w:sz w:val="32"/>
        </w:rPr>
        <w:t>日</w:t>
      </w:r>
    </w:p>
    <w:p w14:paraId="3FF094EC">
      <w:pPr>
        <w:pStyle w:val="5"/>
        <w:keepNext w:val="0"/>
        <w:keepLines w:val="0"/>
        <w:pageBreakBefore w:val="0"/>
        <w:widowControl w:val="0"/>
        <w:kinsoku/>
        <w:wordWrap w:val="0"/>
        <w:overflowPunct/>
        <w:topLinePunct w:val="0"/>
        <w:autoSpaceDE/>
        <w:autoSpaceDN/>
        <w:bidi w:val="0"/>
        <w:adjustRightInd/>
        <w:snapToGrid/>
        <w:spacing w:line="240" w:lineRule="auto"/>
        <w:ind w:firstLine="632" w:firstLineChars="200"/>
        <w:textAlignment w:val="auto"/>
        <w:rPr>
          <w:rFonts w:hint="default" w:ascii="Times New Roman" w:hAnsi="Times New Roman" w:eastAsia="方正仿宋_GBK" w:cs="Times New Roman"/>
          <w:color w:val="auto"/>
          <w:kern w:val="21"/>
          <w:sz w:val="32"/>
          <w:szCs w:val="32"/>
          <w:lang w:eastAsia="zh-CN"/>
        </w:rPr>
      </w:pPr>
      <w:r>
        <w:rPr>
          <w:rFonts w:hint="default" w:ascii="Times New Roman" w:hAnsi="Times New Roman" w:eastAsia="方正仿宋_GBK" w:cs="Times New Roman"/>
          <w:color w:val="auto"/>
          <w:kern w:val="21"/>
          <w:sz w:val="32"/>
          <w:szCs w:val="32"/>
          <w:lang w:eastAsia="zh-CN"/>
        </w:rPr>
        <w:t>（此件公开发布）</w:t>
      </w:r>
    </w:p>
    <w:p w14:paraId="5A4A7A5C">
      <w:pPr>
        <w:keepNext w:val="0"/>
        <w:keepLines w:val="0"/>
        <w:pageBreakBefore w:val="0"/>
        <w:widowControl w:val="0"/>
        <w:kinsoku/>
        <w:wordWrap w:val="0"/>
        <w:overflowPunct/>
        <w:topLinePunct w:val="0"/>
        <w:autoSpaceDE/>
        <w:autoSpaceDN/>
        <w:bidi w:val="0"/>
        <w:adjustRightInd/>
        <w:snapToGrid/>
        <w:textAlignment w:val="auto"/>
        <w:rPr>
          <w:rFonts w:hint="default"/>
          <w:lang w:eastAsia="zh-CN"/>
        </w:rPr>
      </w:pPr>
      <w:bookmarkStart w:id="0" w:name="_GoBack"/>
      <w:bookmarkEnd w:id="0"/>
    </w:p>
    <w:sectPr>
      <w:footerReference r:id="rId3" w:type="default"/>
      <w:pgSz w:w="11906" w:h="16838"/>
      <w:pgMar w:top="2098" w:right="1474" w:bottom="1984" w:left="1587" w:header="851" w:footer="1531" w:gutter="0"/>
      <w:pgBorders>
        <w:top w:val="none" w:sz="0" w:space="0"/>
        <w:left w:val="none" w:sz="0" w:space="0"/>
        <w:bottom w:val="none" w:sz="0" w:space="0"/>
        <w:right w:val="none" w:sz="0" w:space="0"/>
      </w:pgBorders>
      <w:pgNumType w:fmt="decimal"/>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moder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script"/>
    <w:pitch w:val="default"/>
    <w:sig w:usb0="00000001" w:usb1="080E0000" w:usb2="00000000" w:usb3="00000000" w:csb0="00040000" w:csb1="00000000"/>
    <w:embedRegular r:id="rId1" w:fontKey="{34B40858-D1E1-4321-BCB3-E0ACDA2B3EB3}"/>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embedRegular r:id="rId2" w:fontKey="{9C322565-BB80-43A9-AB7E-B3929F5AC197}"/>
  </w:font>
  <w:font w:name="仿宋">
    <w:panose1 w:val="02010609060101010101"/>
    <w:charset w:val="86"/>
    <w:family w:val="modern"/>
    <w:pitch w:val="default"/>
    <w:sig w:usb0="800002BF" w:usb1="38CF7CFA" w:usb2="00000016" w:usb3="00000000" w:csb0="00040001" w:csb1="00000000"/>
    <w:embedRegular r:id="rId3" w:fontKey="{456188D0-8315-4A73-9A4A-D4FA560381C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B1015">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1997AB">
                          <w:pPr>
                            <w:pStyle w:val="11"/>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01997AB">
                    <w:pPr>
                      <w:pStyle w:val="11"/>
                    </w:pP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646A98">
                          <w:pPr>
                            <w:rPr>
                              <w:rFonts w:hint="default"/>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0646A98">
                    <w:pPr>
                      <w:rPr>
                        <w:rFonts w:hint="default"/>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58"/>
  <w:drawingGridVerticalSpacing w:val="290"/>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QxZTdiMzFmMzk1NWI0NTVjZThmYTdmZTAxMmVkYTEifQ=="/>
  </w:docVars>
  <w:rsids>
    <w:rsidRoot w:val="00AE6248"/>
    <w:rsid w:val="00005623"/>
    <w:rsid w:val="00011698"/>
    <w:rsid w:val="00014443"/>
    <w:rsid w:val="0001484C"/>
    <w:rsid w:val="00014899"/>
    <w:rsid w:val="00027FB2"/>
    <w:rsid w:val="00036B2D"/>
    <w:rsid w:val="00040D94"/>
    <w:rsid w:val="00057D12"/>
    <w:rsid w:val="00057E59"/>
    <w:rsid w:val="000666D5"/>
    <w:rsid w:val="000732BD"/>
    <w:rsid w:val="0007431A"/>
    <w:rsid w:val="0007513E"/>
    <w:rsid w:val="0007563A"/>
    <w:rsid w:val="000818BD"/>
    <w:rsid w:val="00096FCA"/>
    <w:rsid w:val="000A24D6"/>
    <w:rsid w:val="000A7334"/>
    <w:rsid w:val="000A7B59"/>
    <w:rsid w:val="000B1828"/>
    <w:rsid w:val="000B62C8"/>
    <w:rsid w:val="000C7617"/>
    <w:rsid w:val="000D1339"/>
    <w:rsid w:val="000D17A5"/>
    <w:rsid w:val="000D3547"/>
    <w:rsid w:val="000D5AD1"/>
    <w:rsid w:val="000D5DD3"/>
    <w:rsid w:val="000E2D45"/>
    <w:rsid w:val="000E2D6F"/>
    <w:rsid w:val="000E5384"/>
    <w:rsid w:val="000F087D"/>
    <w:rsid w:val="000F2922"/>
    <w:rsid w:val="000F55ED"/>
    <w:rsid w:val="00100192"/>
    <w:rsid w:val="001002C8"/>
    <w:rsid w:val="00102F8C"/>
    <w:rsid w:val="00103147"/>
    <w:rsid w:val="0010733C"/>
    <w:rsid w:val="0011204A"/>
    <w:rsid w:val="001128E6"/>
    <w:rsid w:val="001129E1"/>
    <w:rsid w:val="0011731F"/>
    <w:rsid w:val="001202B0"/>
    <w:rsid w:val="00135F80"/>
    <w:rsid w:val="00146AF5"/>
    <w:rsid w:val="001579DF"/>
    <w:rsid w:val="0016022F"/>
    <w:rsid w:val="0018019D"/>
    <w:rsid w:val="001801B7"/>
    <w:rsid w:val="0018145A"/>
    <w:rsid w:val="0018446B"/>
    <w:rsid w:val="001911F3"/>
    <w:rsid w:val="001929BC"/>
    <w:rsid w:val="001A39BE"/>
    <w:rsid w:val="001B13AD"/>
    <w:rsid w:val="001B34AE"/>
    <w:rsid w:val="001C0932"/>
    <w:rsid w:val="001C2069"/>
    <w:rsid w:val="001C547B"/>
    <w:rsid w:val="001C5DA3"/>
    <w:rsid w:val="001D03D7"/>
    <w:rsid w:val="00206D37"/>
    <w:rsid w:val="002139EB"/>
    <w:rsid w:val="00222830"/>
    <w:rsid w:val="00222E94"/>
    <w:rsid w:val="00234180"/>
    <w:rsid w:val="002351F2"/>
    <w:rsid w:val="0025444D"/>
    <w:rsid w:val="0026118F"/>
    <w:rsid w:val="00275C3B"/>
    <w:rsid w:val="002825DF"/>
    <w:rsid w:val="00295240"/>
    <w:rsid w:val="00297C13"/>
    <w:rsid w:val="002A0F3D"/>
    <w:rsid w:val="002A56A9"/>
    <w:rsid w:val="002A73EF"/>
    <w:rsid w:val="002B6B05"/>
    <w:rsid w:val="002C706E"/>
    <w:rsid w:val="002D233B"/>
    <w:rsid w:val="002E2F13"/>
    <w:rsid w:val="002E33AB"/>
    <w:rsid w:val="002E5537"/>
    <w:rsid w:val="003061CC"/>
    <w:rsid w:val="00306C26"/>
    <w:rsid w:val="003102A9"/>
    <w:rsid w:val="00310709"/>
    <w:rsid w:val="00320506"/>
    <w:rsid w:val="00322190"/>
    <w:rsid w:val="0033531E"/>
    <w:rsid w:val="00344F0D"/>
    <w:rsid w:val="00360844"/>
    <w:rsid w:val="003673F3"/>
    <w:rsid w:val="00382E3A"/>
    <w:rsid w:val="00395FD6"/>
    <w:rsid w:val="003B3D5E"/>
    <w:rsid w:val="003B40DC"/>
    <w:rsid w:val="003B4A01"/>
    <w:rsid w:val="003B4A8F"/>
    <w:rsid w:val="003B7963"/>
    <w:rsid w:val="003D4E37"/>
    <w:rsid w:val="003E76EA"/>
    <w:rsid w:val="00401C31"/>
    <w:rsid w:val="00413C88"/>
    <w:rsid w:val="00416F81"/>
    <w:rsid w:val="00422102"/>
    <w:rsid w:val="00424D9B"/>
    <w:rsid w:val="004313CB"/>
    <w:rsid w:val="00440095"/>
    <w:rsid w:val="00443CB6"/>
    <w:rsid w:val="004568A0"/>
    <w:rsid w:val="004712D7"/>
    <w:rsid w:val="004736EC"/>
    <w:rsid w:val="00486B90"/>
    <w:rsid w:val="00487C94"/>
    <w:rsid w:val="004A432B"/>
    <w:rsid w:val="004E2B35"/>
    <w:rsid w:val="004F4DFA"/>
    <w:rsid w:val="004F5750"/>
    <w:rsid w:val="004F57E7"/>
    <w:rsid w:val="004F67C5"/>
    <w:rsid w:val="00500060"/>
    <w:rsid w:val="00501F04"/>
    <w:rsid w:val="00506CDD"/>
    <w:rsid w:val="005155AC"/>
    <w:rsid w:val="005156FE"/>
    <w:rsid w:val="005173CD"/>
    <w:rsid w:val="00520EF0"/>
    <w:rsid w:val="0052719A"/>
    <w:rsid w:val="00530C4C"/>
    <w:rsid w:val="00531039"/>
    <w:rsid w:val="00542C43"/>
    <w:rsid w:val="0054427C"/>
    <w:rsid w:val="005448D5"/>
    <w:rsid w:val="00544C13"/>
    <w:rsid w:val="00553402"/>
    <w:rsid w:val="005558C4"/>
    <w:rsid w:val="00556FA2"/>
    <w:rsid w:val="00560C1A"/>
    <w:rsid w:val="005613A2"/>
    <w:rsid w:val="005619F9"/>
    <w:rsid w:val="00567804"/>
    <w:rsid w:val="00595E4F"/>
    <w:rsid w:val="00597CA4"/>
    <w:rsid w:val="00597F55"/>
    <w:rsid w:val="005A44BA"/>
    <w:rsid w:val="005B0D5A"/>
    <w:rsid w:val="005B2989"/>
    <w:rsid w:val="005B3766"/>
    <w:rsid w:val="005B63C9"/>
    <w:rsid w:val="005C529A"/>
    <w:rsid w:val="005C7B2C"/>
    <w:rsid w:val="005F1B27"/>
    <w:rsid w:val="005F7AD9"/>
    <w:rsid w:val="00601289"/>
    <w:rsid w:val="0061364A"/>
    <w:rsid w:val="0063454C"/>
    <w:rsid w:val="00635FDE"/>
    <w:rsid w:val="0064553D"/>
    <w:rsid w:val="0064672C"/>
    <w:rsid w:val="00653EC0"/>
    <w:rsid w:val="00671517"/>
    <w:rsid w:val="00676EA6"/>
    <w:rsid w:val="0069646A"/>
    <w:rsid w:val="006A7AEE"/>
    <w:rsid w:val="006C5D9A"/>
    <w:rsid w:val="006D4681"/>
    <w:rsid w:val="006D4A36"/>
    <w:rsid w:val="006E2737"/>
    <w:rsid w:val="006E6556"/>
    <w:rsid w:val="006F2F8F"/>
    <w:rsid w:val="006F5D67"/>
    <w:rsid w:val="00700726"/>
    <w:rsid w:val="00700E4E"/>
    <w:rsid w:val="0070173A"/>
    <w:rsid w:val="00706452"/>
    <w:rsid w:val="00707B5D"/>
    <w:rsid w:val="00712460"/>
    <w:rsid w:val="00715AF1"/>
    <w:rsid w:val="007161B4"/>
    <w:rsid w:val="007256DC"/>
    <w:rsid w:val="007266A1"/>
    <w:rsid w:val="00730979"/>
    <w:rsid w:val="00730C98"/>
    <w:rsid w:val="00736C6F"/>
    <w:rsid w:val="00747077"/>
    <w:rsid w:val="00751269"/>
    <w:rsid w:val="00752BB0"/>
    <w:rsid w:val="00753D8E"/>
    <w:rsid w:val="0076095B"/>
    <w:rsid w:val="007804E9"/>
    <w:rsid w:val="00783084"/>
    <w:rsid w:val="00797B7A"/>
    <w:rsid w:val="007A003B"/>
    <w:rsid w:val="007A7CF4"/>
    <w:rsid w:val="007D12F5"/>
    <w:rsid w:val="007E108B"/>
    <w:rsid w:val="007E16CC"/>
    <w:rsid w:val="007E6B90"/>
    <w:rsid w:val="007F46CE"/>
    <w:rsid w:val="00803267"/>
    <w:rsid w:val="0080438C"/>
    <w:rsid w:val="00807DA8"/>
    <w:rsid w:val="008258ED"/>
    <w:rsid w:val="008268BA"/>
    <w:rsid w:val="008421E3"/>
    <w:rsid w:val="00854D31"/>
    <w:rsid w:val="00860DF7"/>
    <w:rsid w:val="00864C21"/>
    <w:rsid w:val="00873D07"/>
    <w:rsid w:val="008831B2"/>
    <w:rsid w:val="0089368F"/>
    <w:rsid w:val="0089607B"/>
    <w:rsid w:val="008A2290"/>
    <w:rsid w:val="008A5C89"/>
    <w:rsid w:val="008A7E9A"/>
    <w:rsid w:val="008B433B"/>
    <w:rsid w:val="008E2DB9"/>
    <w:rsid w:val="008E70E2"/>
    <w:rsid w:val="009021C0"/>
    <w:rsid w:val="00902282"/>
    <w:rsid w:val="0091178C"/>
    <w:rsid w:val="00926AAD"/>
    <w:rsid w:val="00930EDF"/>
    <w:rsid w:val="00932034"/>
    <w:rsid w:val="009347C5"/>
    <w:rsid w:val="00937528"/>
    <w:rsid w:val="009420F8"/>
    <w:rsid w:val="00961F14"/>
    <w:rsid w:val="00967460"/>
    <w:rsid w:val="00971FD0"/>
    <w:rsid w:val="00975BD6"/>
    <w:rsid w:val="0098131A"/>
    <w:rsid w:val="009849B9"/>
    <w:rsid w:val="00992E61"/>
    <w:rsid w:val="00993916"/>
    <w:rsid w:val="00995A56"/>
    <w:rsid w:val="009B0C4F"/>
    <w:rsid w:val="009C2802"/>
    <w:rsid w:val="009C6C4F"/>
    <w:rsid w:val="009D7185"/>
    <w:rsid w:val="009E4056"/>
    <w:rsid w:val="009E4411"/>
    <w:rsid w:val="009E4ED9"/>
    <w:rsid w:val="009E6882"/>
    <w:rsid w:val="009F6827"/>
    <w:rsid w:val="00A06175"/>
    <w:rsid w:val="00A155D0"/>
    <w:rsid w:val="00A1655F"/>
    <w:rsid w:val="00A231FA"/>
    <w:rsid w:val="00A34C3B"/>
    <w:rsid w:val="00A34F71"/>
    <w:rsid w:val="00A40815"/>
    <w:rsid w:val="00A40A05"/>
    <w:rsid w:val="00A4760E"/>
    <w:rsid w:val="00A5003B"/>
    <w:rsid w:val="00A620AF"/>
    <w:rsid w:val="00A64FB8"/>
    <w:rsid w:val="00A74A87"/>
    <w:rsid w:val="00A87523"/>
    <w:rsid w:val="00AA4577"/>
    <w:rsid w:val="00AB24D0"/>
    <w:rsid w:val="00AC2EF7"/>
    <w:rsid w:val="00AC5693"/>
    <w:rsid w:val="00AE06E3"/>
    <w:rsid w:val="00AE2E6F"/>
    <w:rsid w:val="00AE6248"/>
    <w:rsid w:val="00AE7672"/>
    <w:rsid w:val="00AF2604"/>
    <w:rsid w:val="00AF4735"/>
    <w:rsid w:val="00B01BC6"/>
    <w:rsid w:val="00B03FEF"/>
    <w:rsid w:val="00B07B39"/>
    <w:rsid w:val="00B07BD2"/>
    <w:rsid w:val="00B1328B"/>
    <w:rsid w:val="00B148C8"/>
    <w:rsid w:val="00B15DB8"/>
    <w:rsid w:val="00B170A1"/>
    <w:rsid w:val="00B20F38"/>
    <w:rsid w:val="00B26759"/>
    <w:rsid w:val="00B32078"/>
    <w:rsid w:val="00B36913"/>
    <w:rsid w:val="00B36D00"/>
    <w:rsid w:val="00B44CA8"/>
    <w:rsid w:val="00B52633"/>
    <w:rsid w:val="00B53381"/>
    <w:rsid w:val="00B55F1C"/>
    <w:rsid w:val="00B6054E"/>
    <w:rsid w:val="00B75FE7"/>
    <w:rsid w:val="00B77E24"/>
    <w:rsid w:val="00BA35BF"/>
    <w:rsid w:val="00BA7BAF"/>
    <w:rsid w:val="00BA7FA8"/>
    <w:rsid w:val="00BC6DBC"/>
    <w:rsid w:val="00BC7E80"/>
    <w:rsid w:val="00BD6506"/>
    <w:rsid w:val="00BE485F"/>
    <w:rsid w:val="00BE7D72"/>
    <w:rsid w:val="00BF06BA"/>
    <w:rsid w:val="00BF07B5"/>
    <w:rsid w:val="00BF47BB"/>
    <w:rsid w:val="00C03C25"/>
    <w:rsid w:val="00C12E1C"/>
    <w:rsid w:val="00C137E6"/>
    <w:rsid w:val="00C15D64"/>
    <w:rsid w:val="00C16AC5"/>
    <w:rsid w:val="00C20A9B"/>
    <w:rsid w:val="00C20EAF"/>
    <w:rsid w:val="00C221FB"/>
    <w:rsid w:val="00C25DFF"/>
    <w:rsid w:val="00C272D7"/>
    <w:rsid w:val="00C33165"/>
    <w:rsid w:val="00C333B2"/>
    <w:rsid w:val="00C34F64"/>
    <w:rsid w:val="00C36CF7"/>
    <w:rsid w:val="00C44517"/>
    <w:rsid w:val="00C66DC9"/>
    <w:rsid w:val="00C7741F"/>
    <w:rsid w:val="00C82C5D"/>
    <w:rsid w:val="00CA37D6"/>
    <w:rsid w:val="00CB5BED"/>
    <w:rsid w:val="00CB644F"/>
    <w:rsid w:val="00CC34F3"/>
    <w:rsid w:val="00CC505C"/>
    <w:rsid w:val="00CD4737"/>
    <w:rsid w:val="00CE0AD9"/>
    <w:rsid w:val="00CF035F"/>
    <w:rsid w:val="00CF1CA9"/>
    <w:rsid w:val="00CF3842"/>
    <w:rsid w:val="00CF7DB1"/>
    <w:rsid w:val="00D0137B"/>
    <w:rsid w:val="00D033D4"/>
    <w:rsid w:val="00D1005C"/>
    <w:rsid w:val="00D33C7B"/>
    <w:rsid w:val="00D34671"/>
    <w:rsid w:val="00D50D96"/>
    <w:rsid w:val="00D536EF"/>
    <w:rsid w:val="00D55051"/>
    <w:rsid w:val="00D600C8"/>
    <w:rsid w:val="00D63BC5"/>
    <w:rsid w:val="00D64E7F"/>
    <w:rsid w:val="00D73751"/>
    <w:rsid w:val="00D749E5"/>
    <w:rsid w:val="00D74E46"/>
    <w:rsid w:val="00D805C6"/>
    <w:rsid w:val="00D91899"/>
    <w:rsid w:val="00DA1485"/>
    <w:rsid w:val="00DC325C"/>
    <w:rsid w:val="00DC7124"/>
    <w:rsid w:val="00DE29FE"/>
    <w:rsid w:val="00DE4E89"/>
    <w:rsid w:val="00DE7EF8"/>
    <w:rsid w:val="00E13B5F"/>
    <w:rsid w:val="00E15877"/>
    <w:rsid w:val="00E16318"/>
    <w:rsid w:val="00E209E8"/>
    <w:rsid w:val="00E25196"/>
    <w:rsid w:val="00E30795"/>
    <w:rsid w:val="00E35998"/>
    <w:rsid w:val="00E42604"/>
    <w:rsid w:val="00E47B53"/>
    <w:rsid w:val="00E64440"/>
    <w:rsid w:val="00E732A5"/>
    <w:rsid w:val="00E86BF0"/>
    <w:rsid w:val="00E90BEB"/>
    <w:rsid w:val="00E940E2"/>
    <w:rsid w:val="00EA10F9"/>
    <w:rsid w:val="00EA311F"/>
    <w:rsid w:val="00EA372F"/>
    <w:rsid w:val="00EA5804"/>
    <w:rsid w:val="00EB66F9"/>
    <w:rsid w:val="00EC5046"/>
    <w:rsid w:val="00EC7C82"/>
    <w:rsid w:val="00EE26C6"/>
    <w:rsid w:val="00EE29E1"/>
    <w:rsid w:val="00EF1179"/>
    <w:rsid w:val="00EF2714"/>
    <w:rsid w:val="00F01335"/>
    <w:rsid w:val="00F043A1"/>
    <w:rsid w:val="00F1468B"/>
    <w:rsid w:val="00F24541"/>
    <w:rsid w:val="00F3648B"/>
    <w:rsid w:val="00F4793B"/>
    <w:rsid w:val="00F55676"/>
    <w:rsid w:val="00F64E11"/>
    <w:rsid w:val="00F66E5C"/>
    <w:rsid w:val="00F70207"/>
    <w:rsid w:val="00F709E6"/>
    <w:rsid w:val="00F74A58"/>
    <w:rsid w:val="00F76A80"/>
    <w:rsid w:val="00F76D57"/>
    <w:rsid w:val="00F80E57"/>
    <w:rsid w:val="00F92100"/>
    <w:rsid w:val="00F9640C"/>
    <w:rsid w:val="00FA12F3"/>
    <w:rsid w:val="00FA364A"/>
    <w:rsid w:val="00FA6006"/>
    <w:rsid w:val="00FC18EC"/>
    <w:rsid w:val="00FC500B"/>
    <w:rsid w:val="00FD39B8"/>
    <w:rsid w:val="00FD79AC"/>
    <w:rsid w:val="00FE287E"/>
    <w:rsid w:val="00FE4DE0"/>
    <w:rsid w:val="00FE5448"/>
    <w:rsid w:val="03A46A23"/>
    <w:rsid w:val="03D648D7"/>
    <w:rsid w:val="06DE46EF"/>
    <w:rsid w:val="075F22BC"/>
    <w:rsid w:val="078B358F"/>
    <w:rsid w:val="0ABB1D60"/>
    <w:rsid w:val="0C102777"/>
    <w:rsid w:val="0DE62A44"/>
    <w:rsid w:val="0E5B0345"/>
    <w:rsid w:val="10FB5DBA"/>
    <w:rsid w:val="117E09BE"/>
    <w:rsid w:val="14AE78FC"/>
    <w:rsid w:val="16AC25F2"/>
    <w:rsid w:val="170532D4"/>
    <w:rsid w:val="18CE4226"/>
    <w:rsid w:val="18EF4E45"/>
    <w:rsid w:val="18F06198"/>
    <w:rsid w:val="1AB81E7E"/>
    <w:rsid w:val="1B355290"/>
    <w:rsid w:val="1BBB0703"/>
    <w:rsid w:val="1DE22839"/>
    <w:rsid w:val="1EB11053"/>
    <w:rsid w:val="1F9D178F"/>
    <w:rsid w:val="20953DFA"/>
    <w:rsid w:val="20B269A7"/>
    <w:rsid w:val="21842486"/>
    <w:rsid w:val="22177DFE"/>
    <w:rsid w:val="22C3481D"/>
    <w:rsid w:val="23057D3D"/>
    <w:rsid w:val="23ED3D54"/>
    <w:rsid w:val="23F22B88"/>
    <w:rsid w:val="253216D2"/>
    <w:rsid w:val="271550B9"/>
    <w:rsid w:val="29060519"/>
    <w:rsid w:val="29FB1FF0"/>
    <w:rsid w:val="29FB4325"/>
    <w:rsid w:val="2B295702"/>
    <w:rsid w:val="2B2A646F"/>
    <w:rsid w:val="2B65243A"/>
    <w:rsid w:val="2BEB4504"/>
    <w:rsid w:val="2C27783B"/>
    <w:rsid w:val="2CFA4E04"/>
    <w:rsid w:val="2E8823C8"/>
    <w:rsid w:val="307C26FF"/>
    <w:rsid w:val="308B654F"/>
    <w:rsid w:val="30E4374E"/>
    <w:rsid w:val="31303F97"/>
    <w:rsid w:val="31D7675F"/>
    <w:rsid w:val="3227588C"/>
    <w:rsid w:val="336A4C60"/>
    <w:rsid w:val="339A10EE"/>
    <w:rsid w:val="350D601C"/>
    <w:rsid w:val="376663A8"/>
    <w:rsid w:val="391630B7"/>
    <w:rsid w:val="39F9444F"/>
    <w:rsid w:val="3AC51570"/>
    <w:rsid w:val="3B95274A"/>
    <w:rsid w:val="3D272681"/>
    <w:rsid w:val="3DD23301"/>
    <w:rsid w:val="3E1D056B"/>
    <w:rsid w:val="3E75253C"/>
    <w:rsid w:val="3FB62687"/>
    <w:rsid w:val="40505535"/>
    <w:rsid w:val="44951F8B"/>
    <w:rsid w:val="44E4341C"/>
    <w:rsid w:val="45A57C5C"/>
    <w:rsid w:val="4708700F"/>
    <w:rsid w:val="47386E65"/>
    <w:rsid w:val="47F85F3C"/>
    <w:rsid w:val="48773A0D"/>
    <w:rsid w:val="48AC74A2"/>
    <w:rsid w:val="4AC5234C"/>
    <w:rsid w:val="4B6A5CD6"/>
    <w:rsid w:val="4BB52B12"/>
    <w:rsid w:val="4FBF5D0D"/>
    <w:rsid w:val="515C2B9B"/>
    <w:rsid w:val="52163191"/>
    <w:rsid w:val="534D70DC"/>
    <w:rsid w:val="544D717E"/>
    <w:rsid w:val="55105C52"/>
    <w:rsid w:val="592119C7"/>
    <w:rsid w:val="59B54B90"/>
    <w:rsid w:val="5B9242D5"/>
    <w:rsid w:val="5DB86A42"/>
    <w:rsid w:val="617B4B44"/>
    <w:rsid w:val="618E661B"/>
    <w:rsid w:val="632C0B1A"/>
    <w:rsid w:val="649436F4"/>
    <w:rsid w:val="64FC33C6"/>
    <w:rsid w:val="6551675D"/>
    <w:rsid w:val="671C704A"/>
    <w:rsid w:val="6C597C70"/>
    <w:rsid w:val="6C6D0B73"/>
    <w:rsid w:val="6E437CF4"/>
    <w:rsid w:val="6F2365BC"/>
    <w:rsid w:val="6F4F4560"/>
    <w:rsid w:val="6F54601A"/>
    <w:rsid w:val="71D96859"/>
    <w:rsid w:val="72977142"/>
    <w:rsid w:val="735A4016"/>
    <w:rsid w:val="75AD486B"/>
    <w:rsid w:val="76F971C0"/>
    <w:rsid w:val="785C1F6E"/>
    <w:rsid w:val="78BD1D12"/>
    <w:rsid w:val="7A820227"/>
    <w:rsid w:val="7AC06B13"/>
    <w:rsid w:val="7B1320FB"/>
    <w:rsid w:val="7B5E799F"/>
    <w:rsid w:val="7BCE0222"/>
    <w:rsid w:val="7D8349B7"/>
    <w:rsid w:val="7E481FBB"/>
    <w:rsid w:val="7F7676A4"/>
    <w:rsid w:val="7FC424CD"/>
    <w:rsid w:val="7FD62D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szCs w:val="24"/>
      <w:lang w:val="en-US" w:eastAsia="zh-CN" w:bidi="ar-SA"/>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header"/>
    <w:basedOn w:val="1"/>
    <w:link w:val="1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3">
    <w:name w:val="annotation text"/>
    <w:basedOn w:val="1"/>
    <w:link w:val="24"/>
    <w:semiHidden/>
    <w:unhideWhenUsed/>
    <w:qFormat/>
    <w:uiPriority w:val="99"/>
    <w:pPr>
      <w:jc w:val="left"/>
    </w:pPr>
  </w:style>
  <w:style w:type="paragraph" w:styleId="4">
    <w:name w:val="Body Text"/>
    <w:basedOn w:val="1"/>
    <w:next w:val="1"/>
    <w:link w:val="20"/>
    <w:qFormat/>
    <w:uiPriority w:val="0"/>
    <w:pPr>
      <w:jc w:val="center"/>
    </w:pPr>
    <w:rPr>
      <w:sz w:val="44"/>
    </w:rPr>
  </w:style>
  <w:style w:type="paragraph" w:styleId="5">
    <w:name w:val="Plain Text"/>
    <w:basedOn w:val="1"/>
    <w:next w:val="1"/>
    <w:qFormat/>
    <w:uiPriority w:val="0"/>
    <w:rPr>
      <w:rFonts w:ascii="宋体" w:hAnsi="Courier New"/>
      <w:szCs w:val="20"/>
    </w:rPr>
  </w:style>
  <w:style w:type="paragraph" w:styleId="6">
    <w:name w:val="Date"/>
    <w:basedOn w:val="1"/>
    <w:next w:val="1"/>
    <w:link w:val="22"/>
    <w:qFormat/>
    <w:uiPriority w:val="99"/>
    <w:pPr>
      <w:ind w:left="100" w:leftChars="2500"/>
    </w:pPr>
  </w:style>
  <w:style w:type="paragraph" w:styleId="7">
    <w:name w:val="Body Text Indent 2"/>
    <w:basedOn w:val="1"/>
    <w:next w:val="8"/>
    <w:link w:val="21"/>
    <w:unhideWhenUsed/>
    <w:qFormat/>
    <w:uiPriority w:val="0"/>
    <w:pPr>
      <w:spacing w:after="120" w:line="480" w:lineRule="auto"/>
      <w:ind w:left="420" w:leftChars="200"/>
    </w:pPr>
  </w:style>
  <w:style w:type="paragraph" w:customStyle="1" w:styleId="8">
    <w:name w:val="简单回函地址"/>
    <w:next w:val="9"/>
    <w:qFormat/>
    <w:uiPriority w:val="0"/>
    <w:pPr>
      <w:widowControl w:val="0"/>
      <w:jc w:val="both"/>
    </w:pPr>
    <w:rPr>
      <w:rFonts w:ascii="Calibri" w:hAnsi="Calibri" w:eastAsia="宋体" w:cs="Times New Roman"/>
      <w:kern w:val="2"/>
      <w:sz w:val="21"/>
      <w:szCs w:val="24"/>
      <w:lang w:val="en-US" w:eastAsia="zh-CN" w:bidi="ar-SA"/>
    </w:rPr>
  </w:style>
  <w:style w:type="paragraph" w:customStyle="1" w:styleId="9">
    <w:name w:val="正文2"/>
    <w:basedOn w:val="1"/>
    <w:qFormat/>
    <w:uiPriority w:val="0"/>
    <w:pPr>
      <w:spacing w:line="360" w:lineRule="auto"/>
      <w:ind w:firstLine="200" w:firstLineChars="200"/>
    </w:pPr>
    <w:rPr>
      <w:sz w:val="24"/>
    </w:rPr>
  </w:style>
  <w:style w:type="paragraph" w:styleId="10">
    <w:name w:val="Balloon Text"/>
    <w:basedOn w:val="1"/>
    <w:link w:val="26"/>
    <w:semiHidden/>
    <w:unhideWhenUsed/>
    <w:qFormat/>
    <w:uiPriority w:val="99"/>
    <w:rPr>
      <w:sz w:val="18"/>
      <w:szCs w:val="18"/>
    </w:rPr>
  </w:style>
  <w:style w:type="paragraph" w:styleId="11">
    <w:name w:val="footer"/>
    <w:basedOn w:val="1"/>
    <w:link w:val="1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2">
    <w:name w:val="Normal (Web)"/>
    <w:basedOn w:val="1"/>
    <w:unhideWhenUsed/>
    <w:qFormat/>
    <w:uiPriority w:val="99"/>
    <w:rPr>
      <w:sz w:val="24"/>
    </w:rPr>
  </w:style>
  <w:style w:type="paragraph" w:styleId="13">
    <w:name w:val="Title"/>
    <w:basedOn w:val="1"/>
    <w:qFormat/>
    <w:uiPriority w:val="0"/>
    <w:pPr>
      <w:spacing w:line="440" w:lineRule="atLeast"/>
      <w:jc w:val="left"/>
      <w:outlineLvl w:val="0"/>
    </w:pPr>
    <w:rPr>
      <w:rFonts w:ascii="宋体" w:hAnsi="Arial"/>
      <w:b/>
      <w:sz w:val="24"/>
      <w:szCs w:val="20"/>
    </w:rPr>
  </w:style>
  <w:style w:type="paragraph" w:styleId="14">
    <w:name w:val="annotation subject"/>
    <w:basedOn w:val="3"/>
    <w:next w:val="3"/>
    <w:link w:val="25"/>
    <w:semiHidden/>
    <w:unhideWhenUsed/>
    <w:qFormat/>
    <w:uiPriority w:val="99"/>
    <w:rPr>
      <w:b/>
      <w:bCs/>
    </w:rPr>
  </w:style>
  <w:style w:type="character" w:styleId="17">
    <w:name w:val="annotation reference"/>
    <w:basedOn w:val="16"/>
    <w:semiHidden/>
    <w:unhideWhenUsed/>
    <w:qFormat/>
    <w:uiPriority w:val="99"/>
    <w:rPr>
      <w:sz w:val="21"/>
      <w:szCs w:val="21"/>
    </w:rPr>
  </w:style>
  <w:style w:type="character" w:customStyle="1" w:styleId="18">
    <w:name w:val="页眉 Char"/>
    <w:basedOn w:val="16"/>
    <w:link w:val="2"/>
    <w:qFormat/>
    <w:uiPriority w:val="99"/>
    <w:rPr>
      <w:sz w:val="18"/>
      <w:szCs w:val="18"/>
    </w:rPr>
  </w:style>
  <w:style w:type="character" w:customStyle="1" w:styleId="19">
    <w:name w:val="页脚 Char"/>
    <w:basedOn w:val="16"/>
    <w:link w:val="11"/>
    <w:qFormat/>
    <w:uiPriority w:val="99"/>
    <w:rPr>
      <w:sz w:val="18"/>
      <w:szCs w:val="18"/>
    </w:rPr>
  </w:style>
  <w:style w:type="character" w:customStyle="1" w:styleId="20">
    <w:name w:val="正文文本 Char"/>
    <w:basedOn w:val="16"/>
    <w:link w:val="4"/>
    <w:qFormat/>
    <w:uiPriority w:val="0"/>
    <w:rPr>
      <w:rFonts w:ascii="Times New Roman" w:hAnsi="Times New Roman" w:eastAsia="仿宋_GB2312" w:cs="Times New Roman"/>
      <w:sz w:val="44"/>
      <w:szCs w:val="24"/>
    </w:rPr>
  </w:style>
  <w:style w:type="character" w:customStyle="1" w:styleId="21">
    <w:name w:val="正文文本缩进 2 Char"/>
    <w:basedOn w:val="16"/>
    <w:link w:val="7"/>
    <w:semiHidden/>
    <w:qFormat/>
    <w:uiPriority w:val="99"/>
    <w:rPr>
      <w:rFonts w:ascii="Times New Roman" w:hAnsi="Times New Roman" w:eastAsia="仿宋_GB2312" w:cs="Times New Roman"/>
      <w:sz w:val="32"/>
      <w:szCs w:val="24"/>
    </w:rPr>
  </w:style>
  <w:style w:type="character" w:customStyle="1" w:styleId="22">
    <w:name w:val="日期 Char"/>
    <w:basedOn w:val="16"/>
    <w:link w:val="6"/>
    <w:qFormat/>
    <w:uiPriority w:val="99"/>
    <w:rPr>
      <w:rFonts w:ascii="Times New Roman" w:hAnsi="Times New Roman" w:eastAsia="仿宋_GB2312" w:cs="Times New Roman"/>
      <w:sz w:val="32"/>
      <w:szCs w:val="24"/>
    </w:rPr>
  </w:style>
  <w:style w:type="paragraph" w:styleId="23">
    <w:name w:val="List Paragraph"/>
    <w:basedOn w:val="1"/>
    <w:qFormat/>
    <w:uiPriority w:val="34"/>
    <w:pPr>
      <w:ind w:firstLine="420" w:firstLineChars="200"/>
    </w:pPr>
  </w:style>
  <w:style w:type="character" w:customStyle="1" w:styleId="24">
    <w:name w:val="批注文字 Char"/>
    <w:basedOn w:val="16"/>
    <w:link w:val="3"/>
    <w:semiHidden/>
    <w:qFormat/>
    <w:uiPriority w:val="99"/>
    <w:rPr>
      <w:rFonts w:ascii="Times New Roman" w:hAnsi="Times New Roman" w:eastAsia="仿宋_GB2312" w:cs="Times New Roman"/>
      <w:sz w:val="32"/>
      <w:szCs w:val="24"/>
    </w:rPr>
  </w:style>
  <w:style w:type="character" w:customStyle="1" w:styleId="25">
    <w:name w:val="批注主题 Char"/>
    <w:basedOn w:val="24"/>
    <w:link w:val="14"/>
    <w:semiHidden/>
    <w:qFormat/>
    <w:uiPriority w:val="99"/>
    <w:rPr>
      <w:rFonts w:ascii="Times New Roman" w:hAnsi="Times New Roman" w:eastAsia="仿宋_GB2312" w:cs="Times New Roman"/>
      <w:b/>
      <w:bCs/>
      <w:sz w:val="32"/>
      <w:szCs w:val="24"/>
    </w:rPr>
  </w:style>
  <w:style w:type="character" w:customStyle="1" w:styleId="26">
    <w:name w:val="批注框文本 Char"/>
    <w:basedOn w:val="16"/>
    <w:link w:val="10"/>
    <w:semiHidden/>
    <w:qFormat/>
    <w:uiPriority w:val="99"/>
    <w:rPr>
      <w:rFonts w:ascii="Times New Roman" w:hAnsi="Times New Roman" w:eastAsia="仿宋_GB2312" w:cs="Times New Roman"/>
      <w:sz w:val="18"/>
      <w:szCs w:val="18"/>
    </w:rPr>
  </w:style>
  <w:style w:type="paragraph" w:customStyle="1" w:styleId="27">
    <w:name w:val="表格"/>
    <w:qFormat/>
    <w:uiPriority w:val="0"/>
    <w:pPr>
      <w:spacing w:line="240" w:lineRule="auto"/>
      <w:ind w:left="0" w:right="0" w:firstLine="0" w:firstLineChars="0"/>
      <w:jc w:val="center"/>
    </w:pPr>
    <w:rPr>
      <w:rFonts w:ascii="Times New Roman" w:hAnsi="Times New Roman" w:eastAsia="宋体" w:cs="宋体"/>
      <w:sz w:val="21"/>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43b3f741-7ec8-42ff-956e-7cd06ee47b27</errorID>
      <errorWord>程</errorWord>
      <group>L1_Word</group>
      <groupName>字词问题</groupName>
      <ability>L2_Typo</ability>
      <abilityName>字词错误</abilityName>
      <candidateList>
        <item>程中</item>
      </candidateList>
      <explain/>
      <paraID>109B5CE6</paraID>
      <start>154</start>
      <end>156</end>
      <status>modified</status>
      <modifiedWord>程中</modifiedWord>
      <trackRevisions>false</trackRevisions>
    </reviewItem>
    <reviewItem>
      <errorID>b293657d-e031-4a2f-8985-9a7a959d3fc7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66859A0D</paraID>
      <start>55</start>
      <end>56</end>
      <status>modified</status>
      <modifiedWord>—</modifiedWord>
      <trackRevisions>false</trackRevisions>
    </reviewItem>
    <reviewItem>
      <errorID>574e6ea6-a859-4794-8fa9-239b33d9cad2</errorID>
      <errorWord>）</errorWord>
      <group>L1_Word</group>
      <groupName>字词问题</groupName>
      <ability>L2_Typo</ability>
      <abilityName>字词错误</abilityName>
      <candidateList>
        <item>）和</item>
      </candidateList>
      <explain/>
      <paraID>3ABFDD06</paraID>
      <start>449</start>
      <end>451</end>
      <status>modified</status>
      <modifiedWord>）和</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8fc47e-34cb-4dee-9904-b392d2b037a6}">
  <ds:schemaRefs/>
</ds:datastoreItem>
</file>

<file path=docProps/app.xml><?xml version="1.0" encoding="utf-8"?>
<Properties xmlns="http://schemas.openxmlformats.org/officeDocument/2006/extended-properties" xmlns:vt="http://schemas.openxmlformats.org/officeDocument/2006/docPropsVTypes">
  <Template>Normal.dotm</Template>
  <Pages>7</Pages>
  <Words>3498</Words>
  <Characters>3827</Characters>
  <Lines>20</Lines>
  <Paragraphs>5</Paragraphs>
  <TotalTime>1</TotalTime>
  <ScaleCrop>false</ScaleCrop>
  <LinksUpToDate>false</LinksUpToDate>
  <CharactersWithSpaces>3847</CharactersWithSpaces>
  <Application>WPS Office_12.1.0.17140_F1E327BC-269C-435d-A152-05C5408002CA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2024-05-24T01:01:00Z</dcterms:created>
  <dc:creator>ASUS</dc:creator>
  <cp:lastModifiedBy>曲靖市－安双财</cp:lastModifiedBy>
  <cp:lastPrinted>2026-01-29T02:42:00Z</cp:lastPrinted>
  <dcterms:modified xsi:type="dcterms:W3CDTF">2026-08-28T03:32:31Z</dcterms:modified>
  <cp:revision>618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2052-12.1.0.17140</vt:lpwstr>
  </property>
  <property fmtid="{D5CDD505-2E9C-101B-9397-08002B2CF9AE}" pid="3" name="KSOTemplateDocerSaveRecord">
    <vt:lpwstr>eyJoZGlkIjoiZmViMTY2ZWNmOTM1OWMyMjg0YzVmZGUwOGUxZjJjYWMiLCJ1c2VySWQiOiIxNjIyMjcyMzkwIn0=</vt:lpwstr>
  </property>
  <property fmtid="{D5CDD505-2E9C-101B-9397-08002B2CF9AE}" pid="4" name="ICV">
    <vt:lpwstr>9CA0B6BE57C043B2BC1F2209C79E9160_13</vt:lpwstr>
  </property>
</Properties>
</file>