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BFAE5">
      <w:pPr>
        <w:keepNext w:val="0"/>
        <w:keepLines w:val="0"/>
        <w:pageBreakBefore w:val="0"/>
        <w:widowControl w:val="0"/>
        <w:kinsoku/>
        <w:wordWrap w:val="0"/>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color w:val="auto"/>
          <w:sz w:val="44"/>
          <w:szCs w:val="44"/>
          <w:lang w:eastAsia="zh-CN"/>
        </w:rPr>
      </w:pPr>
      <w:r>
        <w:rPr>
          <w:rFonts w:hint="default" w:ascii="Times New Roman" w:hAnsi="Times New Roman" w:eastAsia="方正小标宋_GBK" w:cs="Times New Roman"/>
          <w:color w:val="auto"/>
          <w:sz w:val="44"/>
          <w:szCs w:val="44"/>
        </w:rPr>
        <w:t>曲靖市生态环境局关于</w:t>
      </w:r>
      <w:r>
        <w:rPr>
          <w:rFonts w:hint="default" w:ascii="Times New Roman" w:hAnsi="Times New Roman" w:eastAsia="方正小标宋_GBK" w:cs="Times New Roman"/>
          <w:color w:val="auto"/>
          <w:sz w:val="44"/>
          <w:szCs w:val="44"/>
          <w:lang w:eastAsia="zh-CN"/>
        </w:rPr>
        <w:t>富源县和为经贸有限</w:t>
      </w:r>
    </w:p>
    <w:p w14:paraId="18B723BB">
      <w:pPr>
        <w:keepNext w:val="0"/>
        <w:keepLines w:val="0"/>
        <w:pageBreakBefore w:val="0"/>
        <w:widowControl w:val="0"/>
        <w:kinsoku/>
        <w:wordWrap w:val="0"/>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lang w:eastAsia="zh-CN"/>
        </w:rPr>
        <w:t>公司资源循环利用项目</w:t>
      </w:r>
      <w:r>
        <w:rPr>
          <w:rFonts w:hint="default" w:ascii="Times New Roman" w:hAnsi="Times New Roman" w:eastAsia="方正小标宋_GBK" w:cs="Times New Roman"/>
          <w:color w:val="auto"/>
          <w:sz w:val="44"/>
          <w:szCs w:val="44"/>
        </w:rPr>
        <w:t>环境影响报告表的批复</w:t>
      </w:r>
    </w:p>
    <w:p w14:paraId="1CC0BF09">
      <w:pPr>
        <w:keepNext w:val="0"/>
        <w:keepLines w:val="0"/>
        <w:pageBreakBefore w:val="0"/>
        <w:widowControl w:val="0"/>
        <w:kinsoku/>
        <w:overflowPunct/>
        <w:topLinePunct w:val="0"/>
        <w:autoSpaceDE/>
        <w:autoSpaceDN/>
        <w:bidi w:val="0"/>
        <w:adjustRightInd/>
        <w:snapToGrid/>
        <w:spacing w:line="360" w:lineRule="exact"/>
        <w:textAlignment w:val="auto"/>
        <w:rPr>
          <w:rFonts w:hint="eastAsia"/>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8-15号</w:t>
      </w:r>
    </w:p>
    <w:p w14:paraId="2F2DA61D">
      <w:pPr>
        <w:keepNext w:val="0"/>
        <w:keepLines w:val="0"/>
        <w:pageBreakBefore w:val="0"/>
        <w:widowControl w:val="0"/>
        <w:suppressLineNumbers w:val="0"/>
        <w:kinsoku/>
        <w:wordWrap w:val="0"/>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lang w:val="en-US" w:eastAsia="zh-CN"/>
        </w:rPr>
      </w:pPr>
    </w:p>
    <w:p w14:paraId="6CDE3126">
      <w:pPr>
        <w:keepNext w:val="0"/>
        <w:keepLines w:val="0"/>
        <w:pageBreakBefore w:val="0"/>
        <w:widowControl w:val="0"/>
        <w:suppressLineNumbers w:val="0"/>
        <w:kinsoku/>
        <w:wordWrap w:val="0"/>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cs="Times New Roman"/>
          <w:color w:val="auto"/>
          <w:kern w:val="21"/>
          <w:sz w:val="32"/>
          <w:lang w:val="en-US" w:eastAsia="zh-CN"/>
        </w:rPr>
        <w:t>富源县和为经贸有限公司</w:t>
      </w:r>
      <w:r>
        <w:rPr>
          <w:rFonts w:hint="default" w:ascii="Times New Roman" w:hAnsi="Times New Roman" w:eastAsia="方正仿宋_GBK" w:cs="Times New Roman"/>
          <w:color w:val="auto"/>
          <w:kern w:val="21"/>
          <w:sz w:val="32"/>
          <w:lang w:val="en-US" w:eastAsia="zh-CN"/>
        </w:rPr>
        <w:t>：</w:t>
      </w:r>
    </w:p>
    <w:p w14:paraId="3892C19A">
      <w:pPr>
        <w:keepNext w:val="0"/>
        <w:keepLines w:val="0"/>
        <w:pageBreakBefore w:val="0"/>
        <w:widowControl w:val="0"/>
        <w:suppressLineNumbers w:val="0"/>
        <w:kinsoku/>
        <w:wordWrap w:val="0"/>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你公司申请审批的《</w:t>
      </w:r>
      <w:r>
        <w:rPr>
          <w:rFonts w:hint="default" w:ascii="Times New Roman" w:hAnsi="Times New Roman" w:cs="Times New Roman"/>
          <w:color w:val="auto"/>
          <w:sz w:val="32"/>
          <w:lang w:val="en-US" w:eastAsia="zh-CN"/>
        </w:rPr>
        <w:t>富源县和为经贸有限公司资源循环利用项目环境影响报告表（报批稿）</w:t>
      </w:r>
      <w:r>
        <w:rPr>
          <w:rFonts w:hint="default" w:ascii="Times New Roman" w:hAnsi="Times New Roman" w:eastAsia="方正仿宋_GBK" w:cs="Times New Roman"/>
          <w:color w:val="auto"/>
          <w:kern w:val="21"/>
          <w:sz w:val="32"/>
          <w:lang w:val="en-US" w:eastAsia="zh-CN"/>
        </w:rPr>
        <w:t>》（以下简称《报告表》）及相关附件材料收悉。经研究，批复如下：</w:t>
      </w:r>
    </w:p>
    <w:p w14:paraId="4F113D30">
      <w:pPr>
        <w:pStyle w:val="7"/>
        <w:keepNext w:val="0"/>
        <w:keepLines w:val="0"/>
        <w:pageBreakBefore w:val="0"/>
        <w:widowControl w:val="0"/>
        <w:kinsoku/>
        <w:wordWrap w:val="0"/>
        <w:overflowPunct/>
        <w:topLinePunct w:val="0"/>
        <w:autoSpaceDE/>
        <w:autoSpaceDN/>
        <w:bidi w:val="0"/>
        <w:adjustRightInd/>
        <w:snapToGrid/>
        <w:spacing w:after="0" w:line="560" w:lineRule="exact"/>
        <w:ind w:left="0" w:leftChars="0" w:firstLine="632" w:firstLineChars="200"/>
        <w:textAlignment w:val="auto"/>
        <w:rPr>
          <w:rFonts w:hint="default" w:ascii="Times New Roman" w:hAnsi="Times New Roman" w:cs="Times New Roman"/>
          <w:color w:val="auto"/>
          <w:kern w:val="21"/>
          <w:szCs w:val="32"/>
        </w:rPr>
      </w:pPr>
      <w:r>
        <w:rPr>
          <w:rFonts w:hint="default" w:ascii="Times New Roman" w:hAnsi="Times New Roman" w:cs="Times New Roman"/>
          <w:color w:val="auto"/>
          <w:kern w:val="21"/>
          <w:szCs w:val="32"/>
        </w:rPr>
        <w:t>一、该项目位于富源县胜境街道多乐社区多乐村二组，地理坐标：东经104度11分47.639秒，北纬25度42分20.854秒。建设内容及规模为：项目占地面积约16204.2</w:t>
      </w:r>
      <w:r>
        <w:rPr>
          <w:rFonts w:hint="default" w:ascii="Times New Roman" w:hAnsi="Times New Roman" w:cs="Times New Roman"/>
          <w:color w:val="auto"/>
          <w:kern w:val="21"/>
          <w:szCs w:val="32"/>
          <w:lang w:val="en-US" w:eastAsia="zh-CN"/>
        </w:rPr>
        <w:t>m</w:t>
      </w:r>
      <w:r>
        <w:rPr>
          <w:rFonts w:hint="default" w:ascii="Times New Roman" w:hAnsi="Times New Roman" w:cs="Times New Roman"/>
          <w:color w:val="auto"/>
          <w:kern w:val="21"/>
          <w:szCs w:val="32"/>
          <w:vertAlign w:val="superscript"/>
          <w:lang w:val="en-US" w:eastAsia="zh-CN"/>
        </w:rPr>
        <w:t>2</w:t>
      </w:r>
      <w:r>
        <w:rPr>
          <w:rFonts w:hint="default" w:ascii="Times New Roman" w:hAnsi="Times New Roman" w:cs="Times New Roman"/>
          <w:color w:val="auto"/>
          <w:kern w:val="21"/>
          <w:szCs w:val="32"/>
        </w:rPr>
        <w:t>，采用</w:t>
      </w:r>
      <w:r>
        <w:rPr>
          <w:rFonts w:hint="default" w:ascii="Times New Roman" w:hAnsi="Times New Roman" w:cs="Times New Roman"/>
          <w:color w:val="auto"/>
          <w:kern w:val="21"/>
          <w:szCs w:val="32"/>
          <w:lang w:eastAsia="zh-CN"/>
        </w:rPr>
        <w:t>“破碎</w:t>
      </w:r>
      <w:r>
        <w:rPr>
          <w:rFonts w:hint="default" w:ascii="Times New Roman" w:hAnsi="Times New Roman" w:cs="Times New Roman"/>
          <w:color w:val="auto"/>
          <w:kern w:val="21"/>
          <w:szCs w:val="32"/>
          <w:lang w:val="en-US" w:eastAsia="zh-CN"/>
        </w:rPr>
        <w:t>-</w:t>
      </w:r>
      <w:r>
        <w:rPr>
          <w:rFonts w:hint="default" w:ascii="Times New Roman" w:hAnsi="Times New Roman" w:cs="Times New Roman"/>
          <w:color w:val="auto"/>
          <w:kern w:val="21"/>
          <w:szCs w:val="32"/>
          <w:lang w:eastAsia="zh-CN"/>
        </w:rPr>
        <w:t>球磨</w:t>
      </w:r>
      <w:r>
        <w:rPr>
          <w:rFonts w:hint="default" w:ascii="Times New Roman" w:hAnsi="Times New Roman" w:cs="Times New Roman"/>
          <w:color w:val="auto"/>
          <w:kern w:val="21"/>
          <w:szCs w:val="32"/>
          <w:lang w:val="en-US" w:eastAsia="zh-CN"/>
        </w:rPr>
        <w:t>-旋流-浮选</w:t>
      </w:r>
      <w:r>
        <w:rPr>
          <w:rFonts w:hint="default" w:ascii="Times New Roman" w:hAnsi="Times New Roman" w:cs="Times New Roman"/>
          <w:color w:val="auto"/>
          <w:kern w:val="21"/>
          <w:szCs w:val="32"/>
          <w:lang w:eastAsia="zh-CN"/>
        </w:rPr>
        <w:t>”</w:t>
      </w:r>
      <w:r>
        <w:rPr>
          <w:rFonts w:hint="default" w:ascii="Times New Roman" w:hAnsi="Times New Roman" w:cs="Times New Roman"/>
          <w:color w:val="auto"/>
          <w:kern w:val="21"/>
          <w:szCs w:val="32"/>
        </w:rPr>
        <w:t>的生产工艺，年处理</w:t>
      </w:r>
      <w:r>
        <w:rPr>
          <w:rFonts w:hint="default" w:ascii="Times New Roman" w:hAnsi="Times New Roman" w:cs="Times New Roman"/>
          <w:color w:val="auto"/>
          <w:kern w:val="21"/>
          <w:szCs w:val="32"/>
          <w:lang w:eastAsia="zh-CN"/>
        </w:rPr>
        <w:t>曲靖</w:t>
      </w:r>
      <w:r>
        <w:rPr>
          <w:rFonts w:hint="default" w:ascii="Times New Roman" w:hAnsi="Times New Roman" w:cs="Times New Roman"/>
          <w:color w:val="auto"/>
          <w:kern w:val="21"/>
          <w:szCs w:val="32"/>
          <w:lang w:val="en-US" w:eastAsia="zh-CN"/>
        </w:rPr>
        <w:t>市</w:t>
      </w:r>
      <w:r>
        <w:rPr>
          <w:rFonts w:hint="default" w:ascii="Times New Roman" w:hAnsi="Times New Roman" w:cs="Times New Roman"/>
          <w:color w:val="auto"/>
          <w:kern w:val="21"/>
          <w:szCs w:val="32"/>
          <w:lang w:eastAsia="zh-CN"/>
        </w:rPr>
        <w:t>范围内</w:t>
      </w:r>
      <w:r>
        <w:rPr>
          <w:rFonts w:hint="default" w:ascii="Times New Roman" w:hAnsi="Times New Roman" w:cs="Times New Roman"/>
          <w:color w:val="auto"/>
          <w:kern w:val="21"/>
          <w:szCs w:val="32"/>
        </w:rPr>
        <w:t>煤矸石90万吨，</w:t>
      </w:r>
      <w:r>
        <w:rPr>
          <w:rFonts w:hint="default" w:ascii="Times New Roman" w:hAnsi="Times New Roman" w:cs="Times New Roman"/>
          <w:color w:val="auto"/>
          <w:kern w:val="21"/>
          <w:szCs w:val="32"/>
          <w:lang w:eastAsia="zh-CN"/>
        </w:rPr>
        <w:t>根据高</w:t>
      </w:r>
      <w:r>
        <w:rPr>
          <w:rFonts w:hint="default" w:ascii="Times New Roman" w:hAnsi="Times New Roman" w:cs="Times New Roman"/>
          <w:color w:val="auto"/>
          <w:kern w:val="21"/>
          <w:szCs w:val="32"/>
        </w:rPr>
        <w:t>硫（硫含量≥15%）、中硫（硫含量10%</w:t>
      </w:r>
      <w:r>
        <w:rPr>
          <w:rFonts w:hint="eastAsia" w:ascii="Times New Roman" w:hAnsi="Times New Roman" w:cs="Times New Roman"/>
          <w:color w:val="auto"/>
          <w:kern w:val="21"/>
          <w:szCs w:val="32"/>
          <w:lang w:val="en-US" w:eastAsia="zh-CN"/>
        </w:rPr>
        <w:t>~</w:t>
      </w:r>
      <w:r>
        <w:rPr>
          <w:rFonts w:hint="default" w:ascii="Times New Roman" w:hAnsi="Times New Roman" w:cs="Times New Roman"/>
          <w:color w:val="auto"/>
          <w:kern w:val="21"/>
          <w:szCs w:val="32"/>
        </w:rPr>
        <w:t>15%）、中低硫（硫含量5%</w:t>
      </w:r>
      <w:r>
        <w:rPr>
          <w:rFonts w:hint="eastAsia" w:ascii="Times New Roman" w:hAnsi="Times New Roman" w:cs="Times New Roman"/>
          <w:color w:val="auto"/>
          <w:kern w:val="21"/>
          <w:szCs w:val="32"/>
          <w:lang w:val="en-US" w:eastAsia="zh-CN"/>
        </w:rPr>
        <w:t>~</w:t>
      </w:r>
      <w:r>
        <w:rPr>
          <w:rFonts w:hint="default" w:ascii="Times New Roman" w:hAnsi="Times New Roman" w:cs="Times New Roman"/>
          <w:color w:val="auto"/>
          <w:kern w:val="21"/>
          <w:szCs w:val="32"/>
        </w:rPr>
        <w:t>10%）三类不同硫分煤矸石分选工况</w:t>
      </w:r>
      <w:r>
        <w:rPr>
          <w:rFonts w:hint="default" w:ascii="Times New Roman" w:hAnsi="Times New Roman" w:cs="Times New Roman"/>
          <w:color w:val="auto"/>
          <w:kern w:val="21"/>
          <w:szCs w:val="32"/>
          <w:lang w:eastAsia="zh-CN"/>
        </w:rPr>
        <w:t>，</w:t>
      </w:r>
      <w:r>
        <w:rPr>
          <w:rFonts w:hint="default" w:ascii="Times New Roman" w:hAnsi="Times New Roman" w:cs="Times New Roman"/>
          <w:color w:val="auto"/>
          <w:kern w:val="21"/>
          <w:szCs w:val="32"/>
        </w:rPr>
        <w:t>产出</w:t>
      </w:r>
      <w:r>
        <w:rPr>
          <w:rFonts w:hint="default" w:ascii="Times New Roman" w:hAnsi="Times New Roman" w:cs="Times New Roman"/>
          <w:color w:val="auto"/>
          <w:kern w:val="21"/>
          <w:szCs w:val="32"/>
          <w:lang w:eastAsia="zh-CN"/>
        </w:rPr>
        <w:t>不同比例的</w:t>
      </w:r>
      <w:r>
        <w:rPr>
          <w:rFonts w:hint="default" w:ascii="Times New Roman" w:hAnsi="Times New Roman" w:cs="Times New Roman"/>
          <w:color w:val="auto"/>
          <w:kern w:val="21"/>
          <w:szCs w:val="32"/>
        </w:rPr>
        <w:t>三类产品：低卡动力煤、硫/钛精砂（主要成分为硫铁矿、钛铁矿）、</w:t>
      </w:r>
      <w:bookmarkStart w:id="0" w:name="OLE_LINK37"/>
      <w:r>
        <w:rPr>
          <w:rFonts w:hint="default" w:ascii="Times New Roman" w:hAnsi="Times New Roman" w:cs="Times New Roman"/>
          <w:color w:val="auto"/>
          <w:kern w:val="21"/>
          <w:szCs w:val="32"/>
        </w:rPr>
        <w:t>煤系硅铝质分选料</w:t>
      </w:r>
      <w:bookmarkEnd w:id="0"/>
      <w:r>
        <w:rPr>
          <w:rFonts w:hint="default" w:ascii="Times New Roman" w:hAnsi="Times New Roman" w:cs="Times New Roman"/>
          <w:color w:val="auto"/>
          <w:kern w:val="21"/>
          <w:szCs w:val="32"/>
        </w:rPr>
        <w:t>（作为有机肥基质、土壤改良剂、建筑填充骨料等多途径资源化利用）</w:t>
      </w:r>
      <w:r>
        <w:rPr>
          <w:rFonts w:hint="default" w:ascii="Times New Roman" w:hAnsi="Times New Roman" w:cs="Times New Roman"/>
          <w:color w:val="auto"/>
          <w:kern w:val="21"/>
          <w:szCs w:val="32"/>
          <w:lang w:eastAsia="zh-CN"/>
        </w:rPr>
        <w:t>，</w:t>
      </w:r>
      <w:r>
        <w:rPr>
          <w:rFonts w:hint="default" w:ascii="Times New Roman" w:hAnsi="Times New Roman" w:cs="Times New Roman"/>
          <w:color w:val="auto"/>
          <w:kern w:val="21"/>
          <w:szCs w:val="32"/>
        </w:rPr>
        <w:t>项目仅完成分选作业，不对分选产物进行深度深加工。</w:t>
      </w:r>
      <w:r>
        <w:rPr>
          <w:rFonts w:hint="default" w:ascii="Times New Roman" w:hAnsi="Times New Roman" w:cs="Times New Roman"/>
          <w:color w:val="auto"/>
          <w:kern w:val="21"/>
          <w:szCs w:val="32"/>
          <w:lang w:eastAsia="zh-CN"/>
        </w:rPr>
        <w:t>项目所用煤矸石全部用于本项目洗选分选工艺处理，不得采取填埋等其他途径处置，严禁购入其他金属、非金属矿产作为生产原料；项目全部分选产物均对外销售实现资源化利用，不得采取填埋等其他途径处置。</w:t>
      </w:r>
      <w:r>
        <w:rPr>
          <w:rFonts w:hint="default" w:ascii="Times New Roman" w:hAnsi="Times New Roman" w:cs="Times New Roman"/>
          <w:color w:val="auto"/>
          <w:kern w:val="21"/>
          <w:szCs w:val="32"/>
        </w:rPr>
        <w:t>项目总投资6000万元，其中环保投资158万元。</w:t>
      </w:r>
    </w:p>
    <w:p w14:paraId="17A23015">
      <w:pPr>
        <w:pStyle w:val="7"/>
        <w:keepNext w:val="0"/>
        <w:keepLines w:val="0"/>
        <w:pageBreakBefore w:val="0"/>
        <w:widowControl w:val="0"/>
        <w:numPr>
          <w:ilvl w:val="0"/>
          <w:numId w:val="0"/>
        </w:numPr>
        <w:kinsoku/>
        <w:wordWrap w:val="0"/>
        <w:overflowPunct/>
        <w:topLinePunct w:val="0"/>
        <w:autoSpaceDE/>
        <w:autoSpaceDN/>
        <w:bidi w:val="0"/>
        <w:adjustRightInd/>
        <w:snapToGrid/>
        <w:spacing w:after="0" w:line="560" w:lineRule="exact"/>
        <w:ind w:leftChars="0" w:firstLine="632" w:firstLineChars="200"/>
        <w:jc w:val="both"/>
        <w:textAlignment w:val="auto"/>
        <w:outlineLvl w:val="9"/>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rPr>
        <w:t>根据《报告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》评价结论，项目不涉及</w:t>
      </w:r>
      <w:r>
        <w:rPr>
          <w:rFonts w:hint="default" w:ascii="Times New Roman" w:hAnsi="Times New Roman" w:eastAsia="方正仿宋_GBK" w:cs="Times New Roman"/>
          <w:color w:val="auto"/>
          <w:kern w:val="21"/>
          <w:sz w:val="32"/>
          <w:szCs w:val="32"/>
          <w:lang w:eastAsia="zh-CN"/>
        </w:rPr>
        <w:t>占用</w:t>
      </w:r>
      <w:r>
        <w:rPr>
          <w:rFonts w:hint="default" w:ascii="Times New Roman" w:hAnsi="Times New Roman" w:eastAsia="方正仿宋_GBK" w:cs="Times New Roman"/>
          <w:color w:val="auto"/>
          <w:kern w:val="21"/>
          <w:sz w:val="32"/>
          <w:szCs w:val="32"/>
        </w:rPr>
        <w:t>依法设立的自然保护区、风景名胜区、</w:t>
      </w:r>
      <w:r>
        <w:rPr>
          <w:rFonts w:hint="default" w:ascii="Times New Roman" w:hAnsi="Times New Roman" w:eastAsia="方正仿宋_GBK" w:cs="Times New Roman"/>
          <w:color w:val="auto"/>
          <w:kern w:val="21"/>
          <w:sz w:val="32"/>
          <w:szCs w:val="32"/>
          <w:lang w:eastAsia="zh-CN"/>
        </w:rPr>
        <w:t>国家公园、</w:t>
      </w:r>
      <w:r>
        <w:rPr>
          <w:rFonts w:hint="default" w:ascii="Times New Roman" w:hAnsi="Times New Roman" w:eastAsia="方正仿宋_GBK" w:cs="Times New Roman"/>
          <w:b w:val="0"/>
          <w:bCs w:val="0"/>
          <w:color w:val="auto"/>
          <w:kern w:val="21"/>
          <w:sz w:val="32"/>
          <w:szCs w:val="32"/>
        </w:rPr>
        <w:t>饮用水水源保护区</w:t>
      </w:r>
      <w:r>
        <w:rPr>
          <w:rFonts w:hint="eastAsia" w:eastAsia="方正仿宋_GBK" w:cs="Times New Roman"/>
          <w:b w:val="0"/>
          <w:bCs w:val="0"/>
          <w:color w:val="auto"/>
          <w:kern w:val="21"/>
          <w:sz w:val="32"/>
          <w:szCs w:val="32"/>
          <w:lang w:eastAsia="zh-CN"/>
        </w:rPr>
        <w:t>、生态保护红线</w:t>
      </w:r>
      <w:r>
        <w:rPr>
          <w:rFonts w:hint="default" w:ascii="Times New Roman" w:hAnsi="Times New Roman" w:eastAsia="方正仿宋_GBK" w:cs="Times New Roman"/>
          <w:color w:val="auto"/>
          <w:kern w:val="21"/>
          <w:sz w:val="32"/>
          <w:szCs w:val="32"/>
          <w:lang w:val="en-US" w:eastAsia="zh-CN"/>
        </w:rPr>
        <w:t>等环境敏感区</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rPr>
        <w:t>符合国家产业政策</w:t>
      </w:r>
      <w:r>
        <w:rPr>
          <w:rFonts w:hint="default" w:ascii="Times New Roman" w:hAnsi="Times New Roman" w:eastAsia="方正仿宋_GBK" w:cs="Times New Roman"/>
          <w:b w:val="0"/>
          <w:bCs/>
          <w:color w:val="auto"/>
          <w:kern w:val="21"/>
          <w:sz w:val="32"/>
          <w:szCs w:val="32"/>
          <w:lang w:eastAsia="zh-CN"/>
        </w:rPr>
        <w:t>及生态环境分区管控要求</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rPr>
        <w:t>在全面落实《报告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》提出的各项生态保护和污染防治措施的前提下，项目建设对环境的不利影响可以降低或得到有效控制，</w:t>
      </w:r>
      <w:r>
        <w:rPr>
          <w:rFonts w:hint="eastAsia"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原则同意你</w:t>
      </w:r>
      <w:r>
        <w:rPr>
          <w:rFonts w:hint="default" w:ascii="Times New Roman" w:hAnsi="Times New Roman" w:eastAsia="方正仿宋_GBK" w:cs="Times New Roman"/>
          <w:bCs/>
          <w:color w:val="auto"/>
          <w:kern w:val="21"/>
          <w:sz w:val="32"/>
          <w:szCs w:val="32"/>
          <w:lang w:eastAsia="zh-CN"/>
        </w:rPr>
        <w:t>公司</w:t>
      </w:r>
      <w:r>
        <w:rPr>
          <w:rFonts w:hint="default" w:ascii="Times New Roman" w:hAnsi="Times New Roman" w:eastAsia="方正仿宋_GBK" w:cs="Times New Roman"/>
          <w:color w:val="auto"/>
          <w:kern w:val="21"/>
          <w:sz w:val="32"/>
          <w:szCs w:val="32"/>
        </w:rPr>
        <w:t>按《报告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》中所列建设项目的地点、性质、规模</w:t>
      </w:r>
      <w:r>
        <w:rPr>
          <w:rFonts w:hint="eastAsia" w:eastAsia="方正仿宋_GBK" w:cs="Times New Roman"/>
          <w:color w:val="auto"/>
          <w:kern w:val="21"/>
          <w:sz w:val="32"/>
          <w:szCs w:val="32"/>
          <w:lang w:eastAsia="zh-CN"/>
        </w:rPr>
        <w:t>、生产工艺</w:t>
      </w:r>
      <w:r>
        <w:rPr>
          <w:rFonts w:hint="default" w:ascii="Times New Roman" w:hAnsi="Times New Roman" w:eastAsia="方正仿宋_GBK" w:cs="Times New Roman"/>
          <w:color w:val="auto"/>
          <w:kern w:val="21"/>
          <w:sz w:val="32"/>
          <w:szCs w:val="32"/>
        </w:rPr>
        <w:t>和拟采取的环境保护措施建设</w:t>
      </w:r>
      <w:r>
        <w:rPr>
          <w:rFonts w:hint="default" w:ascii="Times New Roman" w:hAnsi="Times New Roman" w:eastAsia="方正仿宋_GBK" w:cs="Times New Roman"/>
          <w:color w:val="auto"/>
          <w:kern w:val="21"/>
          <w:sz w:val="32"/>
          <w:szCs w:val="32"/>
          <w:lang w:eastAsia="zh-CN"/>
        </w:rPr>
        <w:t>。</w:t>
      </w:r>
    </w:p>
    <w:p w14:paraId="6BA36DD4">
      <w:pPr>
        <w:keepNext w:val="0"/>
        <w:keepLines w:val="0"/>
        <w:pageBreakBefore w:val="0"/>
        <w:widowControl w:val="0"/>
        <w:kinsoku/>
        <w:wordWrap w:val="0"/>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二</w:t>
      </w:r>
      <w:r>
        <w:rPr>
          <w:rFonts w:hint="default" w:ascii="Times New Roman" w:hAnsi="Times New Roman" w:eastAsia="方正仿宋_GBK" w:cs="Times New Roman"/>
          <w:color w:val="auto"/>
          <w:kern w:val="21"/>
          <w:sz w:val="32"/>
          <w:szCs w:val="32"/>
        </w:rPr>
        <w:t>、项目建设</w:t>
      </w:r>
      <w:r>
        <w:rPr>
          <w:rFonts w:hint="default" w:ascii="Times New Roman" w:hAnsi="Times New Roman" w:eastAsia="方正仿宋_GBK" w:cs="Times New Roman"/>
          <w:color w:val="auto"/>
          <w:kern w:val="21"/>
          <w:sz w:val="32"/>
          <w:szCs w:val="32"/>
          <w:lang w:val="en-US" w:eastAsia="zh-CN"/>
        </w:rPr>
        <w:t>和运营</w:t>
      </w:r>
      <w:r>
        <w:rPr>
          <w:rFonts w:hint="default" w:ascii="Times New Roman" w:hAnsi="Times New Roman" w:eastAsia="方正仿宋_GBK" w:cs="Times New Roman"/>
          <w:color w:val="auto"/>
          <w:kern w:val="21"/>
          <w:sz w:val="32"/>
          <w:szCs w:val="32"/>
        </w:rPr>
        <w:t>过程中须严格按照《报告表》的要求落实各项污染防治措施，同时应重点做好以下工作</w:t>
      </w:r>
      <w:r>
        <w:rPr>
          <w:rFonts w:hint="eastAsia" w:cs="Times New Roman"/>
          <w:color w:val="auto"/>
          <w:kern w:val="21"/>
          <w:sz w:val="32"/>
          <w:szCs w:val="32"/>
          <w:lang w:eastAsia="zh-CN"/>
        </w:rPr>
        <w:t>。</w:t>
      </w:r>
    </w:p>
    <w:p w14:paraId="109B5CE6">
      <w:pPr>
        <w:keepNext w:val="0"/>
        <w:keepLines w:val="0"/>
        <w:pageBreakBefore w:val="0"/>
        <w:widowControl w:val="0"/>
        <w:suppressLineNumbers w:val="0"/>
        <w:kinsoku/>
        <w:wordWrap w:val="0"/>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（一）加强施工期环境管理。</w:t>
      </w:r>
      <w:r>
        <w:rPr>
          <w:rFonts w:hint="default" w:ascii="Times New Roman" w:hAnsi="Times New Roman" w:eastAsia="方正仿宋_GBK" w:cs="Times New Roman"/>
          <w:color w:val="auto"/>
          <w:kern w:val="21"/>
          <w:sz w:val="32"/>
          <w:lang w:val="en-US" w:eastAsia="zh-CN"/>
        </w:rPr>
        <w:t>采用洒水抑尘、物料遮盖、施工场地四周设置围挡、车辆密闭运输、运输车辆冲洗后出场等防尘措施，减少扬尘对周围环境的污染。施工期设置临时沉淀池，施工废水经沉淀池沉淀处理后用于施工场地洒水抑尘；施工期优先建设截流沟，地面冲刷雨水由截流沟汇至施工场简易沉淀池沉淀后可回用于施工或晴天洒水降尘。加强施工管理、规范操作、合理布置施工现场及施工时间，对施工动力机械设备定期进行维修和养护，确保施工场界噪声排放达到《建筑施工噪声排放标准》（GB12523-2025）。项目施工过程开挖土石方用于场地平整及厂区围墙建设，可实现土石方平衡；拆除的钢架结构可利用部分可再次利用，不可再利用部分按照各自分类分别妥善处置；建筑垃圾由建设单位统一收集后，可回收部分回收利用，不可回收部分及时清运至当地政府部门指定建筑垃圾堆放点；施工人员生活垃圾经垃圾桶收集后清运至附近垃圾收集点，由环卫部门统一清运处置。</w:t>
      </w:r>
    </w:p>
    <w:p w14:paraId="32333A9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（二）严格落实水环境保护措施。</w:t>
      </w:r>
      <w:r>
        <w:rPr>
          <w:rFonts w:hint="default" w:ascii="Times New Roman" w:hAnsi="Times New Roman" w:eastAsia="方正仿宋_GBK" w:cs="Times New Roman"/>
          <w:color w:val="auto"/>
          <w:kern w:val="21"/>
          <w:sz w:val="32"/>
          <w:lang w:val="en-US" w:eastAsia="zh-CN"/>
        </w:rPr>
        <w:t>实行雨污分流排水体制，厂界设置截排水沟，阻止项目区外雨水进入项目区内，车间顶上设置集雨槽和排水管道，初期雨水经雨水槽、管排入初期雨水收集池；设置容积为1000m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初期雨水收集池，配套雨水收集沟、弃流装置及雨水排放口，初期雨水经收集沉淀处理后回用于煤矸石洗选过程，后期洁净雨水通过雨水排放口外排。设置处理工艺为“浓缩+压滤”的洗选废水处理设施，设置2个容积为400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浓缩池，配套建设污水收集管道、回用管道及水泵等，洗选废水经絮凝浓缩后排入1000m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的污水池-沉淀池中沉淀处理后全部回用于煤矸石洗选，不外排。设置1个容积为1700m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应急事故池，用于事故状态下洗选废水的收集和暂存，防止洗选废水事故排放。产品堆场四周设置截流沟，堆场淋滤水经截流沟收集后排入浓缩池絮凝沉淀处理后全部回用于煤矸石洗选，不外排。员工生活污水依托厂区外西侧现有房屋厕所及化粪池，定期清掏用于周边农田施肥；盥洗废水排入污水池-沉淀池中沉淀处理后排入清水池，回用于煤矸石洗选，不外排。厂区出入口设置车辆自动冲洗装置，配套建设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的清水池向车辆冲洗装置供水，洗车废水经5m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的洗车废水收集池收集引入洗选废水处理设施处理后回用于煤矸石洗选，不外排。</w:t>
      </w:r>
    </w:p>
    <w:p w14:paraId="66859A0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eastAsia="方正仿宋_GBK" w:cs="Times New Roman"/>
          <w:color w:val="auto"/>
          <w:kern w:val="21"/>
          <w:sz w:val="32"/>
          <w:lang w:val="en-US" w:eastAsia="zh-CN"/>
        </w:rPr>
        <w:t>（三）</w:t>
      </w:r>
      <w:r>
        <w:rPr>
          <w:rFonts w:hint="eastAsia" w:ascii="Times New Roman" w:hAnsi="Times New Roman" w:eastAsia="方正仿宋_GBK" w:cs="Times New Roman"/>
          <w:color w:val="auto"/>
          <w:kern w:val="21"/>
          <w:sz w:val="32"/>
          <w:lang w:val="en-US" w:eastAsia="zh-CN"/>
        </w:rPr>
        <w:t>认真</w:t>
      </w:r>
      <w:r>
        <w:rPr>
          <w:rFonts w:hint="default" w:ascii="Times New Roman" w:hAnsi="Times New Roman" w:eastAsia="方正仿宋_GBK" w:cs="Times New Roman"/>
          <w:color w:val="auto"/>
          <w:kern w:val="21"/>
          <w:sz w:val="32"/>
          <w:lang w:val="zh-CN" w:eastAsia="zh-CN"/>
        </w:rPr>
        <w:t>落实分区防控措施。</w:t>
      </w:r>
      <w:r>
        <w:rPr>
          <w:rFonts w:hint="default" w:ascii="Times New Roman" w:hAnsi="Times New Roman" w:eastAsia="方正仿宋_GBK" w:cs="Times New Roman"/>
          <w:color w:val="auto"/>
          <w:kern w:val="21"/>
          <w:sz w:val="32"/>
          <w:lang w:val="en-US" w:eastAsia="zh-CN"/>
        </w:rPr>
        <w:t>危险废物贮存库、柴油罐采为重点防渗区，防渗层按等效黏土防渗层厚度≥6m，渗透系数≤1.0×10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的黏土层的防渗性能，或参照《危险废物贮存污染控制标准》（GB18597-2023）执行；浓缩池、污水池-沉淀池、清水池、应急事故池、初期雨水收集池、洗车废水收集池等为一般防渗区，防渗层按等效黏土防渗层厚度≥1.5m，渗透系数≤1×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cm/s或参照《生活垃圾填埋场污染控制标准》（GB16889-2024）要求执行；其他区域为简单防渗区，进行一般地面硬化防渗。</w:t>
      </w:r>
    </w:p>
    <w:p w14:paraId="20A62A9B">
      <w:pPr>
        <w:keepNext w:val="0"/>
        <w:keepLines w:val="0"/>
        <w:pageBreakBefore w:val="0"/>
        <w:widowControl w:val="0"/>
        <w:kinsoku/>
        <w:wordWrap w:val="0"/>
        <w:overflowPunct/>
        <w:topLinePunct w:val="0"/>
        <w:autoSpaceDE/>
        <w:autoSpaceDN/>
        <w:bidi w:val="0"/>
        <w:adjustRightInd/>
        <w:snapToGrid/>
        <w:spacing w:line="560" w:lineRule="exact"/>
        <w:ind w:firstLine="632" w:firstLineChars="200"/>
        <w:jc w:val="both"/>
        <w:textAlignment w:val="auto"/>
        <w:rPr>
          <w:rFonts w:hint="eastAsia" w:eastAsia="方正仿宋_GBK" w:cs="Times New Roman"/>
          <w:color w:val="auto"/>
          <w:kern w:val="21"/>
          <w:sz w:val="32"/>
          <w:szCs w:val="32"/>
          <w:highlight w:val="none"/>
          <w:lang w:val="en-US" w:eastAsia="zh-CN"/>
        </w:rPr>
      </w:pP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lang w:val="en-US" w:eastAsia="zh-CN"/>
        </w:rPr>
        <w:t>四</w:t>
      </w: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rPr>
        <w:t>落实大气污染防治措施。</w:t>
      </w:r>
      <w:r>
        <w:rPr>
          <w:rFonts w:hint="eastAsia" w:eastAsia="方正仿宋_GBK" w:cs="Times New Roman"/>
          <w:color w:val="auto"/>
          <w:kern w:val="21"/>
          <w:sz w:val="32"/>
          <w:szCs w:val="32"/>
          <w:highlight w:val="none"/>
          <w:lang w:val="en-US" w:eastAsia="zh-CN"/>
        </w:rPr>
        <w:t>1.煤矸石洗选生产线废气：煤矸石洗选车间为封闭式生产车间（仅留车辆出入口），内设有煤矸石原料堆场、产品堆场、生产区；生产车间顶部设置喷雾抑尘系统；物料输送过程均在生产车间内进行，采用封闭式输送皮带运输物料；破碎机上料口、出料口粉尘分别经集气罩收集后统一通过1套布袋除尘器处理后经1根18.5m高排气筒（DA001）达标排放。2.项目所有原料运输车辆密闭运输（车辆顶部遮盖篷布），出入口处设置车辆冲洗平台。通过以上措施，确保破碎工序颗粒物有组织排放浓度满足《煤炭工业污染物排放标准》（GB20426-2006）表4要求；厂界无组织颗粒物排放浓度满足《煤炭工业污染物排放标准》（GB20426-2006）表5要求。</w:t>
      </w:r>
    </w:p>
    <w:p w14:paraId="03BD627B">
      <w:pPr>
        <w:keepNext w:val="0"/>
        <w:keepLines w:val="0"/>
        <w:pageBreakBefore w:val="0"/>
        <w:widowControl w:val="0"/>
        <w:kinsoku/>
        <w:wordWrap w:val="0"/>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方正仿宋_GBK" w:cs="Times New Roman"/>
          <w:color w:val="auto"/>
          <w:kern w:val="21"/>
          <w:sz w:val="32"/>
        </w:rPr>
      </w:pPr>
      <w:r>
        <w:rPr>
          <w:rFonts w:hint="eastAsia" w:ascii="Times New Roman" w:hAnsi="Times New Roman" w:eastAsia="方正仿宋_GBK" w:cs="Times New Roman"/>
          <w:color w:val="auto"/>
          <w:kern w:val="21"/>
          <w:sz w:val="32"/>
        </w:rPr>
        <w:t>（</w:t>
      </w:r>
      <w:r>
        <w:rPr>
          <w:rFonts w:hint="eastAsia" w:ascii="Times New Roman" w:hAnsi="Times New Roman" w:eastAsia="方正仿宋_GBK" w:cs="Times New Roman"/>
          <w:color w:val="auto"/>
          <w:kern w:val="21"/>
          <w:sz w:val="32"/>
          <w:lang w:val="en-US" w:eastAsia="zh-CN"/>
        </w:rPr>
        <w:t>五</w:t>
      </w:r>
      <w:r>
        <w:rPr>
          <w:rFonts w:hint="eastAsia" w:ascii="Times New Roman" w:hAnsi="Times New Roman" w:eastAsia="方正仿宋_GBK" w:cs="Times New Roman"/>
          <w:color w:val="auto"/>
          <w:kern w:val="21"/>
          <w:sz w:val="32"/>
        </w:rPr>
        <w:t>）落实固体废物的贮存、处理和处置措施。</w:t>
      </w:r>
      <w:r>
        <w:rPr>
          <w:rFonts w:hint="default" w:ascii="Times New Roman" w:hAnsi="Times New Roman" w:eastAsia="方正仿宋_GBK" w:cs="Times New Roman"/>
          <w:color w:val="auto"/>
          <w:kern w:val="21"/>
          <w:sz w:val="32"/>
        </w:rPr>
        <w:t>项目煤矸石洗选生产线产生的产品（低卡动力煤、硫/钛精砂、煤系硅铝质分选料）全部外售利用或外售下游企业深加工，若下游企业无法消纳洗选产生的产品，则煤矸石洗选生产线须立即停止生产，确保煤矸石和洗选产生的产品全部综合利用，并规范建立煤矸石、产品管理台账。布袋收尘灰、车间沉降粉尘收集于产品堆场，随煤系硅铝质分选料产品一同外售；车辆冲洗废水收集池、初期雨水收集池、污水-沉淀池、浓缩池污泥压滤后随煤系硅铝质分选料一同外售。规范设置10m</w:t>
      </w:r>
      <w:r>
        <w:rPr>
          <w:rFonts w:hint="default" w:ascii="Times New Roman" w:hAnsi="Times New Roman" w:eastAsia="方正仿宋_GBK" w:cs="Times New Roman"/>
          <w:color w:val="auto"/>
          <w:kern w:val="21"/>
          <w:sz w:val="32"/>
          <w:vertAlign w:val="superscript"/>
        </w:rPr>
        <w:t>2</w:t>
      </w:r>
      <w:r>
        <w:rPr>
          <w:rFonts w:hint="default" w:ascii="Times New Roman" w:hAnsi="Times New Roman" w:eastAsia="方正仿宋_GBK" w:cs="Times New Roman"/>
          <w:color w:val="auto"/>
          <w:kern w:val="21"/>
          <w:sz w:val="32"/>
        </w:rPr>
        <w:t>的危险废物贮存库，规范设置标识标牌，废矿物油（废润滑油、废液压油）经专用容器收集于危险废物贮存库，委托有资质单位定期清运处置，收集、暂存及转运过程中的管理应严格按照《危险废物贮存污染控制标准》（GB18597-2023）和《危险废物转移管理办法》等规定执行，并做好台账记录。</w:t>
      </w:r>
    </w:p>
    <w:p w14:paraId="7D380ADA">
      <w:pPr>
        <w:keepNext w:val="0"/>
        <w:keepLines w:val="0"/>
        <w:pageBreakBefore w:val="0"/>
        <w:widowControl w:val="0"/>
        <w:kinsoku/>
        <w:wordWrap w:val="0"/>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szCs w:val="24"/>
          <w:lang w:val="en-US" w:eastAsia="zh-CN" w:bidi="ar-SA"/>
        </w:rPr>
        <w:t>（六）落实噪声污染防治</w:t>
      </w:r>
      <w:r>
        <w:rPr>
          <w:rFonts w:hint="eastAsia" w:ascii="Times New Roman" w:hAnsi="Times New Roman" w:eastAsia="方正仿宋_GBK" w:cs="Times New Roman"/>
          <w:color w:val="auto"/>
          <w:kern w:val="21"/>
          <w:sz w:val="32"/>
          <w:lang w:val="en-US" w:eastAsia="zh-CN"/>
        </w:rPr>
        <w:t>措施。选用低噪声设备，将各产噪设备设置在生产车间及设备房内，采取基础减振、厂房隔声等降噪措施，确保厂界噪声达到《工业企业厂界环境噪声排放标准》（GB12348-2008）2类标准，确保区域声环境质量达到《声环境质量标准》2类区标准。</w:t>
      </w:r>
    </w:p>
    <w:p w14:paraId="763FC080">
      <w:pPr>
        <w:keepNext w:val="0"/>
        <w:keepLines w:val="0"/>
        <w:pageBreakBefore w:val="0"/>
        <w:widowControl w:val="0"/>
        <w:kinsoku/>
        <w:wordWrap w:val="0"/>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32"/>
        </w:rPr>
        <w:t>（</w:t>
      </w:r>
      <w:r>
        <w:rPr>
          <w:rFonts w:hint="eastAsia" w:ascii="Times New Roman" w:hAnsi="Times New Roman" w:eastAsia="方正仿宋_GBK" w:cs="Times New Roman"/>
          <w:color w:val="auto"/>
          <w:kern w:val="21"/>
          <w:sz w:val="32"/>
          <w:szCs w:val="32"/>
          <w:lang w:val="en-US" w:eastAsia="zh-CN"/>
        </w:rPr>
        <w:t>七</w:t>
      </w:r>
      <w:r>
        <w:rPr>
          <w:rFonts w:hint="eastAsia" w:ascii="Times New Roman" w:hAnsi="Times New Roman" w:eastAsia="方正仿宋_GBK" w:cs="Times New Roman"/>
          <w:color w:val="auto"/>
          <w:kern w:val="21"/>
          <w:sz w:val="32"/>
          <w:szCs w:val="32"/>
        </w:rPr>
        <w:t>）加强应急处置。</w:t>
      </w:r>
      <w:r>
        <w:rPr>
          <w:rFonts w:hint="default" w:ascii="Times New Roman" w:hAnsi="Times New Roman" w:eastAsia="方正仿宋_GBK" w:cs="Times New Roman"/>
          <w:color w:val="auto"/>
          <w:kern w:val="21"/>
          <w:sz w:val="32"/>
          <w:szCs w:val="32"/>
        </w:rPr>
        <w:t>制定和完善环境风险及突发环境事件应急预案，并报市生态环境局富源分局备案。按照“预防为主”的原则，做好日常环境管理工作，认真落实环境风险事故防范措施及应急措施。</w:t>
      </w:r>
    </w:p>
    <w:p w14:paraId="3BC76D3E">
      <w:pPr>
        <w:pStyle w:val="7"/>
        <w:keepNext w:val="0"/>
        <w:keepLines w:val="0"/>
        <w:pageBreakBefore w:val="0"/>
        <w:widowControl w:val="0"/>
        <w:kinsoku/>
        <w:wordWrap w:val="0"/>
        <w:overflowPunct/>
        <w:topLinePunct w:val="0"/>
        <w:autoSpaceDE/>
        <w:autoSpaceDN/>
        <w:bidi w:val="0"/>
        <w:adjustRightInd/>
        <w:snapToGrid/>
        <w:spacing w:after="0" w:line="560" w:lineRule="exact"/>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三</w:t>
      </w:r>
      <w:r>
        <w:rPr>
          <w:rFonts w:hint="default" w:ascii="Times New Roman" w:hAnsi="Times New Roman" w:eastAsia="方正仿宋_GBK" w:cs="Times New Roman"/>
          <w:color w:val="auto"/>
          <w:kern w:val="21"/>
          <w:sz w:val="32"/>
          <w:szCs w:val="32"/>
        </w:rPr>
        <w:t>、严格按照《报告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》确定的监测点位、监测项目及监测频次开展监测工作</w:t>
      </w:r>
      <w:r>
        <w:rPr>
          <w:rFonts w:hint="default" w:ascii="Times New Roman" w:hAnsi="Times New Roman" w:eastAsia="方正仿宋_GBK" w:cs="Times New Roman"/>
          <w:color w:val="auto"/>
          <w:kern w:val="21"/>
          <w:sz w:val="32"/>
          <w:szCs w:val="32"/>
          <w:lang w:eastAsia="zh-CN"/>
        </w:rPr>
        <w:t>。</w:t>
      </w:r>
    </w:p>
    <w:p w14:paraId="27D3C3BB">
      <w:pPr>
        <w:pStyle w:val="7"/>
        <w:keepNext w:val="0"/>
        <w:keepLines w:val="0"/>
        <w:pageBreakBefore w:val="0"/>
        <w:widowControl w:val="0"/>
        <w:kinsoku/>
        <w:wordWrap w:val="0"/>
        <w:overflowPunct/>
        <w:topLinePunct w:val="0"/>
        <w:autoSpaceDE/>
        <w:autoSpaceDN/>
        <w:bidi w:val="0"/>
        <w:adjustRightInd/>
        <w:snapToGrid/>
        <w:spacing w:after="0" w:line="560" w:lineRule="exact"/>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四</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val="en-US" w:eastAsia="zh-CN"/>
        </w:rPr>
        <w:t>项目建设必须严格执行配套的环境保护设施与主体工程同时设计、同时施工、同时投产使用的</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三同时</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32"/>
          <w:szCs w:val="32"/>
          <w:lang w:eastAsia="zh-CN"/>
        </w:rPr>
        <w:t>项目建成后，</w:t>
      </w:r>
      <w:r>
        <w:rPr>
          <w:rFonts w:hint="default" w:ascii="Times New Roman" w:hAnsi="Times New Roman" w:eastAsia="方正仿宋_GBK" w:cs="Times New Roman"/>
          <w:color w:val="auto"/>
          <w:kern w:val="21"/>
          <w:sz w:val="32"/>
          <w:szCs w:val="32"/>
        </w:rPr>
        <w:t>你</w:t>
      </w:r>
      <w:r>
        <w:rPr>
          <w:rFonts w:hint="default" w:ascii="Times New Roman" w:hAnsi="Times New Roman" w:eastAsia="方正仿宋_GBK" w:cs="Times New Roman"/>
          <w:color w:val="auto"/>
          <w:kern w:val="21"/>
          <w:sz w:val="32"/>
          <w:szCs w:val="32"/>
          <w:lang w:eastAsia="zh-CN"/>
        </w:rPr>
        <w:t>公司</w:t>
      </w:r>
      <w:r>
        <w:rPr>
          <w:rFonts w:hint="default" w:ascii="Times New Roman" w:hAnsi="Times New Roman" w:eastAsia="方正仿宋_GBK" w:cs="Times New Roman"/>
          <w:color w:val="auto"/>
          <w:kern w:val="21"/>
          <w:sz w:val="32"/>
          <w:szCs w:val="32"/>
        </w:rPr>
        <w:t>应按照《建设项目竣工环境保护验收暂行办法》</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国环规环评〔2017〕4号</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相关要求完成竣工</w:t>
      </w:r>
      <w:r>
        <w:rPr>
          <w:rFonts w:hint="default" w:ascii="Times New Roman" w:hAnsi="Times New Roman" w:eastAsia="方正仿宋_GBK" w:cs="Times New Roman"/>
          <w:color w:val="auto"/>
          <w:kern w:val="21"/>
          <w:sz w:val="32"/>
          <w:szCs w:val="32"/>
          <w:lang w:eastAsia="zh-CN"/>
        </w:rPr>
        <w:t>环境保护</w:t>
      </w:r>
      <w:r>
        <w:rPr>
          <w:rFonts w:hint="default" w:ascii="Times New Roman" w:hAnsi="Times New Roman" w:eastAsia="方正仿宋_GBK" w:cs="Times New Roman"/>
          <w:color w:val="auto"/>
          <w:kern w:val="21"/>
          <w:sz w:val="32"/>
          <w:szCs w:val="32"/>
        </w:rPr>
        <w:t>自主验收</w:t>
      </w:r>
      <w:r>
        <w:rPr>
          <w:rFonts w:hint="eastAsia" w:cs="Times New Roman"/>
          <w:color w:val="auto"/>
          <w:kern w:val="21"/>
          <w:sz w:val="32"/>
          <w:szCs w:val="32"/>
          <w:lang w:eastAsia="zh-CN"/>
        </w:rPr>
        <w:t>，并按《排污许可管理条例》《排污许可管理办法要求》，在项目建成投产前办理排污许可相关手续</w:t>
      </w:r>
      <w:r>
        <w:rPr>
          <w:rFonts w:hint="default" w:ascii="Times New Roman" w:hAnsi="Times New Roman" w:eastAsia="方正仿宋_GBK" w:cs="Times New Roman"/>
          <w:color w:val="auto"/>
          <w:kern w:val="21"/>
          <w:sz w:val="32"/>
          <w:szCs w:val="32"/>
        </w:rPr>
        <w:t>。</w:t>
      </w:r>
    </w:p>
    <w:p w14:paraId="6CBCA45A">
      <w:pPr>
        <w:keepNext w:val="0"/>
        <w:keepLines w:val="0"/>
        <w:pageBreakBefore w:val="0"/>
        <w:widowControl w:val="0"/>
        <w:kinsoku/>
        <w:wordWrap w:val="0"/>
        <w:overflowPunct/>
        <w:topLinePunct w:val="0"/>
        <w:autoSpaceDE/>
        <w:autoSpaceDN/>
        <w:bidi w:val="0"/>
        <w:adjustRightInd/>
        <w:snapToGrid/>
        <w:spacing w:line="560" w:lineRule="exact"/>
        <w:ind w:left="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五</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32"/>
          <w:szCs w:val="32"/>
          <w:lang w:eastAsia="zh-CN"/>
        </w:rPr>
        <w:t>应向有审批权限的生态环境部门报告并按要求办理相关手续</w:t>
      </w:r>
      <w:r>
        <w:rPr>
          <w:rFonts w:hint="default" w:ascii="Times New Roman" w:hAnsi="Times New Roman" w:eastAsia="方正仿宋_GBK" w:cs="Times New Roman"/>
          <w:color w:val="auto"/>
          <w:kern w:val="21"/>
          <w:sz w:val="32"/>
          <w:szCs w:val="32"/>
        </w:rPr>
        <w:t>。项目环境影响评价文件自批准之日起超过5年，方决定开工建设的，其环境影响评价文件应报</w:t>
      </w:r>
      <w:r>
        <w:rPr>
          <w:rFonts w:hint="eastAsia" w:eastAsia="方正仿宋_GBK" w:cs="Times New Roman"/>
          <w:color w:val="auto"/>
          <w:kern w:val="21"/>
          <w:sz w:val="32"/>
          <w:szCs w:val="32"/>
          <w:lang w:val="en-US" w:eastAsia="zh-CN"/>
        </w:rPr>
        <w:t>我</w:t>
      </w:r>
      <w:r>
        <w:rPr>
          <w:rFonts w:hint="default" w:ascii="Times New Roman" w:hAnsi="Times New Roman" w:eastAsia="方正仿宋_GBK" w:cs="Times New Roman"/>
          <w:color w:val="auto"/>
          <w:kern w:val="21"/>
          <w:sz w:val="32"/>
          <w:szCs w:val="32"/>
          <w:lang w:val="en-US" w:eastAsia="zh-CN"/>
        </w:rPr>
        <w:t>局</w:t>
      </w:r>
      <w:r>
        <w:rPr>
          <w:rFonts w:hint="default" w:ascii="Times New Roman" w:hAnsi="Times New Roman" w:eastAsia="方正仿宋_GBK" w:cs="Times New Roman"/>
          <w:color w:val="auto"/>
          <w:kern w:val="21"/>
          <w:sz w:val="32"/>
          <w:szCs w:val="32"/>
        </w:rPr>
        <w:t>重新审核。</w:t>
      </w:r>
    </w:p>
    <w:p w14:paraId="133FD252">
      <w:pPr>
        <w:pStyle w:val="6"/>
        <w:keepNext w:val="0"/>
        <w:keepLines w:val="0"/>
        <w:pageBreakBefore w:val="0"/>
        <w:widowControl w:val="0"/>
        <w:kinsoku/>
        <w:wordWrap w:val="0"/>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方正仿宋_GBK" w:cs="Times New Roman"/>
          <w:color w:val="auto"/>
          <w:kern w:val="21"/>
          <w:sz w:val="32"/>
          <w:szCs w:val="32"/>
        </w:rPr>
      </w:pPr>
      <w:r>
        <w:rPr>
          <w:rFonts w:hint="eastAsia" w:eastAsia="仿宋" w:cs="Times New Roman"/>
          <w:kern w:val="21"/>
          <w:sz w:val="32"/>
          <w:szCs w:val="32"/>
          <w:lang w:eastAsia="zh-CN"/>
        </w:rPr>
        <w:t>六</w:t>
      </w:r>
      <w:r>
        <w:rPr>
          <w:rFonts w:hint="default" w:ascii="Times New Roman" w:hAnsi="Times New Roman" w:eastAsia="仿宋" w:cs="Times New Roman"/>
          <w:kern w:val="21"/>
          <w:sz w:val="32"/>
          <w:szCs w:val="32"/>
        </w:rPr>
        <w:t>、</w:t>
      </w:r>
      <w:r>
        <w:rPr>
          <w:rFonts w:hint="default" w:ascii="Times New Roman" w:hAnsi="Times New Roman" w:eastAsia="方正仿宋_GBK" w:cs="Times New Roman"/>
          <w:kern w:val="21"/>
          <w:sz w:val="32"/>
          <w:szCs w:val="32"/>
          <w:lang w:eastAsia="zh-CN"/>
        </w:rPr>
        <w:t>请市</w:t>
      </w:r>
      <w:r>
        <w:rPr>
          <w:rFonts w:hint="default" w:ascii="Times New Roman" w:hAnsi="Times New Roman" w:eastAsia="方正仿宋_GBK" w:cs="Times New Roman"/>
          <w:color w:val="auto"/>
          <w:kern w:val="21"/>
          <w:sz w:val="32"/>
          <w:szCs w:val="32"/>
          <w:lang w:eastAsia="zh-CN"/>
        </w:rPr>
        <w:t>生态环境局</w:t>
      </w:r>
      <w:r>
        <w:rPr>
          <w:rFonts w:hint="eastAsia" w:ascii="Times New Roman" w:hAnsi="Times New Roman" w:eastAsia="方正仿宋_GBK" w:cs="Times New Roman"/>
          <w:color w:val="auto"/>
          <w:kern w:val="21"/>
          <w:sz w:val="32"/>
          <w:szCs w:val="32"/>
          <w:lang w:eastAsia="zh-CN"/>
        </w:rPr>
        <w:t>富源</w:t>
      </w:r>
      <w:r>
        <w:rPr>
          <w:rFonts w:hint="default" w:ascii="Times New Roman" w:hAnsi="Times New Roman" w:eastAsia="方正仿宋_GBK" w:cs="Times New Roman"/>
          <w:color w:val="auto"/>
          <w:kern w:val="21"/>
          <w:sz w:val="32"/>
          <w:szCs w:val="32"/>
          <w:lang w:eastAsia="zh-CN"/>
        </w:rPr>
        <w:t>分局负责该项目的环境执法监察和监督管理，请市生态环境保护综合行政执法支队加强监督检查。</w:t>
      </w:r>
    </w:p>
    <w:p w14:paraId="133EDE77">
      <w:pPr>
        <w:keepNext w:val="0"/>
        <w:keepLines w:val="0"/>
        <w:pageBreakBefore w:val="0"/>
        <w:widowControl w:val="0"/>
        <w:kinsoku/>
        <w:wordWrap w:val="0"/>
        <w:overflowPunct/>
        <w:topLinePunct w:val="0"/>
        <w:autoSpaceDE/>
        <w:autoSpaceDN/>
        <w:bidi w:val="0"/>
        <w:adjustRightInd/>
        <w:snapToGrid/>
        <w:spacing w:line="596" w:lineRule="exact"/>
        <w:ind w:leftChars="1700"/>
        <w:jc w:val="center"/>
        <w:textAlignment w:val="auto"/>
        <w:rPr>
          <w:rFonts w:hint="default"/>
          <w:kern w:val="21"/>
          <w:sz w:val="32"/>
        </w:rPr>
      </w:pPr>
    </w:p>
    <w:p w14:paraId="1C4B5741">
      <w:pPr>
        <w:keepNext w:val="0"/>
        <w:keepLines w:val="0"/>
        <w:pageBreakBefore w:val="0"/>
        <w:widowControl w:val="0"/>
        <w:kinsoku/>
        <w:wordWrap w:val="0"/>
        <w:overflowPunct/>
        <w:topLinePunct w:val="0"/>
        <w:autoSpaceDE/>
        <w:autoSpaceDN/>
        <w:bidi w:val="0"/>
        <w:adjustRightInd/>
        <w:snapToGrid/>
        <w:spacing w:line="596" w:lineRule="exact"/>
        <w:ind w:leftChars="1700"/>
        <w:jc w:val="center"/>
        <w:textAlignment w:val="auto"/>
        <w:rPr>
          <w:rFonts w:hint="default"/>
          <w:kern w:val="21"/>
          <w:sz w:val="32"/>
        </w:rPr>
      </w:pPr>
    </w:p>
    <w:p w14:paraId="5E11B1C4">
      <w:pPr>
        <w:keepNext w:val="0"/>
        <w:keepLines w:val="0"/>
        <w:pageBreakBefore w:val="0"/>
        <w:widowControl w:val="0"/>
        <w:kinsoku/>
        <w:wordWrap w:val="0"/>
        <w:overflowPunct/>
        <w:topLinePunct w:val="0"/>
        <w:autoSpaceDE/>
        <w:autoSpaceDN/>
        <w:bidi w:val="0"/>
        <w:adjustRightInd/>
        <w:snapToGrid/>
        <w:spacing w:line="596" w:lineRule="exact"/>
        <w:ind w:leftChars="1700"/>
        <w:jc w:val="center"/>
        <w:textAlignment w:val="auto"/>
        <w:rPr>
          <w:rFonts w:hint="default"/>
          <w:kern w:val="21"/>
          <w:sz w:val="32"/>
        </w:rPr>
      </w:pPr>
    </w:p>
    <w:p w14:paraId="3F3C09C1">
      <w:pPr>
        <w:keepNext w:val="0"/>
        <w:keepLines w:val="0"/>
        <w:pageBreakBefore w:val="0"/>
        <w:widowControl w:val="0"/>
        <w:kinsoku/>
        <w:wordWrap w:val="0"/>
        <w:overflowPunct/>
        <w:topLinePunct w:val="0"/>
        <w:autoSpaceDE/>
        <w:autoSpaceDN/>
        <w:bidi w:val="0"/>
        <w:adjustRightInd/>
        <w:snapToGrid/>
        <w:spacing w:line="596" w:lineRule="exact"/>
        <w:ind w:leftChars="1700"/>
        <w:jc w:val="center"/>
        <w:textAlignment w:val="auto"/>
        <w:rPr>
          <w:rFonts w:hint="default"/>
          <w:kern w:val="21"/>
          <w:sz w:val="32"/>
        </w:rPr>
      </w:pPr>
      <w:bookmarkStart w:id="1" w:name="_GoBack"/>
      <w:bookmarkEnd w:id="1"/>
      <w:r>
        <w:rPr>
          <w:rFonts w:hint="default"/>
          <w:kern w:val="21"/>
          <w:sz w:val="32"/>
        </w:rPr>
        <w:t>曲靖市生态环境局</w:t>
      </w:r>
    </w:p>
    <w:p w14:paraId="76B15C9D">
      <w:pPr>
        <w:keepNext w:val="0"/>
        <w:keepLines w:val="0"/>
        <w:pageBreakBefore w:val="0"/>
        <w:widowControl w:val="0"/>
        <w:kinsoku/>
        <w:wordWrap w:val="0"/>
        <w:overflowPunct/>
        <w:topLinePunct w:val="0"/>
        <w:autoSpaceDE/>
        <w:autoSpaceDN/>
        <w:bidi w:val="0"/>
        <w:adjustRightInd/>
        <w:snapToGrid/>
        <w:spacing w:line="596" w:lineRule="exact"/>
        <w:ind w:leftChars="1700"/>
        <w:jc w:val="center"/>
        <w:textAlignment w:val="auto"/>
        <w:rPr>
          <w:rFonts w:hint="default"/>
          <w:kern w:val="21"/>
          <w:sz w:val="32"/>
        </w:rPr>
      </w:pPr>
      <w:r>
        <w:rPr>
          <w:rFonts w:hint="default"/>
          <w:kern w:val="21"/>
          <w:sz w:val="32"/>
        </w:rPr>
        <w:t>202</w:t>
      </w:r>
      <w:r>
        <w:rPr>
          <w:rFonts w:hint="eastAsia"/>
          <w:kern w:val="21"/>
          <w:sz w:val="32"/>
          <w:lang w:val="en-US" w:eastAsia="zh-CN"/>
        </w:rPr>
        <w:t>6</w:t>
      </w:r>
      <w:r>
        <w:rPr>
          <w:rFonts w:hint="default"/>
          <w:kern w:val="21"/>
          <w:sz w:val="32"/>
        </w:rPr>
        <w:t>年</w:t>
      </w:r>
      <w:r>
        <w:rPr>
          <w:rFonts w:hint="eastAsia"/>
          <w:kern w:val="21"/>
          <w:sz w:val="32"/>
          <w:lang w:val="en-US" w:eastAsia="zh-CN"/>
        </w:rPr>
        <w:t>8</w:t>
      </w:r>
      <w:r>
        <w:rPr>
          <w:rFonts w:hint="default"/>
          <w:kern w:val="21"/>
          <w:sz w:val="32"/>
        </w:rPr>
        <w:t>月</w:t>
      </w:r>
      <w:r>
        <w:rPr>
          <w:rFonts w:hint="eastAsia"/>
          <w:kern w:val="21"/>
          <w:sz w:val="32"/>
          <w:lang w:val="en-US" w:eastAsia="zh-CN"/>
        </w:rPr>
        <w:t>27</w:t>
      </w:r>
      <w:r>
        <w:rPr>
          <w:rFonts w:hint="default"/>
          <w:kern w:val="21"/>
          <w:sz w:val="32"/>
        </w:rPr>
        <w:t>日</w:t>
      </w:r>
    </w:p>
    <w:p w14:paraId="0F6F7661">
      <w:pPr>
        <w:pStyle w:val="5"/>
        <w:keepNext w:val="0"/>
        <w:keepLines w:val="0"/>
        <w:pageBreakBefore w:val="0"/>
        <w:widowControl w:val="0"/>
        <w:kinsoku/>
        <w:wordWrap w:val="0"/>
        <w:overflowPunct/>
        <w:topLinePunct w:val="0"/>
        <w:autoSpaceDE/>
        <w:autoSpaceDN/>
        <w:bidi w:val="0"/>
        <w:adjustRightInd/>
        <w:snapToGrid/>
        <w:spacing w:line="596" w:lineRule="exact"/>
        <w:ind w:firstLine="632" w:firstLineChars="200"/>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（此件公开发布）</w:t>
      </w:r>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embedRegular r:id="rId1" w:fontKey="{D2E68B54-6BA4-4F81-8772-D5A5987906EF}"/>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E118F7FC-F168-430D-A8BB-2419D9B7AD24}"/>
  </w:font>
  <w:font w:name="仿宋">
    <w:panose1 w:val="02010609060101010101"/>
    <w:charset w:val="86"/>
    <w:family w:val="modern"/>
    <w:pitch w:val="default"/>
    <w:sig w:usb0="800002BF" w:usb1="38CF7CFA" w:usb2="00000016" w:usb3="00000000" w:csb0="00040001" w:csb1="00000000"/>
    <w:embedRegular r:id="rId3" w:fontKey="{2071954F-3327-410B-B39F-D6D821FD07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1015">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997AB">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997AB">
                    <w:pPr>
                      <w:pStyle w:val="11"/>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46A98">
                          <w:pPr>
                            <w:rPr>
                              <w:rFonts w:hint="default"/>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646A98">
                    <w:pPr>
                      <w:rPr>
                        <w:rFonts w:hint="default"/>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xZTdiMzFmMzk1NWI0NTVjZThmYTdmZTAxMmVkYTE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3A46A23"/>
    <w:rsid w:val="03D648D7"/>
    <w:rsid w:val="06DE46EF"/>
    <w:rsid w:val="075F22BC"/>
    <w:rsid w:val="078B358F"/>
    <w:rsid w:val="0ABB1D60"/>
    <w:rsid w:val="0C102777"/>
    <w:rsid w:val="0E5B0345"/>
    <w:rsid w:val="117E09BE"/>
    <w:rsid w:val="14AE78FC"/>
    <w:rsid w:val="16AC25F2"/>
    <w:rsid w:val="170532D4"/>
    <w:rsid w:val="18EF4E45"/>
    <w:rsid w:val="1AB81E7E"/>
    <w:rsid w:val="1B355290"/>
    <w:rsid w:val="1BBB0703"/>
    <w:rsid w:val="1DE22839"/>
    <w:rsid w:val="1EB11053"/>
    <w:rsid w:val="1F28318C"/>
    <w:rsid w:val="1F9D178F"/>
    <w:rsid w:val="20953DFA"/>
    <w:rsid w:val="20B269A7"/>
    <w:rsid w:val="21842486"/>
    <w:rsid w:val="22177DFE"/>
    <w:rsid w:val="22C3481D"/>
    <w:rsid w:val="23057D3D"/>
    <w:rsid w:val="23ED3D54"/>
    <w:rsid w:val="23F22B88"/>
    <w:rsid w:val="271550B9"/>
    <w:rsid w:val="29FB1FF0"/>
    <w:rsid w:val="29FB4325"/>
    <w:rsid w:val="2B295702"/>
    <w:rsid w:val="2B2A646F"/>
    <w:rsid w:val="2B65243A"/>
    <w:rsid w:val="2BEB4504"/>
    <w:rsid w:val="2C27783B"/>
    <w:rsid w:val="2CFA4E04"/>
    <w:rsid w:val="2E8823C8"/>
    <w:rsid w:val="307C26FF"/>
    <w:rsid w:val="308B654F"/>
    <w:rsid w:val="30E4374E"/>
    <w:rsid w:val="31303F97"/>
    <w:rsid w:val="31D7675F"/>
    <w:rsid w:val="3227588C"/>
    <w:rsid w:val="339A10EE"/>
    <w:rsid w:val="350D601C"/>
    <w:rsid w:val="376663A8"/>
    <w:rsid w:val="391630B7"/>
    <w:rsid w:val="39F9444F"/>
    <w:rsid w:val="3AC51570"/>
    <w:rsid w:val="3B380131"/>
    <w:rsid w:val="3B95274A"/>
    <w:rsid w:val="3D272681"/>
    <w:rsid w:val="3DD23301"/>
    <w:rsid w:val="3E1D056B"/>
    <w:rsid w:val="3E75253C"/>
    <w:rsid w:val="3FB62687"/>
    <w:rsid w:val="40505535"/>
    <w:rsid w:val="44951F8B"/>
    <w:rsid w:val="44E4341C"/>
    <w:rsid w:val="45A57C5C"/>
    <w:rsid w:val="47386E65"/>
    <w:rsid w:val="47F85F3C"/>
    <w:rsid w:val="48773A0D"/>
    <w:rsid w:val="48AC74A2"/>
    <w:rsid w:val="4AC5234C"/>
    <w:rsid w:val="4B6A5CD6"/>
    <w:rsid w:val="4BB52B12"/>
    <w:rsid w:val="4FBF5D0D"/>
    <w:rsid w:val="52163191"/>
    <w:rsid w:val="52C30117"/>
    <w:rsid w:val="534D70DC"/>
    <w:rsid w:val="544D717E"/>
    <w:rsid w:val="55105C52"/>
    <w:rsid w:val="592119C7"/>
    <w:rsid w:val="59B54B90"/>
    <w:rsid w:val="5B9242D5"/>
    <w:rsid w:val="5DB86A42"/>
    <w:rsid w:val="61657094"/>
    <w:rsid w:val="617B4B44"/>
    <w:rsid w:val="618E661B"/>
    <w:rsid w:val="632C0B1A"/>
    <w:rsid w:val="649436F4"/>
    <w:rsid w:val="6551675D"/>
    <w:rsid w:val="671C704A"/>
    <w:rsid w:val="6C597C70"/>
    <w:rsid w:val="6E437CF4"/>
    <w:rsid w:val="6F4F4560"/>
    <w:rsid w:val="6F54601A"/>
    <w:rsid w:val="71D96859"/>
    <w:rsid w:val="72977142"/>
    <w:rsid w:val="735A4016"/>
    <w:rsid w:val="75AD486B"/>
    <w:rsid w:val="76F971C0"/>
    <w:rsid w:val="77D24F44"/>
    <w:rsid w:val="785C1F6E"/>
    <w:rsid w:val="78BD1D12"/>
    <w:rsid w:val="7A820227"/>
    <w:rsid w:val="7AC06B13"/>
    <w:rsid w:val="7B1320FB"/>
    <w:rsid w:val="7B5E799F"/>
    <w:rsid w:val="7BCE0222"/>
    <w:rsid w:val="7D8349B7"/>
    <w:rsid w:val="7E481FBB"/>
    <w:rsid w:val="7F7676A4"/>
    <w:rsid w:val="7FC424CD"/>
    <w:rsid w:val="7FD6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3">
    <w:name w:val="annotation text"/>
    <w:basedOn w:val="1"/>
    <w:link w:val="24"/>
    <w:semiHidden/>
    <w:unhideWhenUsed/>
    <w:qFormat/>
    <w:uiPriority w:val="99"/>
    <w:pPr>
      <w:jc w:val="left"/>
    </w:pPr>
  </w:style>
  <w:style w:type="paragraph" w:styleId="4">
    <w:name w:val="Body Text"/>
    <w:basedOn w:val="1"/>
    <w:next w:val="1"/>
    <w:link w:val="20"/>
    <w:qFormat/>
    <w:uiPriority w:val="0"/>
    <w:pPr>
      <w:jc w:val="center"/>
    </w:pPr>
    <w:rPr>
      <w:sz w:val="44"/>
    </w:rPr>
  </w:style>
  <w:style w:type="paragraph" w:styleId="5">
    <w:name w:val="Plain Text"/>
    <w:basedOn w:val="1"/>
    <w:next w:val="1"/>
    <w:qFormat/>
    <w:uiPriority w:val="0"/>
    <w:rPr>
      <w:rFonts w:ascii="宋体" w:hAnsi="Courier New"/>
      <w:szCs w:val="20"/>
    </w:rPr>
  </w:style>
  <w:style w:type="paragraph" w:styleId="6">
    <w:name w:val="Date"/>
    <w:basedOn w:val="1"/>
    <w:next w:val="1"/>
    <w:link w:val="22"/>
    <w:qFormat/>
    <w:uiPriority w:val="99"/>
    <w:pPr>
      <w:ind w:left="100" w:leftChars="2500"/>
    </w:pPr>
  </w:style>
  <w:style w:type="paragraph" w:styleId="7">
    <w:name w:val="Body Text Indent 2"/>
    <w:basedOn w:val="1"/>
    <w:next w:val="8"/>
    <w:link w:val="21"/>
    <w:unhideWhenUsed/>
    <w:qFormat/>
    <w:uiPriority w:val="0"/>
    <w:pPr>
      <w:spacing w:after="120" w:line="480" w:lineRule="auto"/>
      <w:ind w:left="420" w:leftChars="200"/>
    </w:pPr>
  </w:style>
  <w:style w:type="paragraph" w:customStyle="1" w:styleId="8">
    <w:name w:val="简单回函地址"/>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2"/>
    <w:basedOn w:val="1"/>
    <w:qFormat/>
    <w:uiPriority w:val="0"/>
    <w:pPr>
      <w:spacing w:line="360" w:lineRule="auto"/>
      <w:ind w:firstLine="200" w:firstLineChars="200"/>
    </w:pPr>
    <w:rPr>
      <w:sz w:val="24"/>
    </w:rPr>
  </w:style>
  <w:style w:type="paragraph" w:styleId="10">
    <w:name w:val="Balloon Text"/>
    <w:basedOn w:val="1"/>
    <w:link w:val="26"/>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Normal (Web)"/>
    <w:basedOn w:val="1"/>
    <w:unhideWhenUsed/>
    <w:qFormat/>
    <w:uiPriority w:val="99"/>
    <w:rPr>
      <w:sz w:val="24"/>
    </w:rPr>
  </w:style>
  <w:style w:type="paragraph" w:styleId="13">
    <w:name w:val="Title"/>
    <w:basedOn w:val="1"/>
    <w:qFormat/>
    <w:uiPriority w:val="0"/>
    <w:pPr>
      <w:spacing w:line="440" w:lineRule="atLeast"/>
      <w:jc w:val="left"/>
      <w:outlineLvl w:val="0"/>
    </w:pPr>
    <w:rPr>
      <w:rFonts w:ascii="宋体" w:hAnsi="Arial"/>
      <w:b/>
      <w:sz w:val="24"/>
      <w:szCs w:val="20"/>
    </w:rPr>
  </w:style>
  <w:style w:type="paragraph" w:styleId="14">
    <w:name w:val="annotation subject"/>
    <w:basedOn w:val="3"/>
    <w:next w:val="3"/>
    <w:link w:val="25"/>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2"/>
    <w:qFormat/>
    <w:uiPriority w:val="99"/>
    <w:rPr>
      <w:sz w:val="18"/>
      <w:szCs w:val="18"/>
    </w:rPr>
  </w:style>
  <w:style w:type="character" w:customStyle="1" w:styleId="19">
    <w:name w:val="页脚 Char"/>
    <w:basedOn w:val="16"/>
    <w:link w:val="11"/>
    <w:qFormat/>
    <w:uiPriority w:val="99"/>
    <w:rPr>
      <w:sz w:val="18"/>
      <w:szCs w:val="18"/>
    </w:rPr>
  </w:style>
  <w:style w:type="character" w:customStyle="1" w:styleId="20">
    <w:name w:val="正文文本 Char"/>
    <w:basedOn w:val="16"/>
    <w:link w:val="4"/>
    <w:qFormat/>
    <w:uiPriority w:val="0"/>
    <w:rPr>
      <w:rFonts w:ascii="Times New Roman" w:hAnsi="Times New Roman" w:eastAsia="仿宋_GB2312" w:cs="Times New Roman"/>
      <w:sz w:val="44"/>
      <w:szCs w:val="24"/>
    </w:rPr>
  </w:style>
  <w:style w:type="character" w:customStyle="1" w:styleId="21">
    <w:name w:val="正文文本缩进 2 Char"/>
    <w:basedOn w:val="16"/>
    <w:link w:val="7"/>
    <w:semiHidden/>
    <w:qFormat/>
    <w:uiPriority w:val="99"/>
    <w:rPr>
      <w:rFonts w:ascii="Times New Roman" w:hAnsi="Times New Roman" w:eastAsia="仿宋_GB2312" w:cs="Times New Roman"/>
      <w:sz w:val="32"/>
      <w:szCs w:val="24"/>
    </w:rPr>
  </w:style>
  <w:style w:type="character" w:customStyle="1" w:styleId="22">
    <w:name w:val="日期 Char"/>
    <w:basedOn w:val="16"/>
    <w:link w:val="6"/>
    <w:qFormat/>
    <w:uiPriority w:val="99"/>
    <w:rPr>
      <w:rFonts w:ascii="Times New Roman" w:hAnsi="Times New Roman" w:eastAsia="仿宋_GB2312" w:cs="Times New Roman"/>
      <w:sz w:val="32"/>
      <w:szCs w:val="24"/>
    </w:rPr>
  </w:style>
  <w:style w:type="paragraph" w:styleId="23">
    <w:name w:val="List Paragraph"/>
    <w:basedOn w:val="1"/>
    <w:qFormat/>
    <w:uiPriority w:val="34"/>
    <w:pPr>
      <w:ind w:firstLine="420" w:firstLineChars="200"/>
    </w:pPr>
  </w:style>
  <w:style w:type="character" w:customStyle="1" w:styleId="24">
    <w:name w:val="批注文字 Char"/>
    <w:basedOn w:val="16"/>
    <w:link w:val="3"/>
    <w:semiHidden/>
    <w:qFormat/>
    <w:uiPriority w:val="99"/>
    <w:rPr>
      <w:rFonts w:ascii="Times New Roman" w:hAnsi="Times New Roman" w:eastAsia="仿宋_GB2312" w:cs="Times New Roman"/>
      <w:sz w:val="32"/>
      <w:szCs w:val="24"/>
    </w:rPr>
  </w:style>
  <w:style w:type="character" w:customStyle="1" w:styleId="25">
    <w:name w:val="批注主题 Char"/>
    <w:basedOn w:val="24"/>
    <w:link w:val="14"/>
    <w:semiHidden/>
    <w:qFormat/>
    <w:uiPriority w:val="99"/>
    <w:rPr>
      <w:rFonts w:ascii="Times New Roman" w:hAnsi="Times New Roman" w:eastAsia="仿宋_GB2312" w:cs="Times New Roman"/>
      <w:b/>
      <w:bCs/>
      <w:sz w:val="32"/>
      <w:szCs w:val="24"/>
    </w:rPr>
  </w:style>
  <w:style w:type="character" w:customStyle="1" w:styleId="26">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7">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43b3f741-7ec8-42ff-956e-7cd06ee47b27</errorID>
      <errorWord>程</errorWord>
      <group>L1_Word</group>
      <groupName>字词问题</groupName>
      <ability>L2_Typo</ability>
      <abilityName>字词错误</abilityName>
      <candidateList>
        <item>程中</item>
      </candidateList>
      <explain/>
      <paraID>109B5CE6</paraID>
      <start>154</start>
      <end>156</end>
      <status>modified</status>
      <modifiedWord>程中</modifiedWord>
      <trackRevisions>false</trackRevisions>
    </reviewItem>
    <reviewItem>
      <errorID>b293657d-e031-4a2f-8985-9a7a959d3fc7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66859A0D</paraID>
      <start>55</start>
      <end>56</end>
      <status>modified</status>
      <modifiedWord>—</modifiedWord>
      <trackRevisions>false</trackRevisions>
    </reviewItem>
    <reviewItem>
      <errorID>574e6ea6-a859-4794-8fa9-239b33d9cad2</errorID>
      <errorWord>）</errorWord>
      <group>L1_Word</group>
      <groupName>字词问题</groupName>
      <ability>L2_Typo</ability>
      <abilityName>字词错误</abilityName>
      <candidateList>
        <item>）和</item>
      </candidateList>
      <explain/>
      <paraID>3ABFDD06</paraID>
      <start>449</start>
      <end>451</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8fc47e-34cb-4dee-9904-b392d2b037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3157</Words>
  <Characters>3358</Characters>
  <Lines>20</Lines>
  <Paragraphs>5</Paragraphs>
  <TotalTime>2</TotalTime>
  <ScaleCrop>false</ScaleCrop>
  <LinksUpToDate>false</LinksUpToDate>
  <CharactersWithSpaces>3375</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2024-05-24T01:01:00Z</dcterms:created>
  <dc:creator>ASUS</dc:creator>
  <cp:lastModifiedBy>曲靖市－安双财</cp:lastModifiedBy>
  <cp:lastPrinted>2026-01-29T02:42:00Z</cp:lastPrinted>
  <dcterms:modified xsi:type="dcterms:W3CDTF">2026-08-28T03:27:55Z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KSOTemplateDocerSaveRecord">
    <vt:lpwstr>eyJoZGlkIjoiZmViMTY2ZWNmOTM1OWMyMjg0YzVmZGUwOGUxZjJjYWMiLCJ1c2VySWQiOiIxNjIyMjcyMzkwIn0=</vt:lpwstr>
  </property>
  <property fmtid="{D5CDD505-2E9C-101B-9397-08002B2CF9AE}" pid="4" name="ICV">
    <vt:lpwstr>9CA0B6BE57C043B2BC1F2209C79E9160_13</vt:lpwstr>
  </property>
</Properties>
</file>