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407EE">
      <w:pPr>
        <w:pStyle w:val="8"/>
        <w:keepNext w:val="0"/>
        <w:keepLines w:val="0"/>
        <w:pageBreakBefore w:val="0"/>
        <w:widowControl w:val="0"/>
        <w:kinsoku/>
        <w:wordWrap/>
        <w:overflowPunct/>
        <w:topLinePunct w:val="0"/>
        <w:autoSpaceDE/>
        <w:autoSpaceDN/>
        <w:bidi w:val="0"/>
        <w:adjustRightInd w:val="0"/>
        <w:snapToGrid w:val="0"/>
        <w:spacing w:line="600" w:lineRule="exact"/>
        <w:ind w:firstLine="848" w:firstLineChars="200"/>
        <w:jc w:val="both"/>
        <w:textAlignment w:val="auto"/>
        <w:rPr>
          <w:rFonts w:hint="eastAsia" w:ascii="宋体" w:hAnsi="宋体" w:eastAsia="方正小标宋简体" w:cs="方正小标宋简体"/>
          <w:i w:val="0"/>
          <w:caps w:val="0"/>
          <w:color w:val="000000"/>
          <w:spacing w:val="0"/>
          <w:kern w:val="2"/>
          <w:sz w:val="44"/>
          <w:szCs w:val="44"/>
          <w:shd w:val="clear" w:color="auto" w:fill="FFFFFF"/>
          <w:lang w:val="en-US" w:eastAsia="zh-CN" w:bidi="ar-SA"/>
        </w:rPr>
      </w:pPr>
    </w:p>
    <w:p w14:paraId="326DA7E9">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宋体" w:hAnsi="宋体" w:eastAsia="方正小标宋简体" w:cs="方正小标宋简体"/>
          <w:i w:val="0"/>
          <w:caps w:val="0"/>
          <w:color w:val="000000"/>
          <w:spacing w:val="0"/>
          <w:kern w:val="2"/>
          <w:sz w:val="44"/>
          <w:szCs w:val="44"/>
          <w:shd w:val="clear" w:color="auto" w:fill="FFFFFF"/>
          <w:lang w:val="en-US" w:eastAsia="zh-CN" w:bidi="ar-SA"/>
        </w:rPr>
      </w:pPr>
      <w:r>
        <w:rPr>
          <w:rFonts w:hint="eastAsia" w:ascii="宋体" w:hAnsi="宋体" w:eastAsia="方正小标宋简体" w:cs="方正小标宋简体"/>
          <w:i w:val="0"/>
          <w:caps w:val="0"/>
          <w:color w:val="000000"/>
          <w:spacing w:val="0"/>
          <w:kern w:val="2"/>
          <w:sz w:val="44"/>
          <w:szCs w:val="44"/>
          <w:shd w:val="clear" w:color="auto" w:fill="FFFFFF"/>
          <w:lang w:val="en-US" w:eastAsia="zh-CN" w:bidi="ar-SA"/>
        </w:rPr>
        <w:t>云南省曲靖独木水库保护条例实施细则</w:t>
      </w:r>
    </w:p>
    <w:p w14:paraId="1CB8D98B">
      <w:pPr>
        <w:keepNext w:val="0"/>
        <w:keepLines w:val="0"/>
        <w:pageBreakBefore w:val="0"/>
        <w:widowControl w:val="0"/>
        <w:kinsoku/>
        <w:wordWrap w:val="0"/>
        <w:overflowPunct/>
        <w:topLinePunct w:val="0"/>
        <w:autoSpaceDE/>
        <w:autoSpaceDN/>
        <w:bidi w:val="0"/>
        <w:spacing w:before="0" w:after="0" w:line="600" w:lineRule="exact"/>
        <w:ind w:left="320" w:right="0" w:firstLine="608" w:firstLineChars="200"/>
        <w:jc w:val="both"/>
        <w:textAlignment w:val="baseline"/>
        <w:rPr>
          <w:rFonts w:hint="eastAsia" w:ascii="仿宋_GB2312" w:hAnsi="仿宋_GB2312" w:eastAsia="仿宋_GB2312" w:cs="仿宋_GB2312"/>
          <w:b w:val="0"/>
          <w:i w:val="0"/>
          <w:strike w:val="0"/>
          <w:color w:val="000000"/>
          <w:sz w:val="32"/>
          <w:lang w:eastAsia="zh-CN"/>
        </w:rPr>
      </w:pPr>
    </w:p>
    <w:p w14:paraId="128D7FED">
      <w:pPr>
        <w:keepNext w:val="0"/>
        <w:keepLines w:val="0"/>
        <w:pageBreakBefore w:val="0"/>
        <w:widowControl w:val="0"/>
        <w:kinsoku/>
        <w:wordWrap w:val="0"/>
        <w:overflowPunct/>
        <w:topLinePunct w:val="0"/>
        <w:autoSpaceDE/>
        <w:autoSpaceDN/>
        <w:bidi w:val="0"/>
        <w:spacing w:before="0" w:after="0" w:line="600" w:lineRule="exact"/>
        <w:ind w:right="0"/>
        <w:jc w:val="center"/>
        <w:textAlignment w:val="baseline"/>
        <w:rPr>
          <w:rFonts w:hint="eastAsia" w:ascii="黑体" w:hAnsi="黑体" w:eastAsia="黑体" w:cs="黑体"/>
          <w:b w:val="0"/>
          <w:i w:val="0"/>
          <w:strike w:val="0"/>
          <w:color w:val="000000"/>
          <w:sz w:val="32"/>
          <w:lang w:eastAsia="zh-CN"/>
        </w:rPr>
      </w:pPr>
      <w:r>
        <w:rPr>
          <w:rFonts w:hint="eastAsia" w:ascii="黑体" w:hAnsi="黑体" w:eastAsia="黑体" w:cs="黑体"/>
          <w:b w:val="0"/>
          <w:i w:val="0"/>
          <w:strike w:val="0"/>
          <w:color w:val="000000"/>
          <w:sz w:val="32"/>
          <w:lang w:eastAsia="zh-CN"/>
        </w:rPr>
        <w:t xml:space="preserve">第一章 </w:t>
      </w:r>
      <w:r>
        <w:rPr>
          <w:rFonts w:hint="eastAsia" w:ascii="黑体" w:hAnsi="黑体" w:eastAsia="黑体" w:cs="黑体"/>
          <w:b w:val="0"/>
          <w:i w:val="0"/>
          <w:strike w:val="0"/>
          <w:color w:val="000000"/>
          <w:sz w:val="32"/>
          <w:lang w:val="en-US" w:eastAsia="zh-CN"/>
        </w:rPr>
        <w:t xml:space="preserve"> </w:t>
      </w:r>
      <w:r>
        <w:rPr>
          <w:rFonts w:hint="eastAsia" w:ascii="黑体" w:hAnsi="黑体" w:eastAsia="黑体" w:cs="黑体"/>
          <w:b w:val="0"/>
          <w:i w:val="0"/>
          <w:strike w:val="0"/>
          <w:color w:val="000000"/>
          <w:sz w:val="32"/>
          <w:lang w:eastAsia="zh-CN"/>
        </w:rPr>
        <w:t>总</w:t>
      </w:r>
      <w:r>
        <w:rPr>
          <w:rFonts w:hint="eastAsia" w:ascii="黑体" w:hAnsi="黑体" w:eastAsia="黑体" w:cs="黑体"/>
          <w:b w:val="0"/>
          <w:i w:val="0"/>
          <w:strike w:val="0"/>
          <w:color w:val="000000"/>
          <w:sz w:val="32"/>
          <w:lang w:val="en-US" w:eastAsia="zh-CN"/>
        </w:rPr>
        <w:t xml:space="preserve">   </w:t>
      </w:r>
      <w:r>
        <w:rPr>
          <w:rFonts w:hint="eastAsia" w:ascii="黑体" w:hAnsi="黑体" w:eastAsia="黑体" w:cs="黑体"/>
          <w:b w:val="0"/>
          <w:i w:val="0"/>
          <w:strike w:val="0"/>
          <w:color w:val="000000"/>
          <w:sz w:val="32"/>
          <w:lang w:eastAsia="zh-CN"/>
        </w:rPr>
        <w:t>则</w:t>
      </w:r>
    </w:p>
    <w:p w14:paraId="27AD1045">
      <w:pPr>
        <w:keepNext w:val="0"/>
        <w:keepLines w:val="0"/>
        <w:pageBreakBefore w:val="0"/>
        <w:widowControl w:val="0"/>
        <w:kinsoku/>
        <w:wordWrap w:val="0"/>
        <w:overflowPunct/>
        <w:topLinePunct w:val="0"/>
        <w:autoSpaceDE/>
        <w:autoSpaceDN/>
        <w:bidi w:val="0"/>
        <w:spacing w:before="0" w:after="0" w:line="600" w:lineRule="exact"/>
        <w:ind w:left="320" w:right="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lang w:eastAsia="zh-CN"/>
        </w:rPr>
        <w:t>第一条</w:t>
      </w:r>
      <w:r>
        <w:rPr>
          <w:rFonts w:hint="eastAsia" w:ascii="仿宋_GB2312" w:hAnsi="仿宋_GB2312" w:eastAsia="仿宋_GB2312" w:cs="仿宋_GB2312"/>
          <w:b w:val="0"/>
          <w:i w:val="0"/>
          <w:strike w:val="0"/>
          <w:color w:val="000000"/>
          <w:sz w:val="32"/>
        </w:rPr>
        <w:t xml:space="preserve"> </w:t>
      </w:r>
      <w:r>
        <w:rPr>
          <w:rFonts w:hint="eastAsia" w:ascii="仿宋_GB2312" w:hAnsi="仿宋_GB2312" w:eastAsia="仿宋_GB2312" w:cs="仿宋_GB2312"/>
          <w:b w:val="0"/>
          <w:i w:val="0"/>
          <w:strike w:val="0"/>
          <w:color w:val="000000"/>
          <w:sz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为深入贯彻实施《云南省曲靖独木水库保护条例》（以下简称《条例》)，加强对独木水库的保护和管理，防治水污染，保证城市生产、生活用水安全，根据《中华人民共和国水法》、《中华人民共和国水污染防治法》和《条例》等有关法律、法规，结合曲靖实际，制定本细则。</w:t>
      </w:r>
    </w:p>
    <w:p w14:paraId="55F41C8F">
      <w:pPr>
        <w:keepNext w:val="0"/>
        <w:keepLines w:val="0"/>
        <w:pageBreakBefore w:val="0"/>
        <w:widowControl w:val="0"/>
        <w:kinsoku/>
        <w:wordWrap w:val="0"/>
        <w:overflowPunct/>
        <w:topLinePunct w:val="0"/>
        <w:autoSpaceDE/>
        <w:autoSpaceDN/>
        <w:bidi w:val="0"/>
        <w:spacing w:before="0" w:after="0" w:line="600" w:lineRule="exact"/>
        <w:ind w:left="320" w:right="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第二条</w:t>
      </w:r>
      <w:r>
        <w:rPr>
          <w:rFonts w:ascii="宋体" w:hAnsi="宋体" w:eastAsia="宋体" w:cs="宋体"/>
          <w:b w:val="0"/>
          <w:i w:val="0"/>
          <w:strike w:val="0"/>
          <w:color w:val="000000"/>
          <w:sz w:val="32"/>
        </w:rPr>
        <w:t xml:space="preserve"> </w:t>
      </w:r>
      <w:r>
        <w:rPr>
          <w:rFonts w:hint="eastAsia" w:ascii="宋体" w:hAnsi="宋体" w:eastAsia="宋体" w:cs="宋体"/>
          <w:b w:val="0"/>
          <w:i w:val="0"/>
          <w:strike w:val="0"/>
          <w:color w:val="000000"/>
          <w:sz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在独木水库保护区从事活动的单位和个人，应当遵守本细则。</w:t>
      </w:r>
    </w:p>
    <w:p w14:paraId="00BE768C">
      <w:pPr>
        <w:keepNext w:val="0"/>
        <w:keepLines w:val="0"/>
        <w:pageBreakBefore w:val="0"/>
        <w:widowControl w:val="0"/>
        <w:kinsoku/>
        <w:wordWrap w:val="0"/>
        <w:overflowPunct/>
        <w:topLinePunct w:val="0"/>
        <w:autoSpaceDE/>
        <w:autoSpaceDN/>
        <w:bidi w:val="0"/>
        <w:spacing w:before="0" w:after="0" w:line="600" w:lineRule="exact"/>
        <w:ind w:left="320" w:right="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第三条</w:t>
      </w:r>
      <w:r>
        <w:rPr>
          <w:rFonts w:hint="eastAsia" w:ascii="黑体" w:hAnsi="黑体" w:eastAsia="黑体" w:cs="黑体"/>
          <w:b w:val="0"/>
          <w:i w:val="0"/>
          <w:strike w:val="0"/>
          <w:color w:val="000000"/>
          <w:sz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独木水库保护区的保护和监督管理遵循保护优先、预防为主、防治结合、统一监督管理和分级分部门负责的原则。</w:t>
      </w:r>
    </w:p>
    <w:p w14:paraId="3261E223">
      <w:pPr>
        <w:keepNext w:val="0"/>
        <w:keepLines w:val="0"/>
        <w:pageBreakBefore w:val="0"/>
        <w:widowControl w:val="0"/>
        <w:kinsoku/>
        <w:wordWrap w:val="0"/>
        <w:overflowPunct/>
        <w:topLinePunct w:val="0"/>
        <w:autoSpaceDE/>
        <w:autoSpaceDN/>
        <w:bidi w:val="0"/>
        <w:spacing w:before="0" w:after="0" w:line="600" w:lineRule="exact"/>
        <w:ind w:left="320" w:right="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第四条</w:t>
      </w:r>
      <w:r>
        <w:rPr>
          <w:rFonts w:hint="eastAsia" w:ascii="仿宋_GB2312" w:hAnsi="仿宋_GB2312" w:eastAsia="仿宋_GB2312" w:cs="仿宋_GB2312"/>
          <w:b w:val="0"/>
          <w:i w:val="0"/>
          <w:strike w:val="0"/>
          <w:color w:val="000000"/>
          <w:sz w:val="32"/>
        </w:rPr>
        <w:t xml:space="preserve"> </w:t>
      </w:r>
      <w:r>
        <w:rPr>
          <w:rFonts w:hint="eastAsia" w:ascii="仿宋_GB2312" w:hAnsi="仿宋_GB2312" w:eastAsia="仿宋_GB2312" w:cs="仿宋_GB2312"/>
          <w:b w:val="0"/>
          <w:i w:val="0"/>
          <w:strike w:val="0"/>
          <w:color w:val="000000"/>
          <w:sz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任何单位和个人都有保护独木水库饮用水水源地的义务，有权对污染和破坏独木水库饮用水水源地的行为进行劝阻、检举和控告。</w:t>
      </w:r>
    </w:p>
    <w:p w14:paraId="4C4B5F5C">
      <w:pPr>
        <w:keepNext w:val="0"/>
        <w:keepLines w:val="0"/>
        <w:pageBreakBefore w:val="0"/>
        <w:widowControl w:val="0"/>
        <w:kinsoku/>
        <w:wordWrap w:val="0"/>
        <w:overflowPunct/>
        <w:topLinePunct w:val="0"/>
        <w:autoSpaceDE/>
        <w:autoSpaceDN/>
        <w:bidi w:val="0"/>
        <w:spacing w:before="0" w:after="0" w:line="600" w:lineRule="exact"/>
        <w:ind w:right="0"/>
        <w:jc w:val="center"/>
        <w:textAlignment w:val="baseline"/>
        <w:rPr>
          <w:rFonts w:hint="eastAsia" w:ascii="仿宋_GB2312" w:hAnsi="仿宋_GB2312" w:eastAsia="仿宋_GB2312" w:cs="仿宋_GB2312"/>
          <w:b w:val="0"/>
          <w:i w:val="0"/>
          <w:strike w:val="0"/>
          <w:color w:val="000000"/>
          <w:sz w:val="32"/>
        </w:rPr>
      </w:pPr>
      <w:r>
        <w:rPr>
          <w:rFonts w:hint="eastAsia" w:ascii="黑体" w:hAnsi="黑体" w:eastAsia="黑体" w:cs="黑体"/>
          <w:b w:val="0"/>
          <w:i w:val="0"/>
          <w:strike w:val="0"/>
          <w:color w:val="000000"/>
          <w:sz w:val="32"/>
        </w:rPr>
        <w:t xml:space="preserve">第二章 </w:t>
      </w:r>
      <w:r>
        <w:rPr>
          <w:rFonts w:hint="eastAsia" w:ascii="黑体" w:hAnsi="黑体" w:eastAsia="黑体" w:cs="黑体"/>
          <w:b w:val="0"/>
          <w:i w:val="0"/>
          <w:strike w:val="0"/>
          <w:color w:val="000000"/>
          <w:sz w:val="32"/>
          <w:lang w:val="en-US" w:eastAsia="zh-CN"/>
        </w:rPr>
        <w:t xml:space="preserve"> </w:t>
      </w:r>
      <w:r>
        <w:rPr>
          <w:rFonts w:hint="eastAsia" w:ascii="黑体" w:hAnsi="黑体" w:eastAsia="黑体" w:cs="黑体"/>
          <w:b w:val="0"/>
          <w:i w:val="0"/>
          <w:strike w:val="0"/>
          <w:color w:val="000000"/>
          <w:sz w:val="32"/>
        </w:rPr>
        <w:t>保护和监督管理职责</w:t>
      </w:r>
    </w:p>
    <w:p w14:paraId="560B6BD2">
      <w:pPr>
        <w:keepNext w:val="0"/>
        <w:keepLines w:val="0"/>
        <w:pageBreakBefore w:val="0"/>
        <w:widowControl w:val="0"/>
        <w:kinsoku/>
        <w:wordWrap w:val="0"/>
        <w:overflowPunct/>
        <w:topLinePunct w:val="0"/>
        <w:autoSpaceDE/>
        <w:autoSpaceDN/>
        <w:bidi w:val="0"/>
        <w:spacing w:before="0" w:after="0" w:line="600" w:lineRule="exact"/>
        <w:ind w:left="140" w:right="2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第五条</w:t>
      </w:r>
      <w:r>
        <w:rPr>
          <w:rFonts w:ascii="宋体" w:hAnsi="宋体" w:eastAsia="宋体" w:cs="宋体"/>
          <w:b w:val="0"/>
          <w:i w:val="0"/>
          <w:strike w:val="0"/>
          <w:color w:val="000000"/>
          <w:sz w:val="32"/>
        </w:rPr>
        <w:t xml:space="preserve"> </w:t>
      </w:r>
      <w:r>
        <w:rPr>
          <w:rFonts w:hint="eastAsia" w:ascii="宋体" w:hAnsi="宋体" w:eastAsia="宋体" w:cs="宋体"/>
          <w:b w:val="0"/>
          <w:i w:val="0"/>
          <w:strike w:val="0"/>
          <w:color w:val="000000"/>
          <w:sz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市水务局负责独木水库保护区的统一保护和监督管理，独木水库管理局负责独木水库保护区的日常保护和监督管理。</w:t>
      </w:r>
    </w:p>
    <w:p w14:paraId="22FDCE64">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第六条</w:t>
      </w:r>
      <w:r>
        <w:rPr>
          <w:rFonts w:hint="eastAsia" w:ascii="黑体" w:hAnsi="黑体" w:eastAsia="黑体" w:cs="黑体"/>
          <w:b w:val="0"/>
          <w:i w:val="0"/>
          <w:strike w:val="0"/>
          <w:color w:val="000000"/>
          <w:sz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保护区的保护和监督管理，以独木水库管理局为主，相关县(区)、镇人民政府和市级有关行政主管部门协助配合。相关县(区)、镇人民政府和市级有关行政主管部门按照《条例》和本实施细则的有关规定做好保护和监督管理工作。</w:t>
      </w:r>
    </w:p>
    <w:p w14:paraId="2D640ED1">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第七条</w:t>
      </w:r>
      <w:r>
        <w:rPr>
          <w:rFonts w:hint="eastAsia" w:ascii="黑体" w:hAnsi="黑体" w:eastAsia="黑体" w:cs="黑体"/>
          <w:b w:val="0"/>
          <w:i w:val="0"/>
          <w:strike w:val="0"/>
          <w:color w:val="000000"/>
          <w:sz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独木水库管理局除履行《条例》第八条规定的职责外，还履行下列职责：</w:t>
      </w:r>
    </w:p>
    <w:p w14:paraId="7772C490">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（一）对独木水库保护区各种违法行为进行排查并及时进行处理。有权处理的，按照《条例》规定进行处理，不能处理的，向有关责任单位发出《违法行为排查通知书》，并抄送市政府督查室；</w:t>
      </w:r>
    </w:p>
    <w:p w14:paraId="04640D96">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（二）组织拟定并实施独木水库和输水设施安全运行的应急预案；</w:t>
      </w:r>
    </w:p>
    <w:p w14:paraId="318D2E43">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（三）负责与日常保护和监督管理相关的其他工作。</w:t>
      </w:r>
    </w:p>
    <w:p w14:paraId="6D9F267B">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第八条</w:t>
      </w:r>
      <w:r>
        <w:rPr>
          <w:rFonts w:hint="eastAsia" w:ascii="黑体" w:hAnsi="黑体" w:eastAsia="黑体" w:cs="黑体"/>
          <w:b w:val="0"/>
          <w:i w:val="0"/>
          <w:strike w:val="0"/>
          <w:color w:val="000000"/>
          <w:sz w:val="32"/>
          <w:lang w:val="en-US" w:eastAsia="zh-CN"/>
        </w:rPr>
        <w:t xml:space="preserve"> </w:t>
      </w:r>
      <w:r>
        <w:rPr>
          <w:rFonts w:ascii="宋体" w:hAnsi="宋体" w:eastAsia="宋体" w:cs="宋体"/>
          <w:b w:val="0"/>
          <w:i w:val="0"/>
          <w:strike w:val="0"/>
          <w:color w:val="000000"/>
          <w:sz w:val="32"/>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麒麟区、富源县、罗平县人民政府履行下列职责：</w:t>
      </w:r>
    </w:p>
    <w:p w14:paraId="19DBC927">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（一）宣传、贯彻有关法律、法规和《条例》；</w:t>
      </w:r>
    </w:p>
    <w:p w14:paraId="70A802EC">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（二）按照曲靖市人民政府独木水库保护与发展规划，拟定本行政辖区内的实施方案，综合治理方案及配套办法，并组织实施；</w:t>
      </w:r>
    </w:p>
    <w:p w14:paraId="280EF020">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（三）建立健全实施本细则的各项责任制度，监督检查本行政辖区有关单位落实责任制度的具体情况；</w:t>
      </w:r>
    </w:p>
    <w:p w14:paraId="391245AE">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（四）组织制定和实施本行政辖区内水源重点污染物的总量控制方案，做好水源保护区污水和垃圾处理设施的建设和管理工作；</w:t>
      </w:r>
    </w:p>
    <w:p w14:paraId="33E5E4FC">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（五）安排专项保护经费，建立保护投入机制和补偿机制，加大扶持力度，改善当地居民的生产生活条件。</w:t>
      </w:r>
    </w:p>
    <w:p w14:paraId="7C8AD102">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 xml:space="preserve">第九条 </w:t>
      </w:r>
      <w:r>
        <w:rPr>
          <w:rFonts w:hint="eastAsia" w:ascii="黑体" w:hAnsi="黑体" w:eastAsia="黑体" w:cs="黑体"/>
          <w:b w:val="0"/>
          <w:i w:val="0"/>
          <w:strike w:val="0"/>
          <w:color w:val="000000"/>
          <w:sz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麒麟区东山镇、富源县墨红镇、罗平县马街镇人民政府履行下列职责：</w:t>
      </w:r>
    </w:p>
    <w:p w14:paraId="094F4BAD">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（一）宣传、贯彻有关法律、法规和《条例》；</w:t>
      </w:r>
    </w:p>
    <w:p w14:paraId="2CFFFAAF">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（二）建立本行政辖区内独木水库保护区保护和管理工作的领导责任制；</w:t>
      </w:r>
    </w:p>
    <w:p w14:paraId="2BB852DF">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（三）落实所属县(区)人民政府制定的实施方案、综合治理方案、配套办法及责任制度；</w:t>
      </w:r>
    </w:p>
    <w:p w14:paraId="36E2053F">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（四）负责本行政辖区内库区生产生活用桥的安全管理；</w:t>
      </w:r>
    </w:p>
    <w:p w14:paraId="3BB00DBE">
      <w:pPr>
        <w:keepNext w:val="0"/>
        <w:keepLines w:val="0"/>
        <w:pageBreakBefore w:val="0"/>
        <w:widowControl w:val="0"/>
        <w:kinsoku/>
        <w:wordWrap w:val="0"/>
        <w:overflowPunct/>
        <w:topLinePunct w:val="0"/>
        <w:autoSpaceDE/>
        <w:autoSpaceDN/>
        <w:bidi w:val="0"/>
        <w:spacing w:before="0" w:after="0" w:line="600" w:lineRule="exact"/>
        <w:ind w:left="140" w:right="2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宋体" w:hAnsi="宋体" w:eastAsia="仿宋_GB2312" w:cs="仿宋_GB2312"/>
          <w:i w:val="0"/>
          <w:caps w:val="0"/>
          <w:color w:val="000000"/>
          <w:spacing w:val="0"/>
          <w:kern w:val="2"/>
          <w:sz w:val="32"/>
          <w:szCs w:val="32"/>
          <w:shd w:val="clear" w:color="auto" w:fill="FFFFFF"/>
          <w:lang w:val="en-US" w:eastAsia="zh-CN" w:bidi="ar-SA"/>
        </w:rPr>
        <w:t>（五）完成市、县(区)人民政府交办的其他工作。</w:t>
      </w:r>
    </w:p>
    <w:p w14:paraId="3DC48DA1">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 xml:space="preserve">第十条 </w:t>
      </w:r>
      <w:r>
        <w:rPr>
          <w:rFonts w:hint="eastAsia" w:ascii="黑体" w:hAnsi="黑体" w:eastAsia="黑体" w:cs="黑体"/>
          <w:b w:val="0"/>
          <w:i w:val="0"/>
          <w:strike w:val="0"/>
          <w:color w:val="000000"/>
          <w:sz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曲靖市人民政府负责协调、督促市级有关行政主管部门和相关县、区镇人民政府依法保护水库，根据独木水库管理局抄送的《违法行为排查通知书》，对未在规定时间内查处的责任单位进行督办，督查室具体负责行政问责制等四项制度的落实。</w:t>
      </w:r>
    </w:p>
    <w:p w14:paraId="0E2624C7">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第十一条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市政府法制办负责独木水库执法人员的培训和办证工作，对有关执法单位的执法行为进行监督和指导。</w:t>
      </w:r>
    </w:p>
    <w:p w14:paraId="70B5FDF0">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第十二条</w:t>
      </w:r>
      <w:r>
        <w:rPr>
          <w:rFonts w:hint="eastAsia" w:ascii="黑体" w:hAnsi="黑体" w:eastAsia="黑体" w:cs="黑体"/>
          <w:b w:val="0"/>
          <w:i w:val="0"/>
          <w:strike w:val="0"/>
          <w:color w:val="000000"/>
          <w:sz w:val="32"/>
          <w:lang w:val="en-US" w:eastAsia="zh-CN"/>
        </w:rPr>
        <w:t xml:space="preserve"> </w:t>
      </w:r>
      <w:r>
        <w:rPr>
          <w:rFonts w:hint="eastAsia" w:ascii="仿宋_GB2312" w:hAnsi="仿宋_GB2312" w:eastAsia="仿宋_GB2312" w:cs="仿宋_GB2312"/>
          <w:b w:val="0"/>
          <w:i w:val="0"/>
          <w:strike w:val="0"/>
          <w:color w:val="000000"/>
          <w:sz w:val="32"/>
          <w:szCs w:val="32"/>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市发改委将独木水库水污染防治工作纳入全市国民经济和社会发展规划，负责水环境综合整治项目立项，监督和指导项目实施和向省争取资金扶持。</w:t>
      </w:r>
    </w:p>
    <w:p w14:paraId="4D89751E">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第十三条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市环境保护局负责对水污染防治工作实施统一监督管理，监督检查三县(区)和有关部门水污染防治工作实施情况，加强煤炭工业污染源防治工作，加强对水库水质的监测和煤炭企业排污监控。</w:t>
      </w:r>
    </w:p>
    <w:p w14:paraId="65FE84F0">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第十四条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市煤炭局负责煤炭企业的整治监管工作。</w:t>
      </w:r>
    </w:p>
    <w:p w14:paraId="3CDF1CD7">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第十五条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市水务局负责监督水土保持方案措施的实施，负责人畜饮水工程项目的申报、投资计划下达及监督实施。</w:t>
      </w:r>
    </w:p>
    <w:p w14:paraId="4A80B540">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第十六条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市交通局负责水上运输船只污染防治、库区道路交通及水上船只安全工作。</w:t>
      </w:r>
    </w:p>
    <w:p w14:paraId="4667BD8E">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第十七条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市建设局负责指导推进水库径流区生活污水处理、垃圾处理建设规划的实施，加强对集镇污水处理工程及配套建设的指导、监督和管理。</w:t>
      </w:r>
    </w:p>
    <w:p w14:paraId="6F910050">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第十八条</w:t>
      </w:r>
      <w:r>
        <w:rPr>
          <w:rFonts w:hint="eastAsia" w:ascii="黑体" w:hAnsi="黑体" w:eastAsia="黑体" w:cs="黑体"/>
          <w:b w:val="0"/>
          <w:i w:val="0"/>
          <w:strike w:val="0"/>
          <w:color w:val="000000"/>
          <w:sz w:val="32"/>
          <w:lang w:val="en-US" w:eastAsia="zh-CN"/>
        </w:rPr>
        <w:t xml:space="preserve"> </w:t>
      </w:r>
      <w:r>
        <w:rPr>
          <w:rFonts w:hint="eastAsia" w:ascii="仿宋_GB2312" w:hAnsi="仿宋_GB2312" w:eastAsia="仿宋_GB2312" w:cs="仿宋_GB2312"/>
          <w:b w:val="0"/>
          <w:i w:val="0"/>
          <w:strike w:val="0"/>
          <w:color w:val="000000"/>
          <w:sz w:val="32"/>
          <w:szCs w:val="32"/>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市农业局负责指导并监督实施农业面源污染防治、生态农业建设、无公害农产品和绿色食品基地建设等农村环保项目，开展面源污染防治研究和指导。</w:t>
      </w:r>
    </w:p>
    <w:p w14:paraId="52763CCE">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第十九条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市林业局负责指导退耕还林等营造林工作、沼气建设和节能改灶。</w:t>
      </w:r>
    </w:p>
    <w:p w14:paraId="55F2A6BD">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第二十条</w:t>
      </w:r>
      <w:r>
        <w:rPr>
          <w:rFonts w:hint="eastAsia" w:ascii="黑体" w:hAnsi="黑体" w:eastAsia="黑体" w:cs="黑体"/>
          <w:b w:val="0"/>
          <w:i w:val="0"/>
          <w:strike w:val="0"/>
          <w:color w:val="000000"/>
          <w:sz w:val="32"/>
          <w:lang w:val="en-US" w:eastAsia="zh-CN"/>
        </w:rPr>
        <w:t xml:space="preserve"> </w:t>
      </w:r>
      <w:r>
        <w:rPr>
          <w:rFonts w:hint="eastAsia" w:ascii="仿宋_GB2312" w:hAnsi="仿宋_GB2312" w:eastAsia="仿宋_GB2312" w:cs="仿宋_GB2312"/>
          <w:b w:val="0"/>
          <w:i w:val="0"/>
          <w:strike w:val="0"/>
          <w:color w:val="000000"/>
          <w:sz w:val="32"/>
          <w:szCs w:val="32"/>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市国土资源局负责地质灾害治理。</w:t>
      </w:r>
    </w:p>
    <w:p w14:paraId="48566CEC">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第二十一条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市财政局负责落实水污染防治项目资金及其他专项资金的筹措，监督资金使用。</w:t>
      </w:r>
    </w:p>
    <w:p w14:paraId="4AAFF012">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第二十二条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市扶贫办负责涉及扶贫的人畜饮水、温饱村建设、扶贫开发建设项目规划及实施。</w:t>
      </w:r>
    </w:p>
    <w:p w14:paraId="716E435D">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第二十三条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市民政局负责库区特困群众生活救助。</w:t>
      </w:r>
    </w:p>
    <w:p w14:paraId="3ABFF3F5">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rPr>
        <w:t>第二十四条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市监察局负责对各行政单位进行行政</w:t>
      </w:r>
      <w:r>
        <w:rPr>
          <w:rFonts w:ascii="仿宋_GB2312" w:hAnsi="等线" w:eastAsia="仿宋_GB2312" w:cs="仿宋_GB2312"/>
          <w:color w:val="000000"/>
          <w:sz w:val="32"/>
          <w:szCs w:val="32"/>
          <w:shd w:val="clear" w:fill="FFFFFF"/>
        </w:rPr>
        <w:t>执法检查</w:t>
      </w:r>
      <w:bookmarkStart w:id="0" w:name="_GoBack"/>
      <w:bookmarkEnd w:id="0"/>
      <w:r>
        <w:rPr>
          <w:rFonts w:hint="eastAsia" w:ascii="宋体" w:hAnsi="宋体" w:eastAsia="仿宋_GB2312" w:cs="仿宋_GB2312"/>
          <w:i w:val="0"/>
          <w:caps w:val="0"/>
          <w:color w:val="000000"/>
          <w:spacing w:val="0"/>
          <w:kern w:val="2"/>
          <w:sz w:val="32"/>
          <w:szCs w:val="32"/>
          <w:shd w:val="clear" w:color="auto" w:fill="FFFFFF"/>
          <w:lang w:val="en-US" w:eastAsia="zh-CN" w:bidi="ar-SA"/>
        </w:rPr>
        <w:t>和行政效能检察。</w:t>
      </w:r>
    </w:p>
    <w:p w14:paraId="785989B0">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lang w:eastAsia="zh-CN"/>
        </w:rPr>
        <w:t>第二十五条</w:t>
      </w:r>
      <w:r>
        <w:rPr>
          <w:rFonts w:hint="eastAsia" w:ascii="仿宋_GB2312" w:hAnsi="仿宋_GB2312" w:eastAsia="仿宋_GB2312" w:cs="仿宋_GB2312"/>
          <w:b w:val="0"/>
          <w:i w:val="0"/>
          <w:strike w:val="0"/>
          <w:color w:val="000000"/>
          <w:sz w:val="32"/>
          <w:szCs w:val="32"/>
          <w:lang w:eastAsia="zh-CN"/>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独木水库派出所依法维护库区治安，依照相关法律、法规和《条例》的规定，在职责和权限范围内对库区违法行为进行调查和处理。</w:t>
      </w:r>
    </w:p>
    <w:p w14:paraId="3EC26DD5">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lang w:eastAsia="zh-CN"/>
        </w:rPr>
        <w:t>第二十六条</w:t>
      </w:r>
      <w:r>
        <w:rPr>
          <w:rFonts w:hint="eastAsia" w:ascii="仿宋_GB2312" w:hAnsi="仿宋_GB2312" w:eastAsia="仿宋_GB2312" w:cs="仿宋_GB2312"/>
          <w:b w:val="0"/>
          <w:i w:val="0"/>
          <w:strike w:val="0"/>
          <w:color w:val="000000"/>
          <w:sz w:val="32"/>
          <w:szCs w:val="32"/>
          <w:lang w:eastAsia="zh-CN"/>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市和相关县(区)人民政府其他行政主管部门按照独木水库保护区保护与发展专项规划，制定具体的实施方案，并负责指导、监督和实施。</w:t>
      </w:r>
    </w:p>
    <w:p w14:paraId="3F40A7D7">
      <w:pPr>
        <w:keepNext w:val="0"/>
        <w:keepLines w:val="0"/>
        <w:pageBreakBefore w:val="0"/>
        <w:widowControl w:val="0"/>
        <w:kinsoku/>
        <w:wordWrap w:val="0"/>
        <w:overflowPunct/>
        <w:topLinePunct w:val="0"/>
        <w:autoSpaceDE/>
        <w:autoSpaceDN/>
        <w:bidi w:val="0"/>
        <w:spacing w:before="0" w:after="0" w:line="600" w:lineRule="exact"/>
        <w:ind w:right="320"/>
        <w:jc w:val="center"/>
        <w:textAlignment w:val="baseline"/>
        <w:rPr>
          <w:rFonts w:hint="eastAsia" w:ascii="黑体" w:hAnsi="黑体" w:eastAsia="黑体" w:cs="黑体"/>
          <w:b w:val="0"/>
          <w:i w:val="0"/>
          <w:strike w:val="0"/>
          <w:color w:val="000000"/>
          <w:sz w:val="32"/>
          <w:lang w:eastAsia="zh-CN"/>
        </w:rPr>
      </w:pPr>
      <w:r>
        <w:rPr>
          <w:rFonts w:hint="eastAsia" w:ascii="黑体" w:hAnsi="黑体" w:eastAsia="黑体" w:cs="黑体"/>
          <w:b w:val="0"/>
          <w:i w:val="0"/>
          <w:strike w:val="0"/>
          <w:color w:val="000000"/>
          <w:sz w:val="32"/>
          <w:lang w:eastAsia="zh-CN"/>
        </w:rPr>
        <w:t xml:space="preserve">第三章 </w:t>
      </w:r>
      <w:r>
        <w:rPr>
          <w:rFonts w:hint="eastAsia" w:ascii="黑体" w:hAnsi="黑体" w:eastAsia="黑体" w:cs="黑体"/>
          <w:b w:val="0"/>
          <w:i w:val="0"/>
          <w:strike w:val="0"/>
          <w:color w:val="000000"/>
          <w:sz w:val="32"/>
          <w:lang w:val="en-US" w:eastAsia="zh-CN"/>
        </w:rPr>
        <w:t xml:space="preserve"> </w:t>
      </w:r>
      <w:r>
        <w:rPr>
          <w:rFonts w:hint="eastAsia" w:ascii="黑体" w:hAnsi="黑体" w:eastAsia="黑体" w:cs="黑体"/>
          <w:b w:val="0"/>
          <w:i w:val="0"/>
          <w:strike w:val="0"/>
          <w:color w:val="000000"/>
          <w:sz w:val="32"/>
          <w:lang w:eastAsia="zh-CN"/>
        </w:rPr>
        <w:t>保护和监督管理措施</w:t>
      </w:r>
    </w:p>
    <w:p w14:paraId="2CA05468">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lang w:eastAsia="zh-CN"/>
        </w:rPr>
        <w:t>第二十七条</w:t>
      </w:r>
      <w:r>
        <w:rPr>
          <w:rFonts w:hint="eastAsia" w:ascii="仿宋_GB2312" w:hAnsi="仿宋_GB2312" w:eastAsia="仿宋_GB2312" w:cs="仿宋_GB2312"/>
          <w:b w:val="0"/>
          <w:i w:val="0"/>
          <w:strike w:val="0"/>
          <w:color w:val="000000"/>
          <w:sz w:val="32"/>
          <w:szCs w:val="32"/>
          <w:lang w:eastAsia="zh-CN"/>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本细则第二章所列各级行政机关应当按照《条例》和本细则规定的保护和监督职责以及《独木水库水污染防治工程规划治理方案》、《独木水库水环境污染治理方案》、《独木水库公路、桥梁、水上船舶综合治理方案》和《独木水库煤炭污染综合治理方案》的要求，认真履职、互相配合，共同做好独木水库保护和监督管理工作。</w:t>
      </w:r>
    </w:p>
    <w:p w14:paraId="002ECB83">
      <w:pPr>
        <w:keepNext w:val="0"/>
        <w:keepLines w:val="0"/>
        <w:pageBreakBefore w:val="0"/>
        <w:widowControl w:val="0"/>
        <w:kinsoku/>
        <w:wordWrap w:val="0"/>
        <w:overflowPunct/>
        <w:topLinePunct w:val="0"/>
        <w:autoSpaceDE/>
        <w:autoSpaceDN/>
        <w:bidi w:val="0"/>
        <w:spacing w:before="0" w:after="0" w:line="600" w:lineRule="exact"/>
        <w:ind w:left="14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lang w:eastAsia="zh-CN"/>
        </w:rPr>
        <w:t>第二十八条</w:t>
      </w:r>
      <w:r>
        <w:rPr>
          <w:rFonts w:hint="eastAsia" w:ascii="仿宋_GB2312" w:hAnsi="仿宋_GB2312" w:eastAsia="仿宋_GB2312" w:cs="仿宋_GB2312"/>
          <w:b w:val="0"/>
          <w:i w:val="0"/>
          <w:strike w:val="0"/>
          <w:color w:val="000000"/>
          <w:sz w:val="32"/>
          <w:szCs w:val="32"/>
          <w:lang w:eastAsia="zh-CN"/>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大力发展高技术、高效益、低消耗、无污染的产业，重点发展高新技术生态农业，对现有的煤矿产业实施高新技术改造，从源头上控制污染物排放。</w:t>
      </w:r>
    </w:p>
    <w:p w14:paraId="1B75307D">
      <w:pPr>
        <w:keepNext w:val="0"/>
        <w:keepLines w:val="0"/>
        <w:pageBreakBefore w:val="0"/>
        <w:widowControl w:val="0"/>
        <w:kinsoku/>
        <w:wordWrap w:val="0"/>
        <w:overflowPunct/>
        <w:topLinePunct w:val="0"/>
        <w:autoSpaceDE/>
        <w:autoSpaceDN/>
        <w:bidi w:val="0"/>
        <w:spacing w:before="0" w:after="0" w:line="600" w:lineRule="exact"/>
        <w:ind w:left="0" w:right="32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第二十九条</w:t>
      </w:r>
      <w:r>
        <w:rPr>
          <w:rFonts w:ascii="宋体" w:hAnsi="宋体" w:eastAsia="宋体" w:cs="宋体"/>
          <w:b w:val="0"/>
          <w:i w:val="0"/>
          <w:strike w:val="0"/>
          <w:color w:val="000000"/>
          <w:sz w:val="33"/>
        </w:rPr>
        <w:t xml:space="preserve"> </w:t>
      </w:r>
      <w:r>
        <w:rPr>
          <w:rFonts w:hint="eastAsia" w:ascii="宋体" w:hAnsi="宋体" w:eastAsia="宋体" w:cs="宋体"/>
          <w:b w:val="0"/>
          <w:i w:val="0"/>
          <w:strike w:val="0"/>
          <w:color w:val="000000"/>
          <w:sz w:val="33"/>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全面清理一级保护区范围内的煤井和二级保护区范围内的高锰、高硫煤矿井，依法给予关闭。对二级、三级保护区范围的企业，实行达标排放，不达标的停产整顿，整顿后仍不达标的，坚决依法关闭。</w:t>
      </w:r>
    </w:p>
    <w:p w14:paraId="7BAEACD7">
      <w:pPr>
        <w:keepNext w:val="0"/>
        <w:keepLines w:val="0"/>
        <w:pageBreakBefore w:val="0"/>
        <w:widowControl w:val="0"/>
        <w:kinsoku/>
        <w:wordWrap w:val="0"/>
        <w:overflowPunct/>
        <w:topLinePunct w:val="0"/>
        <w:autoSpaceDE/>
        <w:autoSpaceDN/>
        <w:bidi w:val="0"/>
        <w:spacing w:before="0" w:after="0" w:line="600" w:lineRule="exact"/>
        <w:ind w:left="0" w:right="36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加强企业污染源排放监控系统建设，对重点煤炭企业排污口安装自动监控装置，实行实时监控、动态管理。</w:t>
      </w:r>
    </w:p>
    <w:p w14:paraId="0E131A21">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第三十一条</w:t>
      </w:r>
      <w:r>
        <w:rPr>
          <w:rFonts w:ascii="宋体" w:hAnsi="宋体" w:eastAsia="宋体" w:cs="宋体"/>
          <w:b w:val="0"/>
          <w:i w:val="0"/>
          <w:strike w:val="0"/>
          <w:color w:val="000000"/>
          <w:sz w:val="33"/>
        </w:rPr>
        <w:t xml:space="preserve"> </w:t>
      </w:r>
      <w:r>
        <w:rPr>
          <w:rFonts w:hint="eastAsia" w:ascii="宋体" w:hAnsi="宋体" w:eastAsia="宋体" w:cs="宋体"/>
          <w:b w:val="0"/>
          <w:i w:val="0"/>
          <w:strike w:val="0"/>
          <w:color w:val="000000"/>
          <w:sz w:val="33"/>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提高水库径流区集镇生活污水、垃圾处理率和处理标准。</w:t>
      </w:r>
    </w:p>
    <w:p w14:paraId="14DA2B1C">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第三十二条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推广科学施用化肥、农药，积极发展有机农业和生态农业，发展农业循环经济，普及农村沼气，提高农业资源和综合利用。</w:t>
      </w:r>
    </w:p>
    <w:p w14:paraId="577AD8B7">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第三十三条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全面开展宣传教育，提高广大船员防治水污染的自觉性。</w:t>
      </w:r>
    </w:p>
    <w:p w14:paraId="021B0917">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第三十四条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禁止在一级保护区内新建、改建、扩建与供水设施和保护水源无关的建设项目；禁止在二级保护区内新建、改建、扩建排放污染物的建设项目；禁止在三级保护区内新建、改建、扩建对水体污染严重的建设项目，扩建项目不得增加排污量。</w:t>
      </w:r>
    </w:p>
    <w:p w14:paraId="34597311">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第三十五条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对在保护内新建、改建、扩建的建设项目，有关行政主管部门应当依法审批，从严控制。项目规划选址、定点必须有独木水库管理局的审核意见。</w:t>
      </w:r>
    </w:p>
    <w:p w14:paraId="55DDE439">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第三十六条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优先实施天然林保护、退耕还林和水土保持工程，多渠道筹集资金，将库区和影响区内25度以上的坡耕地全部退耕还林还草。</w:t>
      </w:r>
    </w:p>
    <w:p w14:paraId="5A8E37C9">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第三十七条</w:t>
      </w:r>
      <w:r>
        <w:rPr>
          <w:rFonts w:hint="eastAsia" w:ascii="黑体" w:hAnsi="黑体" w:eastAsia="黑体" w:cs="黑体"/>
          <w:b w:val="0"/>
          <w:i w:val="0"/>
          <w:strike w:val="0"/>
          <w:color w:val="000000"/>
          <w:sz w:val="32"/>
          <w:szCs w:val="32"/>
          <w:lang w:val="en-US" w:eastAsia="zh-CN"/>
        </w:rPr>
        <w:t xml:space="preserve"> </w:t>
      </w:r>
      <w:r>
        <w:rPr>
          <w:rFonts w:hint="eastAsia" w:ascii="仿宋_GB2312" w:hAnsi="仿宋_GB2312" w:eastAsia="仿宋_GB2312" w:cs="仿宋_GB2312"/>
          <w:b w:val="0"/>
          <w:i w:val="0"/>
          <w:strike w:val="0"/>
          <w:color w:val="000000"/>
          <w:sz w:val="32"/>
          <w:szCs w:val="32"/>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建立自然保护区、生态示范区、生态功能保护区和重点煤炭资源开发监管区，采取适当的工程措施，强制性保护库区及其上游水土流失重点区域。</w:t>
      </w:r>
    </w:p>
    <w:p w14:paraId="192875FE">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第三十八条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在沿库1公里、一级保护区周边2公里、入库河道上溯10公里两侧各500米等重点区域建立生态隔离带。</w:t>
      </w:r>
    </w:p>
    <w:p w14:paraId="540F3FE0">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第三十九条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加大污染治理财政专项资金投入力度，支持污水处理、生态修复、监测预警等重点工程建设。</w:t>
      </w:r>
    </w:p>
    <w:p w14:paraId="3BF83927">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实施污染企业生态补偿政策，建立健全煤炭企业补偿机制。</w:t>
      </w:r>
    </w:p>
    <w:p w14:paraId="0ABB84AF">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第四十一条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在水库径流区广泛开展环保教育，加大对《条例》的宣传和执法力度。</w:t>
      </w:r>
    </w:p>
    <w:p w14:paraId="1FFCE055">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第四十二条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加大对保护区内废弃煤井的治理力度，发展水源涵养林和水土保持林，增强森林植被涵养水源功能，防治水土流失和污染，改善生态环境。</w:t>
      </w:r>
    </w:p>
    <w:p w14:paraId="78610036">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第四十三条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建立和完善社会保障制度，有计划的扶持保护区的发展，组织劳动力转移。</w:t>
      </w:r>
    </w:p>
    <w:p w14:paraId="0017884C">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第四十四条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因突发的公共事件造成或者可能造成水源保护区水污染及危及水库配套工程、输水工程安全的责任单位和个人，应当立即采取应急措施，排除或者减轻危害，同时报告独木水库管理局、当地人民政府及水务、环境保护、卫生等有关行政主管部门，及时通报可能受到污染危害的村庄、单位和个人。</w:t>
      </w:r>
    </w:p>
    <w:p w14:paraId="7F8B0024">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第四十五条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独木水库管理局、当地人民政府及水务、环境保护、卫生等有关行政主管部门应当制定防范和处置突发公共事件的应急预案，并在接到报告后，按照各自职责立即采取相应的应急措施。</w:t>
      </w:r>
    </w:p>
    <w:p w14:paraId="6AA33399">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第四十六条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按照防护要求，独木水库管理局对进入一级保护区的人员及车辆实行控制。</w:t>
      </w:r>
    </w:p>
    <w:p w14:paraId="7027B89B">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第四十七条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独木水库管理局应当按照分级保护的地理界线，设置界桩、界碑和防护设施等。</w:t>
      </w:r>
    </w:p>
    <w:p w14:paraId="1A7EA209">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第四十八条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独木水库管理局在独木水库保护区内行使相对集中行政处罚权，按照云南省人民政府批准的方案具体组织实施。</w:t>
      </w:r>
    </w:p>
    <w:p w14:paraId="12016040">
      <w:pPr>
        <w:keepNext w:val="0"/>
        <w:keepLines w:val="0"/>
        <w:pageBreakBefore w:val="0"/>
        <w:widowControl w:val="0"/>
        <w:kinsoku/>
        <w:wordWrap w:val="0"/>
        <w:overflowPunct/>
        <w:topLinePunct w:val="0"/>
        <w:autoSpaceDE/>
        <w:autoSpaceDN/>
        <w:bidi w:val="0"/>
        <w:spacing w:before="0" w:after="0" w:line="600" w:lineRule="exact"/>
        <w:ind w:left="0" w:right="34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第四十九条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独木水库管理局应当与市直相关部门和相关县(区)、镇人民政府建立信息通报制度、定期联系制度和执法联动机制。</w:t>
      </w:r>
    </w:p>
    <w:p w14:paraId="7021083F">
      <w:pPr>
        <w:keepNext w:val="0"/>
        <w:keepLines w:val="0"/>
        <w:pageBreakBefore w:val="0"/>
        <w:widowControl w:val="0"/>
        <w:kinsoku/>
        <w:wordWrap w:val="0"/>
        <w:overflowPunct/>
        <w:topLinePunct w:val="0"/>
        <w:autoSpaceDE/>
        <w:autoSpaceDN/>
        <w:bidi w:val="0"/>
        <w:spacing w:before="0" w:after="0" w:line="600" w:lineRule="exact"/>
        <w:ind w:right="340"/>
        <w:jc w:val="center"/>
        <w:textAlignment w:val="baseline"/>
        <w:rPr>
          <w:rFonts w:hint="eastAsia" w:ascii="黑体" w:hAnsi="黑体" w:eastAsia="黑体" w:cs="黑体"/>
          <w:b w:val="0"/>
          <w:i w:val="0"/>
          <w:strike w:val="0"/>
          <w:color w:val="000000"/>
          <w:sz w:val="32"/>
          <w:szCs w:val="32"/>
        </w:rPr>
      </w:pPr>
      <w:r>
        <w:rPr>
          <w:rFonts w:hint="eastAsia" w:ascii="黑体" w:hAnsi="黑体" w:eastAsia="黑体" w:cs="黑体"/>
          <w:b w:val="0"/>
          <w:i w:val="0"/>
          <w:strike w:val="0"/>
          <w:color w:val="000000"/>
          <w:sz w:val="32"/>
          <w:szCs w:val="32"/>
        </w:rPr>
        <w:t xml:space="preserve">第四章 </w:t>
      </w:r>
      <w:r>
        <w:rPr>
          <w:rFonts w:hint="eastAsia" w:ascii="黑体" w:hAnsi="黑体" w:eastAsia="黑体" w:cs="黑体"/>
          <w:b w:val="0"/>
          <w:i w:val="0"/>
          <w:strike w:val="0"/>
          <w:color w:val="000000"/>
          <w:sz w:val="32"/>
          <w:szCs w:val="32"/>
          <w:lang w:val="en-US" w:eastAsia="zh-CN"/>
        </w:rPr>
        <w:t xml:space="preserve"> </w:t>
      </w:r>
      <w:r>
        <w:rPr>
          <w:rFonts w:hint="eastAsia" w:ascii="黑体" w:hAnsi="黑体" w:eastAsia="黑体" w:cs="黑体"/>
          <w:b w:val="0"/>
          <w:i w:val="0"/>
          <w:strike w:val="0"/>
          <w:color w:val="000000"/>
          <w:sz w:val="32"/>
          <w:szCs w:val="32"/>
        </w:rPr>
        <w:t>责任追究</w:t>
      </w:r>
    </w:p>
    <w:p w14:paraId="3655CC1B">
      <w:pPr>
        <w:keepNext w:val="0"/>
        <w:keepLines w:val="0"/>
        <w:pageBreakBefore w:val="0"/>
        <w:widowControl w:val="0"/>
        <w:kinsoku/>
        <w:wordWrap w:val="0"/>
        <w:overflowPunct/>
        <w:topLinePunct w:val="0"/>
        <w:autoSpaceDE/>
        <w:autoSpaceDN/>
        <w:bidi w:val="0"/>
        <w:spacing w:before="0" w:after="0" w:line="600" w:lineRule="exact"/>
        <w:ind w:left="20" w:right="40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第五十条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独木水库管理局、市级有关行政主管部门和相关县(区)、镇人民政府及其他行政机关不履行和不积极履行本细则第二章规定的职责，按照行政问责制的规定进行问责。</w:t>
      </w:r>
    </w:p>
    <w:p w14:paraId="61468C55">
      <w:pPr>
        <w:keepNext w:val="0"/>
        <w:keepLines w:val="0"/>
        <w:pageBreakBefore w:val="0"/>
        <w:widowControl w:val="0"/>
        <w:kinsoku/>
        <w:wordWrap w:val="0"/>
        <w:overflowPunct/>
        <w:topLinePunct w:val="0"/>
        <w:autoSpaceDE/>
        <w:autoSpaceDN/>
        <w:bidi w:val="0"/>
        <w:spacing w:before="0" w:after="0" w:line="600" w:lineRule="exact"/>
        <w:ind w:left="20" w:right="40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第五十一条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独木水库管理局、市级有关行政主管部门和相关县(区)、镇人民政府及其他行政机关的工作人员玩忽职守、滥用职权、徇私舞弊的，由其上级主管机关或者所在单位给予行政处分；构成犯罪的，依法追究刑事责任。</w:t>
      </w:r>
    </w:p>
    <w:p w14:paraId="26542646">
      <w:pPr>
        <w:keepNext w:val="0"/>
        <w:keepLines w:val="0"/>
        <w:pageBreakBefore w:val="0"/>
        <w:widowControl w:val="0"/>
        <w:kinsoku/>
        <w:wordWrap w:val="0"/>
        <w:overflowPunct/>
        <w:topLinePunct w:val="0"/>
        <w:autoSpaceDE/>
        <w:autoSpaceDN/>
        <w:bidi w:val="0"/>
        <w:spacing w:before="0" w:after="0" w:line="600" w:lineRule="exact"/>
        <w:ind w:left="20" w:right="40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第五十二条</w:t>
      </w:r>
      <w:r>
        <w:rPr>
          <w:rFonts w:hint="eastAsia" w:ascii="仿宋_GB2312" w:hAnsi="仿宋_GB2312" w:eastAsia="仿宋_GB2312" w:cs="仿宋_GB2312"/>
          <w:b w:val="0"/>
          <w:i w:val="0"/>
          <w:strike w:val="0"/>
          <w:color w:val="000000"/>
          <w:sz w:val="32"/>
          <w:szCs w:val="32"/>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 xml:space="preserve"> 拒绝、阻碍独木水库管理局、市级有关行政主管部门和相关县(区)、镇人民政府及其他行政机关的工作人员依法执行职务，违反《中华人民共和国治安管理处罚法》的，由公安机关依法予以处罚；构成犯罪的，依法追究刑事责任。</w:t>
      </w:r>
    </w:p>
    <w:p w14:paraId="76B6F188">
      <w:pPr>
        <w:keepNext w:val="0"/>
        <w:keepLines w:val="0"/>
        <w:pageBreakBefore w:val="0"/>
        <w:widowControl w:val="0"/>
        <w:kinsoku/>
        <w:wordWrap w:val="0"/>
        <w:overflowPunct/>
        <w:topLinePunct w:val="0"/>
        <w:autoSpaceDE/>
        <w:autoSpaceDN/>
        <w:bidi w:val="0"/>
        <w:spacing w:before="0" w:after="0" w:line="600" w:lineRule="exact"/>
        <w:ind w:right="0"/>
        <w:jc w:val="center"/>
        <w:textAlignment w:val="baseline"/>
        <w:rPr>
          <w:rFonts w:hint="eastAsia" w:ascii="黑体" w:hAnsi="黑体" w:eastAsia="黑体" w:cs="黑体"/>
          <w:b w:val="0"/>
          <w:i w:val="0"/>
          <w:strike w:val="0"/>
          <w:color w:val="000000"/>
          <w:sz w:val="32"/>
          <w:szCs w:val="32"/>
        </w:rPr>
      </w:pPr>
      <w:r>
        <w:rPr>
          <w:rFonts w:hint="eastAsia" w:ascii="黑体" w:hAnsi="黑体" w:eastAsia="黑体" w:cs="黑体"/>
          <w:b w:val="0"/>
          <w:i w:val="0"/>
          <w:strike w:val="0"/>
          <w:color w:val="000000"/>
          <w:sz w:val="32"/>
          <w:szCs w:val="32"/>
        </w:rPr>
        <w:t xml:space="preserve">第五章  </w:t>
      </w:r>
      <w:r>
        <w:rPr>
          <w:rFonts w:hint="eastAsia" w:ascii="黑体" w:hAnsi="黑体" w:eastAsia="黑体" w:cs="黑体"/>
          <w:b w:val="0"/>
          <w:i w:val="0"/>
          <w:strike w:val="0"/>
          <w:color w:val="000000"/>
          <w:sz w:val="32"/>
          <w:szCs w:val="32"/>
          <w:lang w:val="en-US" w:eastAsia="zh-CN"/>
        </w:rPr>
        <w:t xml:space="preserve"> </w:t>
      </w:r>
      <w:r>
        <w:rPr>
          <w:rFonts w:hint="eastAsia" w:ascii="黑体" w:hAnsi="黑体" w:eastAsia="黑体" w:cs="黑体"/>
          <w:b w:val="0"/>
          <w:i w:val="0"/>
          <w:strike w:val="0"/>
          <w:color w:val="000000"/>
          <w:sz w:val="32"/>
          <w:szCs w:val="32"/>
        </w:rPr>
        <w:t>附</w:t>
      </w:r>
      <w:r>
        <w:rPr>
          <w:rFonts w:hint="eastAsia" w:ascii="黑体" w:hAnsi="黑体" w:eastAsia="黑体" w:cs="黑体"/>
          <w:b w:val="0"/>
          <w:i w:val="0"/>
          <w:strike w:val="0"/>
          <w:color w:val="000000"/>
          <w:sz w:val="32"/>
          <w:szCs w:val="32"/>
          <w:lang w:val="en-US" w:eastAsia="zh-CN"/>
        </w:rPr>
        <w:t xml:space="preserve">   </w:t>
      </w:r>
      <w:r>
        <w:rPr>
          <w:rFonts w:hint="eastAsia" w:ascii="黑体" w:hAnsi="黑体" w:eastAsia="黑体" w:cs="黑体"/>
          <w:b w:val="0"/>
          <w:i w:val="0"/>
          <w:strike w:val="0"/>
          <w:color w:val="000000"/>
          <w:sz w:val="32"/>
          <w:szCs w:val="32"/>
        </w:rPr>
        <w:t>则</w:t>
      </w:r>
    </w:p>
    <w:p w14:paraId="2E3386EB">
      <w:pPr>
        <w:keepNext w:val="0"/>
        <w:keepLines w:val="0"/>
        <w:pageBreakBefore w:val="0"/>
        <w:widowControl w:val="0"/>
        <w:kinsoku/>
        <w:wordWrap w:val="0"/>
        <w:overflowPunct/>
        <w:topLinePunct w:val="0"/>
        <w:autoSpaceDE/>
        <w:autoSpaceDN/>
        <w:bidi w:val="0"/>
        <w:spacing w:before="0" w:after="0" w:line="600" w:lineRule="exact"/>
        <w:ind w:left="20" w:right="40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第五十三条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本细则由曲靖市人民政府负责解释。</w:t>
      </w:r>
    </w:p>
    <w:p w14:paraId="174A78B6">
      <w:pPr>
        <w:keepNext w:val="0"/>
        <w:keepLines w:val="0"/>
        <w:pageBreakBefore w:val="0"/>
        <w:widowControl w:val="0"/>
        <w:kinsoku/>
        <w:wordWrap w:val="0"/>
        <w:overflowPunct/>
        <w:topLinePunct w:val="0"/>
        <w:autoSpaceDE/>
        <w:autoSpaceDN/>
        <w:bidi w:val="0"/>
        <w:spacing w:before="0" w:after="0" w:line="600" w:lineRule="exact"/>
        <w:ind w:left="20" w:right="400" w:firstLine="608" w:firstLineChars="200"/>
        <w:jc w:val="both"/>
        <w:textAlignment w:val="baseline"/>
        <w:rPr>
          <w:rFonts w:hint="eastAsia" w:ascii="宋体" w:hAnsi="宋体"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b w:val="0"/>
          <w:i w:val="0"/>
          <w:strike w:val="0"/>
          <w:color w:val="000000"/>
          <w:sz w:val="32"/>
          <w:szCs w:val="32"/>
        </w:rPr>
        <w:t>第五十四条</w:t>
      </w:r>
      <w:r>
        <w:rPr>
          <w:rFonts w:hint="eastAsia" w:ascii="仿宋_GB2312" w:hAnsi="仿宋_GB2312" w:eastAsia="仿宋_GB2312" w:cs="仿宋_GB2312"/>
          <w:b w:val="0"/>
          <w:i w:val="0"/>
          <w:strike w:val="0"/>
          <w:color w:val="000000"/>
          <w:sz w:val="32"/>
          <w:szCs w:val="32"/>
        </w:rPr>
        <w:t xml:space="preserve"> </w:t>
      </w:r>
      <w:r>
        <w:rPr>
          <w:rFonts w:hint="eastAsia" w:ascii="仿宋_GB2312" w:hAnsi="仿宋_GB2312" w:eastAsia="仿宋_GB2312" w:cs="仿宋_GB2312"/>
          <w:b w:val="0"/>
          <w:i w:val="0"/>
          <w:strike w:val="0"/>
          <w:color w:val="000000"/>
          <w:sz w:val="32"/>
          <w:szCs w:val="32"/>
          <w:lang w:val="en-US" w:eastAsia="zh-CN"/>
        </w:rPr>
        <w:t xml:space="preserve"> </w:t>
      </w:r>
      <w:r>
        <w:rPr>
          <w:rFonts w:hint="eastAsia" w:ascii="宋体" w:hAnsi="宋体" w:eastAsia="仿宋_GB2312" w:cs="仿宋_GB2312"/>
          <w:i w:val="0"/>
          <w:caps w:val="0"/>
          <w:color w:val="000000"/>
          <w:spacing w:val="0"/>
          <w:kern w:val="2"/>
          <w:sz w:val="32"/>
          <w:szCs w:val="32"/>
          <w:shd w:val="clear" w:color="auto" w:fill="FFFFFF"/>
          <w:lang w:val="en-US" w:eastAsia="zh-CN" w:bidi="ar-SA"/>
        </w:rPr>
        <w:t>本细则自2009年3月1日起施行。</w:t>
      </w:r>
    </w:p>
    <w:p w14:paraId="55655BDD">
      <w:pPr>
        <w:keepNext w:val="0"/>
        <w:keepLines w:val="0"/>
        <w:pageBreakBefore w:val="0"/>
        <w:widowControl w:val="0"/>
        <w:kinsoku/>
        <w:wordWrap w:val="0"/>
        <w:overflowPunct/>
        <w:topLinePunct w:val="0"/>
        <w:autoSpaceDE/>
        <w:autoSpaceDN/>
        <w:bidi w:val="0"/>
        <w:spacing w:before="0" w:after="0" w:line="600" w:lineRule="exact"/>
        <w:ind w:left="20" w:right="400" w:firstLine="608" w:firstLineChars="200"/>
        <w:jc w:val="both"/>
        <w:textAlignment w:val="baseline"/>
        <w:rPr>
          <w:rFonts w:hint="eastAsia" w:ascii="仿宋_GB2312" w:hAnsi="仿宋_GB2312" w:eastAsia="仿宋_GB2312" w:cs="仿宋_GB2312"/>
          <w:b w:val="0"/>
          <w:i w:val="0"/>
          <w:strike w:val="0"/>
          <w:color w:val="000000"/>
          <w:sz w:val="32"/>
          <w:szCs w:val="32"/>
        </w:rPr>
      </w:pPr>
    </w:p>
    <w:sectPr>
      <w:footerReference r:id="rId3" w:type="default"/>
      <w:footerReference r:id="rId4" w:type="even"/>
      <w:pgSz w:w="11905" w:h="16838"/>
      <w:pgMar w:top="2098" w:right="1474" w:bottom="1984" w:left="1531" w:header="1701" w:footer="1587" w:gutter="0"/>
      <w:pgNumType w:fmt="decimal"/>
      <w:cols w:space="0" w:num="1"/>
      <w:rtlGutter w:val="0"/>
      <w:docGrid w:type="linesAndChars" w:linePitch="289" w:charSpace="-3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书宋简体">
    <w:altName w:val="宋体"/>
    <w:panose1 w:val="02000000000000000000"/>
    <w:charset w:val="86"/>
    <w:family w:val="script"/>
    <w:pitch w:val="default"/>
    <w:sig w:usb0="00000000" w:usb1="00000000" w:usb2="00000012" w:usb3="00000000" w:csb0="00040001" w:csb1="00000000"/>
  </w:font>
  <w:font w:name="方正小标宋_GBK">
    <w:altName w:val="Arial Unicode MS"/>
    <w:panose1 w:val="02000000000000000000"/>
    <w:charset w:val="86"/>
    <w:family w:val="auto"/>
    <w:pitch w:val="default"/>
    <w:sig w:usb0="00000000" w:usb1="00000000" w:usb2="00082016" w:usb3="00000000" w:csb0="00040001"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858C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75804">
                          <w:pPr>
                            <w:pStyle w:val="4"/>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eastAsiaTheme="minorEastAsia"/>
                              <w:sz w:val="28"/>
                              <w:szCs w:val="28"/>
                              <w:lang w:eastAsia="zh-CN"/>
                            </w:rPr>
                          </w:pPr>
                          <w:r>
                            <w:rPr>
                              <w:rFonts w:hint="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D75804">
                    <w:pPr>
                      <w:pStyle w:val="4"/>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eastAsiaTheme="minorEastAsia"/>
                        <w:sz w:val="28"/>
                        <w:szCs w:val="28"/>
                        <w:lang w:eastAsia="zh-CN"/>
                      </w:rPr>
                    </w:pPr>
                    <w:r>
                      <w:rPr>
                        <w:rFonts w:hint="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50BDB">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490D9">
                          <w:pPr>
                            <w:pStyle w:val="4"/>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eastAsiaTheme="minorEastAsia"/>
                              <w:sz w:val="28"/>
                              <w:szCs w:val="28"/>
                              <w:lang w:eastAsia="zh-CN"/>
                            </w:rPr>
                          </w:pPr>
                          <w:r>
                            <w:rPr>
                              <w:rFonts w:hint="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89490D9">
                    <w:pPr>
                      <w:pStyle w:val="4"/>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eastAsiaTheme="minorEastAsia"/>
                        <w:sz w:val="28"/>
                        <w:szCs w:val="28"/>
                        <w:lang w:eastAsia="zh-CN"/>
                      </w:rPr>
                    </w:pPr>
                    <w:r>
                      <w:rPr>
                        <w:rFonts w:hint="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evenAndOddHeaders w:val="1"/>
  <w:drawingGridHorizontalSpacing w:val="159"/>
  <w:drawingGridVerticalSpacing w:val="290"/>
  <w:displayHorizontalDrawingGridEvery w:val="1"/>
  <w:displayVerticalDrawingGridEvery w:val="1"/>
  <w:noPunctuationKerning w:val="1"/>
  <w:compat>
    <w:ulTrailSpace/>
    <w:doNotExpandShiftReturn/>
    <w:doNotWrapTextWithPunct/>
    <w:doNotUseEastAsianBreakRules/>
    <w:useFELayout/>
    <w:compatSetting w:name="compatibilityMode" w:uri="http://schemas.microsoft.com/office/word" w:val="15"/>
  </w:compat>
  <w:rsids>
    <w:rsidRoot w:val="00000000"/>
    <w:rsid w:val="091E541D"/>
    <w:rsid w:val="11463B57"/>
    <w:rsid w:val="16AE4F49"/>
    <w:rsid w:val="1B18224E"/>
    <w:rsid w:val="2678622E"/>
    <w:rsid w:val="3ACB5D52"/>
    <w:rsid w:val="43F52509"/>
    <w:rsid w:val="46BF2FC6"/>
    <w:rsid w:val="55F76E47"/>
    <w:rsid w:val="5BBD90EB"/>
    <w:rsid w:val="65884254"/>
    <w:rsid w:val="65DC3DB2"/>
    <w:rsid w:val="69D22EEF"/>
    <w:rsid w:val="6B94436C"/>
    <w:rsid w:val="71131988"/>
    <w:rsid w:val="721C57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32"/>
      <w:sz w:val="21"/>
      <w:szCs w:val="22"/>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一级标题（二号小标宋）"/>
    <w:basedOn w:val="1"/>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3757</Words>
  <Characters>3764</Characters>
  <TotalTime>646</TotalTime>
  <ScaleCrop>false</ScaleCrop>
  <LinksUpToDate>false</LinksUpToDate>
  <CharactersWithSpaces>3889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2023-10-26T16:03:00Z</dcterms:created>
  <dc:creator>Apache POI</dc:creator>
  <cp:lastModifiedBy>郭丽娜</cp:lastModifiedBy>
  <dcterms:modified xsi:type="dcterms:W3CDTF">2026-09-01T07:30:40Z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06378042731B420C9EA7D2ABC18B6C4D_13</vt:lpwstr>
  </property>
  <property fmtid="{D5CDD505-2E9C-101B-9397-08002B2CF9AE}" pid="4" name="KSOTemplateDocerSaveRecord">
    <vt:lpwstr>eyJoZGlkIjoiYTA0OTFiNTllN2E3YTc2MDc5ZTIwYTg0ZjFlZjFlMWQiLCJ1c2VySWQiOiIzNzMyMDUyODEifQ==</vt:lpwstr>
  </property>
</Properties>
</file>