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xml" ContentType="application/vnd.openxmlformats-officedocument.wordprocessingml.footer+xml"/>
  <Override PartName="/word/footer170.xml" ContentType="application/vnd.openxmlformats-officedocument.wordprocessingml.footer+xml"/>
  <Override PartName="/word/footer171.xml" ContentType="application/vnd.openxmlformats-officedocument.wordprocessingml.footer+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5.xml" ContentType="application/vnd.openxmlformats-officedocument.wordprocessingml.footer+xml"/>
  <Override PartName="/word/footer176.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8.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82.xml" ContentType="application/vnd.openxmlformats-officedocument.wordprocessingml.footer+xml"/>
  <Override PartName="/word/footer183.xml" ContentType="application/vnd.openxmlformats-officedocument.wordprocessingml.footer+xml"/>
  <Override PartName="/word/footer184.xml" ContentType="application/vnd.openxmlformats-officedocument.wordprocessingml.footer+xml"/>
  <Override PartName="/word/footer185.xml" ContentType="application/vnd.openxmlformats-officedocument.wordprocessingml.footer+xml"/>
  <Override PartName="/word/footer186.xml" ContentType="application/vnd.openxmlformats-officedocument.wordprocessingml.footer+xml"/>
  <Override PartName="/word/footer187.xml" ContentType="application/vnd.openxmlformats-officedocument.wordprocessingml.footer+xml"/>
  <Override PartName="/word/footer188.xml" ContentType="application/vnd.openxmlformats-officedocument.wordprocessingml.footer+xml"/>
  <Override PartName="/word/footer189.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1D9A1">
      <w:pPr>
        <w:spacing w:line="16820" w:lineRule="exact"/>
      </w:pPr>
      <w:r>
        <w:rPr>
          <w:position w:val="-336"/>
        </w:rPr>
        <w:drawing>
          <wp:inline distT="0" distB="0" distL="0" distR="0">
            <wp:extent cx="7559040" cy="106807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96"/>
                    <a:stretch>
                      <a:fillRect/>
                    </a:stretch>
                  </pic:blipFill>
                  <pic:spPr>
                    <a:xfrm>
                      <a:off x="0" y="0"/>
                      <a:ext cx="7559040" cy="10681234"/>
                    </a:xfrm>
                    <a:prstGeom prst="rect">
                      <a:avLst/>
                    </a:prstGeom>
                  </pic:spPr>
                </pic:pic>
              </a:graphicData>
            </a:graphic>
          </wp:inline>
        </w:drawing>
      </w:r>
    </w:p>
    <w:p w14:paraId="61E3C16F">
      <w:pPr>
        <w:spacing w:line="16820" w:lineRule="exact"/>
        <w:sectPr>
          <w:headerReference r:id="rId5" w:type="default"/>
          <w:footerReference r:id="rId6" w:type="default"/>
          <w:pgSz w:w="11905" w:h="16834"/>
          <w:pgMar w:top="1" w:right="0" w:bottom="1" w:left="0" w:header="0" w:footer="0" w:gutter="0"/>
          <w:cols w:space="720" w:num="1"/>
        </w:sectPr>
      </w:pPr>
    </w:p>
    <w:p w14:paraId="0199EDBB">
      <w:pPr>
        <w:spacing w:line="16820" w:lineRule="exact"/>
      </w:pPr>
      <w:r>
        <w:rPr>
          <w:position w:val="-336"/>
        </w:rPr>
        <w:drawing>
          <wp:inline distT="0" distB="0" distL="0" distR="0">
            <wp:extent cx="7559040" cy="106807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97"/>
                    <a:stretch>
                      <a:fillRect/>
                    </a:stretch>
                  </pic:blipFill>
                  <pic:spPr>
                    <a:xfrm>
                      <a:off x="0" y="0"/>
                      <a:ext cx="7559040" cy="10681234"/>
                    </a:xfrm>
                    <a:prstGeom prst="rect">
                      <a:avLst/>
                    </a:prstGeom>
                  </pic:spPr>
                </pic:pic>
              </a:graphicData>
            </a:graphic>
          </wp:inline>
        </w:drawing>
      </w:r>
    </w:p>
    <w:p w14:paraId="23287CCE">
      <w:pPr>
        <w:spacing w:line="16820" w:lineRule="exact"/>
        <w:sectPr>
          <w:pgSz w:w="11905" w:h="16834"/>
          <w:pgMar w:top="1" w:right="0" w:bottom="1" w:left="0" w:header="0" w:footer="0" w:gutter="0"/>
          <w:cols w:space="720" w:num="1"/>
        </w:sectPr>
      </w:pPr>
    </w:p>
    <w:p w14:paraId="55845816">
      <w:pPr>
        <w:spacing w:line="261" w:lineRule="auto"/>
        <w:rPr>
          <w:rFonts w:ascii="Arial"/>
          <w:sz w:val="21"/>
        </w:rPr>
      </w:pPr>
    </w:p>
    <w:p w14:paraId="79AF8166">
      <w:pPr>
        <w:spacing w:line="261" w:lineRule="auto"/>
        <w:rPr>
          <w:rFonts w:ascii="Arial"/>
          <w:sz w:val="21"/>
        </w:rPr>
      </w:pPr>
    </w:p>
    <w:p w14:paraId="5B427891">
      <w:pPr>
        <w:spacing w:line="262" w:lineRule="auto"/>
        <w:rPr>
          <w:rFonts w:ascii="Arial"/>
          <w:sz w:val="21"/>
        </w:rPr>
      </w:pPr>
    </w:p>
    <w:p w14:paraId="21E883A9">
      <w:pPr>
        <w:spacing w:before="78" w:line="220" w:lineRule="auto"/>
        <w:ind w:left="4348"/>
        <w:outlineLvl w:val="0"/>
        <w:rPr>
          <w:rFonts w:ascii="宋体" w:hAnsi="宋体" w:eastAsia="宋体" w:cs="宋体"/>
          <w:sz w:val="24"/>
          <w:szCs w:val="24"/>
        </w:rPr>
      </w:pPr>
      <w:r>
        <w:rPr>
          <w:rFonts w:ascii="宋体" w:hAnsi="宋体" w:eastAsia="宋体" w:cs="宋体"/>
          <w:b/>
          <w:bCs/>
          <w:spacing w:val="-5"/>
          <w:sz w:val="24"/>
          <w:szCs w:val="24"/>
        </w:rPr>
        <w:t>现场照片</w:t>
      </w:r>
    </w:p>
    <w:p w14:paraId="46765CE2">
      <w:pPr>
        <w:spacing w:line="87" w:lineRule="exact"/>
      </w:pPr>
    </w:p>
    <w:tbl>
      <w:tblPr>
        <w:tblStyle w:val="5"/>
        <w:tblW w:w="963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817"/>
        <w:gridCol w:w="4818"/>
      </w:tblGrid>
      <w:tr w14:paraId="3E693D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3" w:hRule="atLeast"/>
        </w:trPr>
        <w:tc>
          <w:tcPr>
            <w:tcW w:w="4817" w:type="dxa"/>
            <w:vAlign w:val="top"/>
          </w:tcPr>
          <w:p w14:paraId="1A9CAD7E">
            <w:pPr>
              <w:spacing w:before="33" w:line="2676" w:lineRule="exact"/>
              <w:ind w:firstLine="28"/>
            </w:pPr>
            <w:r>
              <w:rPr>
                <w:position w:val="-53"/>
              </w:rPr>
              <w:drawing>
                <wp:inline distT="0" distB="0" distL="0" distR="0">
                  <wp:extent cx="3020695" cy="1698625"/>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r:embed="rId198"/>
                          <a:stretch>
                            <a:fillRect/>
                          </a:stretch>
                        </pic:blipFill>
                        <pic:spPr>
                          <a:xfrm>
                            <a:off x="0" y="0"/>
                            <a:ext cx="3021329" cy="1699259"/>
                          </a:xfrm>
                          <a:prstGeom prst="rect">
                            <a:avLst/>
                          </a:prstGeom>
                        </pic:spPr>
                      </pic:pic>
                    </a:graphicData>
                  </a:graphic>
                </wp:inline>
              </w:drawing>
            </w:r>
          </w:p>
        </w:tc>
        <w:tc>
          <w:tcPr>
            <w:tcW w:w="4818" w:type="dxa"/>
            <w:vAlign w:val="top"/>
          </w:tcPr>
          <w:p w14:paraId="47456F4A">
            <w:pPr>
              <w:spacing w:before="33" w:line="2675" w:lineRule="exact"/>
              <w:ind w:firstLine="25"/>
            </w:pPr>
            <w:r>
              <w:rPr>
                <w:position w:val="-53"/>
              </w:rPr>
              <w:drawing>
                <wp:inline distT="0" distB="0" distL="0" distR="0">
                  <wp:extent cx="3020695" cy="1698625"/>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199"/>
                          <a:stretch>
                            <a:fillRect/>
                          </a:stretch>
                        </pic:blipFill>
                        <pic:spPr>
                          <a:xfrm>
                            <a:off x="0" y="0"/>
                            <a:ext cx="3020948" cy="1698879"/>
                          </a:xfrm>
                          <a:prstGeom prst="rect">
                            <a:avLst/>
                          </a:prstGeom>
                        </pic:spPr>
                      </pic:pic>
                    </a:graphicData>
                  </a:graphic>
                </wp:inline>
              </w:drawing>
            </w:r>
          </w:p>
        </w:tc>
      </w:tr>
      <w:tr w14:paraId="7F878C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4817" w:type="dxa"/>
            <w:vAlign w:val="top"/>
          </w:tcPr>
          <w:p w14:paraId="3BFE1EC5">
            <w:pPr>
              <w:spacing w:before="147" w:line="220" w:lineRule="auto"/>
              <w:ind w:left="1677"/>
              <w:rPr>
                <w:rFonts w:ascii="宋体" w:hAnsi="宋体" w:eastAsia="宋体" w:cs="宋体"/>
                <w:sz w:val="21"/>
                <w:szCs w:val="21"/>
              </w:rPr>
            </w:pPr>
            <w:r>
              <w:rPr>
                <w:rFonts w:ascii="宋体" w:hAnsi="宋体" w:eastAsia="宋体" w:cs="宋体"/>
                <w:spacing w:val="-1"/>
                <w:sz w:val="21"/>
                <w:szCs w:val="21"/>
              </w:rPr>
              <w:t>迤车牵引变站址</w:t>
            </w:r>
          </w:p>
        </w:tc>
        <w:tc>
          <w:tcPr>
            <w:tcW w:w="4818" w:type="dxa"/>
            <w:vAlign w:val="top"/>
          </w:tcPr>
          <w:p w14:paraId="536ED166">
            <w:pPr>
              <w:spacing w:before="147" w:line="221" w:lineRule="auto"/>
              <w:ind w:left="1152"/>
              <w:rPr>
                <w:rFonts w:ascii="宋体" w:hAnsi="宋体" w:eastAsia="宋体" w:cs="宋体"/>
                <w:sz w:val="21"/>
                <w:szCs w:val="21"/>
              </w:rPr>
            </w:pPr>
            <w:r>
              <w:rPr>
                <w:rFonts w:ascii="Times New Roman" w:hAnsi="Times New Roman" w:eastAsia="Times New Roman" w:cs="Times New Roman"/>
                <w:spacing w:val="-1"/>
                <w:sz w:val="21"/>
                <w:szCs w:val="21"/>
              </w:rPr>
              <w:t xml:space="preserve">220kV </w:t>
            </w:r>
            <w:r>
              <w:rPr>
                <w:rFonts w:ascii="宋体" w:hAnsi="宋体" w:eastAsia="宋体" w:cs="宋体"/>
                <w:spacing w:val="-1"/>
                <w:sz w:val="21"/>
                <w:szCs w:val="21"/>
              </w:rPr>
              <w:t>迤车变（间隔扩建）</w:t>
            </w:r>
          </w:p>
        </w:tc>
      </w:tr>
      <w:tr w14:paraId="49184D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0" w:hRule="atLeast"/>
        </w:trPr>
        <w:tc>
          <w:tcPr>
            <w:tcW w:w="4817" w:type="dxa"/>
            <w:vAlign w:val="top"/>
          </w:tcPr>
          <w:p w14:paraId="3BE6DB11">
            <w:pPr>
              <w:spacing w:before="29" w:line="2677" w:lineRule="exact"/>
              <w:ind w:firstLine="28"/>
            </w:pPr>
            <w:r>
              <w:rPr>
                <w:position w:val="-53"/>
              </w:rPr>
              <w:drawing>
                <wp:inline distT="0" distB="0" distL="0" distR="0">
                  <wp:extent cx="3020695" cy="1699895"/>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200"/>
                          <a:stretch>
                            <a:fillRect/>
                          </a:stretch>
                        </pic:blipFill>
                        <pic:spPr>
                          <a:xfrm>
                            <a:off x="0" y="0"/>
                            <a:ext cx="3021329" cy="1699895"/>
                          </a:xfrm>
                          <a:prstGeom prst="rect">
                            <a:avLst/>
                          </a:prstGeom>
                        </pic:spPr>
                      </pic:pic>
                    </a:graphicData>
                  </a:graphic>
                </wp:inline>
              </w:drawing>
            </w:r>
          </w:p>
        </w:tc>
        <w:tc>
          <w:tcPr>
            <w:tcW w:w="4818" w:type="dxa"/>
            <w:vAlign w:val="top"/>
          </w:tcPr>
          <w:p w14:paraId="15A05F6B">
            <w:pPr>
              <w:spacing w:before="29" w:line="2678" w:lineRule="exact"/>
              <w:ind w:firstLine="25"/>
            </w:pPr>
            <w:r>
              <w:rPr>
                <w:position w:val="-53"/>
              </w:rPr>
              <w:drawing>
                <wp:inline distT="0" distB="0" distL="0" distR="0">
                  <wp:extent cx="3021965" cy="1699895"/>
                  <wp:effectExtent l="0" t="0" r="0" b="0"/>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201"/>
                          <a:stretch>
                            <a:fillRect/>
                          </a:stretch>
                        </pic:blipFill>
                        <pic:spPr>
                          <a:xfrm>
                            <a:off x="0" y="0"/>
                            <a:ext cx="3021965" cy="1700529"/>
                          </a:xfrm>
                          <a:prstGeom prst="rect">
                            <a:avLst/>
                          </a:prstGeom>
                        </pic:spPr>
                      </pic:pic>
                    </a:graphicData>
                  </a:graphic>
                </wp:inline>
              </w:drawing>
            </w:r>
          </w:p>
        </w:tc>
      </w:tr>
      <w:tr w14:paraId="2830B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4817" w:type="dxa"/>
            <w:vAlign w:val="top"/>
          </w:tcPr>
          <w:p w14:paraId="5E05CB36">
            <w:pPr>
              <w:spacing w:before="149" w:line="221" w:lineRule="auto"/>
              <w:ind w:left="1579"/>
              <w:rPr>
                <w:rFonts w:ascii="宋体" w:hAnsi="宋体" w:eastAsia="宋体" w:cs="宋体"/>
                <w:sz w:val="21"/>
                <w:szCs w:val="21"/>
              </w:rPr>
            </w:pPr>
            <w:r>
              <w:rPr>
                <w:rFonts w:ascii="Times New Roman" w:hAnsi="Times New Roman" w:eastAsia="Times New Roman" w:cs="Times New Roman"/>
                <w:spacing w:val="-3"/>
                <w:sz w:val="21"/>
                <w:szCs w:val="21"/>
              </w:rPr>
              <w:t>500kV</w:t>
            </w:r>
            <w:r>
              <w:rPr>
                <w:rFonts w:ascii="Times New Roman" w:hAnsi="Times New Roman" w:eastAsia="Times New Roman" w:cs="Times New Roman"/>
                <w:spacing w:val="23"/>
                <w:sz w:val="21"/>
                <w:szCs w:val="21"/>
              </w:rPr>
              <w:t xml:space="preserve"> </w:t>
            </w:r>
            <w:r>
              <w:rPr>
                <w:rFonts w:ascii="宋体" w:hAnsi="宋体" w:eastAsia="宋体" w:cs="宋体"/>
                <w:spacing w:val="-3"/>
                <w:sz w:val="21"/>
                <w:szCs w:val="21"/>
              </w:rPr>
              <w:t>乐业变站址</w:t>
            </w:r>
          </w:p>
        </w:tc>
        <w:tc>
          <w:tcPr>
            <w:tcW w:w="4818" w:type="dxa"/>
            <w:vAlign w:val="top"/>
          </w:tcPr>
          <w:p w14:paraId="76AE1FDD">
            <w:pPr>
              <w:spacing w:before="148" w:line="221" w:lineRule="auto"/>
              <w:ind w:left="1363"/>
              <w:rPr>
                <w:rFonts w:ascii="宋体" w:hAnsi="宋体" w:eastAsia="宋体" w:cs="宋体"/>
                <w:sz w:val="21"/>
                <w:szCs w:val="21"/>
              </w:rPr>
            </w:pPr>
            <w:r>
              <w:rPr>
                <w:rFonts w:ascii="Times New Roman" w:hAnsi="Times New Roman" w:eastAsia="Times New Roman" w:cs="Times New Roman"/>
                <w:spacing w:val="-1"/>
                <w:sz w:val="21"/>
                <w:szCs w:val="21"/>
              </w:rPr>
              <w:t xml:space="preserve">220kV </w:t>
            </w:r>
            <w:r>
              <w:rPr>
                <w:rFonts w:ascii="宋体" w:hAnsi="宋体" w:eastAsia="宋体" w:cs="宋体"/>
                <w:spacing w:val="-1"/>
                <w:sz w:val="21"/>
                <w:szCs w:val="21"/>
              </w:rPr>
              <w:t>者迤Ⅰ回改接点</w:t>
            </w:r>
          </w:p>
        </w:tc>
      </w:tr>
      <w:tr w14:paraId="6BC93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0" w:hRule="atLeast"/>
        </w:trPr>
        <w:tc>
          <w:tcPr>
            <w:tcW w:w="4817" w:type="dxa"/>
            <w:vAlign w:val="top"/>
          </w:tcPr>
          <w:p w14:paraId="01450FA0">
            <w:pPr>
              <w:spacing w:before="30" w:line="2677" w:lineRule="exact"/>
              <w:ind w:firstLine="28"/>
            </w:pPr>
            <w:r>
              <w:rPr>
                <w:position w:val="-53"/>
              </w:rPr>
              <w:drawing>
                <wp:inline distT="0" distB="0" distL="0" distR="0">
                  <wp:extent cx="3020695" cy="1699895"/>
                  <wp:effectExtent l="0" t="0" r="0" b="0"/>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202"/>
                          <a:stretch>
                            <a:fillRect/>
                          </a:stretch>
                        </pic:blipFill>
                        <pic:spPr>
                          <a:xfrm>
                            <a:off x="0" y="0"/>
                            <a:ext cx="3021329" cy="1699895"/>
                          </a:xfrm>
                          <a:prstGeom prst="rect">
                            <a:avLst/>
                          </a:prstGeom>
                        </pic:spPr>
                      </pic:pic>
                    </a:graphicData>
                  </a:graphic>
                </wp:inline>
              </w:drawing>
            </w:r>
          </w:p>
        </w:tc>
        <w:tc>
          <w:tcPr>
            <w:tcW w:w="4818" w:type="dxa"/>
            <w:vAlign w:val="top"/>
          </w:tcPr>
          <w:p w14:paraId="3B30DD58">
            <w:pPr>
              <w:spacing w:before="30" w:line="2678" w:lineRule="exact"/>
              <w:ind w:firstLine="25"/>
            </w:pPr>
            <w:r>
              <w:rPr>
                <w:position w:val="-53"/>
              </w:rPr>
              <w:drawing>
                <wp:inline distT="0" distB="0" distL="0" distR="0">
                  <wp:extent cx="3021965" cy="1699895"/>
                  <wp:effectExtent l="0" t="0" r="0" b="0"/>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203"/>
                          <a:stretch>
                            <a:fillRect/>
                          </a:stretch>
                        </pic:blipFill>
                        <pic:spPr>
                          <a:xfrm>
                            <a:off x="0" y="0"/>
                            <a:ext cx="3021965" cy="1700529"/>
                          </a:xfrm>
                          <a:prstGeom prst="rect">
                            <a:avLst/>
                          </a:prstGeom>
                        </pic:spPr>
                      </pic:pic>
                    </a:graphicData>
                  </a:graphic>
                </wp:inline>
              </w:drawing>
            </w:r>
          </w:p>
        </w:tc>
      </w:tr>
      <w:tr w14:paraId="432035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3" w:hRule="atLeast"/>
        </w:trPr>
        <w:tc>
          <w:tcPr>
            <w:tcW w:w="4817" w:type="dxa"/>
            <w:vAlign w:val="top"/>
          </w:tcPr>
          <w:p w14:paraId="5C4FCBBB">
            <w:pPr>
              <w:spacing w:before="151" w:line="234" w:lineRule="auto"/>
              <w:ind w:left="1287"/>
              <w:rPr>
                <w:rFonts w:ascii="Times New Roman" w:hAnsi="Times New Roman" w:eastAsia="Times New Roman" w:cs="Times New Roman"/>
                <w:sz w:val="21"/>
                <w:szCs w:val="21"/>
              </w:rPr>
            </w:pPr>
            <w:r>
              <w:rPr>
                <w:rFonts w:ascii="宋体" w:hAnsi="宋体" w:eastAsia="宋体" w:cs="宋体"/>
                <w:spacing w:val="-1"/>
                <w:sz w:val="21"/>
                <w:szCs w:val="21"/>
              </w:rPr>
              <w:t>线路穿越生态保护红线</w:t>
            </w:r>
            <w:r>
              <w:rPr>
                <w:rFonts w:ascii="宋体" w:hAnsi="宋体" w:eastAsia="宋体" w:cs="宋体"/>
                <w:spacing w:val="-26"/>
                <w:sz w:val="21"/>
                <w:szCs w:val="21"/>
              </w:rPr>
              <w:t xml:space="preserve"> </w:t>
            </w:r>
            <w:r>
              <w:rPr>
                <w:rFonts w:ascii="Times New Roman" w:hAnsi="Times New Roman" w:eastAsia="Times New Roman" w:cs="Times New Roman"/>
                <w:spacing w:val="-1"/>
                <w:sz w:val="21"/>
                <w:szCs w:val="21"/>
              </w:rPr>
              <w:t>1</w:t>
            </w:r>
          </w:p>
        </w:tc>
        <w:tc>
          <w:tcPr>
            <w:tcW w:w="4818" w:type="dxa"/>
            <w:vAlign w:val="top"/>
          </w:tcPr>
          <w:p w14:paraId="31C7C4B7">
            <w:pPr>
              <w:spacing w:before="151" w:line="234" w:lineRule="auto"/>
              <w:ind w:left="1288"/>
              <w:rPr>
                <w:rFonts w:ascii="Times New Roman" w:hAnsi="Times New Roman" w:eastAsia="Times New Roman" w:cs="Times New Roman"/>
                <w:sz w:val="21"/>
                <w:szCs w:val="21"/>
              </w:rPr>
            </w:pPr>
            <w:r>
              <w:rPr>
                <w:rFonts w:ascii="宋体" w:hAnsi="宋体" w:eastAsia="宋体" w:cs="宋体"/>
                <w:spacing w:val="-1"/>
                <w:sz w:val="21"/>
                <w:szCs w:val="21"/>
              </w:rPr>
              <w:t>线路穿越生态保护红线</w:t>
            </w:r>
            <w:r>
              <w:rPr>
                <w:rFonts w:ascii="宋体" w:hAnsi="宋体" w:eastAsia="宋体" w:cs="宋体"/>
                <w:spacing w:val="-46"/>
                <w:sz w:val="21"/>
                <w:szCs w:val="21"/>
              </w:rPr>
              <w:t xml:space="preserve"> </w:t>
            </w:r>
            <w:r>
              <w:rPr>
                <w:rFonts w:ascii="Times New Roman" w:hAnsi="Times New Roman" w:eastAsia="Times New Roman" w:cs="Times New Roman"/>
                <w:spacing w:val="-1"/>
                <w:sz w:val="21"/>
                <w:szCs w:val="21"/>
              </w:rPr>
              <w:t>2</w:t>
            </w:r>
          </w:p>
        </w:tc>
      </w:tr>
      <w:tr w14:paraId="1259F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40" w:hRule="atLeast"/>
        </w:trPr>
        <w:tc>
          <w:tcPr>
            <w:tcW w:w="4817" w:type="dxa"/>
            <w:vAlign w:val="top"/>
          </w:tcPr>
          <w:p w14:paraId="6BDB7B93">
            <w:pPr>
              <w:spacing w:before="31" w:line="2678" w:lineRule="exact"/>
              <w:ind w:firstLine="28"/>
            </w:pPr>
            <w:r>
              <w:rPr>
                <w:position w:val="-53"/>
              </w:rPr>
              <w:drawing>
                <wp:inline distT="0" distB="0" distL="0" distR="0">
                  <wp:extent cx="3021330" cy="1699895"/>
                  <wp:effectExtent l="0" t="0" r="0" b="0"/>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204"/>
                          <a:stretch>
                            <a:fillRect/>
                          </a:stretch>
                        </pic:blipFill>
                        <pic:spPr>
                          <a:xfrm>
                            <a:off x="0" y="0"/>
                            <a:ext cx="3021964" cy="1700529"/>
                          </a:xfrm>
                          <a:prstGeom prst="rect">
                            <a:avLst/>
                          </a:prstGeom>
                        </pic:spPr>
                      </pic:pic>
                    </a:graphicData>
                  </a:graphic>
                </wp:inline>
              </w:drawing>
            </w:r>
          </w:p>
        </w:tc>
        <w:tc>
          <w:tcPr>
            <w:tcW w:w="4818" w:type="dxa"/>
            <w:vAlign w:val="top"/>
          </w:tcPr>
          <w:p w14:paraId="3F48721A">
            <w:pPr>
              <w:spacing w:before="31" w:line="2678" w:lineRule="exact"/>
              <w:ind w:firstLine="25"/>
            </w:pPr>
            <w:r>
              <w:rPr>
                <w:position w:val="-53"/>
              </w:rPr>
              <w:drawing>
                <wp:inline distT="0" distB="0" distL="0" distR="0">
                  <wp:extent cx="3021965" cy="1699895"/>
                  <wp:effectExtent l="0" t="0" r="0" b="0"/>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205"/>
                          <a:stretch>
                            <a:fillRect/>
                          </a:stretch>
                        </pic:blipFill>
                        <pic:spPr>
                          <a:xfrm>
                            <a:off x="0" y="0"/>
                            <a:ext cx="3021965" cy="1700529"/>
                          </a:xfrm>
                          <a:prstGeom prst="rect">
                            <a:avLst/>
                          </a:prstGeom>
                        </pic:spPr>
                      </pic:pic>
                    </a:graphicData>
                  </a:graphic>
                </wp:inline>
              </w:drawing>
            </w:r>
          </w:p>
        </w:tc>
      </w:tr>
      <w:tr w14:paraId="0A0D99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8" w:hRule="atLeast"/>
        </w:trPr>
        <w:tc>
          <w:tcPr>
            <w:tcW w:w="4817" w:type="dxa"/>
            <w:vAlign w:val="top"/>
          </w:tcPr>
          <w:p w14:paraId="165F181E">
            <w:pPr>
              <w:spacing w:before="152" w:line="234" w:lineRule="auto"/>
              <w:ind w:left="1287"/>
              <w:rPr>
                <w:rFonts w:ascii="Times New Roman" w:hAnsi="Times New Roman" w:eastAsia="Times New Roman" w:cs="Times New Roman"/>
                <w:sz w:val="21"/>
                <w:szCs w:val="21"/>
              </w:rPr>
            </w:pPr>
            <w:r>
              <w:rPr>
                <w:rFonts w:ascii="宋体" w:hAnsi="宋体" w:eastAsia="宋体" w:cs="宋体"/>
                <w:spacing w:val="-1"/>
                <w:sz w:val="21"/>
                <w:szCs w:val="21"/>
              </w:rPr>
              <w:t>线路穿越生态保护红线</w:t>
            </w:r>
            <w:r>
              <w:rPr>
                <w:rFonts w:ascii="宋体" w:hAnsi="宋体" w:eastAsia="宋体" w:cs="宋体"/>
                <w:spacing w:val="-42"/>
                <w:sz w:val="21"/>
                <w:szCs w:val="21"/>
              </w:rPr>
              <w:t xml:space="preserve"> </w:t>
            </w:r>
            <w:r>
              <w:rPr>
                <w:rFonts w:ascii="Times New Roman" w:hAnsi="Times New Roman" w:eastAsia="Times New Roman" w:cs="Times New Roman"/>
                <w:spacing w:val="-1"/>
                <w:sz w:val="21"/>
                <w:szCs w:val="21"/>
              </w:rPr>
              <w:t>3</w:t>
            </w:r>
          </w:p>
        </w:tc>
        <w:tc>
          <w:tcPr>
            <w:tcW w:w="4818" w:type="dxa"/>
            <w:vAlign w:val="top"/>
          </w:tcPr>
          <w:p w14:paraId="3FA03F14">
            <w:pPr>
              <w:spacing w:before="152" w:line="220" w:lineRule="auto"/>
              <w:ind w:left="1576"/>
              <w:rPr>
                <w:rFonts w:ascii="宋体" w:hAnsi="宋体" w:eastAsia="宋体" w:cs="宋体"/>
                <w:sz w:val="21"/>
                <w:szCs w:val="21"/>
              </w:rPr>
            </w:pPr>
            <w:r>
              <w:rPr>
                <w:rFonts w:ascii="宋体" w:hAnsi="宋体" w:eastAsia="宋体" w:cs="宋体"/>
                <w:spacing w:val="-1"/>
                <w:sz w:val="21"/>
                <w:szCs w:val="21"/>
              </w:rPr>
              <w:t>线路沿线典型地貌</w:t>
            </w:r>
          </w:p>
        </w:tc>
      </w:tr>
    </w:tbl>
    <w:p w14:paraId="69602C44">
      <w:pPr>
        <w:rPr>
          <w:rFonts w:ascii="Arial"/>
          <w:sz w:val="21"/>
        </w:rPr>
      </w:pPr>
    </w:p>
    <w:p w14:paraId="3FF2CA3D">
      <w:pPr>
        <w:rPr>
          <w:rFonts w:ascii="Arial" w:hAnsi="Arial" w:eastAsia="Arial" w:cs="Arial"/>
          <w:sz w:val="21"/>
          <w:szCs w:val="21"/>
        </w:rPr>
        <w:sectPr>
          <w:pgSz w:w="11907" w:h="16841"/>
          <w:pgMar w:top="400" w:right="1132" w:bottom="400" w:left="1133" w:header="0" w:footer="0" w:gutter="0"/>
          <w:cols w:space="720" w:num="1"/>
        </w:sectPr>
      </w:pPr>
    </w:p>
    <w:p w14:paraId="0CF04510">
      <w:pPr>
        <w:spacing w:line="258" w:lineRule="auto"/>
        <w:rPr>
          <w:rFonts w:ascii="Arial"/>
          <w:sz w:val="21"/>
        </w:rPr>
      </w:pPr>
    </w:p>
    <w:p w14:paraId="24B50AA0">
      <w:pPr>
        <w:spacing w:line="258" w:lineRule="auto"/>
        <w:rPr>
          <w:rFonts w:ascii="Arial"/>
          <w:sz w:val="21"/>
        </w:rPr>
      </w:pPr>
    </w:p>
    <w:p w14:paraId="3FE25A2D">
      <w:pPr>
        <w:spacing w:line="259" w:lineRule="auto"/>
        <w:rPr>
          <w:rFonts w:ascii="Arial"/>
          <w:sz w:val="21"/>
        </w:rPr>
      </w:pPr>
    </w:p>
    <w:p w14:paraId="53849DF3">
      <w:pPr>
        <w:spacing w:line="259" w:lineRule="auto"/>
        <w:rPr>
          <w:rFonts w:ascii="Arial"/>
          <w:sz w:val="21"/>
        </w:rPr>
      </w:pPr>
    </w:p>
    <w:p w14:paraId="59C47B2C">
      <w:pPr>
        <w:spacing w:line="259" w:lineRule="auto"/>
        <w:rPr>
          <w:rFonts w:ascii="Arial"/>
          <w:sz w:val="21"/>
        </w:rPr>
      </w:pPr>
    </w:p>
    <w:sdt>
      <w:sdtPr>
        <w:rPr>
          <w:rFonts w:ascii="黑体" w:hAnsi="黑体" w:eastAsia="黑体" w:cs="黑体"/>
          <w:sz w:val="28"/>
          <w:szCs w:val="28"/>
        </w:rPr>
        <w:id w:val="147466060"/>
        <w:docPartObj>
          <w:docPartGallery w:val="Table of Contents"/>
          <w:docPartUnique/>
        </w:docPartObj>
      </w:sdtPr>
      <w:sdtEndPr>
        <w:rPr>
          <w:rFonts w:ascii="Times New Roman" w:hAnsi="Times New Roman" w:eastAsia="Times New Roman" w:cs="Times New Roman"/>
          <w:sz w:val="21"/>
          <w:szCs w:val="21"/>
        </w:rPr>
      </w:sdtEndPr>
      <w:sdtContent>
        <w:p w14:paraId="3F7586BC">
          <w:pPr>
            <w:pStyle w:val="2"/>
            <w:spacing w:before="91" w:line="219" w:lineRule="auto"/>
            <w:ind w:left="4226"/>
            <w:rPr>
              <w:sz w:val="28"/>
              <w:szCs w:val="28"/>
            </w:rPr>
          </w:pPr>
          <w:r>
            <w:rPr>
              <w:spacing w:val="-23"/>
              <w:sz w:val="28"/>
              <w:szCs w:val="28"/>
            </w:rPr>
            <w:t>目</w:t>
          </w:r>
          <w:r>
            <w:rPr>
              <w:spacing w:val="12"/>
              <w:sz w:val="28"/>
              <w:szCs w:val="28"/>
            </w:rPr>
            <w:t xml:space="preserve"> </w:t>
          </w:r>
          <w:r>
            <w:rPr>
              <w:spacing w:val="-23"/>
              <w:sz w:val="28"/>
              <w:szCs w:val="28"/>
            </w:rPr>
            <w:t>录</w:t>
          </w:r>
        </w:p>
        <w:p w14:paraId="398B02C5">
          <w:pPr>
            <w:pStyle w:val="2"/>
            <w:tabs>
              <w:tab w:val="right" w:leader="dot" w:pos="9055"/>
            </w:tabs>
            <w:spacing w:before="298" w:line="234" w:lineRule="auto"/>
            <w:ind w:left="5"/>
            <w:rPr>
              <w:rFonts w:ascii="Times New Roman" w:hAnsi="Times New Roman" w:eastAsia="Times New Roman" w:cs="Times New Roman"/>
            </w:rPr>
          </w:pPr>
          <w:r>
            <w:fldChar w:fldCharType="begin"/>
          </w:r>
          <w:r>
            <w:instrText xml:space="preserve"> HYPERLINK \l "bookmark1" </w:instrText>
          </w:r>
          <w:r>
            <w:fldChar w:fldCharType="separate"/>
          </w:r>
          <w:r>
            <w:rPr>
              <w:spacing w:val="-1"/>
            </w:rPr>
            <w:t>一、建设项目基本情况</w:t>
          </w:r>
          <w:r>
            <w:rPr>
              <w:spacing w:val="-73"/>
            </w:rPr>
            <w:t xml:space="preserve"> </w:t>
          </w:r>
          <w:r>
            <w:tab/>
          </w:r>
          <w:r>
            <w:rPr>
              <w:spacing w:val="-56"/>
            </w:rPr>
            <w:t xml:space="preserve"> </w:t>
          </w:r>
          <w:r>
            <w:rPr>
              <w:rFonts w:ascii="Times New Roman" w:hAnsi="Times New Roman" w:eastAsia="Times New Roman" w:cs="Times New Roman"/>
              <w:spacing w:val="-25"/>
            </w:rPr>
            <w:t>1</w:t>
          </w:r>
          <w:r>
            <w:rPr>
              <w:rFonts w:ascii="Times New Roman" w:hAnsi="Times New Roman" w:eastAsia="Times New Roman" w:cs="Times New Roman"/>
              <w:spacing w:val="-25"/>
            </w:rPr>
            <w:fldChar w:fldCharType="end"/>
          </w:r>
        </w:p>
        <w:p w14:paraId="0048B75B">
          <w:pPr>
            <w:pStyle w:val="2"/>
            <w:tabs>
              <w:tab w:val="right" w:leader="dot" w:pos="9055"/>
            </w:tabs>
            <w:spacing w:before="168" w:line="234" w:lineRule="auto"/>
            <w:ind w:left="5"/>
            <w:rPr>
              <w:rFonts w:ascii="Times New Roman" w:hAnsi="Times New Roman" w:eastAsia="Times New Roman" w:cs="Times New Roman"/>
            </w:rPr>
          </w:pPr>
          <w:r>
            <w:fldChar w:fldCharType="begin"/>
          </w:r>
          <w:r>
            <w:instrText xml:space="preserve"> HYPERLINK \l "bookmark2" </w:instrText>
          </w:r>
          <w:r>
            <w:fldChar w:fldCharType="separate"/>
          </w:r>
          <w:r>
            <w:rPr>
              <w:spacing w:val="-2"/>
            </w:rPr>
            <w:t>二、建设内容</w:t>
          </w:r>
          <w:r>
            <w:rPr>
              <w:spacing w:val="-77"/>
            </w:rPr>
            <w:t xml:space="preserve"> </w:t>
          </w:r>
          <w:r>
            <w:tab/>
          </w:r>
          <w:r>
            <w:rPr>
              <w:spacing w:val="-76"/>
            </w:rPr>
            <w:t xml:space="preserve"> </w:t>
          </w:r>
          <w:r>
            <w:rPr>
              <w:rFonts w:ascii="Times New Roman" w:hAnsi="Times New Roman" w:eastAsia="Times New Roman" w:cs="Times New Roman"/>
              <w:spacing w:val="-1"/>
            </w:rPr>
            <w:t>25</w:t>
          </w:r>
          <w:r>
            <w:rPr>
              <w:rFonts w:ascii="Times New Roman" w:hAnsi="Times New Roman" w:eastAsia="Times New Roman" w:cs="Times New Roman"/>
              <w:spacing w:val="-1"/>
            </w:rPr>
            <w:fldChar w:fldCharType="end"/>
          </w:r>
        </w:p>
        <w:p w14:paraId="5BFC57A5">
          <w:pPr>
            <w:pStyle w:val="2"/>
            <w:tabs>
              <w:tab w:val="right" w:leader="dot" w:pos="9055"/>
            </w:tabs>
            <w:spacing w:before="170" w:line="234" w:lineRule="auto"/>
            <w:ind w:left="5"/>
            <w:rPr>
              <w:rFonts w:ascii="Times New Roman" w:hAnsi="Times New Roman" w:eastAsia="Times New Roman" w:cs="Times New Roman"/>
            </w:rPr>
          </w:pPr>
          <w:r>
            <w:fldChar w:fldCharType="begin"/>
          </w:r>
          <w:r>
            <w:instrText xml:space="preserve"> HYPERLINK \l "bookmark3" </w:instrText>
          </w:r>
          <w:r>
            <w:fldChar w:fldCharType="separate"/>
          </w:r>
          <w:r>
            <w:rPr>
              <w:spacing w:val="-1"/>
            </w:rPr>
            <w:t>三、生态环境现状、保护目标及评价标准</w:t>
          </w:r>
          <w:r>
            <w:rPr>
              <w:spacing w:val="-57"/>
            </w:rPr>
            <w:t xml:space="preserve"> </w:t>
          </w:r>
          <w:r>
            <w:tab/>
          </w:r>
          <w:r>
            <w:rPr>
              <w:rFonts w:ascii="Times New Roman" w:hAnsi="Times New Roman" w:eastAsia="Times New Roman" w:cs="Times New Roman"/>
              <w:spacing w:val="13"/>
            </w:rPr>
            <w:t>46</w:t>
          </w:r>
          <w:r>
            <w:rPr>
              <w:rFonts w:ascii="Times New Roman" w:hAnsi="Times New Roman" w:eastAsia="Times New Roman" w:cs="Times New Roman"/>
              <w:spacing w:val="13"/>
            </w:rPr>
            <w:fldChar w:fldCharType="end"/>
          </w:r>
        </w:p>
        <w:p w14:paraId="545DA044">
          <w:pPr>
            <w:pStyle w:val="2"/>
            <w:tabs>
              <w:tab w:val="right" w:leader="dot" w:pos="9055"/>
            </w:tabs>
            <w:spacing w:before="170" w:line="234" w:lineRule="auto"/>
            <w:ind w:left="14"/>
            <w:rPr>
              <w:rFonts w:ascii="Times New Roman" w:hAnsi="Times New Roman" w:eastAsia="Times New Roman" w:cs="Times New Roman"/>
            </w:rPr>
          </w:pPr>
          <w:r>
            <w:fldChar w:fldCharType="begin"/>
          </w:r>
          <w:r>
            <w:instrText xml:space="preserve"> HYPERLINK \l "bookmark4" </w:instrText>
          </w:r>
          <w:r>
            <w:fldChar w:fldCharType="separate"/>
          </w:r>
          <w:r>
            <w:rPr>
              <w:spacing w:val="-2"/>
            </w:rPr>
            <w:t>四、生态环境影响分析</w:t>
          </w:r>
          <w:r>
            <w:rPr>
              <w:spacing w:val="-72"/>
            </w:rPr>
            <w:t xml:space="preserve"> </w:t>
          </w:r>
          <w:r>
            <w:tab/>
          </w:r>
          <w:r>
            <w:rPr>
              <w:spacing w:val="-70"/>
            </w:rPr>
            <w:t xml:space="preserve"> </w:t>
          </w:r>
          <w:r>
            <w:rPr>
              <w:rFonts w:ascii="Times New Roman" w:hAnsi="Times New Roman" w:eastAsia="Times New Roman" w:cs="Times New Roman"/>
              <w:spacing w:val="-5"/>
            </w:rPr>
            <w:t>57</w:t>
          </w:r>
          <w:r>
            <w:rPr>
              <w:rFonts w:ascii="Times New Roman" w:hAnsi="Times New Roman" w:eastAsia="Times New Roman" w:cs="Times New Roman"/>
              <w:spacing w:val="-5"/>
            </w:rPr>
            <w:fldChar w:fldCharType="end"/>
          </w:r>
        </w:p>
        <w:p w14:paraId="400A5630">
          <w:pPr>
            <w:pStyle w:val="2"/>
            <w:tabs>
              <w:tab w:val="right" w:leader="dot" w:pos="9055"/>
            </w:tabs>
            <w:spacing w:before="168" w:line="234" w:lineRule="auto"/>
            <w:ind w:left="7"/>
            <w:rPr>
              <w:rFonts w:ascii="Times New Roman" w:hAnsi="Times New Roman" w:eastAsia="Times New Roman" w:cs="Times New Roman"/>
            </w:rPr>
          </w:pPr>
          <w:r>
            <w:fldChar w:fldCharType="begin"/>
          </w:r>
          <w:r>
            <w:instrText xml:space="preserve"> HYPERLINK \l "bookmark5" </w:instrText>
          </w:r>
          <w:r>
            <w:fldChar w:fldCharType="separate"/>
          </w:r>
          <w:r>
            <w:rPr>
              <w:spacing w:val="-1"/>
            </w:rPr>
            <w:t>五、主要生态环境保护措施</w:t>
          </w:r>
          <w:r>
            <w:rPr>
              <w:spacing w:val="-71"/>
            </w:rPr>
            <w:t xml:space="preserve"> </w:t>
          </w:r>
          <w:r>
            <w:tab/>
          </w:r>
          <w:r>
            <w:rPr>
              <w:spacing w:val="-72"/>
            </w:rPr>
            <w:t xml:space="preserve"> </w:t>
          </w:r>
          <w:r>
            <w:rPr>
              <w:rFonts w:ascii="Times New Roman" w:hAnsi="Times New Roman" w:eastAsia="Times New Roman" w:cs="Times New Roman"/>
              <w:spacing w:val="-4"/>
            </w:rPr>
            <w:t>70</w:t>
          </w:r>
          <w:r>
            <w:rPr>
              <w:rFonts w:ascii="Times New Roman" w:hAnsi="Times New Roman" w:eastAsia="Times New Roman" w:cs="Times New Roman"/>
              <w:spacing w:val="-4"/>
            </w:rPr>
            <w:fldChar w:fldCharType="end"/>
          </w:r>
        </w:p>
        <w:p w14:paraId="73B5EE85">
          <w:pPr>
            <w:pStyle w:val="2"/>
            <w:tabs>
              <w:tab w:val="right" w:leader="dot" w:pos="9055"/>
            </w:tabs>
            <w:spacing w:before="171" w:line="233" w:lineRule="auto"/>
            <w:ind w:left="8"/>
            <w:rPr>
              <w:rFonts w:ascii="Times New Roman" w:hAnsi="Times New Roman" w:eastAsia="Times New Roman" w:cs="Times New Roman"/>
            </w:rPr>
          </w:pPr>
          <w:r>
            <w:fldChar w:fldCharType="begin"/>
          </w:r>
          <w:r>
            <w:instrText xml:space="preserve"> HYPERLINK \l "bookmark6" </w:instrText>
          </w:r>
          <w:r>
            <w:fldChar w:fldCharType="separate"/>
          </w:r>
          <w:r>
            <w:rPr>
              <w:spacing w:val="-1"/>
            </w:rPr>
            <w:t>六、生态环境保护措施监督检查清单</w:t>
          </w:r>
          <w:r>
            <w:rPr>
              <w:spacing w:val="-63"/>
            </w:rPr>
            <w:t xml:space="preserve"> </w:t>
          </w:r>
          <w:r>
            <w:tab/>
          </w:r>
          <w:r>
            <w:rPr>
              <w:spacing w:val="-73"/>
            </w:rPr>
            <w:t xml:space="preserve"> </w:t>
          </w:r>
          <w:r>
            <w:rPr>
              <w:rFonts w:ascii="Times New Roman" w:hAnsi="Times New Roman" w:eastAsia="Times New Roman" w:cs="Times New Roman"/>
              <w:spacing w:val="-4"/>
            </w:rPr>
            <w:t>79</w:t>
          </w:r>
          <w:r>
            <w:rPr>
              <w:rFonts w:ascii="Times New Roman" w:hAnsi="Times New Roman" w:eastAsia="Times New Roman" w:cs="Times New Roman"/>
              <w:spacing w:val="-4"/>
            </w:rPr>
            <w:fldChar w:fldCharType="end"/>
          </w:r>
        </w:p>
        <w:p w14:paraId="6EA28CA7">
          <w:pPr>
            <w:pStyle w:val="2"/>
            <w:tabs>
              <w:tab w:val="right" w:leader="dot" w:pos="9055"/>
            </w:tabs>
            <w:spacing w:before="172" w:line="238" w:lineRule="auto"/>
            <w:rPr>
              <w:rFonts w:ascii="Times New Roman" w:hAnsi="Times New Roman" w:eastAsia="Times New Roman" w:cs="Times New Roman"/>
            </w:rPr>
          </w:pPr>
          <w:r>
            <w:fldChar w:fldCharType="begin"/>
          </w:r>
          <w:r>
            <w:instrText xml:space="preserve"> HYPERLINK \l "bookmark7" </w:instrText>
          </w:r>
          <w:r>
            <w:fldChar w:fldCharType="separate"/>
          </w:r>
          <w:r>
            <w:rPr>
              <w:spacing w:val="-2"/>
            </w:rPr>
            <w:t>七、结论</w:t>
          </w:r>
          <w:r>
            <w:rPr>
              <w:spacing w:val="-79"/>
            </w:rPr>
            <w:t xml:space="preserve"> </w:t>
          </w:r>
          <w:r>
            <w:tab/>
          </w:r>
          <w:r>
            <w:rPr>
              <w:spacing w:val="-67"/>
            </w:rPr>
            <w:t xml:space="preserve"> </w:t>
          </w:r>
          <w:r>
            <w:rPr>
              <w:rFonts w:ascii="Times New Roman" w:hAnsi="Times New Roman" w:eastAsia="Times New Roman" w:cs="Times New Roman"/>
              <w:spacing w:val="-6"/>
            </w:rPr>
            <w:t>83</w:t>
          </w:r>
          <w:r>
            <w:rPr>
              <w:rFonts w:ascii="Times New Roman" w:hAnsi="Times New Roman" w:eastAsia="Times New Roman" w:cs="Times New Roman"/>
              <w:spacing w:val="-6"/>
            </w:rPr>
            <w:fldChar w:fldCharType="end"/>
          </w:r>
        </w:p>
        <w:p w14:paraId="4724FF9A">
          <w:pPr>
            <w:pStyle w:val="2"/>
            <w:tabs>
              <w:tab w:val="right" w:leader="dot" w:pos="9055"/>
            </w:tabs>
            <w:spacing w:before="163" w:line="234" w:lineRule="auto"/>
            <w:ind w:left="14"/>
            <w:rPr>
              <w:rFonts w:ascii="Times New Roman" w:hAnsi="Times New Roman" w:eastAsia="Times New Roman" w:cs="Times New Roman"/>
            </w:rPr>
          </w:pPr>
          <w:r>
            <w:fldChar w:fldCharType="begin"/>
          </w:r>
          <w:r>
            <w:instrText xml:space="preserve"> HYPERLINK \l "bookmark8" </w:instrText>
          </w:r>
          <w:r>
            <w:fldChar w:fldCharType="separate"/>
          </w:r>
          <w:r>
            <w:rPr>
              <w:b/>
              <w:bCs/>
              <w:spacing w:val="-4"/>
            </w:rPr>
            <w:t>电磁环境影响专题评价</w:t>
          </w:r>
          <w:r>
            <w:rPr>
              <w:spacing w:val="-75"/>
            </w:rPr>
            <w:t xml:space="preserve"> </w:t>
          </w:r>
          <w:r>
            <w:tab/>
          </w:r>
          <w:r>
            <w:rPr>
              <w:spacing w:val="-67"/>
            </w:rPr>
            <w:t xml:space="preserve"> </w:t>
          </w:r>
          <w:r>
            <w:rPr>
              <w:rFonts w:ascii="Times New Roman" w:hAnsi="Times New Roman" w:eastAsia="Times New Roman" w:cs="Times New Roman"/>
              <w:spacing w:val="-6"/>
            </w:rPr>
            <w:t>84</w:t>
          </w:r>
          <w:r>
            <w:rPr>
              <w:rFonts w:ascii="Times New Roman" w:hAnsi="Times New Roman" w:eastAsia="Times New Roman" w:cs="Times New Roman"/>
              <w:spacing w:val="-6"/>
            </w:rPr>
            <w:fldChar w:fldCharType="end"/>
          </w:r>
        </w:p>
        <w:p w14:paraId="5B8B3C26">
          <w:pPr>
            <w:pStyle w:val="2"/>
            <w:tabs>
              <w:tab w:val="right" w:leader="dot" w:pos="9057"/>
            </w:tabs>
            <w:spacing w:before="171" w:line="234" w:lineRule="auto"/>
            <w:rPr>
              <w:rFonts w:ascii="Times New Roman" w:hAnsi="Times New Roman" w:eastAsia="Times New Roman" w:cs="Times New Roman"/>
            </w:rPr>
          </w:pPr>
          <w:r>
            <w:fldChar w:fldCharType="begin"/>
          </w:r>
          <w:r>
            <w:instrText xml:space="preserve"> HYPERLINK \l "bookmark9" </w:instrText>
          </w:r>
          <w:r>
            <w:fldChar w:fldCharType="separate"/>
          </w:r>
          <w:r>
            <w:rPr>
              <w:b/>
              <w:bCs/>
              <w:spacing w:val="-2"/>
            </w:rPr>
            <w:t>生态环境影响专题评价</w:t>
          </w:r>
          <w:r>
            <w:rPr>
              <w:spacing w:val="-80"/>
            </w:rPr>
            <w:t xml:space="preserve"> </w:t>
          </w:r>
          <w:r>
            <w:tab/>
          </w:r>
          <w:r>
            <w:rPr>
              <w:spacing w:val="-54"/>
            </w:rPr>
            <w:t xml:space="preserve"> </w:t>
          </w:r>
          <w:r>
            <w:rPr>
              <w:rFonts w:ascii="Times New Roman" w:hAnsi="Times New Roman" w:eastAsia="Times New Roman" w:cs="Times New Roman"/>
              <w:spacing w:val="-8"/>
            </w:rPr>
            <w:t>132</w:t>
          </w:r>
          <w:r>
            <w:rPr>
              <w:rFonts w:ascii="Times New Roman" w:hAnsi="Times New Roman" w:eastAsia="Times New Roman" w:cs="Times New Roman"/>
              <w:spacing w:val="-8"/>
            </w:rPr>
            <w:fldChar w:fldCharType="end"/>
          </w:r>
        </w:p>
      </w:sdtContent>
    </w:sdt>
    <w:p w14:paraId="7AABD6AF">
      <w:pPr>
        <w:spacing w:line="234" w:lineRule="auto"/>
        <w:rPr>
          <w:rFonts w:ascii="Times New Roman" w:hAnsi="Times New Roman" w:eastAsia="Times New Roman" w:cs="Times New Roman"/>
        </w:rPr>
        <w:sectPr>
          <w:pgSz w:w="11907" w:h="16841"/>
          <w:pgMar w:top="400" w:right="1423" w:bottom="400" w:left="1425" w:header="0" w:footer="0" w:gutter="0"/>
          <w:cols w:space="720" w:num="1"/>
        </w:sectPr>
      </w:pPr>
    </w:p>
    <w:p w14:paraId="7386EDEF">
      <w:pPr>
        <w:spacing w:line="255" w:lineRule="auto"/>
        <w:rPr>
          <w:rFonts w:ascii="Arial"/>
          <w:sz w:val="21"/>
        </w:rPr>
      </w:pPr>
    </w:p>
    <w:p w14:paraId="33E2E5E2">
      <w:pPr>
        <w:spacing w:line="255" w:lineRule="auto"/>
        <w:rPr>
          <w:rFonts w:ascii="Arial"/>
          <w:sz w:val="21"/>
        </w:rPr>
      </w:pPr>
    </w:p>
    <w:p w14:paraId="7CE99E5C">
      <w:pPr>
        <w:spacing w:line="255" w:lineRule="auto"/>
        <w:rPr>
          <w:rFonts w:ascii="Arial"/>
          <w:sz w:val="21"/>
        </w:rPr>
      </w:pPr>
    </w:p>
    <w:p w14:paraId="70DC8FA8">
      <w:pPr>
        <w:spacing w:line="255" w:lineRule="auto"/>
        <w:rPr>
          <w:rFonts w:ascii="Arial"/>
          <w:sz w:val="21"/>
        </w:rPr>
      </w:pPr>
    </w:p>
    <w:p w14:paraId="71040433">
      <w:pPr>
        <w:spacing w:line="256" w:lineRule="auto"/>
        <w:rPr>
          <w:rFonts w:ascii="Arial"/>
          <w:sz w:val="21"/>
        </w:rPr>
      </w:pPr>
    </w:p>
    <w:p w14:paraId="58E88CA0">
      <w:pPr>
        <w:pStyle w:val="2"/>
        <w:spacing w:before="98" w:line="219" w:lineRule="auto"/>
        <w:ind w:left="3057"/>
        <w:rPr>
          <w:sz w:val="30"/>
          <w:szCs w:val="30"/>
        </w:rPr>
      </w:pPr>
      <w:r>
        <w:rPr>
          <w:spacing w:val="-3"/>
          <w:sz w:val="30"/>
          <w:szCs w:val="30"/>
        </w:rPr>
        <w:t>一、建设项目基本情况</w:t>
      </w:r>
    </w:p>
    <w:p w14:paraId="027DA14E">
      <w:pPr>
        <w:spacing w:line="110" w:lineRule="exact"/>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31"/>
        <w:gridCol w:w="1974"/>
        <w:gridCol w:w="2260"/>
        <w:gridCol w:w="2908"/>
      </w:tblGrid>
      <w:tr w14:paraId="1DA7F4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5" w:hRule="atLeast"/>
        </w:trPr>
        <w:tc>
          <w:tcPr>
            <w:tcW w:w="1931" w:type="dxa"/>
            <w:vAlign w:val="top"/>
          </w:tcPr>
          <w:p w14:paraId="0F9C5892">
            <w:pPr>
              <w:pStyle w:val="6"/>
              <w:spacing w:before="183" w:line="221" w:lineRule="auto"/>
              <w:ind w:left="344"/>
            </w:pPr>
            <w:r>
              <w:rPr>
                <w:spacing w:val="-2"/>
              </w:rPr>
              <w:t>建设项目名称</w:t>
            </w:r>
          </w:p>
        </w:tc>
        <w:tc>
          <w:tcPr>
            <w:tcW w:w="7142" w:type="dxa"/>
            <w:gridSpan w:val="3"/>
            <w:vAlign w:val="top"/>
          </w:tcPr>
          <w:p w14:paraId="391A4EB0">
            <w:pPr>
              <w:pStyle w:val="6"/>
              <w:spacing w:before="183" w:line="220" w:lineRule="auto"/>
              <w:ind w:left="1870"/>
            </w:pPr>
            <w:r>
              <w:rPr>
                <w:spacing w:val="-1"/>
              </w:rPr>
              <w:t>渝昆高铁迤车牵</w:t>
            </w:r>
            <w:r>
              <w:rPr>
                <w:spacing w:val="-40"/>
              </w:rPr>
              <w:t xml:space="preserve"> </w:t>
            </w:r>
            <w:r>
              <w:rPr>
                <w:rFonts w:ascii="Times New Roman" w:hAnsi="Times New Roman" w:eastAsia="Times New Roman" w:cs="Times New Roman"/>
                <w:spacing w:val="-1"/>
              </w:rPr>
              <w:t xml:space="preserve">220kV </w:t>
            </w:r>
            <w:r>
              <w:rPr>
                <w:spacing w:val="-1"/>
              </w:rPr>
              <w:t>外部供电工程</w:t>
            </w:r>
          </w:p>
        </w:tc>
      </w:tr>
      <w:tr w14:paraId="5664A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1" w:hRule="atLeast"/>
        </w:trPr>
        <w:tc>
          <w:tcPr>
            <w:tcW w:w="1931" w:type="dxa"/>
            <w:vAlign w:val="top"/>
          </w:tcPr>
          <w:p w14:paraId="5280BB7D">
            <w:pPr>
              <w:pStyle w:val="6"/>
              <w:spacing w:before="181" w:line="221" w:lineRule="auto"/>
              <w:ind w:left="553"/>
            </w:pPr>
            <w:r>
              <w:rPr>
                <w:spacing w:val="-3"/>
              </w:rPr>
              <w:t>项目代码</w:t>
            </w:r>
          </w:p>
        </w:tc>
        <w:tc>
          <w:tcPr>
            <w:tcW w:w="7142" w:type="dxa"/>
            <w:gridSpan w:val="3"/>
            <w:vAlign w:val="top"/>
          </w:tcPr>
          <w:p w14:paraId="0C446507">
            <w:pPr>
              <w:spacing w:before="216" w:line="233" w:lineRule="auto"/>
              <w:ind w:left="2379"/>
              <w:rPr>
                <w:rFonts w:ascii="Times New Roman" w:hAnsi="Times New Roman" w:eastAsia="Times New Roman" w:cs="Times New Roman"/>
                <w:sz w:val="21"/>
                <w:szCs w:val="21"/>
              </w:rPr>
            </w:pPr>
            <w:r>
              <w:rPr>
                <w:rFonts w:ascii="Times New Roman" w:hAnsi="Times New Roman" w:eastAsia="Times New Roman" w:cs="Times New Roman"/>
                <w:sz w:val="21"/>
                <w:szCs w:val="21"/>
              </w:rPr>
              <w:t>2501-530326-04-01-6706</w:t>
            </w:r>
            <w:r>
              <w:rPr>
                <w:rFonts w:ascii="Times New Roman" w:hAnsi="Times New Roman" w:eastAsia="Times New Roman" w:cs="Times New Roman"/>
                <w:spacing w:val="-1"/>
                <w:sz w:val="21"/>
                <w:szCs w:val="21"/>
              </w:rPr>
              <w:t>56</w:t>
            </w:r>
          </w:p>
        </w:tc>
      </w:tr>
      <w:tr w14:paraId="5E251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trPr>
        <w:tc>
          <w:tcPr>
            <w:tcW w:w="1931" w:type="dxa"/>
            <w:vAlign w:val="top"/>
          </w:tcPr>
          <w:p w14:paraId="330AA37D">
            <w:pPr>
              <w:pStyle w:val="6"/>
              <w:spacing w:before="181" w:line="221" w:lineRule="auto"/>
              <w:ind w:left="238"/>
            </w:pPr>
            <w:r>
              <w:rPr>
                <w:spacing w:val="-2"/>
              </w:rPr>
              <w:t>建设单位联系人</w:t>
            </w:r>
          </w:p>
        </w:tc>
        <w:tc>
          <w:tcPr>
            <w:tcW w:w="1974" w:type="dxa"/>
            <w:vAlign w:val="top"/>
          </w:tcPr>
          <w:p w14:paraId="1EF5A831">
            <w:pPr>
              <w:rPr>
                <w:rFonts w:ascii="Arial"/>
                <w:sz w:val="21"/>
              </w:rPr>
            </w:pPr>
          </w:p>
        </w:tc>
        <w:tc>
          <w:tcPr>
            <w:tcW w:w="2260" w:type="dxa"/>
            <w:vAlign w:val="top"/>
          </w:tcPr>
          <w:p w14:paraId="32D95A36">
            <w:pPr>
              <w:pStyle w:val="6"/>
              <w:spacing w:before="181" w:line="222" w:lineRule="auto"/>
              <w:ind w:left="720"/>
            </w:pPr>
            <w:r>
              <w:rPr>
                <w:spacing w:val="-2"/>
              </w:rPr>
              <w:t>联系方式</w:t>
            </w:r>
          </w:p>
        </w:tc>
        <w:tc>
          <w:tcPr>
            <w:tcW w:w="2908" w:type="dxa"/>
            <w:vAlign w:val="top"/>
          </w:tcPr>
          <w:p w14:paraId="59C28D6C">
            <w:pPr>
              <w:rPr>
                <w:rFonts w:ascii="Arial"/>
                <w:sz w:val="21"/>
              </w:rPr>
            </w:pPr>
          </w:p>
        </w:tc>
      </w:tr>
      <w:tr w14:paraId="439704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1931" w:type="dxa"/>
            <w:vAlign w:val="top"/>
          </w:tcPr>
          <w:p w14:paraId="5E55E068">
            <w:pPr>
              <w:pStyle w:val="6"/>
              <w:spacing w:before="196" w:line="222" w:lineRule="auto"/>
              <w:ind w:left="552"/>
            </w:pPr>
            <w:r>
              <w:rPr>
                <w:spacing w:val="-2"/>
              </w:rPr>
              <w:t>建设地点</w:t>
            </w:r>
          </w:p>
        </w:tc>
        <w:tc>
          <w:tcPr>
            <w:tcW w:w="7142" w:type="dxa"/>
            <w:gridSpan w:val="3"/>
            <w:vAlign w:val="top"/>
          </w:tcPr>
          <w:p w14:paraId="01DB4DF0">
            <w:pPr>
              <w:pStyle w:val="6"/>
              <w:spacing w:before="196" w:line="220" w:lineRule="auto"/>
              <w:ind w:left="1899"/>
            </w:pPr>
            <w:r>
              <w:rPr>
                <w:spacing w:val="-1"/>
              </w:rPr>
              <w:t>云南省曲靖市会泽县迤车镇、乐业镇</w:t>
            </w:r>
          </w:p>
        </w:tc>
      </w:tr>
      <w:tr w14:paraId="03606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 w:hRule="atLeast"/>
        </w:trPr>
        <w:tc>
          <w:tcPr>
            <w:tcW w:w="1931" w:type="dxa"/>
            <w:vAlign w:val="top"/>
          </w:tcPr>
          <w:p w14:paraId="38EB2373">
            <w:pPr>
              <w:pStyle w:val="6"/>
              <w:spacing w:before="142" w:line="221" w:lineRule="auto"/>
              <w:ind w:left="550"/>
            </w:pPr>
            <w:r>
              <w:rPr>
                <w:spacing w:val="-2"/>
              </w:rPr>
              <w:t>地理坐标</w:t>
            </w:r>
          </w:p>
        </w:tc>
        <w:tc>
          <w:tcPr>
            <w:tcW w:w="7142" w:type="dxa"/>
            <w:gridSpan w:val="3"/>
            <w:vAlign w:val="top"/>
          </w:tcPr>
          <w:p w14:paraId="301E276D">
            <w:pPr>
              <w:rPr>
                <w:rFonts w:ascii="Arial"/>
                <w:sz w:val="21"/>
              </w:rPr>
            </w:pPr>
          </w:p>
        </w:tc>
      </w:tr>
      <w:tr w14:paraId="27694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1931" w:type="dxa"/>
            <w:vAlign w:val="top"/>
          </w:tcPr>
          <w:p w14:paraId="6AF7E0E6">
            <w:pPr>
              <w:pStyle w:val="6"/>
              <w:spacing w:before="72" w:line="221" w:lineRule="auto"/>
              <w:ind w:left="552"/>
            </w:pPr>
            <w:r>
              <w:rPr>
                <w:spacing w:val="-2"/>
              </w:rPr>
              <w:t>建设项目</w:t>
            </w:r>
          </w:p>
          <w:p w14:paraId="2620E270">
            <w:pPr>
              <w:pStyle w:val="6"/>
              <w:spacing w:before="62" w:line="221" w:lineRule="auto"/>
              <w:ind w:left="553"/>
            </w:pPr>
            <w:r>
              <w:rPr>
                <w:spacing w:val="-3"/>
              </w:rPr>
              <w:t>行业类别</w:t>
            </w:r>
          </w:p>
        </w:tc>
        <w:tc>
          <w:tcPr>
            <w:tcW w:w="1974" w:type="dxa"/>
            <w:vAlign w:val="top"/>
          </w:tcPr>
          <w:p w14:paraId="7D3C0C65">
            <w:pPr>
              <w:pStyle w:val="6"/>
              <w:spacing w:before="231" w:line="234" w:lineRule="auto"/>
              <w:ind w:left="299"/>
            </w:pPr>
            <w:r>
              <w:rPr>
                <w:rFonts w:ascii="Times New Roman" w:hAnsi="Times New Roman" w:eastAsia="Times New Roman" w:cs="Times New Roman"/>
                <w:spacing w:val="-3"/>
              </w:rPr>
              <w:t xml:space="preserve">161 </w:t>
            </w:r>
            <w:r>
              <w:rPr>
                <w:spacing w:val="-3"/>
              </w:rPr>
              <w:t>输变电工程</w:t>
            </w:r>
          </w:p>
        </w:tc>
        <w:tc>
          <w:tcPr>
            <w:tcW w:w="2260" w:type="dxa"/>
            <w:vAlign w:val="top"/>
          </w:tcPr>
          <w:p w14:paraId="5C3EE3EE">
            <w:pPr>
              <w:pStyle w:val="6"/>
              <w:spacing w:before="73" w:line="246" w:lineRule="auto"/>
              <w:ind w:left="235" w:right="226" w:firstLine="64"/>
            </w:pPr>
            <w:r>
              <w:rPr>
                <w:spacing w:val="-1"/>
              </w:rPr>
              <w:t>用地（用海）面积</w:t>
            </w:r>
            <w:r>
              <w:rPr>
                <w:spacing w:val="-3"/>
              </w:rPr>
              <w:t>（</w:t>
            </w:r>
            <w:r>
              <w:rPr>
                <w:rFonts w:ascii="Times New Roman" w:hAnsi="Times New Roman" w:eastAsia="Times New Roman" w:cs="Times New Roman"/>
                <w:spacing w:val="-3"/>
              </w:rPr>
              <w:t>m</w:t>
            </w:r>
            <w:r>
              <w:rPr>
                <w:rFonts w:ascii="Times New Roman" w:hAnsi="Times New Roman" w:eastAsia="Times New Roman" w:cs="Times New Roman"/>
                <w:spacing w:val="-3"/>
                <w:position w:val="1"/>
                <w:sz w:val="13"/>
                <w:szCs w:val="13"/>
              </w:rPr>
              <w:t xml:space="preserve">2 </w:t>
            </w:r>
            <w:r>
              <w:rPr>
                <w:spacing w:val="-6"/>
                <w:position w:val="1"/>
              </w:rPr>
              <w:t>）</w:t>
            </w:r>
            <w:r>
              <w:rPr>
                <w:rFonts w:ascii="Times New Roman" w:hAnsi="Times New Roman" w:eastAsia="Times New Roman" w:cs="Times New Roman"/>
                <w:spacing w:val="-6"/>
              </w:rPr>
              <w:t>/</w:t>
            </w:r>
            <w:r>
              <w:rPr>
                <w:spacing w:val="-6"/>
              </w:rPr>
              <w:t>长度（</w:t>
            </w:r>
            <w:r>
              <w:rPr>
                <w:rFonts w:ascii="Times New Roman" w:hAnsi="Times New Roman" w:eastAsia="Times New Roman" w:cs="Times New Roman"/>
                <w:spacing w:val="-6"/>
              </w:rPr>
              <w:t>km</w:t>
            </w:r>
            <w:r>
              <w:rPr>
                <w:spacing w:val="-6"/>
              </w:rPr>
              <w:t>）</w:t>
            </w:r>
          </w:p>
        </w:tc>
        <w:tc>
          <w:tcPr>
            <w:tcW w:w="2908" w:type="dxa"/>
            <w:vAlign w:val="top"/>
          </w:tcPr>
          <w:p w14:paraId="47ECF4FE">
            <w:pPr>
              <w:spacing w:before="246" w:line="254" w:lineRule="exact"/>
              <w:ind w:left="74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19426m</w:t>
            </w:r>
            <w:r>
              <w:rPr>
                <w:rFonts w:ascii="Times New Roman" w:hAnsi="Times New Roman" w:eastAsia="Times New Roman" w:cs="Times New Roman"/>
                <w:spacing w:val="-2"/>
                <w:position w:val="6"/>
                <w:sz w:val="13"/>
                <w:szCs w:val="13"/>
              </w:rPr>
              <w:t>2</w:t>
            </w:r>
            <w:r>
              <w:rPr>
                <w:rFonts w:ascii="Times New Roman" w:hAnsi="Times New Roman" w:eastAsia="Times New Roman" w:cs="Times New Roman"/>
                <w:spacing w:val="-2"/>
                <w:sz w:val="21"/>
                <w:szCs w:val="21"/>
              </w:rPr>
              <w:t>/21.5km</w:t>
            </w:r>
          </w:p>
        </w:tc>
      </w:tr>
      <w:tr w14:paraId="45CA9E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6" w:hRule="atLeast"/>
        </w:trPr>
        <w:tc>
          <w:tcPr>
            <w:tcW w:w="1931" w:type="dxa"/>
            <w:vAlign w:val="top"/>
          </w:tcPr>
          <w:p w14:paraId="3591B91D">
            <w:pPr>
              <w:spacing w:line="474" w:lineRule="auto"/>
              <w:rPr>
                <w:rFonts w:ascii="Arial"/>
                <w:sz w:val="21"/>
              </w:rPr>
            </w:pPr>
          </w:p>
          <w:p w14:paraId="4DE1C801">
            <w:pPr>
              <w:pStyle w:val="6"/>
              <w:spacing w:before="68" w:line="221" w:lineRule="auto"/>
              <w:ind w:left="552"/>
            </w:pPr>
            <w:r>
              <w:rPr>
                <w:spacing w:val="-2"/>
              </w:rPr>
              <w:t>建设性质</w:t>
            </w:r>
          </w:p>
        </w:tc>
        <w:tc>
          <w:tcPr>
            <w:tcW w:w="1974" w:type="dxa"/>
            <w:vAlign w:val="top"/>
          </w:tcPr>
          <w:p w14:paraId="184875B0">
            <w:pPr>
              <w:pStyle w:val="6"/>
              <w:spacing w:before="73" w:line="239" w:lineRule="auto"/>
              <w:ind w:left="122" w:right="1230" w:firstLine="12"/>
            </w:pPr>
            <w:r>
              <w:rPr>
                <w:spacing w:val="-9"/>
              </w:rPr>
              <w:t>■新建</w:t>
            </w:r>
            <w:r>
              <w:rPr>
                <w:rFonts w:ascii="微软雅黑" w:hAnsi="微软雅黑" w:eastAsia="微软雅黑" w:cs="微软雅黑"/>
                <w:spacing w:val="11"/>
              </w:rPr>
              <w:t>□</w:t>
            </w:r>
            <w:r>
              <w:rPr>
                <w:spacing w:val="11"/>
              </w:rPr>
              <w:t>改建</w:t>
            </w:r>
          </w:p>
          <w:p w14:paraId="0EB494C6">
            <w:pPr>
              <w:pStyle w:val="6"/>
              <w:spacing w:line="191" w:lineRule="auto"/>
              <w:ind w:left="122"/>
            </w:pPr>
            <w:r>
              <w:rPr>
                <w:rFonts w:ascii="微软雅黑" w:hAnsi="微软雅黑" w:eastAsia="微软雅黑" w:cs="微软雅黑"/>
                <w:spacing w:val="11"/>
              </w:rPr>
              <w:t>□</w:t>
            </w:r>
            <w:r>
              <w:rPr>
                <w:spacing w:val="11"/>
              </w:rPr>
              <w:t>扩建</w:t>
            </w:r>
          </w:p>
          <w:p w14:paraId="7AFB9558">
            <w:pPr>
              <w:pStyle w:val="6"/>
              <w:spacing w:before="29" w:line="170" w:lineRule="auto"/>
              <w:ind w:left="122"/>
            </w:pPr>
            <w:r>
              <w:rPr>
                <w:rFonts w:ascii="微软雅黑" w:hAnsi="微软雅黑" w:eastAsia="微软雅黑" w:cs="微软雅黑"/>
                <w:spacing w:val="6"/>
              </w:rPr>
              <w:t>□</w:t>
            </w:r>
            <w:r>
              <w:rPr>
                <w:spacing w:val="6"/>
              </w:rPr>
              <w:t>技术改造</w:t>
            </w:r>
          </w:p>
        </w:tc>
        <w:tc>
          <w:tcPr>
            <w:tcW w:w="2260" w:type="dxa"/>
            <w:vAlign w:val="top"/>
          </w:tcPr>
          <w:p w14:paraId="6B8C4810">
            <w:pPr>
              <w:spacing w:line="320" w:lineRule="auto"/>
              <w:rPr>
                <w:rFonts w:ascii="Arial"/>
                <w:sz w:val="21"/>
              </w:rPr>
            </w:pPr>
          </w:p>
          <w:p w14:paraId="2FB9299C">
            <w:pPr>
              <w:pStyle w:val="6"/>
              <w:spacing w:before="68" w:line="278" w:lineRule="auto"/>
              <w:ind w:left="745" w:right="701" w:hanging="24"/>
            </w:pPr>
            <w:r>
              <w:rPr>
                <w:spacing w:val="-3"/>
              </w:rPr>
              <w:t>建设项目</w:t>
            </w:r>
            <w:r>
              <w:rPr>
                <w:spacing w:val="-9"/>
              </w:rPr>
              <w:t>申报情形</w:t>
            </w:r>
          </w:p>
        </w:tc>
        <w:tc>
          <w:tcPr>
            <w:tcW w:w="2908" w:type="dxa"/>
            <w:vAlign w:val="top"/>
          </w:tcPr>
          <w:p w14:paraId="39B903B6">
            <w:pPr>
              <w:pStyle w:val="6"/>
              <w:spacing w:before="72" w:line="221" w:lineRule="auto"/>
              <w:ind w:left="137"/>
            </w:pPr>
            <w:r>
              <w:rPr>
                <w:spacing w:val="-4"/>
              </w:rPr>
              <w:t>■首次申报项目</w:t>
            </w:r>
          </w:p>
          <w:p w14:paraId="128C5439">
            <w:pPr>
              <w:pStyle w:val="6"/>
              <w:spacing w:before="65" w:line="191" w:lineRule="auto"/>
              <w:ind w:left="125"/>
            </w:pPr>
            <w:r>
              <w:rPr>
                <w:rFonts w:ascii="微软雅黑" w:hAnsi="微软雅黑" w:eastAsia="微软雅黑" w:cs="微软雅黑"/>
                <w:spacing w:val="2"/>
              </w:rPr>
              <w:t>□</w:t>
            </w:r>
            <w:r>
              <w:rPr>
                <w:spacing w:val="2"/>
              </w:rPr>
              <w:t>不予批准后再次申报项目</w:t>
            </w:r>
          </w:p>
          <w:p w14:paraId="28DAD35C">
            <w:pPr>
              <w:pStyle w:val="6"/>
              <w:spacing w:before="27" w:line="191" w:lineRule="auto"/>
              <w:ind w:left="125"/>
            </w:pPr>
            <w:r>
              <w:rPr>
                <w:rFonts w:ascii="微软雅黑" w:hAnsi="微软雅黑" w:eastAsia="微软雅黑" w:cs="微软雅黑"/>
                <w:spacing w:val="3"/>
              </w:rPr>
              <w:t>□</w:t>
            </w:r>
            <w:r>
              <w:rPr>
                <w:spacing w:val="3"/>
              </w:rPr>
              <w:t>超五年重新审核项目</w:t>
            </w:r>
          </w:p>
          <w:p w14:paraId="37A684E1">
            <w:pPr>
              <w:pStyle w:val="6"/>
              <w:spacing w:before="30" w:line="170" w:lineRule="auto"/>
              <w:ind w:left="125"/>
            </w:pPr>
            <w:r>
              <w:rPr>
                <w:rFonts w:ascii="微软雅黑" w:hAnsi="微软雅黑" w:eastAsia="微软雅黑" w:cs="微软雅黑"/>
                <w:spacing w:val="3"/>
              </w:rPr>
              <w:t>□</w:t>
            </w:r>
            <w:r>
              <w:rPr>
                <w:spacing w:val="3"/>
              </w:rPr>
              <w:t>重大变动重新报批项目</w:t>
            </w:r>
          </w:p>
        </w:tc>
      </w:tr>
      <w:tr w14:paraId="601FA3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1931" w:type="dxa"/>
            <w:vAlign w:val="top"/>
          </w:tcPr>
          <w:p w14:paraId="66D80162">
            <w:pPr>
              <w:pStyle w:val="6"/>
              <w:spacing w:before="56" w:line="235" w:lineRule="auto"/>
              <w:ind w:left="210"/>
              <w:rPr>
                <w:rFonts w:ascii="Times New Roman" w:hAnsi="Times New Roman" w:eastAsia="Times New Roman" w:cs="Times New Roman"/>
              </w:rPr>
            </w:pPr>
            <w:r>
              <w:rPr>
                <w:spacing w:val="-1"/>
              </w:rPr>
              <w:t>项目审批（核准</w:t>
            </w:r>
            <w:r>
              <w:rPr>
                <w:rFonts w:ascii="Times New Roman" w:hAnsi="Times New Roman" w:eastAsia="Times New Roman" w:cs="Times New Roman"/>
                <w:spacing w:val="-1"/>
              </w:rPr>
              <w:t>/</w:t>
            </w:r>
          </w:p>
          <w:p w14:paraId="7303D5D1">
            <w:pPr>
              <w:pStyle w:val="6"/>
              <w:spacing w:before="46" w:line="221" w:lineRule="auto"/>
              <w:ind w:left="238"/>
            </w:pPr>
            <w:r>
              <w:rPr>
                <w:spacing w:val="-2"/>
              </w:rPr>
              <w:t>备案）部门（选</w:t>
            </w:r>
          </w:p>
          <w:p w14:paraId="49E000FB">
            <w:pPr>
              <w:pStyle w:val="6"/>
              <w:spacing w:before="66" w:line="221" w:lineRule="auto"/>
              <w:ind w:left="763"/>
            </w:pPr>
            <w:r>
              <w:rPr>
                <w:spacing w:val="-6"/>
              </w:rPr>
              <w:t>填）</w:t>
            </w:r>
          </w:p>
        </w:tc>
        <w:tc>
          <w:tcPr>
            <w:tcW w:w="1974" w:type="dxa"/>
            <w:vAlign w:val="top"/>
          </w:tcPr>
          <w:p w14:paraId="7312E198">
            <w:pPr>
              <w:pStyle w:val="6"/>
              <w:spacing w:before="214" w:line="278" w:lineRule="auto"/>
              <w:ind w:left="675" w:right="143" w:hanging="500"/>
            </w:pPr>
            <w:r>
              <w:rPr>
                <w:spacing w:val="-4"/>
              </w:rPr>
              <w:t>曲靖市发展和改革</w:t>
            </w:r>
            <w:r>
              <w:rPr>
                <w:spacing w:val="-1"/>
              </w:rPr>
              <w:t>委员会</w:t>
            </w:r>
          </w:p>
        </w:tc>
        <w:tc>
          <w:tcPr>
            <w:tcW w:w="2260" w:type="dxa"/>
            <w:vAlign w:val="top"/>
          </w:tcPr>
          <w:p w14:paraId="1A4830AE">
            <w:pPr>
              <w:pStyle w:val="6"/>
              <w:spacing w:before="215" w:line="271" w:lineRule="auto"/>
              <w:ind w:left="196" w:right="190" w:firstLine="180"/>
            </w:pPr>
            <w:r>
              <w:rPr>
                <w:spacing w:val="-1"/>
              </w:rPr>
              <w:t>项目审批（核准</w:t>
            </w:r>
            <w:r>
              <w:rPr>
                <w:rFonts w:ascii="Times New Roman" w:hAnsi="Times New Roman" w:eastAsia="Times New Roman" w:cs="Times New Roman"/>
                <w:spacing w:val="-1"/>
              </w:rPr>
              <w:t>/</w:t>
            </w:r>
            <w:r>
              <w:rPr>
                <w:spacing w:val="-3"/>
              </w:rPr>
              <w:t>备案）文号（选填）</w:t>
            </w:r>
          </w:p>
        </w:tc>
        <w:tc>
          <w:tcPr>
            <w:tcW w:w="2908" w:type="dxa"/>
            <w:vAlign w:val="top"/>
          </w:tcPr>
          <w:p w14:paraId="2F9B2F3A">
            <w:pPr>
              <w:spacing w:line="300" w:lineRule="auto"/>
              <w:rPr>
                <w:rFonts w:ascii="Arial"/>
                <w:sz w:val="21"/>
              </w:rPr>
            </w:pPr>
          </w:p>
          <w:p w14:paraId="72D474D6">
            <w:pPr>
              <w:pStyle w:val="6"/>
              <w:spacing w:before="69" w:line="234" w:lineRule="auto"/>
              <w:ind w:left="303"/>
            </w:pPr>
            <w:r>
              <w:rPr>
                <w:spacing w:val="-2"/>
              </w:rPr>
              <w:t>曲发改基础〔</w:t>
            </w:r>
            <w:r>
              <w:rPr>
                <w:rFonts w:ascii="Times New Roman" w:hAnsi="Times New Roman" w:eastAsia="Times New Roman" w:cs="Times New Roman"/>
                <w:spacing w:val="-2"/>
              </w:rPr>
              <w:t>2025</w:t>
            </w:r>
            <w:r>
              <w:rPr>
                <w:spacing w:val="-2"/>
              </w:rPr>
              <w:t>〕</w:t>
            </w:r>
            <w:r>
              <w:rPr>
                <w:rFonts w:ascii="Times New Roman" w:hAnsi="Times New Roman" w:eastAsia="Times New Roman" w:cs="Times New Roman"/>
                <w:spacing w:val="-2"/>
              </w:rPr>
              <w:t xml:space="preserve">23 </w:t>
            </w:r>
            <w:r>
              <w:rPr>
                <w:spacing w:val="-2"/>
              </w:rPr>
              <w:t>号</w:t>
            </w:r>
          </w:p>
        </w:tc>
      </w:tr>
      <w:tr w14:paraId="0AA3EB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7" w:hRule="atLeast"/>
        </w:trPr>
        <w:tc>
          <w:tcPr>
            <w:tcW w:w="1931" w:type="dxa"/>
            <w:vAlign w:val="top"/>
          </w:tcPr>
          <w:p w14:paraId="2409C777">
            <w:pPr>
              <w:pStyle w:val="6"/>
              <w:spacing w:before="198" w:line="221" w:lineRule="auto"/>
              <w:ind w:left="241"/>
            </w:pPr>
            <w:r>
              <w:rPr>
                <w:spacing w:val="-4"/>
              </w:rPr>
              <w:t>总投资（万元）</w:t>
            </w:r>
          </w:p>
        </w:tc>
        <w:tc>
          <w:tcPr>
            <w:tcW w:w="1974" w:type="dxa"/>
            <w:vAlign w:val="top"/>
          </w:tcPr>
          <w:p w14:paraId="12D2E805">
            <w:pPr>
              <w:spacing w:before="232" w:line="234" w:lineRule="auto"/>
              <w:ind w:left="77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4853</w:t>
            </w:r>
          </w:p>
        </w:tc>
        <w:tc>
          <w:tcPr>
            <w:tcW w:w="2260" w:type="dxa"/>
            <w:vAlign w:val="top"/>
          </w:tcPr>
          <w:p w14:paraId="730A50D0">
            <w:pPr>
              <w:pStyle w:val="6"/>
              <w:spacing w:before="198" w:line="221" w:lineRule="auto"/>
              <w:ind w:left="299"/>
            </w:pPr>
            <w:r>
              <w:rPr>
                <w:spacing w:val="-1"/>
              </w:rPr>
              <w:t>环保投资（万元）</w:t>
            </w:r>
          </w:p>
        </w:tc>
        <w:tc>
          <w:tcPr>
            <w:tcW w:w="2908" w:type="dxa"/>
            <w:vAlign w:val="top"/>
          </w:tcPr>
          <w:p w14:paraId="171D589C">
            <w:pPr>
              <w:spacing w:before="233" w:line="233" w:lineRule="auto"/>
              <w:ind w:left="127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60.9</w:t>
            </w:r>
          </w:p>
        </w:tc>
      </w:tr>
      <w:tr w14:paraId="2042D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1931" w:type="dxa"/>
            <w:vAlign w:val="top"/>
          </w:tcPr>
          <w:p w14:paraId="3206A19E">
            <w:pPr>
              <w:pStyle w:val="6"/>
              <w:spacing w:before="127" w:line="221" w:lineRule="auto"/>
              <w:ind w:left="341"/>
            </w:pPr>
            <w:r>
              <w:rPr>
                <w:spacing w:val="-1"/>
              </w:rPr>
              <w:t>环保投资占比</w:t>
            </w:r>
          </w:p>
          <w:p w14:paraId="17B50A01">
            <w:pPr>
              <w:pStyle w:val="6"/>
              <w:spacing w:before="63" w:line="280" w:lineRule="exact"/>
              <w:ind w:left="679"/>
            </w:pPr>
            <w:r>
              <w:rPr>
                <w:spacing w:val="-5"/>
                <w:position w:val="1"/>
              </w:rPr>
              <w:t>（</w:t>
            </w:r>
            <w:r>
              <w:rPr>
                <w:rFonts w:ascii="Times New Roman" w:hAnsi="Times New Roman" w:eastAsia="Times New Roman" w:cs="Times New Roman"/>
                <w:spacing w:val="-5"/>
                <w:position w:val="1"/>
              </w:rPr>
              <w:t>%</w:t>
            </w:r>
            <w:r>
              <w:rPr>
                <w:spacing w:val="-5"/>
                <w:position w:val="1"/>
              </w:rPr>
              <w:t>）</w:t>
            </w:r>
          </w:p>
        </w:tc>
        <w:tc>
          <w:tcPr>
            <w:tcW w:w="1974" w:type="dxa"/>
            <w:vAlign w:val="top"/>
          </w:tcPr>
          <w:p w14:paraId="1D115B34">
            <w:pPr>
              <w:spacing w:line="256" w:lineRule="auto"/>
              <w:rPr>
                <w:rFonts w:ascii="Arial"/>
                <w:sz w:val="21"/>
              </w:rPr>
            </w:pPr>
          </w:p>
          <w:p w14:paraId="683568C2">
            <w:pPr>
              <w:spacing w:before="60" w:line="230" w:lineRule="auto"/>
              <w:ind w:left="736"/>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1.25%</w:t>
            </w:r>
          </w:p>
        </w:tc>
        <w:tc>
          <w:tcPr>
            <w:tcW w:w="2260" w:type="dxa"/>
            <w:vAlign w:val="top"/>
          </w:tcPr>
          <w:p w14:paraId="3632EF7C">
            <w:pPr>
              <w:pStyle w:val="6"/>
              <w:spacing w:before="283" w:line="221" w:lineRule="auto"/>
              <w:ind w:left="718"/>
            </w:pPr>
            <w:r>
              <w:rPr>
                <w:spacing w:val="-1"/>
              </w:rPr>
              <w:t>施工工期</w:t>
            </w:r>
          </w:p>
        </w:tc>
        <w:tc>
          <w:tcPr>
            <w:tcW w:w="2908" w:type="dxa"/>
            <w:vAlign w:val="top"/>
          </w:tcPr>
          <w:p w14:paraId="30C5F69C">
            <w:pPr>
              <w:pStyle w:val="6"/>
              <w:spacing w:before="283" w:line="234" w:lineRule="auto"/>
              <w:ind w:left="1169"/>
            </w:pPr>
            <w:r>
              <w:rPr>
                <w:rFonts w:ascii="Times New Roman" w:hAnsi="Times New Roman" w:eastAsia="Times New Roman" w:cs="Times New Roman"/>
                <w:spacing w:val="-4"/>
              </w:rPr>
              <w:t>9</w:t>
            </w:r>
            <w:r>
              <w:rPr>
                <w:rFonts w:ascii="Times New Roman" w:hAnsi="Times New Roman" w:eastAsia="Times New Roman" w:cs="Times New Roman"/>
                <w:spacing w:val="8"/>
              </w:rPr>
              <w:t xml:space="preserve"> </w:t>
            </w:r>
            <w:r>
              <w:rPr>
                <w:spacing w:val="-4"/>
              </w:rPr>
              <w:t>个月</w:t>
            </w:r>
          </w:p>
        </w:tc>
      </w:tr>
      <w:tr w14:paraId="581412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1931" w:type="dxa"/>
            <w:vAlign w:val="top"/>
          </w:tcPr>
          <w:p w14:paraId="7FAA811F">
            <w:pPr>
              <w:pStyle w:val="6"/>
              <w:spacing w:before="283" w:line="221" w:lineRule="auto"/>
              <w:ind w:left="345"/>
            </w:pPr>
            <w:r>
              <w:rPr>
                <w:spacing w:val="-2"/>
              </w:rPr>
              <w:t>是否开工建设</w:t>
            </w:r>
          </w:p>
        </w:tc>
        <w:tc>
          <w:tcPr>
            <w:tcW w:w="7142" w:type="dxa"/>
            <w:gridSpan w:val="3"/>
            <w:vAlign w:val="top"/>
          </w:tcPr>
          <w:p w14:paraId="0CE2B6C2">
            <w:pPr>
              <w:pStyle w:val="6"/>
              <w:spacing w:before="127" w:line="221" w:lineRule="auto"/>
              <w:ind w:left="134"/>
            </w:pPr>
            <w:r>
              <w:rPr>
                <w:spacing w:val="-14"/>
              </w:rPr>
              <w:t>■否</w:t>
            </w:r>
          </w:p>
          <w:p w14:paraId="2BD95D94">
            <w:pPr>
              <w:pStyle w:val="6"/>
              <w:spacing w:before="61" w:line="194" w:lineRule="auto"/>
              <w:ind w:left="122"/>
            </w:pPr>
            <w:r>
              <w:rPr>
                <w:rFonts w:ascii="微软雅黑" w:hAnsi="微软雅黑" w:eastAsia="微软雅黑" w:cs="微软雅黑"/>
                <w:spacing w:val="11"/>
              </w:rPr>
              <w:t>□</w:t>
            </w:r>
            <w:r>
              <w:rPr>
                <w:spacing w:val="11"/>
              </w:rPr>
              <w:t>是：</w:t>
            </w:r>
            <w:r>
              <w:rPr>
                <w:u w:val="single" w:color="auto"/>
              </w:rPr>
              <w:t xml:space="preserve">                      </w:t>
            </w:r>
          </w:p>
        </w:tc>
      </w:tr>
      <w:tr w14:paraId="3837F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8" w:hRule="atLeast"/>
        </w:trPr>
        <w:tc>
          <w:tcPr>
            <w:tcW w:w="1931" w:type="dxa"/>
            <w:vAlign w:val="top"/>
          </w:tcPr>
          <w:p w14:paraId="4A0BE803">
            <w:pPr>
              <w:spacing w:line="276" w:lineRule="auto"/>
              <w:rPr>
                <w:rFonts w:ascii="Arial"/>
                <w:sz w:val="21"/>
              </w:rPr>
            </w:pPr>
          </w:p>
          <w:p w14:paraId="67C72B8C">
            <w:pPr>
              <w:spacing w:line="276" w:lineRule="auto"/>
              <w:rPr>
                <w:rFonts w:ascii="Arial"/>
                <w:sz w:val="21"/>
              </w:rPr>
            </w:pPr>
          </w:p>
          <w:p w14:paraId="76C27847">
            <w:pPr>
              <w:spacing w:line="276" w:lineRule="auto"/>
              <w:rPr>
                <w:rFonts w:ascii="Arial"/>
                <w:sz w:val="21"/>
              </w:rPr>
            </w:pPr>
          </w:p>
          <w:p w14:paraId="3304D0C4">
            <w:pPr>
              <w:spacing w:line="276" w:lineRule="auto"/>
              <w:rPr>
                <w:rFonts w:ascii="Arial"/>
                <w:sz w:val="21"/>
              </w:rPr>
            </w:pPr>
          </w:p>
          <w:p w14:paraId="575D0FEC">
            <w:pPr>
              <w:pStyle w:val="6"/>
              <w:spacing w:before="68" w:line="219" w:lineRule="auto"/>
              <w:ind w:left="131"/>
            </w:pPr>
            <w:r>
              <w:rPr>
                <w:spacing w:val="-1"/>
              </w:rPr>
              <w:t>专项评价设置情况</w:t>
            </w:r>
          </w:p>
        </w:tc>
        <w:tc>
          <w:tcPr>
            <w:tcW w:w="7142" w:type="dxa"/>
            <w:gridSpan w:val="3"/>
            <w:vAlign w:val="top"/>
          </w:tcPr>
          <w:p w14:paraId="2C62C081">
            <w:pPr>
              <w:pStyle w:val="6"/>
              <w:spacing w:before="75" w:line="233" w:lineRule="auto"/>
              <w:ind w:left="129"/>
            </w:pPr>
            <w:r>
              <w:rPr>
                <w:rFonts w:ascii="Times New Roman" w:hAnsi="Times New Roman" w:eastAsia="Times New Roman" w:cs="Times New Roman"/>
                <w:spacing w:val="-4"/>
              </w:rPr>
              <w:t>1</w:t>
            </w:r>
            <w:r>
              <w:rPr>
                <w:rFonts w:ascii="Times New Roman" w:hAnsi="Times New Roman" w:eastAsia="Times New Roman" w:cs="Times New Roman"/>
                <w:spacing w:val="-27"/>
              </w:rPr>
              <w:t xml:space="preserve"> </w:t>
            </w:r>
            <w:r>
              <w:rPr>
                <w:spacing w:val="-4"/>
              </w:rPr>
              <w:t>、电磁环境影响专题评价</w:t>
            </w:r>
          </w:p>
          <w:p w14:paraId="48D3F87B">
            <w:pPr>
              <w:pStyle w:val="6"/>
              <w:spacing w:before="49" w:line="272" w:lineRule="auto"/>
              <w:ind w:left="115" w:right="104" w:firstLine="417"/>
            </w:pPr>
            <w:r>
              <w:rPr>
                <w:spacing w:val="-3"/>
              </w:rPr>
              <w:t>根据《环境影响评价技术导则 输变电》（</w:t>
            </w:r>
            <w:r>
              <w:rPr>
                <w:rFonts w:ascii="Times New Roman" w:hAnsi="Times New Roman" w:eastAsia="Times New Roman" w:cs="Times New Roman"/>
                <w:spacing w:val="-3"/>
              </w:rPr>
              <w:t>HJ24-2020</w:t>
            </w:r>
            <w:r>
              <w:rPr>
                <w:spacing w:val="-21"/>
              </w:rPr>
              <w:t>），</w:t>
            </w:r>
            <w:r>
              <w:rPr>
                <w:rFonts w:ascii="Times New Roman" w:hAnsi="Times New Roman" w:eastAsia="Times New Roman" w:cs="Times New Roman"/>
                <w:spacing w:val="-3"/>
              </w:rPr>
              <w:t>220kV</w:t>
            </w:r>
            <w:r>
              <w:rPr>
                <w:spacing w:val="-3"/>
              </w:rPr>
              <w:t>交流输电</w:t>
            </w:r>
            <w:r>
              <w:rPr>
                <w:spacing w:val="-1"/>
              </w:rPr>
              <w:t>线路应设电磁环境影响专题评价。</w:t>
            </w:r>
          </w:p>
          <w:p w14:paraId="2D94D176">
            <w:pPr>
              <w:pStyle w:val="6"/>
              <w:spacing w:before="14" w:line="233" w:lineRule="auto"/>
              <w:ind w:left="108"/>
            </w:pPr>
            <w:r>
              <w:rPr>
                <w:rFonts w:ascii="Times New Roman" w:hAnsi="Times New Roman" w:eastAsia="Times New Roman" w:cs="Times New Roman"/>
                <w:spacing w:val="-1"/>
              </w:rPr>
              <w:t>2</w:t>
            </w:r>
            <w:r>
              <w:rPr>
                <w:spacing w:val="-1"/>
              </w:rPr>
              <w:t>、生态环境影响专题评价</w:t>
            </w:r>
          </w:p>
          <w:p w14:paraId="49076203">
            <w:pPr>
              <w:pStyle w:val="6"/>
              <w:spacing w:before="48" w:line="264" w:lineRule="auto"/>
              <w:ind w:left="112" w:right="102" w:firstLine="420"/>
              <w:jc w:val="both"/>
            </w:pPr>
            <w:r>
              <w:t>根据《环境影响评价技术导则 输变电》（</w:t>
            </w:r>
            <w:r>
              <w:rPr>
                <w:rFonts w:ascii="Times New Roman" w:hAnsi="Times New Roman" w:eastAsia="Times New Roman" w:cs="Times New Roman"/>
              </w:rPr>
              <w:t>HJ24-2020</w:t>
            </w:r>
            <w:r>
              <w:t>）、《环境影响评价技术导则 生态影响》（</w:t>
            </w:r>
            <w:r>
              <w:rPr>
                <w:rFonts w:ascii="Times New Roman" w:hAnsi="Times New Roman" w:eastAsia="Times New Roman" w:cs="Times New Roman"/>
              </w:rPr>
              <w:t>HJ19-2022</w:t>
            </w:r>
            <w:r>
              <w:t>）及《建设项目环境影响报告表编制技</w:t>
            </w:r>
            <w:r>
              <w:rPr>
                <w:spacing w:val="-3"/>
              </w:rPr>
              <w:t>术指南（生态影响类</w:t>
            </w:r>
            <w:r>
              <w:rPr>
                <w:spacing w:val="-10"/>
              </w:rPr>
              <w:t>）（</w:t>
            </w:r>
            <w:r>
              <w:rPr>
                <w:spacing w:val="-3"/>
              </w:rPr>
              <w:t>试行）》， 本项目穿越、占用生态保护红线，设生</w:t>
            </w:r>
            <w:r>
              <w:rPr>
                <w:spacing w:val="-1"/>
              </w:rPr>
              <w:t>态环境影响专题评价。</w:t>
            </w:r>
          </w:p>
        </w:tc>
      </w:tr>
      <w:tr w14:paraId="1EFC5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0" w:hRule="atLeast"/>
        </w:trPr>
        <w:tc>
          <w:tcPr>
            <w:tcW w:w="1931" w:type="dxa"/>
            <w:vAlign w:val="top"/>
          </w:tcPr>
          <w:p w14:paraId="22CC8182">
            <w:pPr>
              <w:spacing w:line="320" w:lineRule="auto"/>
              <w:rPr>
                <w:rFonts w:ascii="Arial"/>
                <w:sz w:val="21"/>
              </w:rPr>
            </w:pPr>
          </w:p>
          <w:p w14:paraId="4D8D186B">
            <w:pPr>
              <w:pStyle w:val="6"/>
              <w:spacing w:before="68" w:line="221" w:lineRule="auto"/>
              <w:ind w:left="551"/>
            </w:pPr>
            <w:r>
              <w:rPr>
                <w:spacing w:val="-2"/>
              </w:rPr>
              <w:t>规划情况</w:t>
            </w:r>
          </w:p>
        </w:tc>
        <w:tc>
          <w:tcPr>
            <w:tcW w:w="7142" w:type="dxa"/>
            <w:gridSpan w:val="3"/>
            <w:vAlign w:val="top"/>
          </w:tcPr>
          <w:p w14:paraId="4FF38B68">
            <w:pPr>
              <w:pStyle w:val="6"/>
              <w:spacing w:before="76" w:line="259" w:lineRule="auto"/>
              <w:ind w:left="112" w:right="102"/>
              <w:jc w:val="both"/>
            </w:pPr>
            <w:r>
              <w:t>根据《云南省能源局关于明确</w:t>
            </w:r>
            <w:r>
              <w:rPr>
                <w:rFonts w:ascii="Times New Roman" w:hAnsi="Times New Roman" w:eastAsia="Times New Roman" w:cs="Times New Roman"/>
              </w:rPr>
              <w:t>2024</w:t>
            </w:r>
            <w:r>
              <w:t>年度云南电网公司</w:t>
            </w:r>
            <w:r>
              <w:rPr>
                <w:spacing w:val="-1"/>
              </w:rPr>
              <w:t>省级重大项目子项目清</w:t>
            </w:r>
            <w:r>
              <w:rPr>
                <w:spacing w:val="1"/>
              </w:rPr>
              <w:t>单的函》，渝昆高铁迤车牵</w:t>
            </w:r>
            <w:r>
              <w:rPr>
                <w:rFonts w:ascii="Times New Roman" w:hAnsi="Times New Roman" w:eastAsia="Times New Roman" w:cs="Times New Roman"/>
                <w:spacing w:val="1"/>
              </w:rPr>
              <w:t>220</w:t>
            </w:r>
            <w:r>
              <w:rPr>
                <w:rFonts w:ascii="Times New Roman" w:hAnsi="Times New Roman" w:eastAsia="Times New Roman" w:cs="Times New Roman"/>
              </w:rPr>
              <w:t>kV</w:t>
            </w:r>
            <w:r>
              <w:rPr>
                <w:spacing w:val="1"/>
              </w:rPr>
              <w:t>外部供电工程已列入云南省</w:t>
            </w:r>
            <w:r>
              <w:rPr>
                <w:rFonts w:ascii="Times New Roman" w:hAnsi="Times New Roman" w:eastAsia="Times New Roman" w:cs="Times New Roman"/>
                <w:spacing w:val="1"/>
              </w:rPr>
              <w:t>2024</w:t>
            </w:r>
            <w:r>
              <w:rPr>
                <w:spacing w:val="1"/>
              </w:rPr>
              <w:t>年度省级</w:t>
            </w:r>
            <w:r>
              <w:rPr>
                <w:spacing w:val="-3"/>
              </w:rPr>
              <w:t>重大项目清单。</w:t>
            </w:r>
          </w:p>
        </w:tc>
      </w:tr>
      <w:tr w14:paraId="3FEFAD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8" w:hRule="atLeast"/>
        </w:trPr>
        <w:tc>
          <w:tcPr>
            <w:tcW w:w="1931" w:type="dxa"/>
            <w:vAlign w:val="top"/>
          </w:tcPr>
          <w:p w14:paraId="5F21B632">
            <w:pPr>
              <w:pStyle w:val="6"/>
              <w:spacing w:before="126" w:line="273" w:lineRule="auto"/>
              <w:ind w:left="549" w:right="330" w:hanging="207"/>
            </w:pPr>
            <w:r>
              <w:rPr>
                <w:spacing w:val="-2"/>
              </w:rPr>
              <w:t>规划环境影响</w:t>
            </w:r>
            <w:r>
              <w:rPr>
                <w:spacing w:val="-1"/>
              </w:rPr>
              <w:t>评价情况</w:t>
            </w:r>
          </w:p>
        </w:tc>
        <w:tc>
          <w:tcPr>
            <w:tcW w:w="7142" w:type="dxa"/>
            <w:gridSpan w:val="3"/>
            <w:vAlign w:val="top"/>
          </w:tcPr>
          <w:p w14:paraId="5A335011">
            <w:pPr>
              <w:pStyle w:val="6"/>
              <w:spacing w:before="284" w:line="221" w:lineRule="auto"/>
              <w:ind w:left="114"/>
            </w:pPr>
            <w:r>
              <w:t>无</w:t>
            </w:r>
          </w:p>
        </w:tc>
      </w:tr>
      <w:tr w14:paraId="25BCD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6" w:hRule="atLeast"/>
        </w:trPr>
        <w:tc>
          <w:tcPr>
            <w:tcW w:w="1931" w:type="dxa"/>
            <w:vAlign w:val="top"/>
          </w:tcPr>
          <w:p w14:paraId="2048B6D1">
            <w:pPr>
              <w:pStyle w:val="6"/>
              <w:spacing w:before="112" w:line="274" w:lineRule="auto"/>
              <w:ind w:left="140" w:right="121" w:hanging="9"/>
            </w:pPr>
            <w:r>
              <w:rPr>
                <w:spacing w:val="-1"/>
              </w:rPr>
              <w:t>规划及规划环境影</w:t>
            </w:r>
            <w:r>
              <w:rPr>
                <w:spacing w:val="-3"/>
              </w:rPr>
              <w:t>响评价符合性分析</w:t>
            </w:r>
          </w:p>
        </w:tc>
        <w:tc>
          <w:tcPr>
            <w:tcW w:w="7142" w:type="dxa"/>
            <w:gridSpan w:val="3"/>
            <w:vAlign w:val="top"/>
          </w:tcPr>
          <w:p w14:paraId="0B27F1C7">
            <w:pPr>
              <w:pStyle w:val="6"/>
              <w:spacing w:before="268" w:line="221" w:lineRule="auto"/>
              <w:ind w:left="114"/>
            </w:pPr>
            <w:r>
              <w:t>无</w:t>
            </w:r>
          </w:p>
        </w:tc>
      </w:tr>
    </w:tbl>
    <w:p w14:paraId="5C42A821">
      <w:pPr>
        <w:rPr>
          <w:rFonts w:ascii="Arial"/>
          <w:sz w:val="21"/>
        </w:rPr>
      </w:pPr>
    </w:p>
    <w:p w14:paraId="258B5BE1">
      <w:pPr>
        <w:rPr>
          <w:rFonts w:ascii="Arial" w:hAnsi="Arial" w:eastAsia="Arial" w:cs="Arial"/>
          <w:sz w:val="21"/>
          <w:szCs w:val="21"/>
        </w:rPr>
        <w:sectPr>
          <w:footerReference r:id="rId7" w:type="default"/>
          <w:pgSz w:w="11907" w:h="16841"/>
          <w:pgMar w:top="400" w:right="1413" w:bottom="1126" w:left="1414" w:header="0" w:footer="923" w:gutter="0"/>
          <w:cols w:space="720" w:num="1"/>
        </w:sectPr>
      </w:pPr>
    </w:p>
    <w:p w14:paraId="406657A6">
      <w:pPr>
        <w:spacing w:before="2"/>
      </w:pPr>
    </w:p>
    <w:p w14:paraId="452ED465">
      <w:pPr>
        <w:spacing w:before="2"/>
      </w:pPr>
    </w:p>
    <w:p w14:paraId="650F21C0">
      <w:pPr>
        <w:spacing w:before="1"/>
      </w:pPr>
    </w:p>
    <w:p w14:paraId="5D5AEEF8">
      <w:pPr>
        <w:spacing w:before="1"/>
      </w:pPr>
    </w:p>
    <w:p w14:paraId="0F491479">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2"/>
      </w:tblGrid>
      <w:tr w14:paraId="67A2C9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22C9E8D3">
            <w:pPr>
              <w:spacing w:line="248" w:lineRule="auto"/>
              <w:rPr>
                <w:rFonts w:ascii="Arial"/>
                <w:sz w:val="21"/>
              </w:rPr>
            </w:pPr>
          </w:p>
          <w:p w14:paraId="4EA60E03">
            <w:pPr>
              <w:spacing w:line="248" w:lineRule="auto"/>
              <w:rPr>
                <w:rFonts w:ascii="Arial"/>
                <w:sz w:val="21"/>
              </w:rPr>
            </w:pPr>
          </w:p>
          <w:p w14:paraId="51853CAD">
            <w:pPr>
              <w:spacing w:line="248" w:lineRule="auto"/>
              <w:rPr>
                <w:rFonts w:ascii="Arial"/>
                <w:sz w:val="21"/>
              </w:rPr>
            </w:pPr>
          </w:p>
          <w:p w14:paraId="4C0640AB">
            <w:pPr>
              <w:spacing w:line="248" w:lineRule="auto"/>
              <w:rPr>
                <w:rFonts w:ascii="Arial"/>
                <w:sz w:val="21"/>
              </w:rPr>
            </w:pPr>
          </w:p>
          <w:p w14:paraId="2F33ECF3">
            <w:pPr>
              <w:spacing w:line="248" w:lineRule="auto"/>
              <w:rPr>
                <w:rFonts w:ascii="Arial"/>
                <w:sz w:val="21"/>
              </w:rPr>
            </w:pPr>
          </w:p>
          <w:p w14:paraId="65973436">
            <w:pPr>
              <w:spacing w:line="248" w:lineRule="auto"/>
              <w:rPr>
                <w:rFonts w:ascii="Arial"/>
                <w:sz w:val="21"/>
              </w:rPr>
            </w:pPr>
          </w:p>
          <w:p w14:paraId="144FE472">
            <w:pPr>
              <w:spacing w:line="248" w:lineRule="auto"/>
              <w:rPr>
                <w:rFonts w:ascii="Arial"/>
                <w:sz w:val="21"/>
              </w:rPr>
            </w:pPr>
          </w:p>
          <w:p w14:paraId="64869489">
            <w:pPr>
              <w:spacing w:line="248" w:lineRule="auto"/>
              <w:rPr>
                <w:rFonts w:ascii="Arial"/>
                <w:sz w:val="21"/>
              </w:rPr>
            </w:pPr>
          </w:p>
          <w:p w14:paraId="177E7F84">
            <w:pPr>
              <w:spacing w:line="248" w:lineRule="auto"/>
              <w:rPr>
                <w:rFonts w:ascii="Arial"/>
                <w:sz w:val="21"/>
              </w:rPr>
            </w:pPr>
          </w:p>
          <w:p w14:paraId="5F23E6FD">
            <w:pPr>
              <w:spacing w:line="248" w:lineRule="auto"/>
              <w:rPr>
                <w:rFonts w:ascii="Arial"/>
                <w:sz w:val="21"/>
              </w:rPr>
            </w:pPr>
          </w:p>
          <w:p w14:paraId="212081CE">
            <w:pPr>
              <w:spacing w:line="248" w:lineRule="auto"/>
              <w:rPr>
                <w:rFonts w:ascii="Arial"/>
                <w:sz w:val="21"/>
              </w:rPr>
            </w:pPr>
          </w:p>
          <w:p w14:paraId="7D00C0CC">
            <w:pPr>
              <w:spacing w:line="248" w:lineRule="auto"/>
              <w:rPr>
                <w:rFonts w:ascii="Arial"/>
                <w:sz w:val="21"/>
              </w:rPr>
            </w:pPr>
          </w:p>
          <w:p w14:paraId="4C9A7E82">
            <w:pPr>
              <w:spacing w:line="248" w:lineRule="auto"/>
              <w:rPr>
                <w:rFonts w:ascii="Arial"/>
                <w:sz w:val="21"/>
              </w:rPr>
            </w:pPr>
          </w:p>
          <w:p w14:paraId="46C416D0">
            <w:pPr>
              <w:spacing w:line="248" w:lineRule="auto"/>
              <w:rPr>
                <w:rFonts w:ascii="Arial"/>
                <w:sz w:val="21"/>
              </w:rPr>
            </w:pPr>
          </w:p>
          <w:p w14:paraId="16B1459F">
            <w:pPr>
              <w:spacing w:line="248" w:lineRule="auto"/>
              <w:rPr>
                <w:rFonts w:ascii="Arial"/>
                <w:sz w:val="21"/>
              </w:rPr>
            </w:pPr>
          </w:p>
          <w:p w14:paraId="5A316B3A">
            <w:pPr>
              <w:spacing w:line="248" w:lineRule="auto"/>
              <w:rPr>
                <w:rFonts w:ascii="Arial"/>
                <w:sz w:val="21"/>
              </w:rPr>
            </w:pPr>
          </w:p>
          <w:p w14:paraId="7FBB7748">
            <w:pPr>
              <w:spacing w:line="248" w:lineRule="auto"/>
              <w:rPr>
                <w:rFonts w:ascii="Arial"/>
                <w:sz w:val="21"/>
              </w:rPr>
            </w:pPr>
          </w:p>
          <w:p w14:paraId="4DB26585">
            <w:pPr>
              <w:spacing w:line="249" w:lineRule="auto"/>
              <w:rPr>
                <w:rFonts w:ascii="Arial"/>
                <w:sz w:val="21"/>
              </w:rPr>
            </w:pPr>
          </w:p>
          <w:p w14:paraId="2BFD5664">
            <w:pPr>
              <w:spacing w:line="249" w:lineRule="auto"/>
              <w:rPr>
                <w:rFonts w:ascii="Arial"/>
                <w:sz w:val="21"/>
              </w:rPr>
            </w:pPr>
          </w:p>
          <w:p w14:paraId="6CA13D9E">
            <w:pPr>
              <w:spacing w:line="249" w:lineRule="auto"/>
              <w:rPr>
                <w:rFonts w:ascii="Arial"/>
                <w:sz w:val="21"/>
              </w:rPr>
            </w:pPr>
          </w:p>
          <w:p w14:paraId="1D53E364">
            <w:pPr>
              <w:spacing w:line="249" w:lineRule="auto"/>
              <w:rPr>
                <w:rFonts w:ascii="Arial"/>
                <w:sz w:val="21"/>
              </w:rPr>
            </w:pPr>
          </w:p>
          <w:p w14:paraId="7642A13C">
            <w:pPr>
              <w:spacing w:line="249" w:lineRule="auto"/>
              <w:rPr>
                <w:rFonts w:ascii="Arial"/>
                <w:sz w:val="21"/>
              </w:rPr>
            </w:pPr>
          </w:p>
          <w:p w14:paraId="0B193856">
            <w:pPr>
              <w:spacing w:line="249" w:lineRule="auto"/>
              <w:rPr>
                <w:rFonts w:ascii="Arial"/>
                <w:sz w:val="21"/>
              </w:rPr>
            </w:pPr>
          </w:p>
          <w:p w14:paraId="2198BBEC">
            <w:pPr>
              <w:spacing w:line="249" w:lineRule="auto"/>
              <w:rPr>
                <w:rFonts w:ascii="Arial"/>
                <w:sz w:val="21"/>
              </w:rPr>
            </w:pPr>
          </w:p>
          <w:p w14:paraId="39DFCEC3">
            <w:pPr>
              <w:pStyle w:val="6"/>
              <w:spacing w:before="68" w:line="279" w:lineRule="auto"/>
              <w:ind w:left="83" w:right="69"/>
              <w:jc w:val="both"/>
            </w:pPr>
            <w:r>
              <w:rPr>
                <w:spacing w:val="-4"/>
              </w:rPr>
              <w:t>其他符合性分</w:t>
            </w:r>
            <w:r>
              <w:rPr>
                <w:spacing w:val="38"/>
                <w:w w:val="128"/>
              </w:rPr>
              <w:t>析</w:t>
            </w:r>
          </w:p>
        </w:tc>
        <w:tc>
          <w:tcPr>
            <w:tcW w:w="8502" w:type="dxa"/>
            <w:vAlign w:val="top"/>
          </w:tcPr>
          <w:p w14:paraId="3741EEC3">
            <w:pPr>
              <w:pStyle w:val="6"/>
              <w:spacing w:before="125" w:line="233" w:lineRule="auto"/>
              <w:ind w:left="121"/>
              <w:rPr>
                <w:sz w:val="24"/>
                <w:szCs w:val="24"/>
              </w:rPr>
            </w:pPr>
            <w:r>
              <w:rPr>
                <w:rFonts w:ascii="Times New Roman" w:hAnsi="Times New Roman" w:eastAsia="Times New Roman" w:cs="Times New Roman"/>
                <w:b/>
                <w:bCs/>
                <w:spacing w:val="-5"/>
                <w:sz w:val="24"/>
                <w:szCs w:val="24"/>
              </w:rPr>
              <w:t>1</w:t>
            </w:r>
            <w:r>
              <w:rPr>
                <w:b/>
                <w:bCs/>
                <w:spacing w:val="-5"/>
                <w:sz w:val="24"/>
                <w:szCs w:val="24"/>
              </w:rPr>
              <w:t>、与“三线一单</w:t>
            </w:r>
            <w:r>
              <w:rPr>
                <w:spacing w:val="-83"/>
                <w:sz w:val="24"/>
                <w:szCs w:val="24"/>
              </w:rPr>
              <w:t xml:space="preserve"> </w:t>
            </w:r>
            <w:r>
              <w:rPr>
                <w:b/>
                <w:bCs/>
                <w:spacing w:val="-5"/>
                <w:sz w:val="24"/>
                <w:szCs w:val="24"/>
              </w:rPr>
              <w:t>”的符合性分析</w:t>
            </w:r>
          </w:p>
          <w:p w14:paraId="39EBBB51">
            <w:pPr>
              <w:pStyle w:val="6"/>
              <w:spacing w:before="167" w:line="365" w:lineRule="auto"/>
              <w:ind w:left="115" w:right="103" w:firstLine="507"/>
              <w:jc w:val="both"/>
              <w:rPr>
                <w:sz w:val="24"/>
                <w:szCs w:val="24"/>
              </w:rPr>
            </w:pPr>
            <w:r>
              <w:rPr>
                <w:spacing w:val="-7"/>
                <w:sz w:val="24"/>
                <w:szCs w:val="24"/>
              </w:rPr>
              <w:t>曲靖市人民政府于</w:t>
            </w:r>
            <w:r>
              <w:rPr>
                <w:spacing w:val="-41"/>
                <w:sz w:val="24"/>
                <w:szCs w:val="24"/>
              </w:rPr>
              <w:t xml:space="preserve"> </w:t>
            </w:r>
            <w:r>
              <w:rPr>
                <w:rFonts w:ascii="Times New Roman" w:hAnsi="Times New Roman" w:eastAsia="Times New Roman" w:cs="Times New Roman"/>
                <w:spacing w:val="-7"/>
                <w:sz w:val="24"/>
                <w:szCs w:val="24"/>
              </w:rPr>
              <w:t xml:space="preserve">2021 </w:t>
            </w:r>
            <w:r>
              <w:rPr>
                <w:spacing w:val="-7"/>
                <w:sz w:val="24"/>
                <w:szCs w:val="24"/>
              </w:rPr>
              <w:t>年</w:t>
            </w:r>
            <w:r>
              <w:rPr>
                <w:spacing w:val="-52"/>
                <w:sz w:val="24"/>
                <w:szCs w:val="24"/>
              </w:rPr>
              <w:t xml:space="preserve"> </w:t>
            </w:r>
            <w:r>
              <w:rPr>
                <w:rFonts w:ascii="Times New Roman" w:hAnsi="Times New Roman" w:eastAsia="Times New Roman" w:cs="Times New Roman"/>
                <w:spacing w:val="-7"/>
                <w:sz w:val="24"/>
                <w:szCs w:val="24"/>
              </w:rPr>
              <w:t>7</w:t>
            </w:r>
            <w:r>
              <w:rPr>
                <w:rFonts w:ascii="Times New Roman" w:hAnsi="Times New Roman" w:eastAsia="Times New Roman" w:cs="Times New Roman"/>
                <w:spacing w:val="16"/>
                <w:sz w:val="24"/>
                <w:szCs w:val="24"/>
              </w:rPr>
              <w:t xml:space="preserve"> </w:t>
            </w:r>
            <w:r>
              <w:rPr>
                <w:spacing w:val="-7"/>
                <w:sz w:val="24"/>
                <w:szCs w:val="24"/>
              </w:rPr>
              <w:t>月</w:t>
            </w:r>
            <w:r>
              <w:rPr>
                <w:spacing w:val="-50"/>
                <w:sz w:val="24"/>
                <w:szCs w:val="24"/>
              </w:rPr>
              <w:t xml:space="preserve"> </w:t>
            </w:r>
            <w:r>
              <w:rPr>
                <w:rFonts w:ascii="Times New Roman" w:hAnsi="Times New Roman" w:eastAsia="Times New Roman" w:cs="Times New Roman"/>
                <w:spacing w:val="-7"/>
                <w:sz w:val="24"/>
                <w:szCs w:val="24"/>
              </w:rPr>
              <w:t xml:space="preserve">30  </w:t>
            </w:r>
            <w:r>
              <w:rPr>
                <w:spacing w:val="-7"/>
                <w:sz w:val="24"/>
                <w:szCs w:val="24"/>
              </w:rPr>
              <w:t>日颁布了《曲靖市“三线一单”生态环境</w:t>
            </w:r>
            <w:r>
              <w:rPr>
                <w:spacing w:val="-4"/>
                <w:sz w:val="24"/>
                <w:szCs w:val="24"/>
              </w:rPr>
              <w:t>分区管控实施方案》（曲政发〔</w:t>
            </w:r>
            <w:r>
              <w:rPr>
                <w:rFonts w:ascii="Times New Roman" w:hAnsi="Times New Roman" w:eastAsia="Times New Roman" w:cs="Times New Roman"/>
                <w:spacing w:val="-4"/>
                <w:sz w:val="24"/>
                <w:szCs w:val="24"/>
              </w:rPr>
              <w:t>2021</w:t>
            </w:r>
            <w:r>
              <w:rPr>
                <w:spacing w:val="-4"/>
                <w:sz w:val="24"/>
                <w:szCs w:val="24"/>
              </w:rPr>
              <w:t>〕</w:t>
            </w:r>
            <w:r>
              <w:rPr>
                <w:rFonts w:ascii="Times New Roman" w:hAnsi="Times New Roman" w:eastAsia="Times New Roman" w:cs="Times New Roman"/>
                <w:spacing w:val="-4"/>
                <w:sz w:val="24"/>
                <w:szCs w:val="24"/>
              </w:rPr>
              <w:t xml:space="preserve">27  </w:t>
            </w:r>
            <w:r>
              <w:rPr>
                <w:spacing w:val="-4"/>
                <w:sz w:val="24"/>
                <w:szCs w:val="24"/>
              </w:rPr>
              <w:t>号</w:t>
            </w:r>
            <w:r>
              <w:rPr>
                <w:spacing w:val="-45"/>
                <w:sz w:val="24"/>
                <w:szCs w:val="24"/>
              </w:rPr>
              <w:t>），</w:t>
            </w:r>
            <w:r>
              <w:rPr>
                <w:spacing w:val="-4"/>
                <w:sz w:val="24"/>
                <w:szCs w:val="24"/>
              </w:rPr>
              <w:t>对“生态保护红线、环境</w:t>
            </w:r>
            <w:r>
              <w:rPr>
                <w:spacing w:val="-5"/>
                <w:sz w:val="24"/>
                <w:szCs w:val="24"/>
              </w:rPr>
              <w:t>质量底</w:t>
            </w:r>
            <w:r>
              <w:rPr>
                <w:spacing w:val="-10"/>
                <w:sz w:val="24"/>
                <w:szCs w:val="24"/>
              </w:rPr>
              <w:t>线、资源利用上线和生态环境准入清单”（以下简称“三线一单”</w:t>
            </w:r>
            <w:r>
              <w:rPr>
                <w:spacing w:val="-11"/>
                <w:sz w:val="24"/>
                <w:szCs w:val="24"/>
              </w:rPr>
              <w:t>）提出了生态环</w:t>
            </w:r>
            <w:r>
              <w:rPr>
                <w:spacing w:val="-2"/>
                <w:sz w:val="24"/>
                <w:szCs w:val="24"/>
              </w:rPr>
              <w:t>境分区管控意见，明确了管控原则，并于</w:t>
            </w:r>
            <w:r>
              <w:rPr>
                <w:spacing w:val="-39"/>
                <w:sz w:val="24"/>
                <w:szCs w:val="24"/>
              </w:rPr>
              <w:t xml:space="preserve"> </w:t>
            </w:r>
            <w:r>
              <w:rPr>
                <w:rFonts w:ascii="Times New Roman" w:hAnsi="Times New Roman" w:eastAsia="Times New Roman" w:cs="Times New Roman"/>
                <w:spacing w:val="-2"/>
                <w:sz w:val="24"/>
                <w:szCs w:val="24"/>
              </w:rPr>
              <w:t xml:space="preserve">2023 </w:t>
            </w:r>
            <w:r>
              <w:rPr>
                <w:spacing w:val="-2"/>
                <w:sz w:val="24"/>
                <w:szCs w:val="24"/>
              </w:rPr>
              <w:t>年进行了更新。</w:t>
            </w:r>
          </w:p>
          <w:p w14:paraId="008D0B02">
            <w:pPr>
              <w:pStyle w:val="6"/>
              <w:spacing w:line="234" w:lineRule="auto"/>
              <w:ind w:left="603"/>
              <w:rPr>
                <w:sz w:val="24"/>
                <w:szCs w:val="24"/>
              </w:rPr>
            </w:pPr>
            <w:r>
              <w:rPr>
                <w:b/>
                <w:bCs/>
                <w:spacing w:val="-5"/>
                <w:sz w:val="24"/>
                <w:szCs w:val="24"/>
              </w:rPr>
              <w:t>（</w:t>
            </w:r>
            <w:r>
              <w:rPr>
                <w:rFonts w:ascii="Times New Roman" w:hAnsi="Times New Roman" w:eastAsia="Times New Roman" w:cs="Times New Roman"/>
                <w:b/>
                <w:bCs/>
                <w:spacing w:val="-5"/>
                <w:sz w:val="24"/>
                <w:szCs w:val="24"/>
              </w:rPr>
              <w:t>1</w:t>
            </w:r>
            <w:r>
              <w:rPr>
                <w:b/>
                <w:bCs/>
                <w:spacing w:val="-5"/>
                <w:sz w:val="24"/>
                <w:szCs w:val="24"/>
              </w:rPr>
              <w:t>）生态保护红线</w:t>
            </w:r>
          </w:p>
          <w:p w14:paraId="663DC468">
            <w:pPr>
              <w:pStyle w:val="6"/>
              <w:spacing w:before="167" w:line="365" w:lineRule="auto"/>
              <w:ind w:left="116" w:right="106" w:firstLine="478"/>
              <w:jc w:val="both"/>
              <w:rPr>
                <w:sz w:val="24"/>
                <w:szCs w:val="24"/>
              </w:rPr>
            </w:pPr>
            <w:r>
              <w:rPr>
                <w:spacing w:val="-4"/>
                <w:sz w:val="24"/>
                <w:szCs w:val="24"/>
              </w:rPr>
              <w:t>执行云南省人民政府发布的生态保护红线，生态保护红线评估调整成果获批后，按照批准成果执行。将未划入生态保护红线的自然保护地、饮用水水源保护区、重要湿地、基本草原、生态公益林、天然林等生态功能重要、生态环境敏感区域划为一般生态空间。</w:t>
            </w:r>
          </w:p>
          <w:p w14:paraId="2890BC94">
            <w:pPr>
              <w:pStyle w:val="6"/>
              <w:spacing w:line="234" w:lineRule="auto"/>
              <w:ind w:left="613"/>
              <w:rPr>
                <w:sz w:val="24"/>
                <w:szCs w:val="24"/>
              </w:rPr>
            </w:pPr>
            <w:r>
              <w:rPr>
                <w:rFonts w:ascii="Times New Roman" w:hAnsi="Times New Roman" w:eastAsia="Times New Roman" w:cs="Times New Roman"/>
                <w:spacing w:val="-3"/>
                <w:sz w:val="24"/>
                <w:szCs w:val="24"/>
              </w:rPr>
              <w:t>1</w:t>
            </w:r>
            <w:r>
              <w:rPr>
                <w:spacing w:val="-3"/>
                <w:sz w:val="24"/>
                <w:szCs w:val="24"/>
              </w:rPr>
              <w:t>）涉及生态保护红线的情况</w:t>
            </w:r>
          </w:p>
          <w:p w14:paraId="02D40E43">
            <w:pPr>
              <w:pStyle w:val="6"/>
              <w:spacing w:before="172" w:line="364" w:lineRule="auto"/>
              <w:ind w:left="113" w:right="101" w:firstLine="480"/>
              <w:rPr>
                <w:sz w:val="24"/>
                <w:szCs w:val="24"/>
              </w:rPr>
            </w:pPr>
            <w:r>
              <w:rPr>
                <w:spacing w:val="-4"/>
                <w:sz w:val="24"/>
                <w:szCs w:val="24"/>
              </w:rPr>
              <w:t>根据会泽县自然资源局对本项目涉及生态保护红线查询的情况说明，本工程</w:t>
            </w:r>
            <w:r>
              <w:rPr>
                <w:spacing w:val="1"/>
                <w:sz w:val="24"/>
                <w:szCs w:val="24"/>
              </w:rPr>
              <w:t>输电线路在会泽县境内穿越了生态保护红线，类型为金沙江下游</w:t>
            </w:r>
            <w:r>
              <w:rPr>
                <w:rFonts w:ascii="Times New Roman" w:hAnsi="Times New Roman" w:eastAsia="Times New Roman" w:cs="Times New Roman"/>
                <w:spacing w:val="1"/>
                <w:sz w:val="24"/>
                <w:szCs w:val="24"/>
              </w:rPr>
              <w:t>-</w:t>
            </w:r>
            <w:r>
              <w:rPr>
                <w:spacing w:val="1"/>
                <w:sz w:val="24"/>
                <w:szCs w:val="24"/>
              </w:rPr>
              <w:t>小江流域水土</w:t>
            </w:r>
            <w:r>
              <w:rPr>
                <w:spacing w:val="-2"/>
                <w:sz w:val="24"/>
                <w:szCs w:val="24"/>
              </w:rPr>
              <w:t>流失控制生态保护红线，穿越长度约</w:t>
            </w:r>
            <w:r>
              <w:rPr>
                <w:spacing w:val="-30"/>
                <w:sz w:val="24"/>
                <w:szCs w:val="24"/>
              </w:rPr>
              <w:t xml:space="preserve"> </w:t>
            </w:r>
            <w:r>
              <w:rPr>
                <w:rFonts w:ascii="Times New Roman" w:hAnsi="Times New Roman" w:eastAsia="Times New Roman" w:cs="Times New Roman"/>
                <w:spacing w:val="-2"/>
                <w:sz w:val="24"/>
                <w:szCs w:val="24"/>
              </w:rPr>
              <w:t>4257m</w:t>
            </w:r>
            <w:r>
              <w:rPr>
                <w:spacing w:val="-2"/>
                <w:sz w:val="24"/>
                <w:szCs w:val="24"/>
              </w:rPr>
              <w:t>，立塔</w:t>
            </w:r>
            <w:r>
              <w:rPr>
                <w:spacing w:val="-22"/>
                <w:sz w:val="24"/>
                <w:szCs w:val="24"/>
              </w:rPr>
              <w:t xml:space="preserve"> </w:t>
            </w:r>
            <w:r>
              <w:rPr>
                <w:rFonts w:ascii="Times New Roman" w:hAnsi="Times New Roman" w:eastAsia="Times New Roman" w:cs="Times New Roman"/>
                <w:spacing w:val="-2"/>
                <w:sz w:val="24"/>
                <w:szCs w:val="24"/>
              </w:rPr>
              <w:t xml:space="preserve">13 </w:t>
            </w:r>
            <w:r>
              <w:rPr>
                <w:spacing w:val="-2"/>
                <w:sz w:val="24"/>
                <w:szCs w:val="24"/>
              </w:rPr>
              <w:t>基，植被以云南松为主。</w:t>
            </w:r>
          </w:p>
          <w:p w14:paraId="05281039">
            <w:pPr>
              <w:pStyle w:val="6"/>
              <w:spacing w:line="234" w:lineRule="auto"/>
              <w:ind w:left="590"/>
              <w:rPr>
                <w:sz w:val="24"/>
                <w:szCs w:val="24"/>
              </w:rPr>
            </w:pPr>
            <w:r>
              <w:rPr>
                <w:rFonts w:ascii="Times New Roman" w:hAnsi="Times New Roman" w:eastAsia="Times New Roman" w:cs="Times New Roman"/>
                <w:spacing w:val="-3"/>
                <w:sz w:val="24"/>
                <w:szCs w:val="24"/>
              </w:rPr>
              <w:t>2</w:t>
            </w:r>
            <w:r>
              <w:rPr>
                <w:spacing w:val="-3"/>
                <w:sz w:val="24"/>
                <w:szCs w:val="24"/>
              </w:rPr>
              <w:t>）相关要求</w:t>
            </w:r>
          </w:p>
          <w:p w14:paraId="4D385906">
            <w:pPr>
              <w:pStyle w:val="6"/>
              <w:spacing w:before="170" w:line="362" w:lineRule="auto"/>
              <w:ind w:left="114" w:right="102" w:firstLine="475"/>
              <w:rPr>
                <w:sz w:val="24"/>
                <w:szCs w:val="24"/>
              </w:rPr>
            </w:pPr>
            <w:r>
              <w:rPr>
                <w:rFonts w:ascii="Times New Roman" w:hAnsi="Times New Roman" w:eastAsia="Times New Roman" w:cs="Times New Roman"/>
                <w:spacing w:val="-3"/>
                <w:sz w:val="24"/>
                <w:szCs w:val="24"/>
              </w:rPr>
              <w:t>2016</w:t>
            </w:r>
            <w:r>
              <w:rPr>
                <w:rFonts w:ascii="Times New Roman" w:hAnsi="Times New Roman" w:eastAsia="Times New Roman" w:cs="Times New Roman"/>
                <w:spacing w:val="22"/>
                <w:sz w:val="24"/>
                <w:szCs w:val="24"/>
              </w:rPr>
              <w:t xml:space="preserve"> </w:t>
            </w:r>
            <w:r>
              <w:rPr>
                <w:spacing w:val="-3"/>
                <w:sz w:val="24"/>
                <w:szCs w:val="24"/>
              </w:rPr>
              <w:t xml:space="preserve">年 </w:t>
            </w:r>
            <w:r>
              <w:rPr>
                <w:rFonts w:ascii="Times New Roman" w:hAnsi="Times New Roman" w:eastAsia="Times New Roman" w:cs="Times New Roman"/>
                <w:spacing w:val="-3"/>
                <w:sz w:val="24"/>
                <w:szCs w:val="24"/>
              </w:rPr>
              <w:t>10</w:t>
            </w:r>
            <w:r>
              <w:rPr>
                <w:rFonts w:ascii="Times New Roman" w:hAnsi="Times New Roman" w:eastAsia="Times New Roman" w:cs="Times New Roman"/>
                <w:spacing w:val="30"/>
                <w:sz w:val="24"/>
                <w:szCs w:val="24"/>
              </w:rPr>
              <w:t xml:space="preserve"> </w:t>
            </w:r>
            <w:r>
              <w:rPr>
                <w:spacing w:val="-3"/>
                <w:sz w:val="24"/>
                <w:szCs w:val="24"/>
              </w:rPr>
              <w:t>月</w:t>
            </w:r>
            <w:r>
              <w:rPr>
                <w:spacing w:val="-43"/>
                <w:sz w:val="24"/>
                <w:szCs w:val="24"/>
              </w:rPr>
              <w:t xml:space="preserve"> </w:t>
            </w:r>
            <w:r>
              <w:rPr>
                <w:rFonts w:ascii="Times New Roman" w:hAnsi="Times New Roman" w:eastAsia="Times New Roman" w:cs="Times New Roman"/>
                <w:spacing w:val="-3"/>
                <w:sz w:val="24"/>
                <w:szCs w:val="24"/>
              </w:rPr>
              <w:t xml:space="preserve">26  </w:t>
            </w:r>
            <w:r>
              <w:rPr>
                <w:spacing w:val="-3"/>
                <w:sz w:val="24"/>
                <w:szCs w:val="24"/>
              </w:rPr>
              <w:t>日，原环境保护部印</w:t>
            </w:r>
            <w:r>
              <w:rPr>
                <w:spacing w:val="-4"/>
                <w:sz w:val="24"/>
                <w:szCs w:val="24"/>
              </w:rPr>
              <w:t>发《关于以改善环境质量为核心加强</w:t>
            </w:r>
            <w:r>
              <w:rPr>
                <w:spacing w:val="-7"/>
                <w:sz w:val="24"/>
                <w:szCs w:val="24"/>
              </w:rPr>
              <w:t>环境影响评价管理的通知》（环环评〔</w:t>
            </w:r>
            <w:r>
              <w:rPr>
                <w:rFonts w:ascii="Times New Roman" w:hAnsi="Times New Roman" w:eastAsia="Times New Roman" w:cs="Times New Roman"/>
                <w:spacing w:val="-7"/>
                <w:sz w:val="24"/>
                <w:szCs w:val="24"/>
              </w:rPr>
              <w:t>2016</w:t>
            </w:r>
            <w:r>
              <w:rPr>
                <w:spacing w:val="-7"/>
                <w:sz w:val="24"/>
                <w:szCs w:val="24"/>
              </w:rPr>
              <w:t>〕</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8"/>
                <w:sz w:val="24"/>
                <w:szCs w:val="24"/>
              </w:rPr>
              <w:t xml:space="preserve">50  </w:t>
            </w:r>
            <w:r>
              <w:rPr>
                <w:spacing w:val="-8"/>
                <w:sz w:val="24"/>
                <w:szCs w:val="24"/>
              </w:rPr>
              <w:t>号</w:t>
            </w:r>
            <w:r>
              <w:rPr>
                <w:spacing w:val="-37"/>
                <w:sz w:val="24"/>
                <w:szCs w:val="24"/>
              </w:rPr>
              <w:t>），</w:t>
            </w:r>
            <w:r>
              <w:rPr>
                <w:spacing w:val="-8"/>
                <w:sz w:val="24"/>
                <w:szCs w:val="24"/>
              </w:rPr>
              <w:t>提出：“除受自然条件限</w:t>
            </w:r>
            <w:r>
              <w:rPr>
                <w:spacing w:val="-4"/>
                <w:sz w:val="24"/>
                <w:szCs w:val="24"/>
              </w:rPr>
              <w:t>制、确实无法避让的铁路、公路、航道、防洪、管道、干渠、通讯、输变电等重</w:t>
            </w:r>
            <w:r>
              <w:rPr>
                <w:sz w:val="24"/>
                <w:szCs w:val="24"/>
              </w:rPr>
              <w:t>要基础设施项目外，在生态保护红线范围内，严</w:t>
            </w:r>
            <w:r>
              <w:rPr>
                <w:spacing w:val="-1"/>
                <w:sz w:val="24"/>
                <w:szCs w:val="24"/>
              </w:rPr>
              <w:t>控各类开发建设活动”。</w:t>
            </w:r>
          </w:p>
          <w:p w14:paraId="5D8D8BC5">
            <w:pPr>
              <w:pStyle w:val="6"/>
              <w:spacing w:before="14" w:line="364" w:lineRule="auto"/>
              <w:ind w:left="113" w:right="45" w:firstLine="476"/>
              <w:jc w:val="both"/>
              <w:rPr>
                <w:sz w:val="24"/>
                <w:szCs w:val="24"/>
              </w:rPr>
            </w:pPr>
            <w:r>
              <w:rPr>
                <w:rFonts w:ascii="Times New Roman" w:hAnsi="Times New Roman" w:eastAsia="Times New Roman" w:cs="Times New Roman"/>
                <w:spacing w:val="-4"/>
                <w:sz w:val="24"/>
                <w:szCs w:val="24"/>
              </w:rPr>
              <w:t xml:space="preserve">2018 </w:t>
            </w:r>
            <w:r>
              <w:rPr>
                <w:spacing w:val="-4"/>
                <w:sz w:val="24"/>
                <w:szCs w:val="24"/>
              </w:rPr>
              <w:t>年</w:t>
            </w:r>
            <w:r>
              <w:rPr>
                <w:spacing w:val="-45"/>
                <w:sz w:val="24"/>
                <w:szCs w:val="24"/>
              </w:rPr>
              <w:t xml:space="preserve"> </w:t>
            </w:r>
            <w:r>
              <w:rPr>
                <w:rFonts w:ascii="Times New Roman" w:hAnsi="Times New Roman" w:eastAsia="Times New Roman" w:cs="Times New Roman"/>
                <w:spacing w:val="-4"/>
                <w:sz w:val="24"/>
                <w:szCs w:val="24"/>
              </w:rPr>
              <w:t>8</w:t>
            </w:r>
            <w:r>
              <w:rPr>
                <w:rFonts w:ascii="Times New Roman" w:hAnsi="Times New Roman" w:eastAsia="Times New Roman" w:cs="Times New Roman"/>
                <w:spacing w:val="15"/>
                <w:sz w:val="24"/>
                <w:szCs w:val="24"/>
              </w:rPr>
              <w:t xml:space="preserve"> </w:t>
            </w:r>
            <w:r>
              <w:rPr>
                <w:spacing w:val="-4"/>
                <w:sz w:val="24"/>
                <w:szCs w:val="24"/>
              </w:rPr>
              <w:t>月</w:t>
            </w:r>
            <w:r>
              <w:rPr>
                <w:spacing w:val="-50"/>
                <w:sz w:val="24"/>
                <w:szCs w:val="24"/>
              </w:rPr>
              <w:t xml:space="preserve"> </w:t>
            </w:r>
            <w:r>
              <w:rPr>
                <w:rFonts w:ascii="Times New Roman" w:hAnsi="Times New Roman" w:eastAsia="Times New Roman" w:cs="Times New Roman"/>
                <w:spacing w:val="-4"/>
                <w:sz w:val="24"/>
                <w:szCs w:val="24"/>
              </w:rPr>
              <w:t xml:space="preserve">30  </w:t>
            </w:r>
            <w:r>
              <w:rPr>
                <w:spacing w:val="-4"/>
                <w:sz w:val="24"/>
                <w:szCs w:val="24"/>
              </w:rPr>
              <w:t>日，生态环境部印发《关于生态环境</w:t>
            </w:r>
            <w:r>
              <w:rPr>
                <w:spacing w:val="-5"/>
                <w:sz w:val="24"/>
                <w:szCs w:val="24"/>
              </w:rPr>
              <w:t>领域进一步深化“放管</w:t>
            </w:r>
            <w:r>
              <w:rPr>
                <w:spacing w:val="-16"/>
                <w:sz w:val="24"/>
                <w:szCs w:val="24"/>
              </w:rPr>
              <w:t>服</w:t>
            </w:r>
            <w:r>
              <w:rPr>
                <w:spacing w:val="-87"/>
                <w:sz w:val="24"/>
                <w:szCs w:val="24"/>
              </w:rPr>
              <w:t xml:space="preserve"> </w:t>
            </w:r>
            <w:r>
              <w:rPr>
                <w:spacing w:val="-16"/>
                <w:sz w:val="24"/>
                <w:szCs w:val="24"/>
              </w:rPr>
              <w:t>”改革，推动经济高质量发展的指导意见》（环规财</w:t>
            </w:r>
            <w:r>
              <w:rPr>
                <w:spacing w:val="-17"/>
                <w:sz w:val="24"/>
                <w:szCs w:val="24"/>
              </w:rPr>
              <w:t>〔</w:t>
            </w:r>
            <w:r>
              <w:rPr>
                <w:rFonts w:ascii="Times New Roman" w:hAnsi="Times New Roman" w:eastAsia="Times New Roman" w:cs="Times New Roman"/>
                <w:spacing w:val="-17"/>
                <w:sz w:val="24"/>
                <w:szCs w:val="24"/>
              </w:rPr>
              <w:t>2018</w:t>
            </w:r>
            <w:r>
              <w:rPr>
                <w:spacing w:val="-17"/>
                <w:sz w:val="24"/>
                <w:szCs w:val="24"/>
              </w:rPr>
              <w:t>〕</w:t>
            </w:r>
            <w:r>
              <w:rPr>
                <w:rFonts w:ascii="Times New Roman" w:hAnsi="Times New Roman" w:eastAsia="Times New Roman" w:cs="Times New Roman"/>
                <w:spacing w:val="-17"/>
                <w:sz w:val="24"/>
                <w:szCs w:val="24"/>
              </w:rPr>
              <w:t>86</w:t>
            </w:r>
            <w:r>
              <w:rPr>
                <w:rFonts w:ascii="Times New Roman" w:hAnsi="Times New Roman" w:eastAsia="Times New Roman" w:cs="Times New Roman"/>
                <w:spacing w:val="16"/>
                <w:sz w:val="24"/>
                <w:szCs w:val="24"/>
              </w:rPr>
              <w:t xml:space="preserve"> </w:t>
            </w:r>
            <w:r>
              <w:rPr>
                <w:spacing w:val="-17"/>
                <w:sz w:val="24"/>
                <w:szCs w:val="24"/>
              </w:rPr>
              <w:t>号</w:t>
            </w:r>
            <w:r>
              <w:rPr>
                <w:spacing w:val="-46"/>
                <w:sz w:val="24"/>
                <w:szCs w:val="24"/>
              </w:rPr>
              <w:t>），</w:t>
            </w:r>
            <w:r>
              <w:rPr>
                <w:spacing w:val="-17"/>
                <w:sz w:val="24"/>
                <w:szCs w:val="24"/>
              </w:rPr>
              <w:t>提出：“对</w:t>
            </w:r>
            <w:r>
              <w:rPr>
                <w:spacing w:val="-2"/>
                <w:sz w:val="24"/>
                <w:szCs w:val="24"/>
              </w:rPr>
              <w:t>审批中发现涉及生态保护红线和相关法定保护区的输气管线、铁路等线性项目，</w:t>
            </w:r>
            <w:r>
              <w:rPr>
                <w:spacing w:val="-6"/>
                <w:sz w:val="24"/>
                <w:szCs w:val="24"/>
              </w:rPr>
              <w:t>指导督促项目优化调整选线、主动避让；</w:t>
            </w:r>
            <w:r>
              <w:rPr>
                <w:spacing w:val="-33"/>
                <w:sz w:val="24"/>
                <w:szCs w:val="24"/>
              </w:rPr>
              <w:t xml:space="preserve"> </w:t>
            </w:r>
            <w:r>
              <w:rPr>
                <w:spacing w:val="-6"/>
                <w:sz w:val="24"/>
                <w:szCs w:val="24"/>
              </w:rPr>
              <w:t>确实无法避让的，要求建设单位采</w:t>
            </w:r>
            <w:r>
              <w:rPr>
                <w:spacing w:val="-7"/>
                <w:sz w:val="24"/>
                <w:szCs w:val="24"/>
              </w:rPr>
              <w:t>取无</w:t>
            </w:r>
            <w:r>
              <w:rPr>
                <w:spacing w:val="-4"/>
                <w:sz w:val="24"/>
                <w:szCs w:val="24"/>
              </w:rPr>
              <w:t>害化穿（跨）越方式，或依法依规向有关行政主管部门履行穿越法定保护区的行</w:t>
            </w:r>
            <w:r>
              <w:rPr>
                <w:spacing w:val="-1"/>
                <w:sz w:val="24"/>
                <w:szCs w:val="24"/>
              </w:rPr>
              <w:t>政许可手续、强化减缓和补偿措施。”</w:t>
            </w:r>
          </w:p>
          <w:p w14:paraId="41F7BC3F">
            <w:pPr>
              <w:pStyle w:val="6"/>
              <w:spacing w:before="6" w:line="333" w:lineRule="auto"/>
              <w:ind w:left="98" w:right="105" w:firstLine="492"/>
              <w:rPr>
                <w:sz w:val="24"/>
                <w:szCs w:val="24"/>
              </w:rPr>
            </w:pPr>
            <w:r>
              <w:rPr>
                <w:rFonts w:ascii="Times New Roman" w:hAnsi="Times New Roman" w:eastAsia="Times New Roman" w:cs="Times New Roman"/>
                <w:spacing w:val="-3"/>
                <w:sz w:val="24"/>
                <w:szCs w:val="24"/>
              </w:rPr>
              <w:t>2019</w:t>
            </w:r>
            <w:r>
              <w:rPr>
                <w:rFonts w:ascii="Times New Roman" w:hAnsi="Times New Roman" w:eastAsia="Times New Roman" w:cs="Times New Roman"/>
                <w:spacing w:val="22"/>
                <w:w w:val="101"/>
                <w:sz w:val="24"/>
                <w:szCs w:val="24"/>
              </w:rPr>
              <w:t xml:space="preserve"> </w:t>
            </w:r>
            <w:r>
              <w:rPr>
                <w:spacing w:val="-3"/>
                <w:sz w:val="24"/>
                <w:szCs w:val="24"/>
              </w:rPr>
              <w:t xml:space="preserve">年 </w:t>
            </w:r>
            <w:r>
              <w:rPr>
                <w:rFonts w:ascii="Times New Roman" w:hAnsi="Times New Roman" w:eastAsia="Times New Roman" w:cs="Times New Roman"/>
                <w:spacing w:val="-3"/>
                <w:sz w:val="24"/>
                <w:szCs w:val="24"/>
              </w:rPr>
              <w:t>10</w:t>
            </w:r>
            <w:r>
              <w:rPr>
                <w:rFonts w:ascii="Times New Roman" w:hAnsi="Times New Roman" w:eastAsia="Times New Roman" w:cs="Times New Roman"/>
                <w:spacing w:val="29"/>
                <w:w w:val="101"/>
                <w:sz w:val="24"/>
                <w:szCs w:val="24"/>
              </w:rPr>
              <w:t xml:space="preserve"> </w:t>
            </w:r>
            <w:r>
              <w:rPr>
                <w:spacing w:val="-3"/>
                <w:sz w:val="24"/>
                <w:szCs w:val="24"/>
              </w:rPr>
              <w:t>月</w:t>
            </w:r>
            <w:r>
              <w:rPr>
                <w:spacing w:val="-43"/>
                <w:sz w:val="24"/>
                <w:szCs w:val="24"/>
              </w:rPr>
              <w:t xml:space="preserve"> </w:t>
            </w:r>
            <w:r>
              <w:rPr>
                <w:rFonts w:ascii="Times New Roman" w:hAnsi="Times New Roman" w:eastAsia="Times New Roman" w:cs="Times New Roman"/>
                <w:spacing w:val="-3"/>
                <w:sz w:val="24"/>
                <w:szCs w:val="24"/>
              </w:rPr>
              <w:t xml:space="preserve">24  </w:t>
            </w:r>
            <w:r>
              <w:rPr>
                <w:spacing w:val="-3"/>
                <w:sz w:val="24"/>
                <w:szCs w:val="24"/>
              </w:rPr>
              <w:t>日，中共中央办公厅、</w:t>
            </w:r>
            <w:r>
              <w:rPr>
                <w:spacing w:val="-4"/>
                <w:sz w:val="24"/>
                <w:szCs w:val="24"/>
              </w:rPr>
              <w:t>国务院办公厅印发《关于在国土空</w:t>
            </w:r>
            <w:r>
              <w:rPr>
                <w:spacing w:val="-3"/>
                <w:sz w:val="24"/>
                <w:szCs w:val="24"/>
              </w:rPr>
              <w:t>间规划中统筹划定落实三条控制线的指导意见》（厅字〔</w:t>
            </w:r>
            <w:r>
              <w:rPr>
                <w:rFonts w:ascii="Times New Roman" w:hAnsi="Times New Roman" w:eastAsia="Times New Roman" w:cs="Times New Roman"/>
                <w:spacing w:val="-3"/>
                <w:sz w:val="24"/>
                <w:szCs w:val="24"/>
              </w:rPr>
              <w:t>2019</w:t>
            </w:r>
            <w:r>
              <w:rPr>
                <w:spacing w:val="-3"/>
                <w:sz w:val="24"/>
                <w:szCs w:val="24"/>
              </w:rPr>
              <w:t>〕</w:t>
            </w:r>
            <w:r>
              <w:rPr>
                <w:rFonts w:ascii="Times New Roman" w:hAnsi="Times New Roman" w:eastAsia="Times New Roman" w:cs="Times New Roman"/>
                <w:spacing w:val="-3"/>
                <w:sz w:val="24"/>
                <w:szCs w:val="24"/>
              </w:rPr>
              <w:t xml:space="preserve">48  </w:t>
            </w:r>
            <w:r>
              <w:rPr>
                <w:spacing w:val="-3"/>
                <w:sz w:val="24"/>
                <w:szCs w:val="24"/>
              </w:rPr>
              <w:t>号</w:t>
            </w:r>
            <w:r>
              <w:rPr>
                <w:spacing w:val="-64"/>
                <w:sz w:val="24"/>
                <w:szCs w:val="24"/>
              </w:rPr>
              <w:t>），</w:t>
            </w:r>
            <w:r>
              <w:rPr>
                <w:spacing w:val="-3"/>
                <w:sz w:val="24"/>
                <w:szCs w:val="24"/>
              </w:rPr>
              <w:t>提出：</w:t>
            </w:r>
            <w:r>
              <w:rPr>
                <w:spacing w:val="1"/>
                <w:sz w:val="24"/>
                <w:szCs w:val="24"/>
              </w:rPr>
              <w:t xml:space="preserve"> </w:t>
            </w:r>
            <w:r>
              <w:rPr>
                <w:spacing w:val="-3"/>
                <w:sz w:val="24"/>
                <w:szCs w:val="24"/>
              </w:rPr>
              <w:t>“生态保护红线内，自然保护地核心保护区原则上禁止人为活动，其他</w:t>
            </w:r>
            <w:r>
              <w:rPr>
                <w:spacing w:val="-4"/>
                <w:sz w:val="24"/>
                <w:szCs w:val="24"/>
              </w:rPr>
              <w:t>区域严格</w:t>
            </w:r>
          </w:p>
        </w:tc>
      </w:tr>
    </w:tbl>
    <w:p w14:paraId="4854CE1A">
      <w:pPr>
        <w:rPr>
          <w:rFonts w:ascii="Arial"/>
          <w:sz w:val="21"/>
        </w:rPr>
      </w:pPr>
    </w:p>
    <w:p w14:paraId="21EB9C5F">
      <w:pPr>
        <w:rPr>
          <w:rFonts w:ascii="Arial" w:hAnsi="Arial" w:eastAsia="Arial" w:cs="Arial"/>
          <w:sz w:val="21"/>
          <w:szCs w:val="21"/>
        </w:rPr>
        <w:sectPr>
          <w:footerReference r:id="rId8" w:type="default"/>
          <w:pgSz w:w="11907" w:h="16841"/>
          <w:pgMar w:top="400" w:right="1413" w:bottom="1126" w:left="1414" w:header="0" w:footer="923" w:gutter="0"/>
          <w:cols w:space="720" w:num="1"/>
        </w:sectPr>
      </w:pPr>
    </w:p>
    <w:p w14:paraId="4A775991">
      <w:pPr>
        <w:spacing w:before="2"/>
      </w:pPr>
    </w:p>
    <w:p w14:paraId="7BC47DC8">
      <w:pPr>
        <w:spacing w:before="2"/>
      </w:pPr>
    </w:p>
    <w:p w14:paraId="000FA748">
      <w:pPr>
        <w:spacing w:before="1"/>
      </w:pPr>
    </w:p>
    <w:p w14:paraId="7DD1DA40">
      <w:pPr>
        <w:spacing w:before="1"/>
      </w:pPr>
    </w:p>
    <w:p w14:paraId="14A45374">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2"/>
      </w:tblGrid>
      <w:tr w14:paraId="157DE9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66307DAA">
            <w:pPr>
              <w:rPr>
                <w:rFonts w:ascii="Arial"/>
                <w:sz w:val="21"/>
              </w:rPr>
            </w:pPr>
          </w:p>
        </w:tc>
        <w:tc>
          <w:tcPr>
            <w:tcW w:w="8502" w:type="dxa"/>
            <w:vAlign w:val="top"/>
          </w:tcPr>
          <w:p w14:paraId="58C2D853">
            <w:pPr>
              <w:pStyle w:val="6"/>
              <w:spacing w:before="131" w:line="364" w:lineRule="auto"/>
              <w:ind w:left="113" w:right="106"/>
              <w:jc w:val="both"/>
              <w:rPr>
                <w:sz w:val="24"/>
                <w:szCs w:val="24"/>
              </w:rPr>
            </w:pPr>
            <w:r>
              <w:rPr>
                <w:spacing w:val="-6"/>
                <w:sz w:val="24"/>
                <w:szCs w:val="24"/>
              </w:rPr>
              <w:t>禁止开发性、生产性建设活动，</w:t>
            </w:r>
            <w:r>
              <w:rPr>
                <w:spacing w:val="-34"/>
                <w:sz w:val="24"/>
                <w:szCs w:val="24"/>
              </w:rPr>
              <w:t xml:space="preserve"> </w:t>
            </w:r>
            <w:r>
              <w:rPr>
                <w:spacing w:val="-6"/>
                <w:sz w:val="24"/>
                <w:szCs w:val="24"/>
              </w:rPr>
              <w:t>在符合现行法律法规前提下，除国家重大战</w:t>
            </w:r>
            <w:r>
              <w:rPr>
                <w:spacing w:val="-7"/>
                <w:sz w:val="24"/>
                <w:szCs w:val="24"/>
              </w:rPr>
              <w:t>略项</w:t>
            </w:r>
            <w:r>
              <w:rPr>
                <w:spacing w:val="-4"/>
                <w:sz w:val="24"/>
                <w:szCs w:val="24"/>
              </w:rPr>
              <w:t>目外，仅允许对生态功能不造成破坏的有限人为活动，主要包括：零星的原住民在不扩大现有建设用地和耕地规模前提下，修缮生产生活设施，保留生活必需的</w:t>
            </w:r>
            <w:r>
              <w:rPr>
                <w:spacing w:val="-7"/>
                <w:sz w:val="24"/>
                <w:szCs w:val="24"/>
              </w:rPr>
              <w:t>少量种植、放牧、捕捞、养殖； 因国家重大能源资源安全需要开展的战略性能源</w:t>
            </w:r>
            <w:r>
              <w:rPr>
                <w:spacing w:val="-4"/>
                <w:sz w:val="24"/>
                <w:szCs w:val="24"/>
              </w:rPr>
              <w:t>资源勘查，公益性自然资源调查和地质勘查；自然资源、生态环境监测和执法包括水文水资源监测及涉水违法事件的查处等，灾害防治和应急抢险活动；经依法</w:t>
            </w:r>
            <w:r>
              <w:rPr>
                <w:spacing w:val="-5"/>
                <w:sz w:val="24"/>
                <w:szCs w:val="24"/>
              </w:rPr>
              <w:t>批准进行的非破坏性科学研究观测、标本采集；</w:t>
            </w:r>
            <w:r>
              <w:rPr>
                <w:spacing w:val="-70"/>
                <w:sz w:val="24"/>
                <w:szCs w:val="24"/>
              </w:rPr>
              <w:t xml:space="preserve"> </w:t>
            </w:r>
            <w:r>
              <w:rPr>
                <w:spacing w:val="-5"/>
                <w:sz w:val="24"/>
                <w:szCs w:val="24"/>
              </w:rPr>
              <w:t>经依法批准的考古调查发掘和文</w:t>
            </w:r>
            <w:r>
              <w:rPr>
                <w:spacing w:val="-4"/>
                <w:sz w:val="24"/>
                <w:szCs w:val="24"/>
              </w:rPr>
              <w:t>物保护活动；不破坏生态功能的适度参观旅游和相关的必要公共设施建设；必须且无法避让、符合县级以上国土空间规划的线性基础设施建设、防洪和供水设施</w:t>
            </w:r>
            <w:r>
              <w:rPr>
                <w:spacing w:val="-1"/>
                <w:sz w:val="24"/>
                <w:szCs w:val="24"/>
              </w:rPr>
              <w:t>建设与运行维护；重要生态修复工程。”</w:t>
            </w:r>
          </w:p>
          <w:p w14:paraId="2B95B1C9">
            <w:pPr>
              <w:pStyle w:val="6"/>
              <w:spacing w:before="13" w:line="364" w:lineRule="auto"/>
              <w:ind w:left="114" w:firstLine="475"/>
              <w:jc w:val="both"/>
              <w:rPr>
                <w:sz w:val="24"/>
                <w:szCs w:val="24"/>
              </w:rPr>
            </w:pPr>
            <w:r>
              <w:rPr>
                <w:rFonts w:ascii="Times New Roman" w:hAnsi="Times New Roman" w:eastAsia="Times New Roman" w:cs="Times New Roman"/>
                <w:spacing w:val="-5"/>
                <w:sz w:val="24"/>
                <w:szCs w:val="24"/>
              </w:rPr>
              <w:t xml:space="preserve">2022 </w:t>
            </w:r>
            <w:r>
              <w:rPr>
                <w:spacing w:val="-5"/>
                <w:sz w:val="24"/>
                <w:szCs w:val="24"/>
              </w:rPr>
              <w:t>年</w:t>
            </w:r>
            <w:r>
              <w:rPr>
                <w:spacing w:val="-41"/>
                <w:sz w:val="24"/>
                <w:szCs w:val="24"/>
              </w:rPr>
              <w:t xml:space="preserve"> </w:t>
            </w:r>
            <w:r>
              <w:rPr>
                <w:rFonts w:ascii="Times New Roman" w:hAnsi="Times New Roman" w:eastAsia="Times New Roman" w:cs="Times New Roman"/>
                <w:spacing w:val="-5"/>
                <w:sz w:val="24"/>
                <w:szCs w:val="24"/>
              </w:rPr>
              <w:t>8</w:t>
            </w:r>
            <w:r>
              <w:rPr>
                <w:rFonts w:ascii="Times New Roman" w:hAnsi="Times New Roman" w:eastAsia="Times New Roman" w:cs="Times New Roman"/>
                <w:spacing w:val="15"/>
                <w:w w:val="101"/>
                <w:sz w:val="24"/>
                <w:szCs w:val="24"/>
              </w:rPr>
              <w:t xml:space="preserve"> </w:t>
            </w:r>
            <w:r>
              <w:rPr>
                <w:spacing w:val="-5"/>
                <w:sz w:val="24"/>
                <w:szCs w:val="24"/>
              </w:rPr>
              <w:t>月</w:t>
            </w:r>
            <w:r>
              <w:rPr>
                <w:spacing w:val="-32"/>
                <w:sz w:val="24"/>
                <w:szCs w:val="24"/>
              </w:rPr>
              <w:t xml:space="preserve"> </w:t>
            </w:r>
            <w:r>
              <w:rPr>
                <w:rFonts w:ascii="Times New Roman" w:hAnsi="Times New Roman" w:eastAsia="Times New Roman" w:cs="Times New Roman"/>
                <w:spacing w:val="-5"/>
                <w:sz w:val="24"/>
                <w:szCs w:val="24"/>
              </w:rPr>
              <w:t xml:space="preserve">16  </w:t>
            </w:r>
            <w:r>
              <w:rPr>
                <w:spacing w:val="-5"/>
                <w:sz w:val="24"/>
                <w:szCs w:val="24"/>
              </w:rPr>
              <w:t>日，自然资源部、生态环境部及国家林业和草原局联合发布</w:t>
            </w:r>
            <w:r>
              <w:rPr>
                <w:spacing w:val="2"/>
                <w:sz w:val="24"/>
                <w:szCs w:val="24"/>
              </w:rPr>
              <w:t>《自然资源部 生态环境部</w:t>
            </w:r>
            <w:r>
              <w:rPr>
                <w:spacing w:val="41"/>
                <w:sz w:val="24"/>
                <w:szCs w:val="24"/>
              </w:rPr>
              <w:t xml:space="preserve"> </w:t>
            </w:r>
            <w:r>
              <w:rPr>
                <w:spacing w:val="2"/>
                <w:sz w:val="24"/>
                <w:szCs w:val="24"/>
              </w:rPr>
              <w:t>国家林业和草原局关于加强生</w:t>
            </w:r>
            <w:r>
              <w:rPr>
                <w:spacing w:val="1"/>
                <w:sz w:val="24"/>
                <w:szCs w:val="24"/>
              </w:rPr>
              <w:t>态保护红线管理的通</w:t>
            </w:r>
            <w:r>
              <w:rPr>
                <w:spacing w:val="-14"/>
                <w:sz w:val="24"/>
                <w:szCs w:val="24"/>
              </w:rPr>
              <w:t>知（试行）》（自然资发〔</w:t>
            </w:r>
            <w:r>
              <w:rPr>
                <w:rFonts w:ascii="Times New Roman" w:hAnsi="Times New Roman" w:eastAsia="Times New Roman" w:cs="Times New Roman"/>
                <w:spacing w:val="-14"/>
                <w:sz w:val="24"/>
                <w:szCs w:val="24"/>
              </w:rPr>
              <w:t>2022</w:t>
            </w:r>
            <w:r>
              <w:rPr>
                <w:spacing w:val="-14"/>
                <w:sz w:val="24"/>
                <w:szCs w:val="24"/>
              </w:rPr>
              <w:t>〕</w:t>
            </w:r>
            <w:r>
              <w:rPr>
                <w:rFonts w:ascii="Times New Roman" w:hAnsi="Times New Roman" w:eastAsia="Times New Roman" w:cs="Times New Roman"/>
                <w:spacing w:val="-14"/>
                <w:sz w:val="24"/>
                <w:szCs w:val="24"/>
              </w:rPr>
              <w:t>142</w:t>
            </w:r>
            <w:r>
              <w:rPr>
                <w:rFonts w:ascii="Times New Roman" w:hAnsi="Times New Roman" w:eastAsia="Times New Roman" w:cs="Times New Roman"/>
                <w:spacing w:val="15"/>
                <w:sz w:val="24"/>
                <w:szCs w:val="24"/>
              </w:rPr>
              <w:t xml:space="preserve"> </w:t>
            </w:r>
            <w:r>
              <w:rPr>
                <w:spacing w:val="-14"/>
                <w:sz w:val="24"/>
                <w:szCs w:val="24"/>
              </w:rPr>
              <w:t>号）提出：“（一）规范管控</w:t>
            </w:r>
            <w:r>
              <w:rPr>
                <w:spacing w:val="-15"/>
                <w:sz w:val="24"/>
                <w:szCs w:val="24"/>
              </w:rPr>
              <w:t>对生态功能不造</w:t>
            </w:r>
            <w:r>
              <w:rPr>
                <w:spacing w:val="-4"/>
                <w:sz w:val="24"/>
                <w:szCs w:val="24"/>
              </w:rPr>
              <w:t>成破坏的有限人为活动。生态保护红线是国土空间规划中的重要管控边界，生态保护红线内自然保护地核心保护区外，禁止开发性生产性建设活动，在符合法律法规的前提下，仅允许以下对生态功能不造成破坏的有限人为活动。生态保护红</w:t>
            </w:r>
            <w:r>
              <w:rPr>
                <w:spacing w:val="-5"/>
                <w:sz w:val="24"/>
                <w:szCs w:val="24"/>
              </w:rPr>
              <w:t xml:space="preserve">线内自然保护区、风景名胜区饮用水水源保护区等区域， </w:t>
            </w:r>
            <w:r>
              <w:rPr>
                <w:spacing w:val="-6"/>
                <w:sz w:val="24"/>
                <w:szCs w:val="24"/>
              </w:rPr>
              <w:t>依照法律法规执行。</w:t>
            </w:r>
            <w:r>
              <w:rPr>
                <w:rFonts w:ascii="Times New Roman" w:hAnsi="Times New Roman" w:eastAsia="Times New Roman" w:cs="Times New Roman"/>
                <w:spacing w:val="-6"/>
                <w:sz w:val="24"/>
                <w:szCs w:val="24"/>
              </w:rPr>
              <w:t>6.</w:t>
            </w:r>
            <w:r>
              <w:rPr>
                <w:spacing w:val="-4"/>
                <w:sz w:val="24"/>
                <w:szCs w:val="24"/>
              </w:rPr>
              <w:t>必须且无法避让符合县级以上国土空间规划的线性基础设施、通讯和防洪、供水</w:t>
            </w:r>
            <w:r>
              <w:rPr>
                <w:spacing w:val="-7"/>
                <w:sz w:val="24"/>
                <w:szCs w:val="24"/>
              </w:rPr>
              <w:t>设施建设和船舶航行、航道疏浚清淤等活动； 已有的合法水利、交通运输</w:t>
            </w:r>
            <w:r>
              <w:rPr>
                <w:spacing w:val="-8"/>
                <w:sz w:val="24"/>
                <w:szCs w:val="24"/>
              </w:rPr>
              <w:t>等设施</w:t>
            </w:r>
            <w:r>
              <w:rPr>
                <w:spacing w:val="-4"/>
                <w:sz w:val="24"/>
                <w:szCs w:val="24"/>
              </w:rPr>
              <w:t>运行维护改造。（二）加强有限人为活动管理。上述生态保护红线管控范围内有</w:t>
            </w:r>
            <w:r>
              <w:rPr>
                <w:spacing w:val="-7"/>
                <w:sz w:val="24"/>
                <w:szCs w:val="24"/>
              </w:rPr>
              <w:t>限人为活动，涉及新增建设用地、用海用岛审批的， 在报批农用地转用、</w:t>
            </w:r>
            <w:r>
              <w:rPr>
                <w:spacing w:val="-8"/>
                <w:sz w:val="24"/>
                <w:szCs w:val="24"/>
              </w:rPr>
              <w:t>土地征</w:t>
            </w:r>
            <w:r>
              <w:rPr>
                <w:spacing w:val="-7"/>
                <w:sz w:val="24"/>
                <w:szCs w:val="24"/>
              </w:rPr>
              <w:t>收、海域使用权、无居民海岛开发利用时， 附省级人民政府出具符合生态</w:t>
            </w:r>
            <w:r>
              <w:rPr>
                <w:spacing w:val="-8"/>
                <w:sz w:val="24"/>
                <w:szCs w:val="24"/>
              </w:rPr>
              <w:t>保护红</w:t>
            </w:r>
            <w:r>
              <w:rPr>
                <w:spacing w:val="-6"/>
                <w:sz w:val="24"/>
                <w:szCs w:val="24"/>
              </w:rPr>
              <w:t>线内允许有限人为活动的认定意见；不涉及新增建设</w:t>
            </w:r>
            <w:r>
              <w:rPr>
                <w:spacing w:val="-7"/>
                <w:sz w:val="24"/>
                <w:szCs w:val="24"/>
              </w:rPr>
              <w:t>用地、用海用岛审批的，</w:t>
            </w:r>
            <w:r>
              <w:rPr>
                <w:spacing w:val="-33"/>
                <w:sz w:val="24"/>
                <w:szCs w:val="24"/>
              </w:rPr>
              <w:t xml:space="preserve"> </w:t>
            </w:r>
            <w:r>
              <w:rPr>
                <w:spacing w:val="-7"/>
                <w:sz w:val="24"/>
                <w:szCs w:val="24"/>
              </w:rPr>
              <w:t>按</w:t>
            </w:r>
            <w:r>
              <w:rPr>
                <w:spacing w:val="-4"/>
                <w:sz w:val="24"/>
                <w:szCs w:val="24"/>
              </w:rPr>
              <w:t>有关规定进行管理，无明确规定的由省级人民政府制定具体监管办法。上述活动</w:t>
            </w:r>
            <w:r>
              <w:rPr>
                <w:spacing w:val="-1"/>
                <w:sz w:val="24"/>
                <w:szCs w:val="24"/>
              </w:rPr>
              <w:t>涉及自然保护地的，应征求林业和草原主管部门或自然保护地管理机构意见。”</w:t>
            </w:r>
          </w:p>
          <w:p w14:paraId="6EB53BFC">
            <w:pPr>
              <w:pStyle w:val="6"/>
              <w:spacing w:before="1" w:line="333" w:lineRule="auto"/>
              <w:ind w:left="116" w:right="42" w:firstLine="473"/>
              <w:jc w:val="both"/>
              <w:rPr>
                <w:sz w:val="24"/>
                <w:szCs w:val="24"/>
              </w:rPr>
            </w:pPr>
            <w:r>
              <w:rPr>
                <w:rFonts w:ascii="Times New Roman" w:hAnsi="Times New Roman" w:eastAsia="Times New Roman" w:cs="Times New Roman"/>
                <w:spacing w:val="-4"/>
                <w:sz w:val="24"/>
                <w:szCs w:val="24"/>
              </w:rPr>
              <w:t xml:space="preserve">2023 </w:t>
            </w:r>
            <w:r>
              <w:rPr>
                <w:spacing w:val="-4"/>
                <w:sz w:val="24"/>
                <w:szCs w:val="24"/>
              </w:rPr>
              <w:t>年</w:t>
            </w:r>
            <w:r>
              <w:rPr>
                <w:spacing w:val="-45"/>
                <w:sz w:val="24"/>
                <w:szCs w:val="24"/>
              </w:rPr>
              <w:t xml:space="preserve"> </w:t>
            </w:r>
            <w:r>
              <w:rPr>
                <w:rFonts w:ascii="Times New Roman" w:hAnsi="Times New Roman" w:eastAsia="Times New Roman" w:cs="Times New Roman"/>
                <w:spacing w:val="-4"/>
                <w:sz w:val="24"/>
                <w:szCs w:val="24"/>
              </w:rPr>
              <w:t>8</w:t>
            </w:r>
            <w:r>
              <w:rPr>
                <w:rFonts w:ascii="Times New Roman" w:hAnsi="Times New Roman" w:eastAsia="Times New Roman" w:cs="Times New Roman"/>
                <w:spacing w:val="15"/>
                <w:w w:val="101"/>
                <w:sz w:val="24"/>
                <w:szCs w:val="24"/>
              </w:rPr>
              <w:t xml:space="preserve"> </w:t>
            </w:r>
            <w:r>
              <w:rPr>
                <w:spacing w:val="-4"/>
                <w:sz w:val="24"/>
                <w:szCs w:val="24"/>
              </w:rPr>
              <w:t>月</w:t>
            </w:r>
            <w:r>
              <w:rPr>
                <w:spacing w:val="-55"/>
                <w:sz w:val="24"/>
                <w:szCs w:val="24"/>
              </w:rPr>
              <w:t xml:space="preserve"> </w:t>
            </w:r>
            <w:r>
              <w:rPr>
                <w:rFonts w:ascii="Times New Roman" w:hAnsi="Times New Roman" w:eastAsia="Times New Roman" w:cs="Times New Roman"/>
                <w:spacing w:val="-4"/>
                <w:sz w:val="24"/>
                <w:szCs w:val="24"/>
              </w:rPr>
              <w:t xml:space="preserve">25  </w:t>
            </w:r>
            <w:r>
              <w:rPr>
                <w:spacing w:val="-4"/>
                <w:sz w:val="24"/>
                <w:szCs w:val="24"/>
              </w:rPr>
              <w:t>日，云南省自然资源厅、云南省生态环境厅</w:t>
            </w:r>
            <w:r>
              <w:rPr>
                <w:spacing w:val="-5"/>
                <w:sz w:val="24"/>
                <w:szCs w:val="24"/>
              </w:rPr>
              <w:t>、云南省林业和</w:t>
            </w:r>
            <w:r>
              <w:rPr>
                <w:spacing w:val="-4"/>
                <w:sz w:val="24"/>
                <w:szCs w:val="24"/>
              </w:rPr>
              <w:t>草原局联合发布《云南省自然资源厅</w:t>
            </w:r>
            <w:r>
              <w:rPr>
                <w:spacing w:val="29"/>
                <w:sz w:val="24"/>
                <w:szCs w:val="24"/>
              </w:rPr>
              <w:t xml:space="preserve"> </w:t>
            </w:r>
            <w:r>
              <w:rPr>
                <w:spacing w:val="-4"/>
                <w:sz w:val="24"/>
                <w:szCs w:val="24"/>
              </w:rPr>
              <w:t>云南省生</w:t>
            </w:r>
            <w:r>
              <w:rPr>
                <w:spacing w:val="-5"/>
                <w:sz w:val="24"/>
                <w:szCs w:val="24"/>
              </w:rPr>
              <w:t>态环境厅 云南省林业和草原局关</w:t>
            </w:r>
            <w:r>
              <w:rPr>
                <w:spacing w:val="-14"/>
                <w:sz w:val="24"/>
                <w:szCs w:val="24"/>
              </w:rPr>
              <w:t>于加强生态保护红线管理工作的通知》（云自然资〔</w:t>
            </w:r>
            <w:r>
              <w:rPr>
                <w:rFonts w:ascii="Times New Roman" w:hAnsi="Times New Roman" w:eastAsia="Times New Roman" w:cs="Times New Roman"/>
                <w:spacing w:val="-14"/>
                <w:sz w:val="24"/>
                <w:szCs w:val="24"/>
              </w:rPr>
              <w:t>2023</w:t>
            </w:r>
            <w:r>
              <w:rPr>
                <w:spacing w:val="-14"/>
                <w:sz w:val="24"/>
                <w:szCs w:val="24"/>
              </w:rPr>
              <w:t>〕</w:t>
            </w:r>
            <w:r>
              <w:rPr>
                <w:rFonts w:ascii="Times New Roman" w:hAnsi="Times New Roman" w:eastAsia="Times New Roman" w:cs="Times New Roman"/>
                <w:spacing w:val="-14"/>
                <w:sz w:val="24"/>
                <w:szCs w:val="24"/>
              </w:rPr>
              <w:t>98</w:t>
            </w:r>
            <w:r>
              <w:rPr>
                <w:rFonts w:ascii="Times New Roman" w:hAnsi="Times New Roman" w:eastAsia="Times New Roman" w:cs="Times New Roman"/>
                <w:spacing w:val="15"/>
                <w:sz w:val="24"/>
                <w:szCs w:val="24"/>
              </w:rPr>
              <w:t xml:space="preserve"> </w:t>
            </w:r>
            <w:r>
              <w:rPr>
                <w:spacing w:val="-14"/>
                <w:sz w:val="24"/>
                <w:szCs w:val="24"/>
              </w:rPr>
              <w:t>号</w:t>
            </w:r>
            <w:r>
              <w:rPr>
                <w:spacing w:val="-43"/>
                <w:sz w:val="24"/>
                <w:szCs w:val="24"/>
              </w:rPr>
              <w:t>），</w:t>
            </w:r>
            <w:r>
              <w:rPr>
                <w:spacing w:val="-14"/>
                <w:sz w:val="24"/>
                <w:szCs w:val="24"/>
              </w:rPr>
              <w:t>《通知》提出：</w:t>
            </w:r>
          </w:p>
        </w:tc>
      </w:tr>
    </w:tbl>
    <w:p w14:paraId="5E71C9A2">
      <w:pPr>
        <w:rPr>
          <w:rFonts w:ascii="Arial"/>
          <w:sz w:val="21"/>
        </w:rPr>
      </w:pPr>
    </w:p>
    <w:p w14:paraId="588628F3">
      <w:pPr>
        <w:rPr>
          <w:rFonts w:ascii="Arial" w:hAnsi="Arial" w:eastAsia="Arial" w:cs="Arial"/>
          <w:sz w:val="21"/>
          <w:szCs w:val="21"/>
        </w:rPr>
        <w:sectPr>
          <w:footerReference r:id="rId9" w:type="default"/>
          <w:pgSz w:w="11907" w:h="16841"/>
          <w:pgMar w:top="400" w:right="1413" w:bottom="1126" w:left="1414" w:header="0" w:footer="925" w:gutter="0"/>
          <w:cols w:space="720" w:num="1"/>
        </w:sectPr>
      </w:pPr>
    </w:p>
    <w:p w14:paraId="4EFAF22F">
      <w:pPr>
        <w:spacing w:before="2"/>
      </w:pPr>
    </w:p>
    <w:p w14:paraId="6A7F998E">
      <w:pPr>
        <w:spacing w:before="2"/>
      </w:pPr>
    </w:p>
    <w:p w14:paraId="279F7D09">
      <w:pPr>
        <w:spacing w:before="1"/>
      </w:pPr>
    </w:p>
    <w:p w14:paraId="3514FEED">
      <w:pPr>
        <w:spacing w:before="1"/>
      </w:pPr>
    </w:p>
    <w:p w14:paraId="0B206AAD">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2"/>
      </w:tblGrid>
      <w:tr w14:paraId="3358B4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07A0505F">
            <w:pPr>
              <w:rPr>
                <w:rFonts w:ascii="Arial"/>
                <w:sz w:val="21"/>
              </w:rPr>
            </w:pPr>
          </w:p>
        </w:tc>
        <w:tc>
          <w:tcPr>
            <w:tcW w:w="8502" w:type="dxa"/>
            <w:vAlign w:val="top"/>
          </w:tcPr>
          <w:p w14:paraId="7BF71EBA">
            <w:pPr>
              <w:pStyle w:val="6"/>
              <w:spacing w:before="127" w:line="364" w:lineRule="auto"/>
              <w:ind w:left="114" w:right="105" w:hanging="16"/>
              <w:jc w:val="both"/>
              <w:rPr>
                <w:sz w:val="24"/>
                <w:szCs w:val="24"/>
              </w:rPr>
            </w:pPr>
            <w:r>
              <w:rPr>
                <w:spacing w:val="-3"/>
                <w:sz w:val="24"/>
                <w:szCs w:val="24"/>
              </w:rPr>
              <w:t>“生态保护红线内，自然保护地核心保护区原则上禁止人为活动；自然</w:t>
            </w:r>
            <w:r>
              <w:rPr>
                <w:spacing w:val="-4"/>
                <w:sz w:val="24"/>
                <w:szCs w:val="24"/>
              </w:rPr>
              <w:t>保护地核</w:t>
            </w:r>
            <w:r>
              <w:rPr>
                <w:spacing w:val="-6"/>
                <w:sz w:val="24"/>
                <w:szCs w:val="24"/>
              </w:rPr>
              <w:t>心保护区外禁止开发性、生产性建设活动，</w:t>
            </w:r>
            <w:r>
              <w:rPr>
                <w:spacing w:val="-34"/>
                <w:sz w:val="24"/>
                <w:szCs w:val="24"/>
              </w:rPr>
              <w:t xml:space="preserve"> </w:t>
            </w:r>
            <w:r>
              <w:rPr>
                <w:spacing w:val="-6"/>
                <w:sz w:val="24"/>
                <w:szCs w:val="24"/>
              </w:rPr>
              <w:t>在符合法律法规前提下，仅允许</w:t>
            </w:r>
            <w:r>
              <w:rPr>
                <w:spacing w:val="-7"/>
                <w:sz w:val="24"/>
                <w:szCs w:val="24"/>
              </w:rPr>
              <w:t>对生</w:t>
            </w:r>
            <w:r>
              <w:rPr>
                <w:spacing w:val="-4"/>
                <w:sz w:val="24"/>
                <w:szCs w:val="24"/>
              </w:rPr>
              <w:t>态功能不造成破坏的有限人为活动。有限人为活动范围按照《有限人为活动准入目录》进行管控。有限人为活动应尽量避让自然保护区、风景名胜区等自然保护地、饮用水水源保护区、世界自然遗产地、重要湿地、九大高原湖泊生态黄线内</w:t>
            </w:r>
            <w:r>
              <w:rPr>
                <w:spacing w:val="-1"/>
                <w:sz w:val="24"/>
                <w:szCs w:val="24"/>
              </w:rPr>
              <w:t>等特殊区域，确实无法避让的应符合法律法规规定。”</w:t>
            </w:r>
          </w:p>
          <w:p w14:paraId="3421CE05">
            <w:pPr>
              <w:pStyle w:val="6"/>
              <w:spacing w:line="233" w:lineRule="auto"/>
              <w:ind w:left="595"/>
              <w:rPr>
                <w:sz w:val="24"/>
                <w:szCs w:val="24"/>
              </w:rPr>
            </w:pPr>
            <w:r>
              <w:rPr>
                <w:rFonts w:ascii="Times New Roman" w:hAnsi="Times New Roman" w:eastAsia="Times New Roman" w:cs="Times New Roman"/>
                <w:spacing w:val="-3"/>
                <w:sz w:val="24"/>
                <w:szCs w:val="24"/>
              </w:rPr>
              <w:t>3</w:t>
            </w:r>
            <w:r>
              <w:rPr>
                <w:spacing w:val="-3"/>
                <w:sz w:val="24"/>
                <w:szCs w:val="24"/>
              </w:rPr>
              <w:t>）符合性分析</w:t>
            </w:r>
          </w:p>
          <w:p w14:paraId="62672790">
            <w:pPr>
              <w:pStyle w:val="6"/>
              <w:spacing w:before="165" w:line="365" w:lineRule="auto"/>
              <w:ind w:left="113" w:right="26" w:firstLine="481"/>
              <w:rPr>
                <w:sz w:val="24"/>
                <w:szCs w:val="24"/>
              </w:rPr>
            </w:pPr>
            <w:r>
              <w:rPr>
                <w:sz w:val="24"/>
                <w:szCs w:val="24"/>
              </w:rPr>
              <w:t>本工程属于电网线性基础设施建设项目，列入了云</w:t>
            </w:r>
            <w:r>
              <w:rPr>
                <w:spacing w:val="-1"/>
                <w:sz w:val="24"/>
                <w:szCs w:val="24"/>
              </w:rPr>
              <w:t>南省</w:t>
            </w:r>
            <w:r>
              <w:rPr>
                <w:spacing w:val="-52"/>
                <w:sz w:val="24"/>
                <w:szCs w:val="24"/>
              </w:rPr>
              <w:t xml:space="preserve"> </w:t>
            </w:r>
            <w:r>
              <w:rPr>
                <w:rFonts w:ascii="Times New Roman" w:hAnsi="Times New Roman" w:eastAsia="Times New Roman" w:cs="Times New Roman"/>
                <w:spacing w:val="-1"/>
                <w:sz w:val="24"/>
                <w:szCs w:val="24"/>
              </w:rPr>
              <w:t xml:space="preserve">2024 </w:t>
            </w:r>
            <w:r>
              <w:rPr>
                <w:spacing w:val="-1"/>
                <w:sz w:val="24"/>
                <w:szCs w:val="24"/>
              </w:rPr>
              <w:t>年度省级重大</w:t>
            </w:r>
            <w:r>
              <w:rPr>
                <w:spacing w:val="-4"/>
                <w:sz w:val="24"/>
                <w:szCs w:val="24"/>
              </w:rPr>
              <w:t>项目清单。根据当地人民政府和相关部门原则同意的路径协议文件，本工程的建</w:t>
            </w:r>
            <w:r>
              <w:rPr>
                <w:spacing w:val="-6"/>
                <w:sz w:val="24"/>
                <w:szCs w:val="24"/>
              </w:rPr>
              <w:t>设与当地的城乡规划相符，对当地经济、基础设施建设和片区开发</w:t>
            </w:r>
            <w:r>
              <w:rPr>
                <w:spacing w:val="-7"/>
                <w:sz w:val="24"/>
                <w:szCs w:val="24"/>
              </w:rPr>
              <w:t>影响较小，</w:t>
            </w:r>
            <w:r>
              <w:rPr>
                <w:spacing w:val="-29"/>
                <w:sz w:val="24"/>
                <w:szCs w:val="24"/>
              </w:rPr>
              <w:t xml:space="preserve"> </w:t>
            </w:r>
            <w:r>
              <w:rPr>
                <w:spacing w:val="-7"/>
                <w:sz w:val="24"/>
                <w:szCs w:val="24"/>
              </w:rPr>
              <w:t>项</w:t>
            </w:r>
            <w:r>
              <w:rPr>
                <w:spacing w:val="-4"/>
                <w:sz w:val="24"/>
                <w:szCs w:val="24"/>
              </w:rPr>
              <w:t>目路径纳入当地电力通道控制，不影响区域道路规划和规划建设用地，属于《有限人为活动准入目录》中必须且无法避让、符合县级以上国土空间规划的线性基</w:t>
            </w:r>
            <w:r>
              <w:rPr>
                <w:spacing w:val="-7"/>
                <w:sz w:val="24"/>
                <w:szCs w:val="24"/>
              </w:rPr>
              <w:t>础设施。本工程在选址、选线阶段已尽可能避让沿线生态环境敏感区， 同时在选</w:t>
            </w:r>
            <w:r>
              <w:rPr>
                <w:spacing w:val="-6"/>
                <w:sz w:val="24"/>
                <w:szCs w:val="24"/>
              </w:rPr>
              <w:t>线过程中还考虑避让了居民聚集区、城镇规划、矿产资源等因素，</w:t>
            </w:r>
            <w:r>
              <w:rPr>
                <w:spacing w:val="-31"/>
                <w:sz w:val="24"/>
                <w:szCs w:val="24"/>
              </w:rPr>
              <w:t xml:space="preserve"> </w:t>
            </w:r>
            <w:r>
              <w:rPr>
                <w:spacing w:val="-6"/>
                <w:sz w:val="24"/>
                <w:szCs w:val="24"/>
              </w:rPr>
              <w:t>无法完全</w:t>
            </w:r>
            <w:r>
              <w:rPr>
                <w:spacing w:val="-7"/>
                <w:sz w:val="24"/>
                <w:szCs w:val="24"/>
              </w:rPr>
              <w:t>避让</w:t>
            </w:r>
            <w:r>
              <w:rPr>
                <w:spacing w:val="3"/>
                <w:sz w:val="24"/>
                <w:szCs w:val="24"/>
              </w:rPr>
              <w:t>分布密集的会泽县生态保护红线，工程设计已采取相应生态影响减缓和恢复措</w:t>
            </w:r>
            <w:r>
              <w:rPr>
                <w:spacing w:val="-4"/>
                <w:sz w:val="24"/>
                <w:szCs w:val="24"/>
              </w:rPr>
              <w:t>施，本环评还提出了一系列针对生态保护红线的保护措施与要求，并且项目塔基是间隔式，施工时严格控制用地范围，采用索道运输、无人机放线等绿色施工工艺，对生态保护红线影响小。本工程在后续实施中还将按照环境保护法律法规和</w:t>
            </w:r>
            <w:r>
              <w:rPr>
                <w:spacing w:val="-1"/>
                <w:sz w:val="24"/>
                <w:szCs w:val="24"/>
              </w:rPr>
              <w:t>环境影响评价文件要求开展环境保护专项设计以落实各项</w:t>
            </w:r>
            <w:r>
              <w:rPr>
                <w:spacing w:val="-2"/>
                <w:sz w:val="24"/>
                <w:szCs w:val="24"/>
              </w:rPr>
              <w:t>生态保护措施和要求，</w:t>
            </w:r>
            <w:r>
              <w:rPr>
                <w:spacing w:val="-1"/>
                <w:sz w:val="24"/>
                <w:szCs w:val="24"/>
              </w:rPr>
              <w:t>可将对生态环境的影响降至最低，不会对生态保护红线功</w:t>
            </w:r>
            <w:r>
              <w:rPr>
                <w:spacing w:val="-2"/>
                <w:sz w:val="24"/>
                <w:szCs w:val="24"/>
              </w:rPr>
              <w:t>能造成明显不良影响。</w:t>
            </w:r>
          </w:p>
          <w:p w14:paraId="60B99D4F">
            <w:pPr>
              <w:pStyle w:val="6"/>
              <w:spacing w:before="2" w:line="358" w:lineRule="auto"/>
              <w:ind w:left="109" w:right="24" w:firstLine="488"/>
              <w:rPr>
                <w:sz w:val="24"/>
                <w:szCs w:val="24"/>
              </w:rPr>
            </w:pPr>
            <w:r>
              <w:rPr>
                <w:spacing w:val="-7"/>
                <w:sz w:val="24"/>
                <w:szCs w:val="24"/>
              </w:rPr>
              <w:t>综上所述，根据环环评〔</w:t>
            </w:r>
            <w:r>
              <w:rPr>
                <w:rFonts w:ascii="Times New Roman" w:hAnsi="Times New Roman" w:eastAsia="Times New Roman" w:cs="Times New Roman"/>
                <w:spacing w:val="-7"/>
                <w:sz w:val="24"/>
                <w:szCs w:val="24"/>
              </w:rPr>
              <w:t>2016</w:t>
            </w:r>
            <w:r>
              <w:rPr>
                <w:spacing w:val="-7"/>
                <w:sz w:val="24"/>
                <w:szCs w:val="24"/>
              </w:rPr>
              <w:t>〕</w:t>
            </w:r>
            <w:r>
              <w:rPr>
                <w:rFonts w:ascii="Times New Roman" w:hAnsi="Times New Roman" w:eastAsia="Times New Roman" w:cs="Times New Roman"/>
                <w:spacing w:val="-7"/>
                <w:sz w:val="24"/>
                <w:szCs w:val="24"/>
              </w:rPr>
              <w:t>150</w:t>
            </w:r>
            <w:r>
              <w:rPr>
                <w:rFonts w:ascii="Times New Roman" w:hAnsi="Times New Roman" w:eastAsia="Times New Roman" w:cs="Times New Roman"/>
                <w:spacing w:val="16"/>
                <w:sz w:val="24"/>
                <w:szCs w:val="24"/>
              </w:rPr>
              <w:t xml:space="preserve"> </w:t>
            </w:r>
            <w:r>
              <w:rPr>
                <w:spacing w:val="-8"/>
                <w:sz w:val="24"/>
                <w:szCs w:val="24"/>
              </w:rPr>
              <w:t>号、环规财〔</w:t>
            </w:r>
            <w:r>
              <w:rPr>
                <w:rFonts w:ascii="Times New Roman" w:hAnsi="Times New Roman" w:eastAsia="Times New Roman" w:cs="Times New Roman"/>
                <w:spacing w:val="-8"/>
                <w:sz w:val="24"/>
                <w:szCs w:val="24"/>
              </w:rPr>
              <w:t>2018</w:t>
            </w:r>
            <w:r>
              <w:rPr>
                <w:spacing w:val="-8"/>
                <w:sz w:val="24"/>
                <w:szCs w:val="24"/>
              </w:rPr>
              <w:t>〕</w:t>
            </w:r>
            <w:r>
              <w:rPr>
                <w:rFonts w:ascii="Times New Roman" w:hAnsi="Times New Roman" w:eastAsia="Times New Roman" w:cs="Times New Roman"/>
                <w:spacing w:val="-8"/>
                <w:sz w:val="24"/>
                <w:szCs w:val="24"/>
              </w:rPr>
              <w:t>86</w:t>
            </w:r>
            <w:r>
              <w:rPr>
                <w:rFonts w:ascii="Times New Roman" w:hAnsi="Times New Roman" w:eastAsia="Times New Roman" w:cs="Times New Roman"/>
                <w:spacing w:val="15"/>
                <w:sz w:val="24"/>
                <w:szCs w:val="24"/>
              </w:rPr>
              <w:t xml:space="preserve"> </w:t>
            </w:r>
            <w:r>
              <w:rPr>
                <w:spacing w:val="-8"/>
                <w:sz w:val="24"/>
                <w:szCs w:val="24"/>
              </w:rPr>
              <w:t>号、厅字〔</w:t>
            </w:r>
            <w:r>
              <w:rPr>
                <w:rFonts w:ascii="Times New Roman" w:hAnsi="Times New Roman" w:eastAsia="Times New Roman" w:cs="Times New Roman"/>
                <w:spacing w:val="-8"/>
                <w:sz w:val="24"/>
                <w:szCs w:val="24"/>
              </w:rPr>
              <w:t>2019</w:t>
            </w:r>
            <w:r>
              <w:rPr>
                <w:spacing w:val="-8"/>
                <w:sz w:val="24"/>
                <w:szCs w:val="24"/>
              </w:rPr>
              <w:t>〕</w:t>
            </w:r>
            <w:r>
              <w:rPr>
                <w:sz w:val="24"/>
                <w:szCs w:val="24"/>
              </w:rPr>
              <w:t xml:space="preserve"> </w:t>
            </w:r>
            <w:r>
              <w:rPr>
                <w:rFonts w:ascii="Times New Roman" w:hAnsi="Times New Roman" w:eastAsia="Times New Roman" w:cs="Times New Roman"/>
                <w:spacing w:val="-5"/>
                <w:sz w:val="24"/>
                <w:szCs w:val="24"/>
              </w:rPr>
              <w:t>48</w:t>
            </w:r>
            <w:r>
              <w:rPr>
                <w:rFonts w:ascii="Times New Roman" w:hAnsi="Times New Roman" w:eastAsia="Times New Roman" w:cs="Times New Roman"/>
                <w:spacing w:val="15"/>
                <w:w w:val="101"/>
                <w:sz w:val="24"/>
                <w:szCs w:val="24"/>
              </w:rPr>
              <w:t xml:space="preserve"> </w:t>
            </w:r>
            <w:r>
              <w:rPr>
                <w:spacing w:val="-5"/>
                <w:sz w:val="24"/>
                <w:szCs w:val="24"/>
              </w:rPr>
              <w:t>号、自然资发〔</w:t>
            </w:r>
            <w:r>
              <w:rPr>
                <w:rFonts w:ascii="Times New Roman" w:hAnsi="Times New Roman" w:eastAsia="Times New Roman" w:cs="Times New Roman"/>
                <w:spacing w:val="-5"/>
                <w:sz w:val="24"/>
                <w:szCs w:val="24"/>
              </w:rPr>
              <w:t>2022</w:t>
            </w:r>
            <w:r>
              <w:rPr>
                <w:spacing w:val="-5"/>
                <w:sz w:val="24"/>
                <w:szCs w:val="24"/>
              </w:rPr>
              <w:t>〕</w:t>
            </w:r>
            <w:r>
              <w:rPr>
                <w:rFonts w:ascii="Times New Roman" w:hAnsi="Times New Roman" w:eastAsia="Times New Roman" w:cs="Times New Roman"/>
                <w:spacing w:val="-5"/>
                <w:sz w:val="24"/>
                <w:szCs w:val="24"/>
              </w:rPr>
              <w:t>142</w:t>
            </w:r>
            <w:r>
              <w:rPr>
                <w:rFonts w:ascii="Times New Roman" w:hAnsi="Times New Roman" w:eastAsia="Times New Roman" w:cs="Times New Roman"/>
                <w:spacing w:val="15"/>
                <w:sz w:val="24"/>
                <w:szCs w:val="24"/>
              </w:rPr>
              <w:t xml:space="preserve"> </w:t>
            </w:r>
            <w:r>
              <w:rPr>
                <w:spacing w:val="-5"/>
                <w:sz w:val="24"/>
                <w:szCs w:val="24"/>
              </w:rPr>
              <w:t>号、云自然资〔</w:t>
            </w:r>
            <w:r>
              <w:rPr>
                <w:rFonts w:ascii="Times New Roman" w:hAnsi="Times New Roman" w:eastAsia="Times New Roman" w:cs="Times New Roman"/>
                <w:spacing w:val="-5"/>
                <w:sz w:val="24"/>
                <w:szCs w:val="24"/>
              </w:rPr>
              <w:t>202</w:t>
            </w:r>
            <w:r>
              <w:rPr>
                <w:rFonts w:ascii="Times New Roman" w:hAnsi="Times New Roman" w:eastAsia="Times New Roman" w:cs="Times New Roman"/>
                <w:spacing w:val="-6"/>
                <w:sz w:val="24"/>
                <w:szCs w:val="24"/>
              </w:rPr>
              <w:t>3</w:t>
            </w:r>
            <w:r>
              <w:rPr>
                <w:spacing w:val="-6"/>
                <w:sz w:val="24"/>
                <w:szCs w:val="24"/>
              </w:rPr>
              <w:t>〕</w:t>
            </w:r>
            <w:r>
              <w:rPr>
                <w:rFonts w:ascii="Times New Roman" w:hAnsi="Times New Roman" w:eastAsia="Times New Roman" w:cs="Times New Roman"/>
                <w:spacing w:val="-6"/>
                <w:sz w:val="24"/>
                <w:szCs w:val="24"/>
              </w:rPr>
              <w:t>98</w:t>
            </w:r>
            <w:r>
              <w:rPr>
                <w:rFonts w:ascii="Times New Roman" w:hAnsi="Times New Roman" w:eastAsia="Times New Roman" w:cs="Times New Roman"/>
                <w:spacing w:val="15"/>
                <w:w w:val="101"/>
                <w:sz w:val="24"/>
                <w:szCs w:val="24"/>
              </w:rPr>
              <w:t xml:space="preserve"> </w:t>
            </w:r>
            <w:r>
              <w:rPr>
                <w:spacing w:val="-6"/>
                <w:sz w:val="24"/>
                <w:szCs w:val="24"/>
              </w:rPr>
              <w:t>号文件，本工程不违背现</w:t>
            </w:r>
            <w:r>
              <w:rPr>
                <w:spacing w:val="-3"/>
                <w:sz w:val="24"/>
                <w:szCs w:val="24"/>
              </w:rPr>
              <w:t>行生态保护红线管理要求。</w:t>
            </w:r>
          </w:p>
          <w:p w14:paraId="38097728">
            <w:pPr>
              <w:pStyle w:val="6"/>
              <w:spacing w:before="25" w:line="234" w:lineRule="auto"/>
              <w:ind w:left="603"/>
              <w:rPr>
                <w:sz w:val="24"/>
                <w:szCs w:val="24"/>
              </w:rPr>
            </w:pPr>
            <w:r>
              <w:rPr>
                <w:b/>
                <w:bCs/>
                <w:spacing w:val="-5"/>
                <w:sz w:val="24"/>
                <w:szCs w:val="24"/>
              </w:rPr>
              <w:t>（</w:t>
            </w:r>
            <w:r>
              <w:rPr>
                <w:rFonts w:ascii="Times New Roman" w:hAnsi="Times New Roman" w:eastAsia="Times New Roman" w:cs="Times New Roman"/>
                <w:b/>
                <w:bCs/>
                <w:spacing w:val="-5"/>
                <w:sz w:val="24"/>
                <w:szCs w:val="24"/>
              </w:rPr>
              <w:t>2</w:t>
            </w:r>
            <w:r>
              <w:rPr>
                <w:b/>
                <w:bCs/>
                <w:spacing w:val="-5"/>
                <w:sz w:val="24"/>
                <w:szCs w:val="24"/>
              </w:rPr>
              <w:t>）环境质量底线</w:t>
            </w:r>
          </w:p>
          <w:p w14:paraId="7B039A26">
            <w:pPr>
              <w:pStyle w:val="6"/>
              <w:spacing w:before="169" w:line="341" w:lineRule="auto"/>
              <w:ind w:left="116" w:right="105" w:firstLine="496"/>
              <w:jc w:val="both"/>
              <w:rPr>
                <w:sz w:val="24"/>
                <w:szCs w:val="24"/>
              </w:rPr>
            </w:pPr>
            <w:r>
              <w:rPr>
                <w:rFonts w:ascii="Times New Roman" w:hAnsi="Times New Roman" w:eastAsia="Times New Roman" w:cs="Times New Roman"/>
                <w:spacing w:val="-4"/>
                <w:sz w:val="24"/>
                <w:szCs w:val="24"/>
              </w:rPr>
              <w:t>1</w:t>
            </w:r>
            <w:r>
              <w:rPr>
                <w:spacing w:val="-4"/>
                <w:sz w:val="24"/>
                <w:szCs w:val="24"/>
              </w:rPr>
              <w:t>）水环境质量底线。到</w:t>
            </w:r>
            <w:r>
              <w:rPr>
                <w:spacing w:val="-55"/>
                <w:sz w:val="24"/>
                <w:szCs w:val="24"/>
              </w:rPr>
              <w:t xml:space="preserve"> </w:t>
            </w:r>
            <w:r>
              <w:rPr>
                <w:rFonts w:ascii="Times New Roman" w:hAnsi="Times New Roman" w:eastAsia="Times New Roman" w:cs="Times New Roman"/>
                <w:spacing w:val="-4"/>
                <w:sz w:val="24"/>
                <w:szCs w:val="24"/>
              </w:rPr>
              <w:t xml:space="preserve">2025 </w:t>
            </w:r>
            <w:r>
              <w:rPr>
                <w:spacing w:val="-4"/>
                <w:sz w:val="24"/>
                <w:szCs w:val="24"/>
              </w:rPr>
              <w:t>年，全市水环境质量总体优良，集</w:t>
            </w:r>
            <w:r>
              <w:rPr>
                <w:spacing w:val="-5"/>
                <w:sz w:val="24"/>
                <w:szCs w:val="24"/>
              </w:rPr>
              <w:t>中式饮用水</w:t>
            </w:r>
            <w:r>
              <w:rPr>
                <w:spacing w:val="-4"/>
                <w:sz w:val="24"/>
                <w:szCs w:val="24"/>
              </w:rPr>
              <w:t>水源地水质保持稳定，纳入国家和省级考核的地表水监测断面水质优良率稳步提升，重点区域、流域水环境质量进一步改善，基本消除劣Ⅴ类水体，水生态系统</w:t>
            </w:r>
            <w:r>
              <w:rPr>
                <w:sz w:val="24"/>
                <w:szCs w:val="24"/>
              </w:rPr>
              <w:t>功能初步恢复。到</w:t>
            </w:r>
            <w:r>
              <w:rPr>
                <w:spacing w:val="-52"/>
                <w:sz w:val="24"/>
                <w:szCs w:val="24"/>
              </w:rPr>
              <w:t xml:space="preserve"> </w:t>
            </w:r>
            <w:r>
              <w:rPr>
                <w:rFonts w:ascii="Times New Roman" w:hAnsi="Times New Roman" w:eastAsia="Times New Roman" w:cs="Times New Roman"/>
                <w:sz w:val="24"/>
                <w:szCs w:val="24"/>
              </w:rPr>
              <w:t xml:space="preserve">2035 </w:t>
            </w:r>
            <w:r>
              <w:rPr>
                <w:sz w:val="24"/>
                <w:szCs w:val="24"/>
              </w:rPr>
              <w:t>年，全市地表水体水</w:t>
            </w:r>
            <w:r>
              <w:rPr>
                <w:spacing w:val="-1"/>
                <w:sz w:val="24"/>
                <w:szCs w:val="24"/>
              </w:rPr>
              <w:t>质优良率全面提升，各监测断面水</w:t>
            </w:r>
          </w:p>
        </w:tc>
      </w:tr>
    </w:tbl>
    <w:p w14:paraId="7A517E85">
      <w:pPr>
        <w:rPr>
          <w:rFonts w:ascii="Arial"/>
          <w:sz w:val="21"/>
        </w:rPr>
      </w:pPr>
    </w:p>
    <w:p w14:paraId="36BDE741">
      <w:pPr>
        <w:rPr>
          <w:rFonts w:ascii="Arial" w:hAnsi="Arial" w:eastAsia="Arial" w:cs="Arial"/>
          <w:sz w:val="21"/>
          <w:szCs w:val="21"/>
        </w:rPr>
        <w:sectPr>
          <w:footerReference r:id="rId10" w:type="default"/>
          <w:pgSz w:w="11907" w:h="16841"/>
          <w:pgMar w:top="400" w:right="1413" w:bottom="1126" w:left="1414" w:header="0" w:footer="923" w:gutter="0"/>
          <w:cols w:space="720" w:num="1"/>
        </w:sectPr>
      </w:pPr>
    </w:p>
    <w:p w14:paraId="48CB7D88">
      <w:pPr>
        <w:spacing w:before="2"/>
      </w:pPr>
    </w:p>
    <w:p w14:paraId="6FD8C746">
      <w:pPr>
        <w:spacing w:before="2"/>
      </w:pPr>
    </w:p>
    <w:p w14:paraId="5E0DAF47">
      <w:pPr>
        <w:spacing w:before="1"/>
      </w:pPr>
    </w:p>
    <w:p w14:paraId="5562F642">
      <w:pPr>
        <w:spacing w:before="1"/>
      </w:pPr>
    </w:p>
    <w:p w14:paraId="488BF85C">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2"/>
      </w:tblGrid>
      <w:tr w14:paraId="04A7B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99" w:hRule="atLeast"/>
        </w:trPr>
        <w:tc>
          <w:tcPr>
            <w:tcW w:w="571" w:type="dxa"/>
            <w:vAlign w:val="top"/>
          </w:tcPr>
          <w:p w14:paraId="0AEFCA4E">
            <w:pPr>
              <w:rPr>
                <w:rFonts w:ascii="Arial"/>
                <w:sz w:val="21"/>
              </w:rPr>
            </w:pPr>
          </w:p>
        </w:tc>
        <w:tc>
          <w:tcPr>
            <w:tcW w:w="8502" w:type="dxa"/>
            <w:vAlign w:val="top"/>
          </w:tcPr>
          <w:p w14:paraId="2BF55680">
            <w:pPr>
              <w:pStyle w:val="6"/>
              <w:spacing w:before="124" w:line="220" w:lineRule="auto"/>
              <w:ind w:left="115"/>
              <w:rPr>
                <w:sz w:val="24"/>
                <w:szCs w:val="24"/>
              </w:rPr>
            </w:pPr>
            <w:r>
              <w:rPr>
                <w:spacing w:val="-1"/>
                <w:sz w:val="24"/>
                <w:szCs w:val="24"/>
              </w:rPr>
              <w:t>质达到水环境功能要求，消除劣</w:t>
            </w:r>
            <w:r>
              <w:rPr>
                <w:rFonts w:ascii="Times New Roman" w:hAnsi="Times New Roman" w:eastAsia="Times New Roman" w:cs="Times New Roman"/>
                <w:spacing w:val="-1"/>
                <w:sz w:val="24"/>
                <w:szCs w:val="24"/>
              </w:rPr>
              <w:t>Ⅴ</w:t>
            </w:r>
            <w:r>
              <w:rPr>
                <w:spacing w:val="-1"/>
                <w:sz w:val="24"/>
                <w:szCs w:val="24"/>
              </w:rPr>
              <w:t>类水体，集中式饮用水水</w:t>
            </w:r>
            <w:r>
              <w:rPr>
                <w:spacing w:val="-2"/>
                <w:sz w:val="24"/>
                <w:szCs w:val="24"/>
              </w:rPr>
              <w:t>源地水质稳定达标。</w:t>
            </w:r>
          </w:p>
          <w:p w14:paraId="1C3B055E">
            <w:pPr>
              <w:pStyle w:val="6"/>
              <w:spacing w:before="186" w:line="362" w:lineRule="auto"/>
              <w:ind w:left="115" w:right="20" w:firstLine="474"/>
              <w:rPr>
                <w:sz w:val="24"/>
                <w:szCs w:val="24"/>
              </w:rPr>
            </w:pPr>
            <w:r>
              <w:rPr>
                <w:rFonts w:ascii="Times New Roman" w:hAnsi="Times New Roman" w:eastAsia="Times New Roman" w:cs="Times New Roman"/>
                <w:spacing w:val="-4"/>
                <w:sz w:val="24"/>
                <w:szCs w:val="24"/>
              </w:rPr>
              <w:t>2</w:t>
            </w:r>
            <w:r>
              <w:rPr>
                <w:spacing w:val="-4"/>
                <w:sz w:val="24"/>
                <w:szCs w:val="24"/>
              </w:rPr>
              <w:t>）大气环境质量底线。到</w:t>
            </w:r>
            <w:r>
              <w:rPr>
                <w:spacing w:val="-37"/>
                <w:sz w:val="24"/>
                <w:szCs w:val="24"/>
              </w:rPr>
              <w:t xml:space="preserve"> </w:t>
            </w:r>
            <w:r>
              <w:rPr>
                <w:rFonts w:ascii="Times New Roman" w:hAnsi="Times New Roman" w:eastAsia="Times New Roman" w:cs="Times New Roman"/>
                <w:spacing w:val="-4"/>
                <w:sz w:val="24"/>
                <w:szCs w:val="24"/>
              </w:rPr>
              <w:t xml:space="preserve">2025 </w:t>
            </w:r>
            <w:r>
              <w:rPr>
                <w:spacing w:val="-4"/>
                <w:sz w:val="24"/>
                <w:szCs w:val="24"/>
              </w:rPr>
              <w:t>年，环境空气质量稳中向好，中心城市和各</w:t>
            </w:r>
            <w:r>
              <w:rPr>
                <w:spacing w:val="-7"/>
                <w:sz w:val="24"/>
                <w:szCs w:val="24"/>
              </w:rPr>
              <w:t>县（市、区） 环境空气质量稳定达到国家二级标准，优良率保持稳定，达到省级</w:t>
            </w:r>
            <w:r>
              <w:rPr>
                <w:spacing w:val="-10"/>
                <w:sz w:val="24"/>
                <w:szCs w:val="24"/>
              </w:rPr>
              <w:t>下达的考核目标要求。到</w:t>
            </w:r>
            <w:r>
              <w:rPr>
                <w:spacing w:val="-55"/>
                <w:sz w:val="24"/>
                <w:szCs w:val="24"/>
              </w:rPr>
              <w:t xml:space="preserve"> </w:t>
            </w:r>
            <w:r>
              <w:rPr>
                <w:rFonts w:ascii="Times New Roman" w:hAnsi="Times New Roman" w:eastAsia="Times New Roman" w:cs="Times New Roman"/>
                <w:spacing w:val="-10"/>
                <w:sz w:val="24"/>
                <w:szCs w:val="24"/>
              </w:rPr>
              <w:t xml:space="preserve">2035 </w:t>
            </w:r>
            <w:r>
              <w:rPr>
                <w:spacing w:val="-10"/>
                <w:sz w:val="24"/>
                <w:szCs w:val="24"/>
              </w:rPr>
              <w:t>年，环境空气质</w:t>
            </w:r>
            <w:r>
              <w:rPr>
                <w:spacing w:val="-11"/>
                <w:sz w:val="24"/>
                <w:szCs w:val="24"/>
              </w:rPr>
              <w:t>量全面改善，中心城市和各县（市、</w:t>
            </w:r>
            <w:r>
              <w:rPr>
                <w:spacing w:val="-3"/>
                <w:sz w:val="24"/>
                <w:szCs w:val="24"/>
              </w:rPr>
              <w:t>区）环境空气质量稳定达到国家二级标准。</w:t>
            </w:r>
          </w:p>
          <w:p w14:paraId="6D8A7E32">
            <w:pPr>
              <w:pStyle w:val="6"/>
              <w:spacing w:before="14" w:line="362" w:lineRule="auto"/>
              <w:ind w:left="114" w:right="39" w:firstLine="480"/>
              <w:rPr>
                <w:sz w:val="24"/>
                <w:szCs w:val="24"/>
              </w:rPr>
            </w:pPr>
            <w:r>
              <w:rPr>
                <w:rFonts w:ascii="Times New Roman" w:hAnsi="Times New Roman" w:eastAsia="Times New Roman" w:cs="Times New Roman"/>
                <w:spacing w:val="-4"/>
                <w:sz w:val="24"/>
                <w:szCs w:val="24"/>
              </w:rPr>
              <w:t>3</w:t>
            </w:r>
            <w:r>
              <w:rPr>
                <w:spacing w:val="-4"/>
                <w:sz w:val="24"/>
                <w:szCs w:val="24"/>
              </w:rPr>
              <w:t>）土壤环境风险防控底线。到</w:t>
            </w:r>
            <w:r>
              <w:rPr>
                <w:spacing w:val="-42"/>
                <w:sz w:val="24"/>
                <w:szCs w:val="24"/>
              </w:rPr>
              <w:t xml:space="preserve"> </w:t>
            </w:r>
            <w:r>
              <w:rPr>
                <w:rFonts w:ascii="Times New Roman" w:hAnsi="Times New Roman" w:eastAsia="Times New Roman" w:cs="Times New Roman"/>
                <w:spacing w:val="-4"/>
                <w:sz w:val="24"/>
                <w:szCs w:val="24"/>
              </w:rPr>
              <w:t xml:space="preserve">2025 </w:t>
            </w:r>
            <w:r>
              <w:rPr>
                <w:spacing w:val="-4"/>
                <w:sz w:val="24"/>
                <w:szCs w:val="24"/>
              </w:rPr>
              <w:t>年，全市土壤环境</w:t>
            </w:r>
            <w:r>
              <w:rPr>
                <w:rFonts w:hint="eastAsia"/>
                <w:spacing w:val="-4"/>
                <w:sz w:val="24"/>
                <w:szCs w:val="24"/>
              </w:rPr>
              <w:t>风险防控体</w:t>
            </w:r>
            <w:r>
              <w:rPr>
                <w:spacing w:val="-4"/>
                <w:sz w:val="24"/>
                <w:szCs w:val="24"/>
              </w:rPr>
              <w:t>系进一步完善，农用地和建设用地土壤环境安全基本得到有效保障，受污染耕地安全利用</w:t>
            </w:r>
            <w:r>
              <w:rPr>
                <w:spacing w:val="-5"/>
                <w:sz w:val="24"/>
                <w:szCs w:val="24"/>
              </w:rPr>
              <w:t>率和污染地块安全利用率进一步提高。到</w:t>
            </w:r>
            <w:r>
              <w:rPr>
                <w:spacing w:val="-49"/>
                <w:sz w:val="24"/>
                <w:szCs w:val="24"/>
              </w:rPr>
              <w:t xml:space="preserve"> </w:t>
            </w:r>
            <w:r>
              <w:rPr>
                <w:rFonts w:ascii="Times New Roman" w:hAnsi="Times New Roman" w:eastAsia="Times New Roman" w:cs="Times New Roman"/>
                <w:spacing w:val="-5"/>
                <w:sz w:val="24"/>
                <w:szCs w:val="24"/>
              </w:rPr>
              <w:t xml:space="preserve">2035 </w:t>
            </w:r>
            <w:r>
              <w:rPr>
                <w:spacing w:val="-5"/>
                <w:sz w:val="24"/>
                <w:szCs w:val="24"/>
              </w:rPr>
              <w:t>年，全市土壤环境质量稳中向好，</w:t>
            </w:r>
            <w:r>
              <w:rPr>
                <w:sz w:val="24"/>
                <w:szCs w:val="24"/>
              </w:rPr>
              <w:t>农用地和建设用地土壤环境安全得到有效保障，土壤</w:t>
            </w:r>
            <w:r>
              <w:rPr>
                <w:spacing w:val="-1"/>
                <w:sz w:val="24"/>
                <w:szCs w:val="24"/>
              </w:rPr>
              <w:t>环境风险得到全面管控。</w:t>
            </w:r>
          </w:p>
          <w:p w14:paraId="228A2BBC">
            <w:pPr>
              <w:pStyle w:val="6"/>
              <w:spacing w:before="16" w:line="364" w:lineRule="auto"/>
              <w:ind w:left="114" w:right="21" w:firstLine="484"/>
              <w:jc w:val="both"/>
              <w:rPr>
                <w:sz w:val="24"/>
                <w:szCs w:val="24"/>
              </w:rPr>
            </w:pPr>
            <w:r>
              <w:rPr>
                <w:b/>
                <w:bCs/>
                <w:spacing w:val="-4"/>
                <w:sz w:val="24"/>
                <w:szCs w:val="24"/>
              </w:rPr>
              <w:t>符合性：</w:t>
            </w:r>
            <w:r>
              <w:rPr>
                <w:spacing w:val="-4"/>
                <w:sz w:val="24"/>
                <w:szCs w:val="24"/>
              </w:rPr>
              <w:t>根据现状监测数据，本工程所在区域电磁环境、</w:t>
            </w:r>
            <w:r>
              <w:rPr>
                <w:spacing w:val="-5"/>
                <w:sz w:val="24"/>
                <w:szCs w:val="24"/>
              </w:rPr>
              <w:t>声环境质量现状均</w:t>
            </w:r>
            <w:r>
              <w:rPr>
                <w:spacing w:val="-6"/>
                <w:sz w:val="24"/>
                <w:szCs w:val="24"/>
              </w:rPr>
              <w:t>满足相应标准要求。本工程运行期无废水、废气排放，</w:t>
            </w:r>
            <w:r>
              <w:rPr>
                <w:spacing w:val="-29"/>
                <w:sz w:val="24"/>
                <w:szCs w:val="24"/>
              </w:rPr>
              <w:t xml:space="preserve"> </w:t>
            </w:r>
            <w:r>
              <w:rPr>
                <w:spacing w:val="-6"/>
                <w:sz w:val="24"/>
                <w:szCs w:val="24"/>
              </w:rPr>
              <w:t>不会对周</w:t>
            </w:r>
            <w:r>
              <w:rPr>
                <w:spacing w:val="-7"/>
                <w:sz w:val="24"/>
                <w:szCs w:val="24"/>
              </w:rPr>
              <w:t>边大气和地表水</w:t>
            </w:r>
            <w:r>
              <w:rPr>
                <w:spacing w:val="-5"/>
                <w:sz w:val="24"/>
                <w:szCs w:val="24"/>
              </w:rPr>
              <w:t>环境容量造成影响。在严格遵守法律法规及相关规范的基础上，</w:t>
            </w:r>
            <w:r>
              <w:rPr>
                <w:spacing w:val="-65"/>
                <w:sz w:val="24"/>
                <w:szCs w:val="24"/>
              </w:rPr>
              <w:t xml:space="preserve"> </w:t>
            </w:r>
            <w:r>
              <w:rPr>
                <w:spacing w:val="-5"/>
                <w:sz w:val="24"/>
                <w:szCs w:val="24"/>
              </w:rPr>
              <w:t>并</w:t>
            </w:r>
            <w:r>
              <w:rPr>
                <w:spacing w:val="-6"/>
                <w:sz w:val="24"/>
                <w:szCs w:val="24"/>
              </w:rPr>
              <w:t>采取本报告提</w:t>
            </w:r>
            <w:r>
              <w:rPr>
                <w:spacing w:val="-4"/>
                <w:sz w:val="24"/>
                <w:szCs w:val="24"/>
              </w:rPr>
              <w:t>出的环保措施后，各项污染因子能够达标排放，不会改变区域环境质量等级。因</w:t>
            </w:r>
            <w:r>
              <w:rPr>
                <w:spacing w:val="-8"/>
                <w:sz w:val="24"/>
                <w:szCs w:val="24"/>
              </w:rPr>
              <w:t>此，本工程的建设不会突破区域环境质量底线，符合曲靖市环境质量底线的要求。</w:t>
            </w:r>
          </w:p>
          <w:p w14:paraId="67DE597B">
            <w:pPr>
              <w:pStyle w:val="6"/>
              <w:spacing w:line="234" w:lineRule="auto"/>
              <w:ind w:left="603"/>
              <w:rPr>
                <w:sz w:val="24"/>
                <w:szCs w:val="24"/>
              </w:rPr>
            </w:pPr>
            <w:r>
              <w:rPr>
                <w:b/>
                <w:bCs/>
                <w:spacing w:val="-5"/>
                <w:sz w:val="24"/>
                <w:szCs w:val="24"/>
              </w:rPr>
              <w:t>（</w:t>
            </w:r>
            <w:r>
              <w:rPr>
                <w:rFonts w:ascii="Times New Roman" w:hAnsi="Times New Roman" w:eastAsia="Times New Roman" w:cs="Times New Roman"/>
                <w:b/>
                <w:bCs/>
                <w:spacing w:val="-5"/>
                <w:sz w:val="24"/>
                <w:szCs w:val="24"/>
              </w:rPr>
              <w:t>3</w:t>
            </w:r>
            <w:r>
              <w:rPr>
                <w:b/>
                <w:bCs/>
                <w:spacing w:val="-5"/>
                <w:sz w:val="24"/>
                <w:szCs w:val="24"/>
              </w:rPr>
              <w:t>）资源利用上线</w:t>
            </w:r>
          </w:p>
          <w:p w14:paraId="7DB9B72C">
            <w:pPr>
              <w:pStyle w:val="6"/>
              <w:spacing w:before="171" w:line="365" w:lineRule="auto"/>
              <w:ind w:left="119" w:right="106" w:firstLine="480"/>
              <w:rPr>
                <w:sz w:val="24"/>
                <w:szCs w:val="24"/>
              </w:rPr>
            </w:pPr>
            <w:r>
              <w:rPr>
                <w:spacing w:val="-4"/>
                <w:sz w:val="24"/>
                <w:szCs w:val="24"/>
              </w:rPr>
              <w:t>强化节约集约利用，持续提升资源能源利用效率，水资源、土地资源、能源消耗完成省级下达的控制目标。</w:t>
            </w:r>
          </w:p>
          <w:p w14:paraId="58D4FC06">
            <w:pPr>
              <w:pStyle w:val="6"/>
              <w:spacing w:before="1" w:line="364" w:lineRule="auto"/>
              <w:ind w:left="113" w:right="106" w:firstLine="485"/>
              <w:jc w:val="both"/>
              <w:rPr>
                <w:sz w:val="24"/>
                <w:szCs w:val="24"/>
              </w:rPr>
            </w:pPr>
            <w:r>
              <w:rPr>
                <w:b/>
                <w:bCs/>
                <w:spacing w:val="-4"/>
                <w:sz w:val="24"/>
                <w:szCs w:val="24"/>
              </w:rPr>
              <w:t>符合性：</w:t>
            </w:r>
            <w:r>
              <w:rPr>
                <w:spacing w:val="-4"/>
                <w:sz w:val="24"/>
                <w:szCs w:val="24"/>
              </w:rPr>
              <w:t>本工程属于输变电工程，运行期不涉及废气排放</w:t>
            </w:r>
            <w:r>
              <w:rPr>
                <w:spacing w:val="-5"/>
                <w:sz w:val="24"/>
                <w:szCs w:val="24"/>
              </w:rPr>
              <w:t>、废水排放及土地</w:t>
            </w:r>
            <w:r>
              <w:rPr>
                <w:spacing w:val="-6"/>
                <w:sz w:val="24"/>
                <w:szCs w:val="24"/>
              </w:rPr>
              <w:t>污染。新建输电线路仅塔基四个基础占地，</w:t>
            </w:r>
            <w:r>
              <w:rPr>
                <w:spacing w:val="-34"/>
                <w:sz w:val="24"/>
                <w:szCs w:val="24"/>
              </w:rPr>
              <w:t xml:space="preserve"> </w:t>
            </w:r>
            <w:r>
              <w:rPr>
                <w:spacing w:val="-6"/>
                <w:sz w:val="24"/>
                <w:szCs w:val="24"/>
              </w:rPr>
              <w:t>对土地资源的占用较小，项目符合资</w:t>
            </w:r>
            <w:r>
              <w:rPr>
                <w:spacing w:val="-4"/>
                <w:sz w:val="24"/>
                <w:szCs w:val="24"/>
              </w:rPr>
              <w:t>源利用相关规定要求。</w:t>
            </w:r>
          </w:p>
          <w:p w14:paraId="4AC5CB63">
            <w:pPr>
              <w:pStyle w:val="6"/>
              <w:spacing w:line="234" w:lineRule="auto"/>
              <w:ind w:left="603"/>
              <w:rPr>
                <w:sz w:val="24"/>
                <w:szCs w:val="24"/>
              </w:rPr>
            </w:pPr>
            <w:r>
              <w:rPr>
                <w:b/>
                <w:bCs/>
                <w:spacing w:val="-4"/>
                <w:sz w:val="24"/>
                <w:szCs w:val="24"/>
              </w:rPr>
              <w:t>（</w:t>
            </w:r>
            <w:r>
              <w:rPr>
                <w:rFonts w:ascii="Times New Roman" w:hAnsi="Times New Roman" w:eastAsia="Times New Roman" w:cs="Times New Roman"/>
                <w:b/>
                <w:bCs/>
                <w:spacing w:val="-4"/>
                <w:sz w:val="24"/>
                <w:szCs w:val="24"/>
              </w:rPr>
              <w:t>4</w:t>
            </w:r>
            <w:r>
              <w:rPr>
                <w:b/>
                <w:bCs/>
                <w:spacing w:val="-4"/>
                <w:sz w:val="24"/>
                <w:szCs w:val="24"/>
              </w:rPr>
              <w:t>）生态环境准入清单</w:t>
            </w:r>
          </w:p>
          <w:p w14:paraId="1D02AEF3">
            <w:pPr>
              <w:pStyle w:val="6"/>
              <w:spacing w:before="168" w:line="365" w:lineRule="auto"/>
              <w:ind w:left="114" w:right="102" w:firstLine="480"/>
              <w:jc w:val="both"/>
              <w:rPr>
                <w:sz w:val="24"/>
                <w:szCs w:val="24"/>
              </w:rPr>
            </w:pPr>
            <w:r>
              <w:rPr>
                <w:spacing w:val="-7"/>
                <w:sz w:val="24"/>
                <w:szCs w:val="24"/>
              </w:rPr>
              <w:t>根据《曲靖市生态环境分区管控动态更新方案（</w:t>
            </w:r>
            <w:r>
              <w:rPr>
                <w:rFonts w:ascii="Times New Roman" w:hAnsi="Times New Roman" w:eastAsia="Times New Roman" w:cs="Times New Roman"/>
                <w:spacing w:val="-7"/>
                <w:sz w:val="24"/>
                <w:szCs w:val="24"/>
              </w:rPr>
              <w:t xml:space="preserve">2023  </w:t>
            </w:r>
            <w:r>
              <w:rPr>
                <w:spacing w:val="-7"/>
                <w:sz w:val="24"/>
                <w:szCs w:val="24"/>
              </w:rPr>
              <w:t>年）》：依据生态保护</w:t>
            </w:r>
            <w:r>
              <w:rPr>
                <w:spacing w:val="-6"/>
                <w:sz w:val="24"/>
                <w:szCs w:val="24"/>
              </w:rPr>
              <w:t>红线、环境质量底线、资源利用上线等调整情况，</w:t>
            </w:r>
            <w:r>
              <w:rPr>
                <w:spacing w:val="-27"/>
                <w:sz w:val="24"/>
                <w:szCs w:val="24"/>
              </w:rPr>
              <w:t xml:space="preserve"> </w:t>
            </w:r>
            <w:r>
              <w:rPr>
                <w:spacing w:val="-6"/>
                <w:sz w:val="24"/>
                <w:szCs w:val="24"/>
              </w:rPr>
              <w:t>结合全市</w:t>
            </w:r>
            <w:r>
              <w:rPr>
                <w:spacing w:val="-7"/>
                <w:sz w:val="24"/>
                <w:szCs w:val="24"/>
              </w:rPr>
              <w:t>经济社会发展和生态环境保护实际，更新调整优先保护、重点管控、 一般管控三类环境管控单元，分</w:t>
            </w:r>
            <w:r>
              <w:rPr>
                <w:spacing w:val="-1"/>
                <w:sz w:val="24"/>
                <w:szCs w:val="24"/>
              </w:rPr>
              <w:t>区分类实施精细化管控。更新后，全市共划定</w:t>
            </w:r>
            <w:r>
              <w:rPr>
                <w:spacing w:val="-29"/>
                <w:sz w:val="24"/>
                <w:szCs w:val="24"/>
              </w:rPr>
              <w:t xml:space="preserve"> </w:t>
            </w:r>
            <w:r>
              <w:rPr>
                <w:rFonts w:ascii="Times New Roman" w:hAnsi="Times New Roman" w:eastAsia="Times New Roman" w:cs="Times New Roman"/>
                <w:spacing w:val="-1"/>
                <w:sz w:val="24"/>
                <w:szCs w:val="24"/>
              </w:rPr>
              <w:t xml:space="preserve">91 </w:t>
            </w:r>
            <w:r>
              <w:rPr>
                <w:spacing w:val="-1"/>
                <w:sz w:val="24"/>
                <w:szCs w:val="24"/>
              </w:rPr>
              <w:t>个环境管控单元。其中，优先</w:t>
            </w:r>
            <w:r>
              <w:rPr>
                <w:spacing w:val="-2"/>
                <w:sz w:val="24"/>
                <w:szCs w:val="24"/>
              </w:rPr>
              <w:t>保护单元</w:t>
            </w:r>
            <w:r>
              <w:rPr>
                <w:spacing w:val="-44"/>
                <w:sz w:val="24"/>
                <w:szCs w:val="24"/>
              </w:rPr>
              <w:t xml:space="preserve"> </w:t>
            </w:r>
            <w:r>
              <w:rPr>
                <w:rFonts w:ascii="Times New Roman" w:hAnsi="Times New Roman" w:eastAsia="Times New Roman" w:cs="Times New Roman"/>
                <w:spacing w:val="-2"/>
                <w:sz w:val="24"/>
                <w:szCs w:val="24"/>
              </w:rPr>
              <w:t xml:space="preserve">27 </w:t>
            </w:r>
            <w:r>
              <w:rPr>
                <w:spacing w:val="-2"/>
                <w:sz w:val="24"/>
                <w:szCs w:val="24"/>
              </w:rPr>
              <w:t>个，重点管控单元</w:t>
            </w:r>
            <w:r>
              <w:rPr>
                <w:spacing w:val="-48"/>
                <w:sz w:val="24"/>
                <w:szCs w:val="24"/>
              </w:rPr>
              <w:t xml:space="preserve"> </w:t>
            </w:r>
            <w:r>
              <w:rPr>
                <w:rFonts w:ascii="Times New Roman" w:hAnsi="Times New Roman" w:eastAsia="Times New Roman" w:cs="Times New Roman"/>
                <w:spacing w:val="-2"/>
                <w:sz w:val="24"/>
                <w:szCs w:val="24"/>
              </w:rPr>
              <w:t xml:space="preserve">55 </w:t>
            </w:r>
            <w:r>
              <w:rPr>
                <w:spacing w:val="-2"/>
                <w:sz w:val="24"/>
                <w:szCs w:val="24"/>
              </w:rPr>
              <w:t>个，一般管控单元</w:t>
            </w:r>
            <w:r>
              <w:rPr>
                <w:spacing w:val="-50"/>
                <w:sz w:val="24"/>
                <w:szCs w:val="24"/>
              </w:rPr>
              <w:t xml:space="preserve"> </w:t>
            </w:r>
            <w:r>
              <w:rPr>
                <w:rFonts w:ascii="Times New Roman" w:hAnsi="Times New Roman" w:eastAsia="Times New Roman" w:cs="Times New Roman"/>
                <w:spacing w:val="-2"/>
                <w:sz w:val="24"/>
                <w:szCs w:val="24"/>
              </w:rPr>
              <w:t xml:space="preserve">9 </w:t>
            </w:r>
            <w:r>
              <w:rPr>
                <w:spacing w:val="-2"/>
                <w:sz w:val="24"/>
                <w:szCs w:val="24"/>
              </w:rPr>
              <w:t>个。</w:t>
            </w:r>
          </w:p>
          <w:p w14:paraId="26283D70">
            <w:pPr>
              <w:pStyle w:val="6"/>
              <w:spacing w:before="2" w:line="339" w:lineRule="auto"/>
              <w:ind w:left="118" w:right="21" w:firstLine="478"/>
              <w:rPr>
                <w:sz w:val="24"/>
                <w:szCs w:val="24"/>
              </w:rPr>
            </w:pPr>
            <w:r>
              <w:rPr>
                <w:spacing w:val="-8"/>
                <w:sz w:val="24"/>
                <w:szCs w:val="24"/>
              </w:rPr>
              <w:t>经查询，项目涉及生态保护红线优先保护单元、一般</w:t>
            </w:r>
            <w:r>
              <w:rPr>
                <w:spacing w:val="-9"/>
                <w:sz w:val="24"/>
                <w:szCs w:val="24"/>
              </w:rPr>
              <w:t>生态空间优先保护单元、</w:t>
            </w:r>
            <w:r>
              <w:rPr>
                <w:spacing w:val="-1"/>
                <w:sz w:val="24"/>
                <w:szCs w:val="24"/>
              </w:rPr>
              <w:t>一般管控单元。本工程涉及的管控单元及准入清单符合性分析见下表。</w:t>
            </w:r>
          </w:p>
          <w:p w14:paraId="397A7E6D">
            <w:pPr>
              <w:pStyle w:val="6"/>
              <w:spacing w:before="1" w:line="225" w:lineRule="auto"/>
              <w:ind w:left="2717"/>
            </w:pPr>
            <w:r>
              <w:rPr>
                <w:b/>
                <w:bCs/>
                <w:spacing w:val="-3"/>
              </w:rPr>
              <w:t>表</w:t>
            </w:r>
            <w:r>
              <w:rPr>
                <w:spacing w:val="-18"/>
              </w:rPr>
              <w:t xml:space="preserve"> </w:t>
            </w:r>
            <w:r>
              <w:rPr>
                <w:rFonts w:ascii="Times New Roman" w:hAnsi="Times New Roman" w:eastAsia="Times New Roman" w:cs="Times New Roman"/>
                <w:b/>
                <w:bCs/>
                <w:spacing w:val="-3"/>
              </w:rPr>
              <w:t xml:space="preserve">1-1    </w:t>
            </w:r>
            <w:r>
              <w:rPr>
                <w:b/>
                <w:bCs/>
                <w:spacing w:val="-3"/>
              </w:rPr>
              <w:t>项目涉及的环境管控单元</w:t>
            </w:r>
          </w:p>
        </w:tc>
      </w:tr>
    </w:tbl>
    <w:p w14:paraId="2A07A93E">
      <w:pPr>
        <w:rPr>
          <w:rFonts w:ascii="Arial"/>
          <w:sz w:val="21"/>
        </w:rPr>
      </w:pPr>
    </w:p>
    <w:p w14:paraId="42A9A487">
      <w:pPr>
        <w:rPr>
          <w:rFonts w:ascii="Arial" w:hAnsi="Arial" w:eastAsia="Arial" w:cs="Arial"/>
          <w:sz w:val="21"/>
          <w:szCs w:val="21"/>
        </w:rPr>
        <w:sectPr>
          <w:footerReference r:id="rId11" w:type="default"/>
          <w:pgSz w:w="11907" w:h="16841"/>
          <w:pgMar w:top="400" w:right="1413" w:bottom="1126" w:left="1414" w:header="0" w:footer="925" w:gutter="0"/>
          <w:cols w:space="720" w:num="1"/>
        </w:sectPr>
      </w:pPr>
    </w:p>
    <w:p w14:paraId="4C2D926C">
      <w:pPr>
        <w:spacing w:before="2"/>
      </w:pPr>
    </w:p>
    <w:p w14:paraId="5E6E4FB2">
      <w:pPr>
        <w:spacing w:before="2"/>
      </w:pPr>
    </w:p>
    <w:p w14:paraId="4B06143F">
      <w:pPr>
        <w:spacing w:before="1"/>
      </w:pPr>
    </w:p>
    <w:p w14:paraId="705CBD15">
      <w:pPr>
        <w:spacing w:before="1"/>
      </w:pPr>
    </w:p>
    <w:p w14:paraId="3C941F3C">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5"/>
        <w:gridCol w:w="494"/>
        <w:gridCol w:w="240"/>
        <w:gridCol w:w="209"/>
        <w:gridCol w:w="483"/>
        <w:gridCol w:w="1576"/>
        <w:gridCol w:w="1931"/>
        <w:gridCol w:w="1751"/>
        <w:gridCol w:w="851"/>
        <w:gridCol w:w="737"/>
        <w:gridCol w:w="115"/>
      </w:tblGrid>
      <w:tr w14:paraId="5439CC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71" w:type="dxa"/>
            <w:vMerge w:val="restart"/>
            <w:tcBorders>
              <w:bottom w:val="nil"/>
            </w:tcBorders>
            <w:vAlign w:val="top"/>
          </w:tcPr>
          <w:p w14:paraId="091CBB60">
            <w:pPr>
              <w:rPr>
                <w:rFonts w:ascii="Arial"/>
                <w:sz w:val="21"/>
              </w:rPr>
            </w:pPr>
          </w:p>
        </w:tc>
        <w:tc>
          <w:tcPr>
            <w:tcW w:w="115" w:type="dxa"/>
            <w:tcBorders>
              <w:bottom w:val="nil"/>
            </w:tcBorders>
            <w:vAlign w:val="top"/>
          </w:tcPr>
          <w:p w14:paraId="10B5A66E">
            <w:pPr>
              <w:rPr>
                <w:rFonts w:ascii="Arial"/>
                <w:sz w:val="21"/>
              </w:rPr>
            </w:pPr>
          </w:p>
        </w:tc>
        <w:tc>
          <w:tcPr>
            <w:tcW w:w="734" w:type="dxa"/>
            <w:gridSpan w:val="2"/>
            <w:vAlign w:val="top"/>
          </w:tcPr>
          <w:p w14:paraId="02E8D806">
            <w:pPr>
              <w:pStyle w:val="6"/>
              <w:spacing w:before="70" w:line="222" w:lineRule="auto"/>
              <w:ind w:left="156"/>
            </w:pPr>
            <w:r>
              <w:rPr>
                <w:b/>
                <w:bCs/>
                <w:spacing w:val="-4"/>
              </w:rPr>
              <w:t>序号</w:t>
            </w:r>
          </w:p>
        </w:tc>
        <w:tc>
          <w:tcPr>
            <w:tcW w:w="2268" w:type="dxa"/>
            <w:gridSpan w:val="3"/>
            <w:vAlign w:val="top"/>
          </w:tcPr>
          <w:p w14:paraId="25553DFD">
            <w:pPr>
              <w:pStyle w:val="6"/>
              <w:spacing w:before="70" w:line="221" w:lineRule="auto"/>
              <w:ind w:left="291"/>
            </w:pPr>
            <w:r>
              <w:rPr>
                <w:b/>
                <w:bCs/>
                <w:spacing w:val="-3"/>
              </w:rPr>
              <w:t>环境管控单元编码</w:t>
            </w:r>
          </w:p>
        </w:tc>
        <w:tc>
          <w:tcPr>
            <w:tcW w:w="3682" w:type="dxa"/>
            <w:gridSpan w:val="2"/>
            <w:vAlign w:val="top"/>
          </w:tcPr>
          <w:p w14:paraId="45D6A96C">
            <w:pPr>
              <w:pStyle w:val="6"/>
              <w:spacing w:before="70" w:line="221" w:lineRule="auto"/>
              <w:ind w:left="1000"/>
            </w:pPr>
            <w:r>
              <w:rPr>
                <w:b/>
                <w:bCs/>
                <w:spacing w:val="-3"/>
              </w:rPr>
              <w:t>环境管控单元名称</w:t>
            </w:r>
          </w:p>
        </w:tc>
        <w:tc>
          <w:tcPr>
            <w:tcW w:w="1588" w:type="dxa"/>
            <w:gridSpan w:val="2"/>
            <w:vAlign w:val="top"/>
          </w:tcPr>
          <w:p w14:paraId="6C831982">
            <w:pPr>
              <w:pStyle w:val="6"/>
              <w:spacing w:before="70" w:line="221" w:lineRule="auto"/>
              <w:ind w:left="173"/>
            </w:pPr>
            <w:r>
              <w:rPr>
                <w:b/>
                <w:bCs/>
                <w:spacing w:val="-4"/>
              </w:rPr>
              <w:t>管控单元类型</w:t>
            </w:r>
          </w:p>
        </w:tc>
        <w:tc>
          <w:tcPr>
            <w:tcW w:w="115" w:type="dxa"/>
            <w:tcBorders>
              <w:bottom w:val="nil"/>
            </w:tcBorders>
            <w:vAlign w:val="top"/>
          </w:tcPr>
          <w:p w14:paraId="7FC3B98C">
            <w:pPr>
              <w:rPr>
                <w:rFonts w:ascii="Arial"/>
                <w:sz w:val="21"/>
              </w:rPr>
            </w:pPr>
          </w:p>
        </w:tc>
      </w:tr>
      <w:tr w14:paraId="39929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55102EB">
            <w:pPr>
              <w:rPr>
                <w:rFonts w:ascii="Arial"/>
                <w:sz w:val="21"/>
              </w:rPr>
            </w:pPr>
          </w:p>
        </w:tc>
        <w:tc>
          <w:tcPr>
            <w:tcW w:w="115" w:type="dxa"/>
            <w:tcBorders>
              <w:top w:val="nil"/>
              <w:bottom w:val="nil"/>
            </w:tcBorders>
            <w:vAlign w:val="top"/>
          </w:tcPr>
          <w:p w14:paraId="399E2AA6">
            <w:pPr>
              <w:rPr>
                <w:rFonts w:ascii="Arial"/>
                <w:sz w:val="21"/>
              </w:rPr>
            </w:pPr>
          </w:p>
        </w:tc>
        <w:tc>
          <w:tcPr>
            <w:tcW w:w="734" w:type="dxa"/>
            <w:gridSpan w:val="2"/>
            <w:vAlign w:val="top"/>
          </w:tcPr>
          <w:p w14:paraId="1B947F57">
            <w:pPr>
              <w:spacing w:before="88" w:line="221" w:lineRule="auto"/>
              <w:ind w:left="332"/>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2268" w:type="dxa"/>
            <w:gridSpan w:val="3"/>
            <w:vAlign w:val="top"/>
          </w:tcPr>
          <w:p w14:paraId="77AA4DC2">
            <w:pPr>
              <w:spacing w:before="90" w:line="189" w:lineRule="auto"/>
              <w:ind w:left="411"/>
              <w:rPr>
                <w:rFonts w:ascii="Times New Roman" w:hAnsi="Times New Roman" w:eastAsia="Times New Roman" w:cs="Times New Roman"/>
                <w:sz w:val="21"/>
                <w:szCs w:val="21"/>
              </w:rPr>
            </w:pPr>
            <w:r>
              <w:rPr>
                <w:rFonts w:ascii="Times New Roman" w:hAnsi="Times New Roman" w:eastAsia="Times New Roman" w:cs="Times New Roman"/>
                <w:sz w:val="21"/>
                <w:szCs w:val="21"/>
              </w:rPr>
              <w:t>ZH53032610001</w:t>
            </w:r>
          </w:p>
        </w:tc>
        <w:tc>
          <w:tcPr>
            <w:tcW w:w="3682" w:type="dxa"/>
            <w:gridSpan w:val="2"/>
            <w:vAlign w:val="top"/>
          </w:tcPr>
          <w:p w14:paraId="497563EB">
            <w:pPr>
              <w:pStyle w:val="6"/>
              <w:spacing w:before="53" w:line="220" w:lineRule="auto"/>
              <w:ind w:left="267"/>
            </w:pPr>
            <w:r>
              <w:rPr>
                <w:spacing w:val="-1"/>
              </w:rPr>
              <w:t>会泽县生态保护红线优先保护单元</w:t>
            </w:r>
          </w:p>
        </w:tc>
        <w:tc>
          <w:tcPr>
            <w:tcW w:w="1588" w:type="dxa"/>
            <w:gridSpan w:val="2"/>
            <w:vAlign w:val="top"/>
          </w:tcPr>
          <w:p w14:paraId="4D2FC471">
            <w:pPr>
              <w:pStyle w:val="6"/>
              <w:spacing w:before="53" w:line="221" w:lineRule="auto"/>
              <w:ind w:left="169"/>
            </w:pPr>
            <w:r>
              <w:rPr>
                <w:spacing w:val="-1"/>
              </w:rPr>
              <w:t>优先保护单元</w:t>
            </w:r>
          </w:p>
        </w:tc>
        <w:tc>
          <w:tcPr>
            <w:tcW w:w="115" w:type="dxa"/>
            <w:tcBorders>
              <w:top w:val="nil"/>
              <w:bottom w:val="nil"/>
            </w:tcBorders>
            <w:vAlign w:val="top"/>
          </w:tcPr>
          <w:p w14:paraId="13E22351">
            <w:pPr>
              <w:rPr>
                <w:rFonts w:ascii="Arial"/>
                <w:sz w:val="21"/>
              </w:rPr>
            </w:pPr>
          </w:p>
        </w:tc>
      </w:tr>
      <w:tr w14:paraId="32C8E7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324D2D17">
            <w:pPr>
              <w:rPr>
                <w:rFonts w:ascii="Arial"/>
                <w:sz w:val="21"/>
              </w:rPr>
            </w:pPr>
          </w:p>
        </w:tc>
        <w:tc>
          <w:tcPr>
            <w:tcW w:w="115" w:type="dxa"/>
            <w:tcBorders>
              <w:top w:val="nil"/>
              <w:bottom w:val="nil"/>
            </w:tcBorders>
            <w:vAlign w:val="top"/>
          </w:tcPr>
          <w:p w14:paraId="02C9ADB5">
            <w:pPr>
              <w:rPr>
                <w:rFonts w:ascii="Arial"/>
                <w:sz w:val="21"/>
              </w:rPr>
            </w:pPr>
          </w:p>
        </w:tc>
        <w:tc>
          <w:tcPr>
            <w:tcW w:w="734" w:type="dxa"/>
            <w:gridSpan w:val="2"/>
            <w:vAlign w:val="top"/>
          </w:tcPr>
          <w:p w14:paraId="7A863063">
            <w:pPr>
              <w:spacing w:before="89" w:line="220" w:lineRule="auto"/>
              <w:ind w:left="311"/>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2268" w:type="dxa"/>
            <w:gridSpan w:val="3"/>
            <w:vAlign w:val="top"/>
          </w:tcPr>
          <w:p w14:paraId="21BF70CC">
            <w:pPr>
              <w:spacing w:before="90" w:line="189" w:lineRule="auto"/>
              <w:ind w:left="411"/>
              <w:rPr>
                <w:rFonts w:ascii="Times New Roman" w:hAnsi="Times New Roman" w:eastAsia="Times New Roman" w:cs="Times New Roman"/>
                <w:sz w:val="21"/>
                <w:szCs w:val="21"/>
              </w:rPr>
            </w:pPr>
            <w:r>
              <w:rPr>
                <w:rFonts w:ascii="Times New Roman" w:hAnsi="Times New Roman" w:eastAsia="Times New Roman" w:cs="Times New Roman"/>
                <w:sz w:val="21"/>
                <w:szCs w:val="21"/>
              </w:rPr>
              <w:t>ZH53032610002</w:t>
            </w:r>
          </w:p>
        </w:tc>
        <w:tc>
          <w:tcPr>
            <w:tcW w:w="3682" w:type="dxa"/>
            <w:gridSpan w:val="2"/>
            <w:vAlign w:val="top"/>
          </w:tcPr>
          <w:p w14:paraId="02A1E110">
            <w:pPr>
              <w:pStyle w:val="6"/>
              <w:spacing w:before="54" w:line="220" w:lineRule="auto"/>
              <w:ind w:left="267"/>
            </w:pPr>
            <w:r>
              <w:rPr>
                <w:spacing w:val="-1"/>
              </w:rPr>
              <w:t>会泽县一般生态空间优先保护单元</w:t>
            </w:r>
          </w:p>
        </w:tc>
        <w:tc>
          <w:tcPr>
            <w:tcW w:w="1588" w:type="dxa"/>
            <w:gridSpan w:val="2"/>
            <w:vAlign w:val="top"/>
          </w:tcPr>
          <w:p w14:paraId="365619EF">
            <w:pPr>
              <w:pStyle w:val="6"/>
              <w:spacing w:before="53" w:line="221" w:lineRule="auto"/>
              <w:ind w:left="169"/>
            </w:pPr>
            <w:r>
              <w:rPr>
                <w:spacing w:val="-1"/>
              </w:rPr>
              <w:t>优先保护单元</w:t>
            </w:r>
          </w:p>
        </w:tc>
        <w:tc>
          <w:tcPr>
            <w:tcW w:w="115" w:type="dxa"/>
            <w:tcBorders>
              <w:top w:val="nil"/>
              <w:bottom w:val="nil"/>
            </w:tcBorders>
            <w:vAlign w:val="top"/>
          </w:tcPr>
          <w:p w14:paraId="7F873849">
            <w:pPr>
              <w:rPr>
                <w:rFonts w:ascii="Arial"/>
                <w:sz w:val="21"/>
              </w:rPr>
            </w:pPr>
          </w:p>
        </w:tc>
      </w:tr>
      <w:tr w14:paraId="64D19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5528ECDC">
            <w:pPr>
              <w:rPr>
                <w:rFonts w:ascii="Arial"/>
                <w:sz w:val="21"/>
              </w:rPr>
            </w:pPr>
          </w:p>
        </w:tc>
        <w:tc>
          <w:tcPr>
            <w:tcW w:w="115" w:type="dxa"/>
            <w:tcBorders>
              <w:top w:val="nil"/>
              <w:bottom w:val="nil"/>
            </w:tcBorders>
            <w:vAlign w:val="top"/>
          </w:tcPr>
          <w:p w14:paraId="541DA531">
            <w:pPr>
              <w:rPr>
                <w:rFonts w:ascii="Arial"/>
                <w:sz w:val="21"/>
              </w:rPr>
            </w:pPr>
          </w:p>
        </w:tc>
        <w:tc>
          <w:tcPr>
            <w:tcW w:w="734" w:type="dxa"/>
            <w:gridSpan w:val="2"/>
            <w:vAlign w:val="top"/>
          </w:tcPr>
          <w:p w14:paraId="4F57A315">
            <w:pPr>
              <w:spacing w:before="89" w:line="220" w:lineRule="auto"/>
              <w:ind w:left="315"/>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2268" w:type="dxa"/>
            <w:gridSpan w:val="3"/>
            <w:vAlign w:val="top"/>
          </w:tcPr>
          <w:p w14:paraId="253B9DD1">
            <w:pPr>
              <w:spacing w:before="91" w:line="189" w:lineRule="auto"/>
              <w:ind w:left="411"/>
              <w:rPr>
                <w:rFonts w:ascii="Times New Roman" w:hAnsi="Times New Roman" w:eastAsia="Times New Roman" w:cs="Times New Roman"/>
                <w:sz w:val="21"/>
                <w:szCs w:val="21"/>
              </w:rPr>
            </w:pPr>
            <w:r>
              <w:rPr>
                <w:rFonts w:ascii="Times New Roman" w:hAnsi="Times New Roman" w:eastAsia="Times New Roman" w:cs="Times New Roman"/>
                <w:sz w:val="21"/>
                <w:szCs w:val="21"/>
              </w:rPr>
              <w:t>ZH53032630001</w:t>
            </w:r>
          </w:p>
        </w:tc>
        <w:tc>
          <w:tcPr>
            <w:tcW w:w="3682" w:type="dxa"/>
            <w:gridSpan w:val="2"/>
            <w:vAlign w:val="top"/>
          </w:tcPr>
          <w:p w14:paraId="4901387B">
            <w:pPr>
              <w:pStyle w:val="6"/>
              <w:spacing w:before="54" w:line="220" w:lineRule="auto"/>
              <w:ind w:left="896"/>
            </w:pPr>
            <w:r>
              <w:rPr>
                <w:spacing w:val="-1"/>
              </w:rPr>
              <w:t>会泽县一般管控单元</w:t>
            </w:r>
          </w:p>
        </w:tc>
        <w:tc>
          <w:tcPr>
            <w:tcW w:w="1588" w:type="dxa"/>
            <w:gridSpan w:val="2"/>
            <w:vAlign w:val="top"/>
          </w:tcPr>
          <w:p w14:paraId="70805784">
            <w:pPr>
              <w:pStyle w:val="6"/>
              <w:spacing w:before="54" w:line="221" w:lineRule="auto"/>
              <w:ind w:left="174"/>
            </w:pPr>
            <w:r>
              <w:rPr>
                <w:spacing w:val="-2"/>
              </w:rPr>
              <w:t>一般管控单元</w:t>
            </w:r>
          </w:p>
        </w:tc>
        <w:tc>
          <w:tcPr>
            <w:tcW w:w="115" w:type="dxa"/>
            <w:tcBorders>
              <w:top w:val="nil"/>
              <w:bottom w:val="nil"/>
            </w:tcBorders>
            <w:vAlign w:val="top"/>
          </w:tcPr>
          <w:p w14:paraId="73D3B66F">
            <w:pPr>
              <w:rPr>
                <w:rFonts w:ascii="Arial"/>
                <w:sz w:val="21"/>
              </w:rPr>
            </w:pPr>
          </w:p>
        </w:tc>
      </w:tr>
      <w:tr w14:paraId="45883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71" w:type="dxa"/>
            <w:vMerge w:val="continue"/>
            <w:tcBorders>
              <w:top w:val="nil"/>
              <w:bottom w:val="nil"/>
            </w:tcBorders>
            <w:vAlign w:val="top"/>
          </w:tcPr>
          <w:p w14:paraId="34EA646A">
            <w:pPr>
              <w:rPr>
                <w:rFonts w:ascii="Arial"/>
                <w:sz w:val="21"/>
              </w:rPr>
            </w:pPr>
          </w:p>
        </w:tc>
        <w:tc>
          <w:tcPr>
            <w:tcW w:w="8502" w:type="dxa"/>
            <w:gridSpan w:val="11"/>
            <w:vAlign w:val="top"/>
          </w:tcPr>
          <w:p w14:paraId="57581FBC">
            <w:pPr>
              <w:spacing w:line="302" w:lineRule="auto"/>
              <w:rPr>
                <w:rFonts w:ascii="Arial"/>
                <w:sz w:val="21"/>
              </w:rPr>
            </w:pPr>
          </w:p>
          <w:p w14:paraId="73CE31AE">
            <w:pPr>
              <w:pStyle w:val="6"/>
              <w:spacing w:before="68" w:line="223" w:lineRule="auto"/>
              <w:ind w:left="1769"/>
            </w:pPr>
            <w:r>
              <w:rPr>
                <w:b/>
                <w:bCs/>
                <w:spacing w:val="-2"/>
              </w:rPr>
              <w:t>表</w:t>
            </w:r>
            <w:r>
              <w:rPr>
                <w:spacing w:val="-32"/>
              </w:rPr>
              <w:t xml:space="preserve"> </w:t>
            </w:r>
            <w:r>
              <w:rPr>
                <w:rFonts w:ascii="Times New Roman" w:hAnsi="Times New Roman" w:eastAsia="Times New Roman" w:cs="Times New Roman"/>
                <w:b/>
                <w:bCs/>
                <w:spacing w:val="-2"/>
              </w:rPr>
              <w:t xml:space="preserve">1-2    </w:t>
            </w:r>
            <w:r>
              <w:rPr>
                <w:b/>
                <w:bCs/>
                <w:spacing w:val="-2"/>
              </w:rPr>
              <w:t>项目与曲靖市生态环境准入清单的符合性分析</w:t>
            </w:r>
          </w:p>
        </w:tc>
      </w:tr>
      <w:tr w14:paraId="64BA8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1" w:type="dxa"/>
            <w:vMerge w:val="continue"/>
            <w:tcBorders>
              <w:top w:val="nil"/>
              <w:bottom w:val="nil"/>
            </w:tcBorders>
            <w:vAlign w:val="top"/>
          </w:tcPr>
          <w:p w14:paraId="093DD7A3">
            <w:pPr>
              <w:rPr>
                <w:rFonts w:ascii="Arial"/>
                <w:sz w:val="21"/>
              </w:rPr>
            </w:pPr>
          </w:p>
        </w:tc>
        <w:tc>
          <w:tcPr>
            <w:tcW w:w="115" w:type="dxa"/>
            <w:tcBorders>
              <w:top w:val="nil"/>
              <w:bottom w:val="nil"/>
            </w:tcBorders>
            <w:vAlign w:val="top"/>
          </w:tcPr>
          <w:p w14:paraId="4E0C15E0">
            <w:pPr>
              <w:rPr>
                <w:rFonts w:ascii="Arial"/>
                <w:sz w:val="21"/>
              </w:rPr>
            </w:pPr>
          </w:p>
        </w:tc>
        <w:tc>
          <w:tcPr>
            <w:tcW w:w="1426" w:type="dxa"/>
            <w:gridSpan w:val="4"/>
            <w:vAlign w:val="top"/>
          </w:tcPr>
          <w:p w14:paraId="43A7407E">
            <w:pPr>
              <w:pStyle w:val="6"/>
              <w:spacing w:before="212" w:line="221" w:lineRule="auto"/>
              <w:ind w:left="505"/>
            </w:pPr>
            <w:r>
              <w:rPr>
                <w:b/>
                <w:bCs/>
                <w:spacing w:val="-4"/>
              </w:rPr>
              <w:t>类别</w:t>
            </w:r>
          </w:p>
        </w:tc>
        <w:tc>
          <w:tcPr>
            <w:tcW w:w="3507" w:type="dxa"/>
            <w:gridSpan w:val="2"/>
            <w:vAlign w:val="top"/>
          </w:tcPr>
          <w:p w14:paraId="32BBD86A">
            <w:pPr>
              <w:pStyle w:val="6"/>
              <w:spacing w:before="212" w:line="221" w:lineRule="auto"/>
              <w:ind w:left="1127"/>
            </w:pPr>
            <w:r>
              <w:rPr>
                <w:b/>
                <w:bCs/>
                <w:spacing w:val="-3"/>
              </w:rPr>
              <w:t>更新管控要求</w:t>
            </w:r>
          </w:p>
        </w:tc>
        <w:tc>
          <w:tcPr>
            <w:tcW w:w="2602" w:type="dxa"/>
            <w:gridSpan w:val="2"/>
            <w:vAlign w:val="top"/>
          </w:tcPr>
          <w:p w14:paraId="37B733B3">
            <w:pPr>
              <w:pStyle w:val="6"/>
              <w:spacing w:before="213" w:line="221" w:lineRule="auto"/>
              <w:ind w:left="888"/>
            </w:pPr>
            <w:r>
              <w:rPr>
                <w:b/>
                <w:bCs/>
                <w:spacing w:val="-4"/>
              </w:rPr>
              <w:t>项目情况</w:t>
            </w:r>
          </w:p>
        </w:tc>
        <w:tc>
          <w:tcPr>
            <w:tcW w:w="737" w:type="dxa"/>
            <w:vAlign w:val="top"/>
          </w:tcPr>
          <w:p w14:paraId="17BCCB3A">
            <w:pPr>
              <w:pStyle w:val="6"/>
              <w:spacing w:before="54" w:line="252" w:lineRule="auto"/>
              <w:ind w:left="272" w:right="153" w:hanging="108"/>
            </w:pPr>
            <w:r>
              <w:rPr>
                <w:b/>
                <w:bCs/>
                <w:spacing w:val="-6"/>
              </w:rPr>
              <w:t>相符</w:t>
            </w:r>
            <w:r>
              <w:rPr>
                <w:b/>
                <w:bCs/>
                <w:spacing w:val="-3"/>
              </w:rPr>
              <w:t>性</w:t>
            </w:r>
          </w:p>
        </w:tc>
        <w:tc>
          <w:tcPr>
            <w:tcW w:w="115" w:type="dxa"/>
            <w:tcBorders>
              <w:top w:val="nil"/>
              <w:bottom w:val="nil"/>
            </w:tcBorders>
            <w:vAlign w:val="top"/>
          </w:tcPr>
          <w:p w14:paraId="34CC64BF">
            <w:pPr>
              <w:rPr>
                <w:rFonts w:ascii="Arial"/>
                <w:sz w:val="21"/>
              </w:rPr>
            </w:pPr>
          </w:p>
        </w:tc>
      </w:tr>
      <w:tr w14:paraId="1A1B4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7" w:hRule="atLeast"/>
        </w:trPr>
        <w:tc>
          <w:tcPr>
            <w:tcW w:w="571" w:type="dxa"/>
            <w:vMerge w:val="continue"/>
            <w:tcBorders>
              <w:top w:val="nil"/>
              <w:bottom w:val="nil"/>
            </w:tcBorders>
            <w:vAlign w:val="top"/>
          </w:tcPr>
          <w:p w14:paraId="2CDDA0E3">
            <w:pPr>
              <w:rPr>
                <w:rFonts w:ascii="Arial"/>
                <w:sz w:val="21"/>
              </w:rPr>
            </w:pPr>
          </w:p>
        </w:tc>
        <w:tc>
          <w:tcPr>
            <w:tcW w:w="115" w:type="dxa"/>
            <w:tcBorders>
              <w:top w:val="nil"/>
              <w:bottom w:val="nil"/>
            </w:tcBorders>
            <w:vAlign w:val="top"/>
          </w:tcPr>
          <w:p w14:paraId="46F600A3">
            <w:pPr>
              <w:rPr>
                <w:rFonts w:ascii="Arial"/>
                <w:sz w:val="21"/>
              </w:rPr>
            </w:pPr>
          </w:p>
        </w:tc>
        <w:tc>
          <w:tcPr>
            <w:tcW w:w="494" w:type="dxa"/>
            <w:vMerge w:val="restart"/>
            <w:tcBorders>
              <w:bottom w:val="nil"/>
            </w:tcBorders>
            <w:textDirection w:val="tbRlV"/>
            <w:vAlign w:val="top"/>
          </w:tcPr>
          <w:p w14:paraId="2C7CB405">
            <w:pPr>
              <w:pStyle w:val="6"/>
              <w:spacing w:before="143" w:line="200" w:lineRule="auto"/>
              <w:ind w:left="3720"/>
            </w:pPr>
            <w:r>
              <w:rPr>
                <w:position w:val="1"/>
              </w:rPr>
              <w:t xml:space="preserve">曲 </w:t>
            </w:r>
            <w:r>
              <w:t>靖 市 生 态 环 境 准 入 清 单</w:t>
            </w:r>
          </w:p>
        </w:tc>
        <w:tc>
          <w:tcPr>
            <w:tcW w:w="449" w:type="dxa"/>
            <w:gridSpan w:val="2"/>
            <w:vMerge w:val="restart"/>
            <w:tcBorders>
              <w:bottom w:val="nil"/>
            </w:tcBorders>
            <w:textDirection w:val="tbRlV"/>
            <w:vAlign w:val="top"/>
          </w:tcPr>
          <w:p w14:paraId="3197220A">
            <w:pPr>
              <w:pStyle w:val="6"/>
              <w:spacing w:before="122" w:line="200" w:lineRule="auto"/>
              <w:ind w:left="3086"/>
            </w:pPr>
            <w:r>
              <w:rPr>
                <w:position w:val="1"/>
              </w:rPr>
              <w:t xml:space="preserve">曲 </w:t>
            </w:r>
            <w:r>
              <w:t>靖 市 生 态 环 境 分 区 管 控 总 体 要 求</w:t>
            </w:r>
          </w:p>
        </w:tc>
        <w:tc>
          <w:tcPr>
            <w:tcW w:w="483" w:type="dxa"/>
            <w:vMerge w:val="restart"/>
            <w:tcBorders>
              <w:bottom w:val="nil"/>
            </w:tcBorders>
            <w:textDirection w:val="tbRlV"/>
            <w:vAlign w:val="top"/>
          </w:tcPr>
          <w:p w14:paraId="0A399346">
            <w:pPr>
              <w:pStyle w:val="6"/>
              <w:spacing w:before="139" w:line="208" w:lineRule="auto"/>
              <w:ind w:left="4509"/>
            </w:pPr>
            <w:r>
              <w:t>空 间 布 局 约 束</w:t>
            </w:r>
          </w:p>
        </w:tc>
        <w:tc>
          <w:tcPr>
            <w:tcW w:w="3507" w:type="dxa"/>
            <w:gridSpan w:val="2"/>
            <w:vAlign w:val="top"/>
          </w:tcPr>
          <w:p w14:paraId="2A1BB41E">
            <w:pPr>
              <w:spacing w:line="458" w:lineRule="auto"/>
              <w:rPr>
                <w:rFonts w:ascii="Arial"/>
                <w:sz w:val="21"/>
              </w:rPr>
            </w:pPr>
          </w:p>
          <w:p w14:paraId="7C7D995D">
            <w:pPr>
              <w:pStyle w:val="6"/>
              <w:spacing w:before="69" w:line="276" w:lineRule="auto"/>
              <w:ind w:left="112" w:right="28" w:firstLine="15"/>
              <w:jc w:val="both"/>
            </w:pPr>
            <w:r>
              <w:rPr>
                <w:rFonts w:ascii="Times New Roman" w:hAnsi="Times New Roman" w:eastAsia="Times New Roman" w:cs="Times New Roman"/>
                <w:spacing w:val="-3"/>
              </w:rPr>
              <w:t>1.</w:t>
            </w:r>
            <w:r>
              <w:rPr>
                <w:spacing w:val="-3"/>
              </w:rPr>
              <w:t>严格执行《长江经济带发展负面清</w:t>
            </w:r>
            <w:r>
              <w:rPr>
                <w:spacing w:val="-19"/>
              </w:rPr>
              <w:t>单指南（试行，</w:t>
            </w:r>
            <w:r>
              <w:rPr>
                <w:rFonts w:ascii="Times New Roman" w:hAnsi="Times New Roman" w:eastAsia="Times New Roman" w:cs="Times New Roman"/>
                <w:spacing w:val="-19"/>
              </w:rPr>
              <w:t>2022</w:t>
            </w:r>
            <w:r>
              <w:rPr>
                <w:rFonts w:ascii="Times New Roman" w:hAnsi="Times New Roman" w:eastAsia="Times New Roman" w:cs="Times New Roman"/>
                <w:spacing w:val="24"/>
              </w:rPr>
              <w:t xml:space="preserve"> </w:t>
            </w:r>
            <w:r>
              <w:rPr>
                <w:spacing w:val="-19"/>
              </w:rPr>
              <w:t>年版）》《云南省</w:t>
            </w:r>
            <w:r>
              <w:rPr>
                <w:spacing w:val="8"/>
              </w:rPr>
              <w:t>长江经济带发展负面清单指南实施</w:t>
            </w:r>
            <w:r>
              <w:rPr>
                <w:spacing w:val="-13"/>
              </w:rPr>
              <w:t>细则（试行）》等产业准入有关要求。</w:t>
            </w:r>
          </w:p>
        </w:tc>
        <w:tc>
          <w:tcPr>
            <w:tcW w:w="2602" w:type="dxa"/>
            <w:gridSpan w:val="2"/>
            <w:vAlign w:val="top"/>
          </w:tcPr>
          <w:p w14:paraId="3CA7DF55">
            <w:pPr>
              <w:pStyle w:val="6"/>
              <w:spacing w:before="57" w:line="270" w:lineRule="auto"/>
              <w:ind w:left="112" w:right="44"/>
              <w:jc w:val="both"/>
            </w:pPr>
            <w:r>
              <w:rPr>
                <w:spacing w:val="-17"/>
              </w:rPr>
              <w:t>经分析（见表</w:t>
            </w:r>
            <w:r>
              <w:rPr>
                <w:spacing w:val="-25"/>
              </w:rPr>
              <w:t xml:space="preserve"> </w:t>
            </w:r>
            <w:r>
              <w:rPr>
                <w:rFonts w:ascii="Times New Roman" w:hAnsi="Times New Roman" w:eastAsia="Times New Roman" w:cs="Times New Roman"/>
                <w:spacing w:val="-17"/>
              </w:rPr>
              <w:t>1-5</w:t>
            </w:r>
            <w:r>
              <w:rPr>
                <w:spacing w:val="-17"/>
              </w:rPr>
              <w:t xml:space="preserve">、表 </w:t>
            </w:r>
            <w:r>
              <w:rPr>
                <w:rFonts w:ascii="Times New Roman" w:hAnsi="Times New Roman" w:eastAsia="Times New Roman" w:cs="Times New Roman"/>
                <w:spacing w:val="-17"/>
              </w:rPr>
              <w:t>1-6</w:t>
            </w:r>
            <w:r>
              <w:rPr>
                <w:spacing w:val="-47"/>
                <w:w w:val="86"/>
              </w:rPr>
              <w:t>），</w:t>
            </w:r>
            <w:r>
              <w:rPr>
                <w:spacing w:val="6"/>
              </w:rPr>
              <w:t>项目建设符合《长江经济带发展负面清单指南（试</w:t>
            </w:r>
            <w:r>
              <w:rPr>
                <w:spacing w:val="-17"/>
              </w:rPr>
              <w:t>行，</w:t>
            </w:r>
            <w:r>
              <w:rPr>
                <w:rFonts w:ascii="Times New Roman" w:hAnsi="Times New Roman" w:eastAsia="Times New Roman" w:cs="Times New Roman"/>
                <w:spacing w:val="-17"/>
              </w:rPr>
              <w:t>2022</w:t>
            </w:r>
            <w:r>
              <w:rPr>
                <w:rFonts w:ascii="Times New Roman" w:hAnsi="Times New Roman" w:eastAsia="Times New Roman" w:cs="Times New Roman"/>
                <w:spacing w:val="46"/>
                <w:w w:val="101"/>
              </w:rPr>
              <w:t xml:space="preserve"> </w:t>
            </w:r>
            <w:r>
              <w:rPr>
                <w:spacing w:val="-17"/>
              </w:rPr>
              <w:t>年版）》《云南省</w:t>
            </w:r>
            <w:r>
              <w:rPr>
                <w:spacing w:val="6"/>
              </w:rPr>
              <w:t>长江经济带发展负面清单</w:t>
            </w:r>
            <w:r>
              <w:rPr>
                <w:spacing w:val="-12"/>
              </w:rPr>
              <w:t>指南实施细则（试行）》相</w:t>
            </w:r>
            <w:r>
              <w:rPr>
                <w:spacing w:val="-2"/>
              </w:rPr>
              <w:t>关要求。</w:t>
            </w:r>
          </w:p>
        </w:tc>
        <w:tc>
          <w:tcPr>
            <w:tcW w:w="737" w:type="dxa"/>
            <w:vAlign w:val="top"/>
          </w:tcPr>
          <w:p w14:paraId="573CE8FD">
            <w:pPr>
              <w:spacing w:line="309" w:lineRule="auto"/>
              <w:rPr>
                <w:rFonts w:ascii="Arial"/>
                <w:sz w:val="21"/>
              </w:rPr>
            </w:pPr>
          </w:p>
          <w:p w14:paraId="4AAD9C93">
            <w:pPr>
              <w:spacing w:line="310" w:lineRule="auto"/>
              <w:rPr>
                <w:rFonts w:ascii="Arial"/>
                <w:sz w:val="21"/>
              </w:rPr>
            </w:pPr>
          </w:p>
          <w:p w14:paraId="20151BE7">
            <w:pPr>
              <w:spacing w:line="310" w:lineRule="auto"/>
              <w:rPr>
                <w:rFonts w:ascii="Arial"/>
                <w:sz w:val="21"/>
              </w:rPr>
            </w:pPr>
          </w:p>
          <w:p w14:paraId="2DC935D9">
            <w:pPr>
              <w:pStyle w:val="6"/>
              <w:spacing w:before="68" w:line="221" w:lineRule="auto"/>
              <w:ind w:left="166"/>
            </w:pPr>
            <w:r>
              <w:rPr>
                <w:spacing w:val="-2"/>
              </w:rPr>
              <w:t>符合</w:t>
            </w:r>
          </w:p>
        </w:tc>
        <w:tc>
          <w:tcPr>
            <w:tcW w:w="115" w:type="dxa"/>
            <w:tcBorders>
              <w:top w:val="nil"/>
              <w:bottom w:val="nil"/>
            </w:tcBorders>
            <w:vAlign w:val="top"/>
          </w:tcPr>
          <w:p w14:paraId="4729579E">
            <w:pPr>
              <w:rPr>
                <w:rFonts w:ascii="Arial"/>
                <w:sz w:val="21"/>
              </w:rPr>
            </w:pPr>
          </w:p>
        </w:tc>
      </w:tr>
      <w:tr w14:paraId="61ADA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6" w:hRule="atLeast"/>
        </w:trPr>
        <w:tc>
          <w:tcPr>
            <w:tcW w:w="571" w:type="dxa"/>
            <w:vMerge w:val="continue"/>
            <w:tcBorders>
              <w:top w:val="nil"/>
              <w:bottom w:val="nil"/>
            </w:tcBorders>
            <w:vAlign w:val="top"/>
          </w:tcPr>
          <w:p w14:paraId="014BF3AD">
            <w:pPr>
              <w:rPr>
                <w:rFonts w:ascii="Arial"/>
                <w:sz w:val="21"/>
              </w:rPr>
            </w:pPr>
          </w:p>
        </w:tc>
        <w:tc>
          <w:tcPr>
            <w:tcW w:w="115" w:type="dxa"/>
            <w:tcBorders>
              <w:top w:val="nil"/>
              <w:bottom w:val="nil"/>
            </w:tcBorders>
            <w:vAlign w:val="top"/>
          </w:tcPr>
          <w:p w14:paraId="2509F44A">
            <w:pPr>
              <w:rPr>
                <w:rFonts w:ascii="Arial"/>
                <w:sz w:val="21"/>
              </w:rPr>
            </w:pPr>
          </w:p>
        </w:tc>
        <w:tc>
          <w:tcPr>
            <w:tcW w:w="494" w:type="dxa"/>
            <w:vMerge w:val="continue"/>
            <w:tcBorders>
              <w:top w:val="nil"/>
              <w:bottom w:val="nil"/>
            </w:tcBorders>
            <w:textDirection w:val="tbRlV"/>
            <w:vAlign w:val="top"/>
          </w:tcPr>
          <w:p w14:paraId="71E33372">
            <w:pPr>
              <w:rPr>
                <w:rFonts w:ascii="Arial"/>
                <w:sz w:val="21"/>
              </w:rPr>
            </w:pPr>
          </w:p>
        </w:tc>
        <w:tc>
          <w:tcPr>
            <w:tcW w:w="449" w:type="dxa"/>
            <w:gridSpan w:val="2"/>
            <w:vMerge w:val="continue"/>
            <w:tcBorders>
              <w:top w:val="nil"/>
              <w:bottom w:val="nil"/>
            </w:tcBorders>
            <w:textDirection w:val="tbRlV"/>
            <w:vAlign w:val="top"/>
          </w:tcPr>
          <w:p w14:paraId="1017DA50">
            <w:pPr>
              <w:rPr>
                <w:rFonts w:ascii="Arial"/>
                <w:sz w:val="21"/>
              </w:rPr>
            </w:pPr>
          </w:p>
        </w:tc>
        <w:tc>
          <w:tcPr>
            <w:tcW w:w="483" w:type="dxa"/>
            <w:vMerge w:val="continue"/>
            <w:tcBorders>
              <w:top w:val="nil"/>
              <w:bottom w:val="nil"/>
            </w:tcBorders>
            <w:textDirection w:val="tbRlV"/>
            <w:vAlign w:val="top"/>
          </w:tcPr>
          <w:p w14:paraId="7E16A762">
            <w:pPr>
              <w:rPr>
                <w:rFonts w:ascii="Arial"/>
                <w:sz w:val="21"/>
              </w:rPr>
            </w:pPr>
          </w:p>
        </w:tc>
        <w:tc>
          <w:tcPr>
            <w:tcW w:w="3507" w:type="dxa"/>
            <w:gridSpan w:val="2"/>
            <w:vAlign w:val="top"/>
          </w:tcPr>
          <w:p w14:paraId="62C445B2">
            <w:pPr>
              <w:pStyle w:val="6"/>
              <w:spacing w:before="54" w:line="264" w:lineRule="auto"/>
              <w:ind w:left="109" w:right="102" w:hanging="2"/>
              <w:jc w:val="both"/>
            </w:pPr>
            <w:r>
              <w:rPr>
                <w:rFonts w:ascii="Times New Roman" w:hAnsi="Times New Roman" w:eastAsia="Times New Roman" w:cs="Times New Roman"/>
                <w:spacing w:val="11"/>
              </w:rPr>
              <w:t>2.</w:t>
            </w:r>
            <w:r>
              <w:rPr>
                <w:spacing w:val="11"/>
              </w:rPr>
              <w:t>严格实施化解过剩产能和淘汰落</w:t>
            </w:r>
            <w:r>
              <w:rPr>
                <w:spacing w:val="8"/>
              </w:rPr>
              <w:t>后产能，制定产能过剩行业淘汰计</w:t>
            </w:r>
            <w:r>
              <w:rPr>
                <w:spacing w:val="-5"/>
              </w:rPr>
              <w:t>划，确保国家、省下达的淘汰落后产</w:t>
            </w:r>
            <w:r>
              <w:rPr>
                <w:spacing w:val="-1"/>
              </w:rPr>
              <w:t>能目标任务全面完成。</w:t>
            </w:r>
          </w:p>
        </w:tc>
        <w:tc>
          <w:tcPr>
            <w:tcW w:w="2602" w:type="dxa"/>
            <w:gridSpan w:val="2"/>
            <w:vAlign w:val="top"/>
          </w:tcPr>
          <w:p w14:paraId="6C0F4298">
            <w:pPr>
              <w:pStyle w:val="6"/>
              <w:spacing w:before="212" w:line="284" w:lineRule="auto"/>
              <w:ind w:left="112" w:right="28"/>
              <w:jc w:val="both"/>
            </w:pPr>
            <w:r>
              <w:rPr>
                <w:spacing w:val="6"/>
              </w:rPr>
              <w:t>本项目为输变电工程，属于《产业结构调整指导目</w:t>
            </w:r>
            <w:r>
              <w:rPr>
                <w:spacing w:val="-23"/>
              </w:rPr>
              <w:t>录（</w:t>
            </w:r>
            <w:r>
              <w:rPr>
                <w:rFonts w:ascii="Times New Roman" w:hAnsi="Times New Roman" w:eastAsia="Times New Roman" w:cs="Times New Roman"/>
                <w:spacing w:val="-23"/>
              </w:rPr>
              <w:t>2024</w:t>
            </w:r>
            <w:r>
              <w:rPr>
                <w:rFonts w:ascii="Times New Roman" w:hAnsi="Times New Roman" w:eastAsia="Times New Roman" w:cs="Times New Roman"/>
                <w:spacing w:val="18"/>
              </w:rPr>
              <w:t xml:space="preserve"> </w:t>
            </w:r>
            <w:r>
              <w:rPr>
                <w:spacing w:val="-23"/>
              </w:rPr>
              <w:t>年本）》中鼓励类。</w:t>
            </w:r>
          </w:p>
        </w:tc>
        <w:tc>
          <w:tcPr>
            <w:tcW w:w="737" w:type="dxa"/>
            <w:vAlign w:val="top"/>
          </w:tcPr>
          <w:p w14:paraId="125DE452">
            <w:pPr>
              <w:spacing w:line="457" w:lineRule="auto"/>
              <w:rPr>
                <w:rFonts w:ascii="Arial"/>
                <w:sz w:val="21"/>
              </w:rPr>
            </w:pPr>
          </w:p>
          <w:p w14:paraId="05F3EC75">
            <w:pPr>
              <w:pStyle w:val="6"/>
              <w:spacing w:before="68" w:line="221" w:lineRule="auto"/>
              <w:ind w:left="166"/>
            </w:pPr>
            <w:r>
              <w:rPr>
                <w:spacing w:val="-2"/>
              </w:rPr>
              <w:t>符合</w:t>
            </w:r>
          </w:p>
        </w:tc>
        <w:tc>
          <w:tcPr>
            <w:tcW w:w="115" w:type="dxa"/>
            <w:tcBorders>
              <w:top w:val="nil"/>
              <w:bottom w:val="nil"/>
            </w:tcBorders>
            <w:vAlign w:val="top"/>
          </w:tcPr>
          <w:p w14:paraId="1AFECE70">
            <w:pPr>
              <w:rPr>
                <w:rFonts w:ascii="Arial"/>
                <w:sz w:val="21"/>
              </w:rPr>
            </w:pPr>
          </w:p>
        </w:tc>
      </w:tr>
      <w:tr w14:paraId="7CFD71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6" w:hRule="atLeast"/>
        </w:trPr>
        <w:tc>
          <w:tcPr>
            <w:tcW w:w="571" w:type="dxa"/>
            <w:vMerge w:val="continue"/>
            <w:tcBorders>
              <w:top w:val="nil"/>
              <w:bottom w:val="nil"/>
            </w:tcBorders>
            <w:vAlign w:val="top"/>
          </w:tcPr>
          <w:p w14:paraId="633D1160">
            <w:pPr>
              <w:rPr>
                <w:rFonts w:ascii="Arial"/>
                <w:sz w:val="21"/>
              </w:rPr>
            </w:pPr>
          </w:p>
        </w:tc>
        <w:tc>
          <w:tcPr>
            <w:tcW w:w="115" w:type="dxa"/>
            <w:tcBorders>
              <w:top w:val="nil"/>
              <w:bottom w:val="nil"/>
            </w:tcBorders>
            <w:vAlign w:val="top"/>
          </w:tcPr>
          <w:p w14:paraId="224E59DC">
            <w:pPr>
              <w:rPr>
                <w:rFonts w:ascii="Arial"/>
                <w:sz w:val="21"/>
              </w:rPr>
            </w:pPr>
          </w:p>
        </w:tc>
        <w:tc>
          <w:tcPr>
            <w:tcW w:w="494" w:type="dxa"/>
            <w:vMerge w:val="continue"/>
            <w:tcBorders>
              <w:top w:val="nil"/>
              <w:bottom w:val="nil"/>
            </w:tcBorders>
            <w:textDirection w:val="tbRlV"/>
            <w:vAlign w:val="top"/>
          </w:tcPr>
          <w:p w14:paraId="5DF54932">
            <w:pPr>
              <w:rPr>
                <w:rFonts w:ascii="Arial"/>
                <w:sz w:val="21"/>
              </w:rPr>
            </w:pPr>
          </w:p>
        </w:tc>
        <w:tc>
          <w:tcPr>
            <w:tcW w:w="449" w:type="dxa"/>
            <w:gridSpan w:val="2"/>
            <w:vMerge w:val="continue"/>
            <w:tcBorders>
              <w:top w:val="nil"/>
              <w:bottom w:val="nil"/>
            </w:tcBorders>
            <w:textDirection w:val="tbRlV"/>
            <w:vAlign w:val="top"/>
          </w:tcPr>
          <w:p w14:paraId="685B71A2">
            <w:pPr>
              <w:rPr>
                <w:rFonts w:ascii="Arial"/>
                <w:sz w:val="21"/>
              </w:rPr>
            </w:pPr>
          </w:p>
        </w:tc>
        <w:tc>
          <w:tcPr>
            <w:tcW w:w="483" w:type="dxa"/>
            <w:vMerge w:val="continue"/>
            <w:tcBorders>
              <w:top w:val="nil"/>
              <w:bottom w:val="nil"/>
            </w:tcBorders>
            <w:textDirection w:val="tbRlV"/>
            <w:vAlign w:val="top"/>
          </w:tcPr>
          <w:p w14:paraId="70C17012">
            <w:pPr>
              <w:rPr>
                <w:rFonts w:ascii="Arial"/>
                <w:sz w:val="21"/>
              </w:rPr>
            </w:pPr>
          </w:p>
        </w:tc>
        <w:tc>
          <w:tcPr>
            <w:tcW w:w="3507" w:type="dxa"/>
            <w:gridSpan w:val="2"/>
            <w:vAlign w:val="top"/>
          </w:tcPr>
          <w:p w14:paraId="652576A5">
            <w:pPr>
              <w:pStyle w:val="6"/>
              <w:spacing w:before="57" w:line="267" w:lineRule="auto"/>
              <w:ind w:left="111" w:right="102"/>
              <w:jc w:val="both"/>
            </w:pPr>
            <w:r>
              <w:rPr>
                <w:rFonts w:ascii="Times New Roman" w:hAnsi="Times New Roman" w:eastAsia="Times New Roman" w:cs="Times New Roman"/>
                <w:spacing w:val="-2"/>
              </w:rPr>
              <w:t>3.</w:t>
            </w:r>
            <w:r>
              <w:rPr>
                <w:spacing w:val="-2"/>
              </w:rPr>
              <w:t>将资源承载能力、生态环境容量作</w:t>
            </w:r>
            <w:r>
              <w:rPr>
                <w:spacing w:val="-5"/>
              </w:rPr>
              <w:t>为承接产业转移的基础和前提，合理确定承接产业转移重点，禁止引进环境污染大、资源消耗高、技术落后的生产能力。</w:t>
            </w:r>
          </w:p>
        </w:tc>
        <w:tc>
          <w:tcPr>
            <w:tcW w:w="2602" w:type="dxa"/>
            <w:gridSpan w:val="2"/>
            <w:vAlign w:val="top"/>
          </w:tcPr>
          <w:p w14:paraId="57BA198A">
            <w:pPr>
              <w:pStyle w:val="6"/>
              <w:spacing w:before="57" w:line="267" w:lineRule="auto"/>
              <w:ind w:left="110" w:right="105" w:firstLine="1"/>
              <w:jc w:val="both"/>
            </w:pPr>
            <w:r>
              <w:rPr>
                <w:spacing w:val="6"/>
              </w:rPr>
              <w:t>本项目为输变电工程，项目运行期无废水、废气排放，新建输电线路仅塔基四个基础占地，对土地资</w:t>
            </w:r>
            <w:r>
              <w:rPr>
                <w:spacing w:val="-3"/>
              </w:rPr>
              <w:t>源的占用较小。</w:t>
            </w:r>
          </w:p>
        </w:tc>
        <w:tc>
          <w:tcPr>
            <w:tcW w:w="737" w:type="dxa"/>
            <w:vAlign w:val="top"/>
          </w:tcPr>
          <w:p w14:paraId="26CC5C63">
            <w:pPr>
              <w:spacing w:line="309" w:lineRule="auto"/>
              <w:rPr>
                <w:rFonts w:ascii="Arial"/>
                <w:sz w:val="21"/>
              </w:rPr>
            </w:pPr>
          </w:p>
          <w:p w14:paraId="69575BFE">
            <w:pPr>
              <w:spacing w:line="309" w:lineRule="auto"/>
              <w:rPr>
                <w:rFonts w:ascii="Arial"/>
                <w:sz w:val="21"/>
              </w:rPr>
            </w:pPr>
          </w:p>
          <w:p w14:paraId="76F0D3F6">
            <w:pPr>
              <w:pStyle w:val="6"/>
              <w:spacing w:before="68" w:line="221" w:lineRule="auto"/>
              <w:ind w:left="166"/>
            </w:pPr>
            <w:r>
              <w:rPr>
                <w:spacing w:val="-2"/>
              </w:rPr>
              <w:t>符合</w:t>
            </w:r>
          </w:p>
        </w:tc>
        <w:tc>
          <w:tcPr>
            <w:tcW w:w="115" w:type="dxa"/>
            <w:tcBorders>
              <w:top w:val="nil"/>
              <w:bottom w:val="nil"/>
            </w:tcBorders>
            <w:vAlign w:val="top"/>
          </w:tcPr>
          <w:p w14:paraId="0849FBFB">
            <w:pPr>
              <w:rPr>
                <w:rFonts w:ascii="Arial"/>
                <w:sz w:val="21"/>
              </w:rPr>
            </w:pPr>
          </w:p>
        </w:tc>
      </w:tr>
      <w:tr w14:paraId="6E3547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9" w:hRule="atLeast"/>
        </w:trPr>
        <w:tc>
          <w:tcPr>
            <w:tcW w:w="571" w:type="dxa"/>
            <w:vMerge w:val="continue"/>
            <w:tcBorders>
              <w:top w:val="nil"/>
              <w:bottom w:val="nil"/>
            </w:tcBorders>
            <w:vAlign w:val="top"/>
          </w:tcPr>
          <w:p w14:paraId="132F6EE3">
            <w:pPr>
              <w:rPr>
                <w:rFonts w:ascii="Arial"/>
                <w:sz w:val="21"/>
              </w:rPr>
            </w:pPr>
          </w:p>
        </w:tc>
        <w:tc>
          <w:tcPr>
            <w:tcW w:w="115" w:type="dxa"/>
            <w:tcBorders>
              <w:top w:val="nil"/>
              <w:bottom w:val="nil"/>
            </w:tcBorders>
            <w:vAlign w:val="top"/>
          </w:tcPr>
          <w:p w14:paraId="34AB4C50">
            <w:pPr>
              <w:rPr>
                <w:rFonts w:ascii="Arial"/>
                <w:sz w:val="21"/>
              </w:rPr>
            </w:pPr>
          </w:p>
        </w:tc>
        <w:tc>
          <w:tcPr>
            <w:tcW w:w="494" w:type="dxa"/>
            <w:vMerge w:val="continue"/>
            <w:tcBorders>
              <w:top w:val="nil"/>
              <w:bottom w:val="nil"/>
            </w:tcBorders>
            <w:textDirection w:val="tbRlV"/>
            <w:vAlign w:val="top"/>
          </w:tcPr>
          <w:p w14:paraId="13B58FC7">
            <w:pPr>
              <w:rPr>
                <w:rFonts w:ascii="Arial"/>
                <w:sz w:val="21"/>
              </w:rPr>
            </w:pPr>
          </w:p>
        </w:tc>
        <w:tc>
          <w:tcPr>
            <w:tcW w:w="449" w:type="dxa"/>
            <w:gridSpan w:val="2"/>
            <w:vMerge w:val="continue"/>
            <w:tcBorders>
              <w:top w:val="nil"/>
              <w:bottom w:val="nil"/>
            </w:tcBorders>
            <w:textDirection w:val="tbRlV"/>
            <w:vAlign w:val="top"/>
          </w:tcPr>
          <w:p w14:paraId="23F56B95">
            <w:pPr>
              <w:rPr>
                <w:rFonts w:ascii="Arial"/>
                <w:sz w:val="21"/>
              </w:rPr>
            </w:pPr>
          </w:p>
        </w:tc>
        <w:tc>
          <w:tcPr>
            <w:tcW w:w="483" w:type="dxa"/>
            <w:vMerge w:val="continue"/>
            <w:tcBorders>
              <w:top w:val="nil"/>
              <w:bottom w:val="nil"/>
            </w:tcBorders>
            <w:textDirection w:val="tbRlV"/>
            <w:vAlign w:val="top"/>
          </w:tcPr>
          <w:p w14:paraId="44C2EC6E">
            <w:pPr>
              <w:rPr>
                <w:rFonts w:ascii="Arial"/>
                <w:sz w:val="21"/>
              </w:rPr>
            </w:pPr>
          </w:p>
        </w:tc>
        <w:tc>
          <w:tcPr>
            <w:tcW w:w="3507" w:type="dxa"/>
            <w:gridSpan w:val="2"/>
            <w:vAlign w:val="top"/>
          </w:tcPr>
          <w:p w14:paraId="23AB556F">
            <w:pPr>
              <w:pStyle w:val="6"/>
              <w:spacing w:before="57" w:line="264" w:lineRule="auto"/>
              <w:ind w:left="110" w:right="102" w:hanging="4"/>
              <w:jc w:val="both"/>
            </w:pPr>
            <w:r>
              <w:rPr>
                <w:rFonts w:ascii="Times New Roman" w:hAnsi="Times New Roman" w:eastAsia="Times New Roman" w:cs="Times New Roman"/>
                <w:spacing w:val="11"/>
              </w:rPr>
              <w:t>4.</w:t>
            </w:r>
            <w:r>
              <w:rPr>
                <w:spacing w:val="11"/>
              </w:rPr>
              <w:t>支持现有各类产业园区有供热需</w:t>
            </w:r>
            <w:r>
              <w:rPr>
                <w:spacing w:val="8"/>
              </w:rPr>
              <w:t>求的实施热电联产或者集中供热改</w:t>
            </w:r>
            <w:r>
              <w:rPr>
                <w:spacing w:val="-5"/>
              </w:rPr>
              <w:t>造，具备条件的工业园区实现集中供</w:t>
            </w:r>
            <w:r>
              <w:rPr>
                <w:spacing w:val="-10"/>
              </w:rPr>
              <w:t>热。</w:t>
            </w:r>
          </w:p>
        </w:tc>
        <w:tc>
          <w:tcPr>
            <w:tcW w:w="2602" w:type="dxa"/>
            <w:gridSpan w:val="2"/>
            <w:vAlign w:val="top"/>
          </w:tcPr>
          <w:p w14:paraId="470474D4">
            <w:pPr>
              <w:spacing w:line="304" w:lineRule="auto"/>
              <w:rPr>
                <w:rFonts w:ascii="Arial"/>
                <w:sz w:val="21"/>
              </w:rPr>
            </w:pPr>
          </w:p>
          <w:p w14:paraId="0188D0D0">
            <w:pPr>
              <w:pStyle w:val="6"/>
              <w:spacing w:before="68" w:line="278" w:lineRule="auto"/>
              <w:ind w:left="111" w:right="105"/>
            </w:pPr>
            <w:r>
              <w:rPr>
                <w:spacing w:val="6"/>
              </w:rPr>
              <w:t>本项目为输变电工程，无</w:t>
            </w:r>
            <w:r>
              <w:rPr>
                <w:spacing w:val="-5"/>
              </w:rPr>
              <w:t>供热需求。</w:t>
            </w:r>
          </w:p>
        </w:tc>
        <w:tc>
          <w:tcPr>
            <w:tcW w:w="737" w:type="dxa"/>
            <w:vAlign w:val="top"/>
          </w:tcPr>
          <w:p w14:paraId="6D69C768">
            <w:pPr>
              <w:spacing w:line="461" w:lineRule="auto"/>
              <w:rPr>
                <w:rFonts w:ascii="Arial"/>
                <w:sz w:val="21"/>
              </w:rPr>
            </w:pPr>
          </w:p>
          <w:p w14:paraId="7BE1EC54">
            <w:pPr>
              <w:pStyle w:val="6"/>
              <w:spacing w:before="68" w:line="221" w:lineRule="auto"/>
              <w:ind w:left="166"/>
            </w:pPr>
            <w:r>
              <w:rPr>
                <w:spacing w:val="-2"/>
              </w:rPr>
              <w:t>符合</w:t>
            </w:r>
          </w:p>
        </w:tc>
        <w:tc>
          <w:tcPr>
            <w:tcW w:w="115" w:type="dxa"/>
            <w:tcBorders>
              <w:top w:val="nil"/>
              <w:bottom w:val="nil"/>
            </w:tcBorders>
            <w:vAlign w:val="top"/>
          </w:tcPr>
          <w:p w14:paraId="4FCF58C6">
            <w:pPr>
              <w:rPr>
                <w:rFonts w:ascii="Arial"/>
                <w:sz w:val="21"/>
              </w:rPr>
            </w:pPr>
          </w:p>
        </w:tc>
      </w:tr>
      <w:tr w14:paraId="614E6F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9" w:hRule="atLeast"/>
        </w:trPr>
        <w:tc>
          <w:tcPr>
            <w:tcW w:w="571" w:type="dxa"/>
            <w:vMerge w:val="continue"/>
            <w:tcBorders>
              <w:top w:val="nil"/>
              <w:bottom w:val="nil"/>
            </w:tcBorders>
            <w:vAlign w:val="top"/>
          </w:tcPr>
          <w:p w14:paraId="5A484356">
            <w:pPr>
              <w:rPr>
                <w:rFonts w:ascii="Arial"/>
                <w:sz w:val="21"/>
              </w:rPr>
            </w:pPr>
          </w:p>
        </w:tc>
        <w:tc>
          <w:tcPr>
            <w:tcW w:w="115" w:type="dxa"/>
            <w:tcBorders>
              <w:top w:val="nil"/>
              <w:bottom w:val="nil"/>
            </w:tcBorders>
            <w:vAlign w:val="top"/>
          </w:tcPr>
          <w:p w14:paraId="40C615C3">
            <w:pPr>
              <w:rPr>
                <w:rFonts w:ascii="Arial"/>
                <w:sz w:val="21"/>
              </w:rPr>
            </w:pPr>
          </w:p>
        </w:tc>
        <w:tc>
          <w:tcPr>
            <w:tcW w:w="494" w:type="dxa"/>
            <w:vMerge w:val="continue"/>
            <w:tcBorders>
              <w:top w:val="nil"/>
              <w:bottom w:val="nil"/>
            </w:tcBorders>
            <w:textDirection w:val="tbRlV"/>
            <w:vAlign w:val="top"/>
          </w:tcPr>
          <w:p w14:paraId="58945D9C">
            <w:pPr>
              <w:rPr>
                <w:rFonts w:ascii="Arial"/>
                <w:sz w:val="21"/>
              </w:rPr>
            </w:pPr>
          </w:p>
        </w:tc>
        <w:tc>
          <w:tcPr>
            <w:tcW w:w="449" w:type="dxa"/>
            <w:gridSpan w:val="2"/>
            <w:vMerge w:val="continue"/>
            <w:tcBorders>
              <w:top w:val="nil"/>
              <w:bottom w:val="nil"/>
            </w:tcBorders>
            <w:textDirection w:val="tbRlV"/>
            <w:vAlign w:val="top"/>
          </w:tcPr>
          <w:p w14:paraId="4A4AA697">
            <w:pPr>
              <w:rPr>
                <w:rFonts w:ascii="Arial"/>
                <w:sz w:val="21"/>
              </w:rPr>
            </w:pPr>
          </w:p>
        </w:tc>
        <w:tc>
          <w:tcPr>
            <w:tcW w:w="483" w:type="dxa"/>
            <w:vMerge w:val="continue"/>
            <w:tcBorders>
              <w:top w:val="nil"/>
              <w:bottom w:val="nil"/>
            </w:tcBorders>
            <w:textDirection w:val="tbRlV"/>
            <w:vAlign w:val="top"/>
          </w:tcPr>
          <w:p w14:paraId="30DBA5B1">
            <w:pPr>
              <w:rPr>
                <w:rFonts w:ascii="Arial"/>
                <w:sz w:val="21"/>
              </w:rPr>
            </w:pPr>
          </w:p>
        </w:tc>
        <w:tc>
          <w:tcPr>
            <w:tcW w:w="3507" w:type="dxa"/>
            <w:gridSpan w:val="2"/>
            <w:vAlign w:val="top"/>
          </w:tcPr>
          <w:p w14:paraId="09D529CE">
            <w:pPr>
              <w:pStyle w:val="6"/>
              <w:spacing w:before="215" w:line="277" w:lineRule="auto"/>
              <w:ind w:left="111" w:right="105" w:firstLine="1"/>
              <w:jc w:val="both"/>
            </w:pPr>
            <w:r>
              <w:rPr>
                <w:rFonts w:ascii="Times New Roman" w:hAnsi="Times New Roman" w:eastAsia="Times New Roman" w:cs="Times New Roman"/>
                <w:spacing w:val="11"/>
              </w:rPr>
              <w:t>5.</w:t>
            </w:r>
            <w:r>
              <w:rPr>
                <w:spacing w:val="11"/>
              </w:rPr>
              <w:t>严格控制在生态脆弱或环境敏感</w:t>
            </w:r>
            <w:r>
              <w:rPr>
                <w:spacing w:val="-17"/>
              </w:rPr>
              <w:t>地区建设《环境保护综合名录》中“高</w:t>
            </w:r>
            <w:r>
              <w:rPr>
                <w:spacing w:val="-2"/>
              </w:rPr>
              <w:t>污染、高环境风险”行业项目。</w:t>
            </w:r>
          </w:p>
        </w:tc>
        <w:tc>
          <w:tcPr>
            <w:tcW w:w="2602" w:type="dxa"/>
            <w:gridSpan w:val="2"/>
            <w:vAlign w:val="top"/>
          </w:tcPr>
          <w:p w14:paraId="6AF66B96">
            <w:pPr>
              <w:pStyle w:val="6"/>
              <w:spacing w:before="57" w:line="264" w:lineRule="auto"/>
              <w:ind w:left="112"/>
              <w:jc w:val="both"/>
            </w:pPr>
            <w:r>
              <w:rPr>
                <w:spacing w:val="-3"/>
              </w:rPr>
              <w:t>本项目为输变电工程，不</w:t>
            </w:r>
            <w:r>
              <w:t xml:space="preserve"> </w:t>
            </w:r>
            <w:r>
              <w:rPr>
                <w:spacing w:val="-12"/>
              </w:rPr>
              <w:t>属于《环境保护综合名录》</w:t>
            </w:r>
            <w:r>
              <w:rPr>
                <w:spacing w:val="-4"/>
              </w:rPr>
              <w:t>中“高污染、高环境风险”</w:t>
            </w:r>
            <w:r>
              <w:rPr>
                <w:spacing w:val="-11"/>
              </w:rPr>
              <w:t>行业项目。</w:t>
            </w:r>
          </w:p>
        </w:tc>
        <w:tc>
          <w:tcPr>
            <w:tcW w:w="737" w:type="dxa"/>
            <w:vAlign w:val="top"/>
          </w:tcPr>
          <w:p w14:paraId="255EF21E">
            <w:pPr>
              <w:spacing w:line="459" w:lineRule="auto"/>
              <w:rPr>
                <w:rFonts w:ascii="Arial"/>
                <w:sz w:val="21"/>
              </w:rPr>
            </w:pPr>
          </w:p>
          <w:p w14:paraId="4B09B5D0">
            <w:pPr>
              <w:pStyle w:val="6"/>
              <w:spacing w:before="68" w:line="221" w:lineRule="auto"/>
              <w:ind w:left="166"/>
            </w:pPr>
            <w:r>
              <w:rPr>
                <w:spacing w:val="-2"/>
              </w:rPr>
              <w:t>符合</w:t>
            </w:r>
          </w:p>
        </w:tc>
        <w:tc>
          <w:tcPr>
            <w:tcW w:w="115" w:type="dxa"/>
            <w:tcBorders>
              <w:top w:val="nil"/>
              <w:bottom w:val="nil"/>
            </w:tcBorders>
            <w:vAlign w:val="top"/>
          </w:tcPr>
          <w:p w14:paraId="2CE074AB">
            <w:pPr>
              <w:rPr>
                <w:rFonts w:ascii="Arial"/>
                <w:sz w:val="21"/>
              </w:rPr>
            </w:pPr>
          </w:p>
        </w:tc>
      </w:tr>
      <w:tr w14:paraId="65504B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3" w:hRule="atLeast"/>
        </w:trPr>
        <w:tc>
          <w:tcPr>
            <w:tcW w:w="571" w:type="dxa"/>
            <w:vMerge w:val="continue"/>
            <w:tcBorders>
              <w:top w:val="nil"/>
              <w:bottom w:val="nil"/>
            </w:tcBorders>
            <w:vAlign w:val="top"/>
          </w:tcPr>
          <w:p w14:paraId="035FD918">
            <w:pPr>
              <w:rPr>
                <w:rFonts w:ascii="Arial"/>
                <w:sz w:val="21"/>
              </w:rPr>
            </w:pPr>
          </w:p>
        </w:tc>
        <w:tc>
          <w:tcPr>
            <w:tcW w:w="115" w:type="dxa"/>
            <w:tcBorders>
              <w:top w:val="nil"/>
              <w:bottom w:val="nil"/>
            </w:tcBorders>
            <w:vAlign w:val="top"/>
          </w:tcPr>
          <w:p w14:paraId="2B8C50EE">
            <w:pPr>
              <w:rPr>
                <w:rFonts w:ascii="Arial"/>
                <w:sz w:val="21"/>
              </w:rPr>
            </w:pPr>
          </w:p>
        </w:tc>
        <w:tc>
          <w:tcPr>
            <w:tcW w:w="494" w:type="dxa"/>
            <w:vMerge w:val="continue"/>
            <w:tcBorders>
              <w:top w:val="nil"/>
              <w:bottom w:val="nil"/>
            </w:tcBorders>
            <w:textDirection w:val="tbRlV"/>
            <w:vAlign w:val="top"/>
          </w:tcPr>
          <w:p w14:paraId="4AAB3D35">
            <w:pPr>
              <w:rPr>
                <w:rFonts w:ascii="Arial"/>
                <w:sz w:val="21"/>
              </w:rPr>
            </w:pPr>
          </w:p>
        </w:tc>
        <w:tc>
          <w:tcPr>
            <w:tcW w:w="449" w:type="dxa"/>
            <w:gridSpan w:val="2"/>
            <w:vMerge w:val="continue"/>
            <w:tcBorders>
              <w:top w:val="nil"/>
              <w:bottom w:val="nil"/>
            </w:tcBorders>
            <w:textDirection w:val="tbRlV"/>
            <w:vAlign w:val="top"/>
          </w:tcPr>
          <w:p w14:paraId="3BFD8A81">
            <w:pPr>
              <w:rPr>
                <w:rFonts w:ascii="Arial"/>
                <w:sz w:val="21"/>
              </w:rPr>
            </w:pPr>
          </w:p>
        </w:tc>
        <w:tc>
          <w:tcPr>
            <w:tcW w:w="483" w:type="dxa"/>
            <w:vMerge w:val="continue"/>
            <w:tcBorders>
              <w:top w:val="nil"/>
              <w:bottom w:val="nil"/>
            </w:tcBorders>
            <w:textDirection w:val="tbRlV"/>
            <w:vAlign w:val="top"/>
          </w:tcPr>
          <w:p w14:paraId="075D949E">
            <w:pPr>
              <w:rPr>
                <w:rFonts w:ascii="Arial"/>
                <w:sz w:val="21"/>
              </w:rPr>
            </w:pPr>
          </w:p>
        </w:tc>
        <w:tc>
          <w:tcPr>
            <w:tcW w:w="3507" w:type="dxa"/>
            <w:gridSpan w:val="2"/>
            <w:vAlign w:val="top"/>
          </w:tcPr>
          <w:p w14:paraId="12894502">
            <w:pPr>
              <w:pStyle w:val="6"/>
              <w:spacing w:before="59" w:line="259" w:lineRule="auto"/>
              <w:ind w:left="110" w:right="103" w:firstLine="1"/>
              <w:jc w:val="both"/>
            </w:pPr>
            <w:r>
              <w:rPr>
                <w:rFonts w:ascii="Times New Roman" w:hAnsi="Times New Roman" w:eastAsia="Times New Roman" w:cs="Times New Roman"/>
                <w:spacing w:val="11"/>
              </w:rPr>
              <w:t>6.</w:t>
            </w:r>
            <w:r>
              <w:rPr>
                <w:spacing w:val="11"/>
              </w:rPr>
              <w:t>禁止在合规园区外新建、扩建钢</w:t>
            </w:r>
            <w:r>
              <w:rPr>
                <w:spacing w:val="-5"/>
              </w:rPr>
              <w:t>铁、石化、化工、焦化、建材、有色</w:t>
            </w:r>
            <w:r>
              <w:rPr>
                <w:spacing w:val="-1"/>
              </w:rPr>
              <w:t>行业中的高污染项目。</w:t>
            </w:r>
          </w:p>
        </w:tc>
        <w:tc>
          <w:tcPr>
            <w:tcW w:w="2602" w:type="dxa"/>
            <w:gridSpan w:val="2"/>
            <w:vAlign w:val="top"/>
          </w:tcPr>
          <w:p w14:paraId="70CF1CD4">
            <w:pPr>
              <w:pStyle w:val="6"/>
              <w:spacing w:before="217" w:line="278" w:lineRule="auto"/>
              <w:ind w:left="112" w:right="105"/>
            </w:pPr>
            <w:r>
              <w:rPr>
                <w:spacing w:val="6"/>
              </w:rPr>
              <w:t>本项目为输变电工程，不</w:t>
            </w:r>
            <w:r>
              <w:rPr>
                <w:spacing w:val="-3"/>
              </w:rPr>
              <w:t>属于该条所列项目。</w:t>
            </w:r>
          </w:p>
        </w:tc>
        <w:tc>
          <w:tcPr>
            <w:tcW w:w="737" w:type="dxa"/>
            <w:vAlign w:val="top"/>
          </w:tcPr>
          <w:p w14:paraId="391AF6EC">
            <w:pPr>
              <w:spacing w:line="302" w:lineRule="auto"/>
              <w:rPr>
                <w:rFonts w:ascii="Arial"/>
                <w:sz w:val="21"/>
              </w:rPr>
            </w:pPr>
          </w:p>
          <w:p w14:paraId="6425482A">
            <w:pPr>
              <w:pStyle w:val="6"/>
              <w:spacing w:before="68" w:line="221" w:lineRule="auto"/>
              <w:ind w:left="166"/>
            </w:pPr>
            <w:r>
              <w:rPr>
                <w:spacing w:val="-2"/>
              </w:rPr>
              <w:t>符合</w:t>
            </w:r>
          </w:p>
        </w:tc>
        <w:tc>
          <w:tcPr>
            <w:tcW w:w="115" w:type="dxa"/>
            <w:tcBorders>
              <w:top w:val="nil"/>
              <w:bottom w:val="nil"/>
            </w:tcBorders>
            <w:vAlign w:val="top"/>
          </w:tcPr>
          <w:p w14:paraId="70EFCEF5">
            <w:pPr>
              <w:rPr>
                <w:rFonts w:ascii="Arial"/>
                <w:sz w:val="21"/>
              </w:rPr>
            </w:pPr>
          </w:p>
        </w:tc>
      </w:tr>
      <w:tr w14:paraId="0BDB1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1" w:hRule="atLeast"/>
        </w:trPr>
        <w:tc>
          <w:tcPr>
            <w:tcW w:w="571" w:type="dxa"/>
            <w:vMerge w:val="continue"/>
            <w:tcBorders>
              <w:top w:val="nil"/>
            </w:tcBorders>
            <w:vAlign w:val="top"/>
          </w:tcPr>
          <w:p w14:paraId="2E71E7DC">
            <w:pPr>
              <w:rPr>
                <w:rFonts w:ascii="Arial"/>
                <w:sz w:val="21"/>
              </w:rPr>
            </w:pPr>
          </w:p>
        </w:tc>
        <w:tc>
          <w:tcPr>
            <w:tcW w:w="115" w:type="dxa"/>
            <w:tcBorders>
              <w:top w:val="nil"/>
            </w:tcBorders>
            <w:vAlign w:val="top"/>
          </w:tcPr>
          <w:p w14:paraId="15987DDF">
            <w:pPr>
              <w:rPr>
                <w:rFonts w:ascii="Arial"/>
                <w:sz w:val="21"/>
              </w:rPr>
            </w:pPr>
          </w:p>
        </w:tc>
        <w:tc>
          <w:tcPr>
            <w:tcW w:w="494" w:type="dxa"/>
            <w:vMerge w:val="continue"/>
            <w:tcBorders>
              <w:top w:val="nil"/>
            </w:tcBorders>
            <w:textDirection w:val="tbRlV"/>
            <w:vAlign w:val="top"/>
          </w:tcPr>
          <w:p w14:paraId="7FB00742">
            <w:pPr>
              <w:rPr>
                <w:rFonts w:ascii="Arial"/>
                <w:sz w:val="21"/>
              </w:rPr>
            </w:pPr>
          </w:p>
        </w:tc>
        <w:tc>
          <w:tcPr>
            <w:tcW w:w="449" w:type="dxa"/>
            <w:gridSpan w:val="2"/>
            <w:vMerge w:val="continue"/>
            <w:tcBorders>
              <w:top w:val="nil"/>
            </w:tcBorders>
            <w:textDirection w:val="tbRlV"/>
            <w:vAlign w:val="top"/>
          </w:tcPr>
          <w:p w14:paraId="11186E14">
            <w:pPr>
              <w:rPr>
                <w:rFonts w:ascii="Arial"/>
                <w:sz w:val="21"/>
              </w:rPr>
            </w:pPr>
          </w:p>
        </w:tc>
        <w:tc>
          <w:tcPr>
            <w:tcW w:w="483" w:type="dxa"/>
            <w:vMerge w:val="continue"/>
            <w:tcBorders>
              <w:top w:val="nil"/>
            </w:tcBorders>
            <w:textDirection w:val="tbRlV"/>
            <w:vAlign w:val="top"/>
          </w:tcPr>
          <w:p w14:paraId="012DA7A0">
            <w:pPr>
              <w:rPr>
                <w:rFonts w:ascii="Arial"/>
                <w:sz w:val="21"/>
              </w:rPr>
            </w:pPr>
          </w:p>
        </w:tc>
        <w:tc>
          <w:tcPr>
            <w:tcW w:w="3507" w:type="dxa"/>
            <w:gridSpan w:val="2"/>
            <w:vAlign w:val="top"/>
          </w:tcPr>
          <w:p w14:paraId="6DBBD1BA">
            <w:pPr>
              <w:pStyle w:val="6"/>
              <w:spacing w:before="55" w:line="272" w:lineRule="auto"/>
              <w:ind w:left="111" w:right="102"/>
              <w:jc w:val="both"/>
            </w:pPr>
            <w:r>
              <w:rPr>
                <w:rFonts w:ascii="Times New Roman" w:hAnsi="Times New Roman" w:eastAsia="Times New Roman" w:cs="Times New Roman"/>
                <w:spacing w:val="-2"/>
              </w:rPr>
              <w:t>7.</w:t>
            </w:r>
            <w:r>
              <w:rPr>
                <w:spacing w:val="-2"/>
              </w:rPr>
              <w:t>集中式饮用水水源地严格执行《中</w:t>
            </w:r>
            <w:r>
              <w:rPr>
                <w:spacing w:val="-5"/>
              </w:rPr>
              <w:t>华人民共和国水污染防治法》《地下水管理条例》《饮用水水源保护区污染防治管理规定》《曲靖市集中式饮用水水源地保护条例》《云南省曲靖独木水库保护条例》，水源地内城镇</w:t>
            </w:r>
            <w:r>
              <w:rPr>
                <w:spacing w:val="8"/>
              </w:rPr>
              <w:t>开发边界范围已开发区域强化环境</w:t>
            </w:r>
          </w:p>
        </w:tc>
        <w:tc>
          <w:tcPr>
            <w:tcW w:w="2602" w:type="dxa"/>
            <w:gridSpan w:val="2"/>
            <w:vAlign w:val="top"/>
          </w:tcPr>
          <w:p w14:paraId="50C35F7E">
            <w:pPr>
              <w:spacing w:line="258" w:lineRule="auto"/>
              <w:rPr>
                <w:rFonts w:ascii="Arial"/>
                <w:sz w:val="21"/>
              </w:rPr>
            </w:pPr>
          </w:p>
          <w:p w14:paraId="5100B6EE">
            <w:pPr>
              <w:spacing w:line="258" w:lineRule="auto"/>
              <w:rPr>
                <w:rFonts w:ascii="Arial"/>
                <w:sz w:val="21"/>
              </w:rPr>
            </w:pPr>
          </w:p>
          <w:p w14:paraId="5A9F331F">
            <w:pPr>
              <w:spacing w:line="258" w:lineRule="auto"/>
              <w:rPr>
                <w:rFonts w:ascii="Arial"/>
                <w:sz w:val="21"/>
              </w:rPr>
            </w:pPr>
          </w:p>
          <w:p w14:paraId="3E8F5C8F">
            <w:pPr>
              <w:pStyle w:val="6"/>
              <w:spacing w:before="69" w:line="281" w:lineRule="auto"/>
              <w:ind w:left="112" w:right="105" w:firstLine="2"/>
            </w:pPr>
            <w:r>
              <w:rPr>
                <w:spacing w:val="6"/>
              </w:rPr>
              <w:t>项目不涉及饮用水水源保</w:t>
            </w:r>
            <w:r>
              <w:rPr>
                <w:spacing w:val="-9"/>
              </w:rPr>
              <w:t>护区。</w:t>
            </w:r>
          </w:p>
        </w:tc>
        <w:tc>
          <w:tcPr>
            <w:tcW w:w="737" w:type="dxa"/>
            <w:vAlign w:val="top"/>
          </w:tcPr>
          <w:p w14:paraId="69A0A8AF">
            <w:pPr>
              <w:spacing w:line="310" w:lineRule="auto"/>
              <w:rPr>
                <w:rFonts w:ascii="Arial"/>
                <w:sz w:val="21"/>
              </w:rPr>
            </w:pPr>
          </w:p>
          <w:p w14:paraId="1ACA7155">
            <w:pPr>
              <w:spacing w:line="311" w:lineRule="auto"/>
              <w:rPr>
                <w:rFonts w:ascii="Arial"/>
                <w:sz w:val="21"/>
              </w:rPr>
            </w:pPr>
          </w:p>
          <w:p w14:paraId="5C7ECC74">
            <w:pPr>
              <w:spacing w:line="311" w:lineRule="auto"/>
              <w:rPr>
                <w:rFonts w:ascii="Arial"/>
                <w:sz w:val="21"/>
              </w:rPr>
            </w:pPr>
          </w:p>
          <w:p w14:paraId="4AEDCC91">
            <w:pPr>
              <w:pStyle w:val="6"/>
              <w:spacing w:before="68" w:line="221" w:lineRule="auto"/>
              <w:ind w:left="166"/>
            </w:pPr>
            <w:r>
              <w:rPr>
                <w:spacing w:val="-2"/>
              </w:rPr>
              <w:t>符合</w:t>
            </w:r>
          </w:p>
        </w:tc>
        <w:tc>
          <w:tcPr>
            <w:tcW w:w="115" w:type="dxa"/>
            <w:tcBorders>
              <w:top w:val="nil"/>
            </w:tcBorders>
            <w:vAlign w:val="top"/>
          </w:tcPr>
          <w:p w14:paraId="0F09E066">
            <w:pPr>
              <w:rPr>
                <w:rFonts w:ascii="Arial"/>
                <w:sz w:val="21"/>
              </w:rPr>
            </w:pPr>
          </w:p>
        </w:tc>
      </w:tr>
    </w:tbl>
    <w:p w14:paraId="4D0E2165">
      <w:pPr>
        <w:rPr>
          <w:rFonts w:ascii="Arial"/>
          <w:sz w:val="21"/>
        </w:rPr>
      </w:pPr>
    </w:p>
    <w:p w14:paraId="5AE21F89">
      <w:pPr>
        <w:rPr>
          <w:rFonts w:ascii="Arial" w:hAnsi="Arial" w:eastAsia="Arial" w:cs="Arial"/>
          <w:sz w:val="21"/>
          <w:szCs w:val="21"/>
        </w:rPr>
        <w:sectPr>
          <w:footerReference r:id="rId12" w:type="default"/>
          <w:pgSz w:w="11907" w:h="16841"/>
          <w:pgMar w:top="400" w:right="1413" w:bottom="1126" w:left="1414" w:header="0" w:footer="925" w:gutter="0"/>
          <w:cols w:space="720" w:num="1"/>
        </w:sectPr>
      </w:pPr>
    </w:p>
    <w:p w14:paraId="6A814F7F">
      <w:pPr>
        <w:spacing w:before="2"/>
      </w:pPr>
    </w:p>
    <w:p w14:paraId="76F58D7C">
      <w:pPr>
        <w:spacing w:before="2"/>
      </w:pPr>
    </w:p>
    <w:p w14:paraId="0B0DAD9E">
      <w:pPr>
        <w:spacing w:before="1"/>
      </w:pPr>
    </w:p>
    <w:p w14:paraId="43AB37F0">
      <w:pPr>
        <w:spacing w:before="1"/>
      </w:pPr>
    </w:p>
    <w:p w14:paraId="018EFDAD">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5"/>
        <w:gridCol w:w="494"/>
        <w:gridCol w:w="448"/>
        <w:gridCol w:w="483"/>
        <w:gridCol w:w="3507"/>
        <w:gridCol w:w="2603"/>
        <w:gridCol w:w="737"/>
        <w:gridCol w:w="115"/>
      </w:tblGrid>
      <w:tr w14:paraId="2C9121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71" w:type="dxa"/>
            <w:vMerge w:val="restart"/>
            <w:tcBorders>
              <w:bottom w:val="nil"/>
            </w:tcBorders>
            <w:vAlign w:val="top"/>
          </w:tcPr>
          <w:p w14:paraId="00123E0A">
            <w:pPr>
              <w:rPr>
                <w:rFonts w:ascii="Arial"/>
                <w:sz w:val="21"/>
              </w:rPr>
            </w:pPr>
          </w:p>
        </w:tc>
        <w:tc>
          <w:tcPr>
            <w:tcW w:w="115" w:type="dxa"/>
            <w:tcBorders>
              <w:bottom w:val="nil"/>
            </w:tcBorders>
            <w:vAlign w:val="top"/>
          </w:tcPr>
          <w:p w14:paraId="46064A1F">
            <w:pPr>
              <w:rPr>
                <w:rFonts w:ascii="Arial"/>
                <w:sz w:val="21"/>
              </w:rPr>
            </w:pPr>
          </w:p>
        </w:tc>
        <w:tc>
          <w:tcPr>
            <w:tcW w:w="494" w:type="dxa"/>
            <w:vMerge w:val="restart"/>
            <w:tcBorders>
              <w:bottom w:val="nil"/>
            </w:tcBorders>
            <w:vAlign w:val="top"/>
          </w:tcPr>
          <w:p w14:paraId="087B0FB8">
            <w:pPr>
              <w:rPr>
                <w:rFonts w:ascii="Arial"/>
                <w:sz w:val="21"/>
              </w:rPr>
            </w:pPr>
          </w:p>
        </w:tc>
        <w:tc>
          <w:tcPr>
            <w:tcW w:w="448" w:type="dxa"/>
            <w:vMerge w:val="restart"/>
            <w:tcBorders>
              <w:bottom w:val="nil"/>
            </w:tcBorders>
            <w:vAlign w:val="top"/>
          </w:tcPr>
          <w:p w14:paraId="3C99C7D8">
            <w:pPr>
              <w:rPr>
                <w:rFonts w:ascii="Arial"/>
                <w:sz w:val="21"/>
              </w:rPr>
            </w:pPr>
          </w:p>
        </w:tc>
        <w:tc>
          <w:tcPr>
            <w:tcW w:w="483" w:type="dxa"/>
            <w:vMerge w:val="restart"/>
            <w:tcBorders>
              <w:bottom w:val="nil"/>
            </w:tcBorders>
            <w:vAlign w:val="top"/>
          </w:tcPr>
          <w:p w14:paraId="2747977E">
            <w:pPr>
              <w:rPr>
                <w:rFonts w:ascii="Arial"/>
                <w:sz w:val="21"/>
              </w:rPr>
            </w:pPr>
          </w:p>
        </w:tc>
        <w:tc>
          <w:tcPr>
            <w:tcW w:w="3507" w:type="dxa"/>
            <w:vAlign w:val="top"/>
          </w:tcPr>
          <w:p w14:paraId="4CFD12BA">
            <w:pPr>
              <w:pStyle w:val="6"/>
              <w:spacing w:before="71" w:line="221" w:lineRule="auto"/>
              <w:ind w:left="112"/>
            </w:pPr>
            <w:r>
              <w:rPr>
                <w:spacing w:val="-1"/>
              </w:rPr>
              <w:t>基础设施建设与运行维护。</w:t>
            </w:r>
          </w:p>
        </w:tc>
        <w:tc>
          <w:tcPr>
            <w:tcW w:w="2603" w:type="dxa"/>
            <w:vAlign w:val="top"/>
          </w:tcPr>
          <w:p w14:paraId="13715E2E">
            <w:pPr>
              <w:rPr>
                <w:rFonts w:ascii="Arial"/>
                <w:sz w:val="21"/>
              </w:rPr>
            </w:pPr>
          </w:p>
        </w:tc>
        <w:tc>
          <w:tcPr>
            <w:tcW w:w="737" w:type="dxa"/>
            <w:vAlign w:val="top"/>
          </w:tcPr>
          <w:p w14:paraId="7E1D1991">
            <w:pPr>
              <w:rPr>
                <w:rFonts w:ascii="Arial"/>
                <w:sz w:val="21"/>
              </w:rPr>
            </w:pPr>
          </w:p>
        </w:tc>
        <w:tc>
          <w:tcPr>
            <w:tcW w:w="115" w:type="dxa"/>
            <w:tcBorders>
              <w:bottom w:val="nil"/>
            </w:tcBorders>
            <w:vAlign w:val="top"/>
          </w:tcPr>
          <w:p w14:paraId="6940167C">
            <w:pPr>
              <w:rPr>
                <w:rFonts w:ascii="Arial"/>
                <w:sz w:val="21"/>
              </w:rPr>
            </w:pPr>
          </w:p>
        </w:tc>
      </w:tr>
      <w:tr w14:paraId="63312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3" w:hRule="atLeast"/>
        </w:trPr>
        <w:tc>
          <w:tcPr>
            <w:tcW w:w="571" w:type="dxa"/>
            <w:vMerge w:val="continue"/>
            <w:tcBorders>
              <w:top w:val="nil"/>
              <w:bottom w:val="nil"/>
            </w:tcBorders>
            <w:vAlign w:val="top"/>
          </w:tcPr>
          <w:p w14:paraId="0372E9B7">
            <w:pPr>
              <w:rPr>
                <w:rFonts w:ascii="Arial"/>
                <w:sz w:val="21"/>
              </w:rPr>
            </w:pPr>
          </w:p>
        </w:tc>
        <w:tc>
          <w:tcPr>
            <w:tcW w:w="115" w:type="dxa"/>
            <w:tcBorders>
              <w:top w:val="nil"/>
              <w:bottom w:val="nil"/>
            </w:tcBorders>
            <w:vAlign w:val="top"/>
          </w:tcPr>
          <w:p w14:paraId="555165CA">
            <w:pPr>
              <w:rPr>
                <w:rFonts w:ascii="Arial"/>
                <w:sz w:val="21"/>
              </w:rPr>
            </w:pPr>
          </w:p>
        </w:tc>
        <w:tc>
          <w:tcPr>
            <w:tcW w:w="494" w:type="dxa"/>
            <w:vMerge w:val="continue"/>
            <w:tcBorders>
              <w:top w:val="nil"/>
              <w:bottom w:val="nil"/>
            </w:tcBorders>
            <w:vAlign w:val="top"/>
          </w:tcPr>
          <w:p w14:paraId="4069AC1F">
            <w:pPr>
              <w:rPr>
                <w:rFonts w:ascii="Arial"/>
                <w:sz w:val="21"/>
              </w:rPr>
            </w:pPr>
          </w:p>
        </w:tc>
        <w:tc>
          <w:tcPr>
            <w:tcW w:w="448" w:type="dxa"/>
            <w:vMerge w:val="continue"/>
            <w:tcBorders>
              <w:top w:val="nil"/>
              <w:bottom w:val="nil"/>
            </w:tcBorders>
            <w:vAlign w:val="top"/>
          </w:tcPr>
          <w:p w14:paraId="2FAFFBC9">
            <w:pPr>
              <w:rPr>
                <w:rFonts w:ascii="Arial"/>
                <w:sz w:val="21"/>
              </w:rPr>
            </w:pPr>
          </w:p>
        </w:tc>
        <w:tc>
          <w:tcPr>
            <w:tcW w:w="483" w:type="dxa"/>
            <w:vMerge w:val="continue"/>
            <w:tcBorders>
              <w:top w:val="nil"/>
            </w:tcBorders>
            <w:vAlign w:val="top"/>
          </w:tcPr>
          <w:p w14:paraId="3A7CE9C5">
            <w:pPr>
              <w:rPr>
                <w:rFonts w:ascii="Arial"/>
                <w:sz w:val="21"/>
              </w:rPr>
            </w:pPr>
          </w:p>
        </w:tc>
        <w:tc>
          <w:tcPr>
            <w:tcW w:w="3507" w:type="dxa"/>
            <w:vAlign w:val="top"/>
          </w:tcPr>
          <w:p w14:paraId="0EE50854">
            <w:pPr>
              <w:pStyle w:val="6"/>
              <w:spacing w:before="56" w:line="271" w:lineRule="auto"/>
              <w:ind w:left="111" w:right="101" w:firstLine="5"/>
              <w:jc w:val="both"/>
            </w:pPr>
            <w:r>
              <w:rPr>
                <w:rFonts w:ascii="Times New Roman" w:hAnsi="Times New Roman" w:eastAsia="Times New Roman" w:cs="Times New Roman"/>
                <w:spacing w:val="-8"/>
              </w:rPr>
              <w:t>8.</w:t>
            </w:r>
            <w:r>
              <w:rPr>
                <w:spacing w:val="-8"/>
              </w:rPr>
              <w:t>各县（市、区） 产业园区重点管控</w:t>
            </w:r>
            <w:r>
              <w:rPr>
                <w:spacing w:val="8"/>
              </w:rPr>
              <w:t>单元、曲靖经济开发区重点管控单</w:t>
            </w:r>
            <w:r>
              <w:rPr>
                <w:spacing w:val="-5"/>
              </w:rPr>
              <w:t>元、曲靖高新技术产业开发区重点管控单元、宣威市经济技术开发区重点管控单元空间布局约束、污染物排放管控、环境风险防控、资源利用效率</w:t>
            </w:r>
            <w:r>
              <w:rPr>
                <w:spacing w:val="8"/>
              </w:rPr>
              <w:t>四个维度严格执行现行有效的园区</w:t>
            </w:r>
            <w:r>
              <w:rPr>
                <w:spacing w:val="-2"/>
              </w:rPr>
              <w:t>规划、规划环评及其审查意见。</w:t>
            </w:r>
          </w:p>
        </w:tc>
        <w:tc>
          <w:tcPr>
            <w:tcW w:w="2603" w:type="dxa"/>
            <w:vAlign w:val="top"/>
          </w:tcPr>
          <w:p w14:paraId="04BD077B">
            <w:pPr>
              <w:spacing w:line="309" w:lineRule="auto"/>
              <w:rPr>
                <w:rFonts w:ascii="Arial"/>
                <w:sz w:val="21"/>
              </w:rPr>
            </w:pPr>
          </w:p>
          <w:p w14:paraId="2925C224">
            <w:pPr>
              <w:spacing w:line="309" w:lineRule="auto"/>
              <w:rPr>
                <w:rFonts w:ascii="Arial"/>
                <w:sz w:val="21"/>
              </w:rPr>
            </w:pPr>
          </w:p>
          <w:p w14:paraId="3F091337">
            <w:pPr>
              <w:spacing w:line="309" w:lineRule="auto"/>
              <w:rPr>
                <w:rFonts w:ascii="Arial"/>
                <w:sz w:val="21"/>
              </w:rPr>
            </w:pPr>
          </w:p>
          <w:p w14:paraId="7E28D1B6">
            <w:pPr>
              <w:pStyle w:val="6"/>
              <w:spacing w:before="68" w:line="281" w:lineRule="auto"/>
              <w:ind w:left="114" w:right="103" w:firstLine="1"/>
            </w:pPr>
            <w:r>
              <w:rPr>
                <w:spacing w:val="27"/>
              </w:rPr>
              <w:t>项目不涉及重点管控单</w:t>
            </w:r>
            <w:r>
              <w:rPr>
                <w:spacing w:val="-10"/>
              </w:rPr>
              <w:t>元。</w:t>
            </w:r>
          </w:p>
        </w:tc>
        <w:tc>
          <w:tcPr>
            <w:tcW w:w="737" w:type="dxa"/>
            <w:vAlign w:val="top"/>
          </w:tcPr>
          <w:p w14:paraId="7E75086C">
            <w:pPr>
              <w:spacing w:line="271" w:lineRule="auto"/>
              <w:rPr>
                <w:rFonts w:ascii="Arial"/>
                <w:sz w:val="21"/>
              </w:rPr>
            </w:pPr>
          </w:p>
          <w:p w14:paraId="7D721DE2">
            <w:pPr>
              <w:spacing w:line="271" w:lineRule="auto"/>
              <w:rPr>
                <w:rFonts w:ascii="Arial"/>
                <w:sz w:val="21"/>
              </w:rPr>
            </w:pPr>
          </w:p>
          <w:p w14:paraId="03F50B22">
            <w:pPr>
              <w:spacing w:line="271" w:lineRule="auto"/>
              <w:rPr>
                <w:rFonts w:ascii="Arial"/>
                <w:sz w:val="21"/>
              </w:rPr>
            </w:pPr>
          </w:p>
          <w:p w14:paraId="4F1351A2">
            <w:pPr>
              <w:spacing w:line="271" w:lineRule="auto"/>
              <w:rPr>
                <w:rFonts w:ascii="Arial"/>
                <w:sz w:val="21"/>
              </w:rPr>
            </w:pPr>
          </w:p>
          <w:p w14:paraId="2ACF5B8A">
            <w:pPr>
              <w:pStyle w:val="6"/>
              <w:spacing w:before="69" w:line="221" w:lineRule="auto"/>
              <w:ind w:left="166"/>
            </w:pPr>
            <w:r>
              <w:rPr>
                <w:spacing w:val="-2"/>
              </w:rPr>
              <w:t>符合</w:t>
            </w:r>
          </w:p>
        </w:tc>
        <w:tc>
          <w:tcPr>
            <w:tcW w:w="115" w:type="dxa"/>
            <w:tcBorders>
              <w:top w:val="nil"/>
              <w:bottom w:val="nil"/>
            </w:tcBorders>
            <w:vAlign w:val="top"/>
          </w:tcPr>
          <w:p w14:paraId="09C16EA5">
            <w:pPr>
              <w:rPr>
                <w:rFonts w:ascii="Arial"/>
                <w:sz w:val="21"/>
              </w:rPr>
            </w:pPr>
          </w:p>
        </w:tc>
      </w:tr>
      <w:tr w14:paraId="12D6A4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3" w:hRule="atLeast"/>
        </w:trPr>
        <w:tc>
          <w:tcPr>
            <w:tcW w:w="571" w:type="dxa"/>
            <w:vMerge w:val="continue"/>
            <w:tcBorders>
              <w:top w:val="nil"/>
              <w:bottom w:val="nil"/>
            </w:tcBorders>
            <w:vAlign w:val="top"/>
          </w:tcPr>
          <w:p w14:paraId="0F48BF97">
            <w:pPr>
              <w:rPr>
                <w:rFonts w:ascii="Arial"/>
                <w:sz w:val="21"/>
              </w:rPr>
            </w:pPr>
          </w:p>
        </w:tc>
        <w:tc>
          <w:tcPr>
            <w:tcW w:w="115" w:type="dxa"/>
            <w:tcBorders>
              <w:top w:val="nil"/>
              <w:bottom w:val="nil"/>
            </w:tcBorders>
            <w:vAlign w:val="top"/>
          </w:tcPr>
          <w:p w14:paraId="301D4D50">
            <w:pPr>
              <w:rPr>
                <w:rFonts w:ascii="Arial"/>
                <w:sz w:val="21"/>
              </w:rPr>
            </w:pPr>
          </w:p>
        </w:tc>
        <w:tc>
          <w:tcPr>
            <w:tcW w:w="494" w:type="dxa"/>
            <w:vMerge w:val="continue"/>
            <w:tcBorders>
              <w:top w:val="nil"/>
              <w:bottom w:val="nil"/>
            </w:tcBorders>
            <w:vAlign w:val="top"/>
          </w:tcPr>
          <w:p w14:paraId="3397A382">
            <w:pPr>
              <w:rPr>
                <w:rFonts w:ascii="Arial"/>
                <w:sz w:val="21"/>
              </w:rPr>
            </w:pPr>
          </w:p>
        </w:tc>
        <w:tc>
          <w:tcPr>
            <w:tcW w:w="448" w:type="dxa"/>
            <w:vMerge w:val="continue"/>
            <w:tcBorders>
              <w:top w:val="nil"/>
              <w:bottom w:val="nil"/>
            </w:tcBorders>
            <w:vAlign w:val="top"/>
          </w:tcPr>
          <w:p w14:paraId="5383E0DC">
            <w:pPr>
              <w:rPr>
                <w:rFonts w:ascii="Arial"/>
                <w:sz w:val="21"/>
              </w:rPr>
            </w:pPr>
          </w:p>
        </w:tc>
        <w:tc>
          <w:tcPr>
            <w:tcW w:w="483" w:type="dxa"/>
            <w:vMerge w:val="restart"/>
            <w:tcBorders>
              <w:bottom w:val="nil"/>
            </w:tcBorders>
            <w:textDirection w:val="tbRlV"/>
            <w:vAlign w:val="top"/>
          </w:tcPr>
          <w:p w14:paraId="584544D7">
            <w:pPr>
              <w:pStyle w:val="6"/>
              <w:spacing w:before="137" w:line="210" w:lineRule="auto"/>
              <w:ind w:left="4178"/>
            </w:pPr>
            <w:r>
              <w:t>污 染 物 排 放 管 控</w:t>
            </w:r>
          </w:p>
        </w:tc>
        <w:tc>
          <w:tcPr>
            <w:tcW w:w="3507" w:type="dxa"/>
            <w:vAlign w:val="top"/>
          </w:tcPr>
          <w:p w14:paraId="03BC7D48">
            <w:pPr>
              <w:pStyle w:val="6"/>
              <w:spacing w:before="51" w:line="274" w:lineRule="auto"/>
              <w:ind w:left="111" w:right="27" w:firstLine="17"/>
            </w:pPr>
            <w:r>
              <w:rPr>
                <w:rFonts w:ascii="Times New Roman" w:hAnsi="Times New Roman" w:eastAsia="Times New Roman" w:cs="Times New Roman"/>
                <w:spacing w:val="-2"/>
              </w:rPr>
              <w:t>1.</w:t>
            </w:r>
            <w:r>
              <w:rPr>
                <w:spacing w:val="-2"/>
              </w:rPr>
              <w:t>推进以能源、化工、冶金、建材、</w:t>
            </w:r>
            <w:r>
              <w:rPr>
                <w:spacing w:val="-5"/>
              </w:rPr>
              <w:t>造纸、农副食品加工、工业涂装和包</w:t>
            </w:r>
            <w:r>
              <w:rPr>
                <w:spacing w:val="8"/>
              </w:rPr>
              <w:t>装印刷等行业为重点的清洁生产审核工作，具体行业包括但不限于煤</w:t>
            </w:r>
            <w:r>
              <w:rPr>
                <w:spacing w:val="-1"/>
              </w:rPr>
              <w:t>矿、火力发电，甲醇、焦化、氮肥、</w:t>
            </w:r>
            <w:r>
              <w:rPr>
                <w:spacing w:val="-5"/>
              </w:rPr>
              <w:t>磷肥、氯碱、电石、制药、农药、黄磷、铬盐生产，钢铁、铁合金铅锌铝</w:t>
            </w:r>
            <w:r>
              <w:rPr>
                <w:spacing w:val="-13"/>
              </w:rPr>
              <w:t>冶炼及再生，水泥、石灰、建筑陶瓷、平板玻璃、沥青防水材料，纸浆造纸，</w:t>
            </w:r>
            <w:r>
              <w:rPr>
                <w:spacing w:val="-14"/>
              </w:rPr>
              <w:t>酿造、味精、柠檬酸、酶制剂、酵母，</w:t>
            </w:r>
            <w:r>
              <w:rPr>
                <w:spacing w:val="-10"/>
              </w:rPr>
              <w:t>新能源电池（正负极材料</w:t>
            </w:r>
            <w:r>
              <w:rPr>
                <w:spacing w:val="-30"/>
              </w:rPr>
              <w:t>），</w:t>
            </w:r>
            <w:r>
              <w:rPr>
                <w:spacing w:val="-10"/>
              </w:rPr>
              <w:t>多晶硅、</w:t>
            </w:r>
            <w:r>
              <w:rPr>
                <w:spacing w:val="-5"/>
              </w:rPr>
              <w:t>单晶硅、有机硅，工业涂装和包装印</w:t>
            </w:r>
            <w:r>
              <w:rPr>
                <w:spacing w:val="-4"/>
              </w:rPr>
              <w:t>刷等行业。</w:t>
            </w:r>
          </w:p>
        </w:tc>
        <w:tc>
          <w:tcPr>
            <w:tcW w:w="2603" w:type="dxa"/>
            <w:vAlign w:val="top"/>
          </w:tcPr>
          <w:p w14:paraId="5CE5D887">
            <w:pPr>
              <w:spacing w:line="245" w:lineRule="auto"/>
              <w:rPr>
                <w:rFonts w:ascii="Arial"/>
                <w:sz w:val="21"/>
              </w:rPr>
            </w:pPr>
          </w:p>
          <w:p w14:paraId="0BF96FA0">
            <w:pPr>
              <w:spacing w:line="245" w:lineRule="auto"/>
              <w:rPr>
                <w:rFonts w:ascii="Arial"/>
                <w:sz w:val="21"/>
              </w:rPr>
            </w:pPr>
          </w:p>
          <w:p w14:paraId="6FAC4A6F">
            <w:pPr>
              <w:spacing w:line="245" w:lineRule="auto"/>
              <w:rPr>
                <w:rFonts w:ascii="Arial"/>
                <w:sz w:val="21"/>
              </w:rPr>
            </w:pPr>
          </w:p>
          <w:p w14:paraId="549B1D48">
            <w:pPr>
              <w:spacing w:line="245" w:lineRule="auto"/>
              <w:rPr>
                <w:rFonts w:ascii="Arial"/>
                <w:sz w:val="21"/>
              </w:rPr>
            </w:pPr>
          </w:p>
          <w:p w14:paraId="3E5C3837">
            <w:pPr>
              <w:spacing w:line="245" w:lineRule="auto"/>
              <w:rPr>
                <w:rFonts w:ascii="Arial"/>
                <w:sz w:val="21"/>
              </w:rPr>
            </w:pPr>
          </w:p>
          <w:p w14:paraId="41EFE31F">
            <w:pPr>
              <w:spacing w:line="245" w:lineRule="auto"/>
              <w:rPr>
                <w:rFonts w:ascii="Arial"/>
                <w:sz w:val="21"/>
              </w:rPr>
            </w:pPr>
          </w:p>
          <w:p w14:paraId="03FD7CD0">
            <w:pPr>
              <w:spacing w:line="245" w:lineRule="auto"/>
              <w:rPr>
                <w:rFonts w:ascii="Arial"/>
                <w:sz w:val="21"/>
              </w:rPr>
            </w:pPr>
          </w:p>
          <w:p w14:paraId="3B2B1DCD">
            <w:pPr>
              <w:pStyle w:val="6"/>
              <w:spacing w:before="68" w:line="280" w:lineRule="auto"/>
              <w:ind w:left="113" w:right="105"/>
            </w:pPr>
            <w:r>
              <w:rPr>
                <w:spacing w:val="6"/>
              </w:rPr>
              <w:t>本项目为输变电工程，不</w:t>
            </w:r>
            <w:r>
              <w:rPr>
                <w:spacing w:val="-3"/>
              </w:rPr>
              <w:t>属于该条所列项目。</w:t>
            </w:r>
          </w:p>
        </w:tc>
        <w:tc>
          <w:tcPr>
            <w:tcW w:w="737" w:type="dxa"/>
            <w:vAlign w:val="top"/>
          </w:tcPr>
          <w:p w14:paraId="47291FAC">
            <w:pPr>
              <w:spacing w:line="267" w:lineRule="auto"/>
              <w:rPr>
                <w:rFonts w:ascii="Arial"/>
                <w:sz w:val="21"/>
              </w:rPr>
            </w:pPr>
          </w:p>
          <w:p w14:paraId="3FBAE19C">
            <w:pPr>
              <w:spacing w:line="267" w:lineRule="auto"/>
              <w:rPr>
                <w:rFonts w:ascii="Arial"/>
                <w:sz w:val="21"/>
              </w:rPr>
            </w:pPr>
          </w:p>
          <w:p w14:paraId="4FD3A001">
            <w:pPr>
              <w:spacing w:line="267" w:lineRule="auto"/>
              <w:rPr>
                <w:rFonts w:ascii="Arial"/>
                <w:sz w:val="21"/>
              </w:rPr>
            </w:pPr>
          </w:p>
          <w:p w14:paraId="188B6B25">
            <w:pPr>
              <w:spacing w:line="267" w:lineRule="auto"/>
              <w:rPr>
                <w:rFonts w:ascii="Arial"/>
                <w:sz w:val="21"/>
              </w:rPr>
            </w:pPr>
          </w:p>
          <w:p w14:paraId="1B5C127C">
            <w:pPr>
              <w:spacing w:line="267" w:lineRule="auto"/>
              <w:rPr>
                <w:rFonts w:ascii="Arial"/>
                <w:sz w:val="21"/>
              </w:rPr>
            </w:pPr>
          </w:p>
          <w:p w14:paraId="6F172F7D">
            <w:pPr>
              <w:spacing w:line="268" w:lineRule="auto"/>
              <w:rPr>
                <w:rFonts w:ascii="Arial"/>
                <w:sz w:val="21"/>
              </w:rPr>
            </w:pPr>
          </w:p>
          <w:p w14:paraId="7F4AB8C5">
            <w:pPr>
              <w:spacing w:line="268" w:lineRule="auto"/>
              <w:rPr>
                <w:rFonts w:ascii="Arial"/>
                <w:sz w:val="21"/>
              </w:rPr>
            </w:pPr>
          </w:p>
          <w:p w14:paraId="170114BA">
            <w:pPr>
              <w:pStyle w:val="6"/>
              <w:spacing w:before="68" w:line="221" w:lineRule="auto"/>
              <w:ind w:left="166"/>
            </w:pPr>
            <w:r>
              <w:rPr>
                <w:spacing w:val="-2"/>
              </w:rPr>
              <w:t>符合</w:t>
            </w:r>
          </w:p>
        </w:tc>
        <w:tc>
          <w:tcPr>
            <w:tcW w:w="115" w:type="dxa"/>
            <w:tcBorders>
              <w:top w:val="nil"/>
              <w:bottom w:val="nil"/>
            </w:tcBorders>
            <w:vAlign w:val="top"/>
          </w:tcPr>
          <w:p w14:paraId="72BF11B1">
            <w:pPr>
              <w:rPr>
                <w:rFonts w:ascii="Arial"/>
                <w:sz w:val="21"/>
              </w:rPr>
            </w:pPr>
          </w:p>
        </w:tc>
      </w:tr>
      <w:tr w14:paraId="086071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0" w:hRule="atLeast"/>
        </w:trPr>
        <w:tc>
          <w:tcPr>
            <w:tcW w:w="571" w:type="dxa"/>
            <w:vMerge w:val="continue"/>
            <w:tcBorders>
              <w:top w:val="nil"/>
              <w:bottom w:val="nil"/>
            </w:tcBorders>
            <w:vAlign w:val="top"/>
          </w:tcPr>
          <w:p w14:paraId="03052734">
            <w:pPr>
              <w:rPr>
                <w:rFonts w:ascii="Arial"/>
                <w:sz w:val="21"/>
              </w:rPr>
            </w:pPr>
          </w:p>
        </w:tc>
        <w:tc>
          <w:tcPr>
            <w:tcW w:w="115" w:type="dxa"/>
            <w:tcBorders>
              <w:top w:val="nil"/>
              <w:bottom w:val="nil"/>
            </w:tcBorders>
            <w:vAlign w:val="top"/>
          </w:tcPr>
          <w:p w14:paraId="4C4138E1">
            <w:pPr>
              <w:rPr>
                <w:rFonts w:ascii="Arial"/>
                <w:sz w:val="21"/>
              </w:rPr>
            </w:pPr>
          </w:p>
        </w:tc>
        <w:tc>
          <w:tcPr>
            <w:tcW w:w="494" w:type="dxa"/>
            <w:vMerge w:val="continue"/>
            <w:tcBorders>
              <w:top w:val="nil"/>
              <w:bottom w:val="nil"/>
            </w:tcBorders>
            <w:vAlign w:val="top"/>
          </w:tcPr>
          <w:p w14:paraId="213EBFF6">
            <w:pPr>
              <w:rPr>
                <w:rFonts w:ascii="Arial"/>
                <w:sz w:val="21"/>
              </w:rPr>
            </w:pPr>
          </w:p>
        </w:tc>
        <w:tc>
          <w:tcPr>
            <w:tcW w:w="448" w:type="dxa"/>
            <w:vMerge w:val="continue"/>
            <w:tcBorders>
              <w:top w:val="nil"/>
              <w:bottom w:val="nil"/>
            </w:tcBorders>
            <w:vAlign w:val="top"/>
          </w:tcPr>
          <w:p w14:paraId="635F1507">
            <w:pPr>
              <w:rPr>
                <w:rFonts w:ascii="Arial"/>
                <w:sz w:val="21"/>
              </w:rPr>
            </w:pPr>
          </w:p>
        </w:tc>
        <w:tc>
          <w:tcPr>
            <w:tcW w:w="483" w:type="dxa"/>
            <w:vMerge w:val="continue"/>
            <w:tcBorders>
              <w:top w:val="nil"/>
              <w:bottom w:val="nil"/>
            </w:tcBorders>
            <w:textDirection w:val="tbRlV"/>
            <w:vAlign w:val="top"/>
          </w:tcPr>
          <w:p w14:paraId="4DAB169F">
            <w:pPr>
              <w:rPr>
                <w:rFonts w:ascii="Arial"/>
                <w:sz w:val="21"/>
              </w:rPr>
            </w:pPr>
          </w:p>
        </w:tc>
        <w:tc>
          <w:tcPr>
            <w:tcW w:w="3507" w:type="dxa"/>
            <w:vAlign w:val="top"/>
          </w:tcPr>
          <w:p w14:paraId="44CF97E8">
            <w:pPr>
              <w:pStyle w:val="6"/>
              <w:spacing w:before="54" w:line="269" w:lineRule="auto"/>
              <w:ind w:left="112" w:right="27" w:hanging="4"/>
              <w:jc w:val="both"/>
            </w:pPr>
            <w:r>
              <w:rPr>
                <w:rFonts w:ascii="Times New Roman" w:hAnsi="Times New Roman" w:eastAsia="Times New Roman" w:cs="Times New Roman"/>
                <w:spacing w:val="11"/>
              </w:rPr>
              <w:t>2.</w:t>
            </w:r>
            <w:r>
              <w:rPr>
                <w:spacing w:val="11"/>
              </w:rPr>
              <w:t>落实云南省碳达峰碳中和相关要</w:t>
            </w:r>
            <w:r>
              <w:rPr>
                <w:spacing w:val="-13"/>
              </w:rPr>
              <w:t>求，处理好发展和减排、整体和局部、</w:t>
            </w:r>
            <w:r>
              <w:rPr>
                <w:spacing w:val="-5"/>
              </w:rPr>
              <w:t>长远目标和短期目标、政府和市场的关系，加快推动减污降碳协同创新试点，坚定不移走生态优先、绿色低碳</w:t>
            </w:r>
            <w:r>
              <w:rPr>
                <w:spacing w:val="-3"/>
              </w:rPr>
              <w:t>的高质量发展道路。</w:t>
            </w:r>
          </w:p>
        </w:tc>
        <w:tc>
          <w:tcPr>
            <w:tcW w:w="2603" w:type="dxa"/>
            <w:vAlign w:val="top"/>
          </w:tcPr>
          <w:p w14:paraId="4C294B9C">
            <w:pPr>
              <w:spacing w:line="457" w:lineRule="auto"/>
              <w:rPr>
                <w:rFonts w:ascii="Arial"/>
                <w:sz w:val="21"/>
              </w:rPr>
            </w:pPr>
          </w:p>
          <w:p w14:paraId="5670D60C">
            <w:pPr>
              <w:pStyle w:val="6"/>
              <w:spacing w:before="68" w:line="280" w:lineRule="auto"/>
              <w:ind w:left="113" w:right="105"/>
              <w:jc w:val="both"/>
            </w:pPr>
            <w:r>
              <w:rPr>
                <w:spacing w:val="6"/>
              </w:rPr>
              <w:t>本项目为输变电工程，与生态优先、绿色低碳的高</w:t>
            </w:r>
            <w:r>
              <w:rPr>
                <w:spacing w:val="-1"/>
              </w:rPr>
              <w:t>质量发展道路不冲突。</w:t>
            </w:r>
          </w:p>
        </w:tc>
        <w:tc>
          <w:tcPr>
            <w:tcW w:w="737" w:type="dxa"/>
            <w:vAlign w:val="top"/>
          </w:tcPr>
          <w:p w14:paraId="379C4577">
            <w:pPr>
              <w:spacing w:line="257" w:lineRule="auto"/>
              <w:rPr>
                <w:rFonts w:ascii="Arial"/>
                <w:sz w:val="21"/>
              </w:rPr>
            </w:pPr>
          </w:p>
          <w:p w14:paraId="6AC8AE26">
            <w:pPr>
              <w:spacing w:line="257" w:lineRule="auto"/>
              <w:rPr>
                <w:rFonts w:ascii="Arial"/>
                <w:sz w:val="21"/>
              </w:rPr>
            </w:pPr>
          </w:p>
          <w:p w14:paraId="30EBB523">
            <w:pPr>
              <w:spacing w:line="258" w:lineRule="auto"/>
              <w:rPr>
                <w:rFonts w:ascii="Arial"/>
                <w:sz w:val="21"/>
              </w:rPr>
            </w:pPr>
          </w:p>
          <w:p w14:paraId="52D12B09">
            <w:pPr>
              <w:pStyle w:val="6"/>
              <w:spacing w:before="68" w:line="221" w:lineRule="auto"/>
              <w:ind w:left="166"/>
            </w:pPr>
            <w:r>
              <w:rPr>
                <w:spacing w:val="-2"/>
              </w:rPr>
              <w:t>符合</w:t>
            </w:r>
          </w:p>
        </w:tc>
        <w:tc>
          <w:tcPr>
            <w:tcW w:w="115" w:type="dxa"/>
            <w:tcBorders>
              <w:top w:val="nil"/>
              <w:bottom w:val="nil"/>
            </w:tcBorders>
            <w:vAlign w:val="top"/>
          </w:tcPr>
          <w:p w14:paraId="3D14BBC0">
            <w:pPr>
              <w:rPr>
                <w:rFonts w:ascii="Arial"/>
                <w:sz w:val="21"/>
              </w:rPr>
            </w:pPr>
          </w:p>
        </w:tc>
      </w:tr>
      <w:tr w14:paraId="64DA9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1" w:hRule="atLeast"/>
        </w:trPr>
        <w:tc>
          <w:tcPr>
            <w:tcW w:w="571" w:type="dxa"/>
            <w:vMerge w:val="continue"/>
            <w:tcBorders>
              <w:top w:val="nil"/>
              <w:bottom w:val="nil"/>
            </w:tcBorders>
            <w:vAlign w:val="top"/>
          </w:tcPr>
          <w:p w14:paraId="7C9A77CC">
            <w:pPr>
              <w:rPr>
                <w:rFonts w:ascii="Arial"/>
                <w:sz w:val="21"/>
              </w:rPr>
            </w:pPr>
          </w:p>
        </w:tc>
        <w:tc>
          <w:tcPr>
            <w:tcW w:w="115" w:type="dxa"/>
            <w:tcBorders>
              <w:top w:val="nil"/>
              <w:bottom w:val="nil"/>
            </w:tcBorders>
            <w:vAlign w:val="top"/>
          </w:tcPr>
          <w:p w14:paraId="62821C7A">
            <w:pPr>
              <w:rPr>
                <w:rFonts w:ascii="Arial"/>
                <w:sz w:val="21"/>
              </w:rPr>
            </w:pPr>
          </w:p>
        </w:tc>
        <w:tc>
          <w:tcPr>
            <w:tcW w:w="494" w:type="dxa"/>
            <w:vMerge w:val="continue"/>
            <w:tcBorders>
              <w:top w:val="nil"/>
              <w:bottom w:val="nil"/>
            </w:tcBorders>
            <w:vAlign w:val="top"/>
          </w:tcPr>
          <w:p w14:paraId="6BA39C42">
            <w:pPr>
              <w:rPr>
                <w:rFonts w:ascii="Arial"/>
                <w:sz w:val="21"/>
              </w:rPr>
            </w:pPr>
          </w:p>
        </w:tc>
        <w:tc>
          <w:tcPr>
            <w:tcW w:w="448" w:type="dxa"/>
            <w:vMerge w:val="continue"/>
            <w:tcBorders>
              <w:top w:val="nil"/>
              <w:bottom w:val="nil"/>
            </w:tcBorders>
            <w:vAlign w:val="top"/>
          </w:tcPr>
          <w:p w14:paraId="7BADA9DF">
            <w:pPr>
              <w:rPr>
                <w:rFonts w:ascii="Arial"/>
                <w:sz w:val="21"/>
              </w:rPr>
            </w:pPr>
          </w:p>
        </w:tc>
        <w:tc>
          <w:tcPr>
            <w:tcW w:w="483" w:type="dxa"/>
            <w:vMerge w:val="continue"/>
            <w:tcBorders>
              <w:top w:val="nil"/>
              <w:bottom w:val="nil"/>
            </w:tcBorders>
            <w:textDirection w:val="tbRlV"/>
            <w:vAlign w:val="top"/>
          </w:tcPr>
          <w:p w14:paraId="1A265334">
            <w:pPr>
              <w:rPr>
                <w:rFonts w:ascii="Arial"/>
                <w:sz w:val="21"/>
              </w:rPr>
            </w:pPr>
          </w:p>
        </w:tc>
        <w:tc>
          <w:tcPr>
            <w:tcW w:w="3507" w:type="dxa"/>
            <w:vAlign w:val="top"/>
          </w:tcPr>
          <w:p w14:paraId="3389928E">
            <w:pPr>
              <w:pStyle w:val="6"/>
              <w:spacing w:before="54" w:line="271" w:lineRule="auto"/>
              <w:ind w:left="112" w:right="65"/>
              <w:jc w:val="both"/>
            </w:pPr>
            <w:r>
              <w:rPr>
                <w:rFonts w:ascii="Times New Roman" w:hAnsi="Times New Roman" w:eastAsia="Times New Roman" w:cs="Times New Roman"/>
                <w:spacing w:val="-2"/>
              </w:rPr>
              <w:t>3.</w:t>
            </w:r>
            <w:r>
              <w:rPr>
                <w:spacing w:val="-2"/>
              </w:rPr>
              <w:t>加大重点流域水污染防治，确保水</w:t>
            </w:r>
            <w:r>
              <w:rPr>
                <w:spacing w:val="-5"/>
              </w:rPr>
              <w:t>质如期达标。南盘江龚家坝、北盘江</w:t>
            </w:r>
            <w:r>
              <w:rPr>
                <w:spacing w:val="-3"/>
              </w:rPr>
              <w:t>旧营桥等断面汇水区，新建、改建、</w:t>
            </w:r>
            <w:r>
              <w:rPr>
                <w:spacing w:val="8"/>
              </w:rPr>
              <w:t>扩建重点行业建设项目实行主要污</w:t>
            </w:r>
            <w:r>
              <w:rPr>
                <w:spacing w:val="-2"/>
              </w:rPr>
              <w:t>染物排放减量置换。到</w:t>
            </w:r>
            <w:r>
              <w:rPr>
                <w:spacing w:val="-29"/>
              </w:rPr>
              <w:t xml:space="preserve"> </w:t>
            </w:r>
            <w:r>
              <w:rPr>
                <w:rFonts w:ascii="Times New Roman" w:hAnsi="Times New Roman" w:eastAsia="Times New Roman" w:cs="Times New Roman"/>
                <w:spacing w:val="-2"/>
              </w:rPr>
              <w:t>2025</w:t>
            </w:r>
            <w:r>
              <w:rPr>
                <w:rFonts w:ascii="Times New Roman" w:hAnsi="Times New Roman" w:eastAsia="Times New Roman" w:cs="Times New Roman"/>
                <w:spacing w:val="29"/>
              </w:rPr>
              <w:t xml:space="preserve"> </w:t>
            </w:r>
            <w:r>
              <w:rPr>
                <w:spacing w:val="-2"/>
              </w:rPr>
              <w:t>年，牛</w:t>
            </w:r>
            <w:r>
              <w:rPr>
                <w:spacing w:val="-5"/>
              </w:rPr>
              <w:t>栏江、南盘江、北盘江流域内所有城</w:t>
            </w:r>
            <w:r>
              <w:rPr>
                <w:spacing w:val="8"/>
              </w:rPr>
              <w:t>镇区域内实现生活污水处理设施全</w:t>
            </w:r>
            <w:r>
              <w:rPr>
                <w:spacing w:val="-2"/>
              </w:rPr>
              <w:t>覆盖、生活污水全处理。</w:t>
            </w:r>
          </w:p>
        </w:tc>
        <w:tc>
          <w:tcPr>
            <w:tcW w:w="2603" w:type="dxa"/>
            <w:vAlign w:val="top"/>
          </w:tcPr>
          <w:p w14:paraId="30951551">
            <w:pPr>
              <w:spacing w:line="307" w:lineRule="auto"/>
              <w:rPr>
                <w:rFonts w:ascii="Arial"/>
                <w:sz w:val="21"/>
              </w:rPr>
            </w:pPr>
          </w:p>
          <w:p w14:paraId="54222B13">
            <w:pPr>
              <w:spacing w:line="308" w:lineRule="auto"/>
              <w:rPr>
                <w:rFonts w:ascii="Arial"/>
                <w:sz w:val="21"/>
              </w:rPr>
            </w:pPr>
          </w:p>
          <w:p w14:paraId="6CECFA56">
            <w:pPr>
              <w:pStyle w:val="6"/>
              <w:spacing w:before="68" w:line="279" w:lineRule="auto"/>
              <w:ind w:left="112" w:right="103"/>
              <w:jc w:val="both"/>
            </w:pPr>
            <w:r>
              <w:rPr>
                <w:spacing w:val="6"/>
              </w:rPr>
              <w:t>本项目施工期废水经临时沉淀池处理后回用或洒水</w:t>
            </w:r>
            <w:r>
              <w:rPr>
                <w:spacing w:val="-12"/>
              </w:rPr>
              <w:t>降尘，不外排；运营期无废</w:t>
            </w:r>
            <w:r>
              <w:rPr>
                <w:spacing w:val="-2"/>
              </w:rPr>
              <w:t>水产生。</w:t>
            </w:r>
          </w:p>
        </w:tc>
        <w:tc>
          <w:tcPr>
            <w:tcW w:w="737" w:type="dxa"/>
            <w:vAlign w:val="top"/>
          </w:tcPr>
          <w:p w14:paraId="69B9D8CC">
            <w:pPr>
              <w:spacing w:line="271" w:lineRule="auto"/>
              <w:rPr>
                <w:rFonts w:ascii="Arial"/>
                <w:sz w:val="21"/>
              </w:rPr>
            </w:pPr>
          </w:p>
          <w:p w14:paraId="0A912587">
            <w:pPr>
              <w:spacing w:line="272" w:lineRule="auto"/>
              <w:rPr>
                <w:rFonts w:ascii="Arial"/>
                <w:sz w:val="21"/>
              </w:rPr>
            </w:pPr>
          </w:p>
          <w:p w14:paraId="743C3832">
            <w:pPr>
              <w:spacing w:line="272" w:lineRule="auto"/>
              <w:rPr>
                <w:rFonts w:ascii="Arial"/>
                <w:sz w:val="21"/>
              </w:rPr>
            </w:pPr>
          </w:p>
          <w:p w14:paraId="406B0E66">
            <w:pPr>
              <w:spacing w:line="272" w:lineRule="auto"/>
              <w:rPr>
                <w:rFonts w:ascii="Arial"/>
                <w:sz w:val="21"/>
              </w:rPr>
            </w:pPr>
          </w:p>
          <w:p w14:paraId="0F942FD4">
            <w:pPr>
              <w:pStyle w:val="6"/>
              <w:spacing w:before="69" w:line="221" w:lineRule="auto"/>
              <w:ind w:left="166"/>
            </w:pPr>
            <w:r>
              <w:rPr>
                <w:spacing w:val="-2"/>
              </w:rPr>
              <w:t>符合</w:t>
            </w:r>
          </w:p>
        </w:tc>
        <w:tc>
          <w:tcPr>
            <w:tcW w:w="115" w:type="dxa"/>
            <w:tcBorders>
              <w:top w:val="nil"/>
              <w:bottom w:val="nil"/>
            </w:tcBorders>
            <w:vAlign w:val="top"/>
          </w:tcPr>
          <w:p w14:paraId="4F697C63">
            <w:pPr>
              <w:rPr>
                <w:rFonts w:ascii="Arial"/>
                <w:sz w:val="21"/>
              </w:rPr>
            </w:pPr>
          </w:p>
        </w:tc>
      </w:tr>
      <w:tr w14:paraId="54CAF7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917" w:hRule="atLeast"/>
        </w:trPr>
        <w:tc>
          <w:tcPr>
            <w:tcW w:w="571" w:type="dxa"/>
            <w:vMerge w:val="continue"/>
            <w:tcBorders>
              <w:top w:val="nil"/>
            </w:tcBorders>
            <w:vAlign w:val="top"/>
          </w:tcPr>
          <w:p w14:paraId="23ABD98B">
            <w:pPr>
              <w:rPr>
                <w:rFonts w:ascii="Arial"/>
                <w:sz w:val="21"/>
              </w:rPr>
            </w:pPr>
          </w:p>
        </w:tc>
        <w:tc>
          <w:tcPr>
            <w:tcW w:w="115" w:type="dxa"/>
            <w:tcBorders>
              <w:top w:val="nil"/>
            </w:tcBorders>
            <w:vAlign w:val="top"/>
          </w:tcPr>
          <w:p w14:paraId="1464ADBB">
            <w:pPr>
              <w:rPr>
                <w:rFonts w:ascii="Arial"/>
                <w:sz w:val="21"/>
              </w:rPr>
            </w:pPr>
          </w:p>
        </w:tc>
        <w:tc>
          <w:tcPr>
            <w:tcW w:w="494" w:type="dxa"/>
            <w:vMerge w:val="continue"/>
            <w:tcBorders>
              <w:top w:val="nil"/>
            </w:tcBorders>
            <w:vAlign w:val="top"/>
          </w:tcPr>
          <w:p w14:paraId="1148D701">
            <w:pPr>
              <w:rPr>
                <w:rFonts w:ascii="Arial"/>
                <w:sz w:val="21"/>
              </w:rPr>
            </w:pPr>
          </w:p>
        </w:tc>
        <w:tc>
          <w:tcPr>
            <w:tcW w:w="448" w:type="dxa"/>
            <w:vMerge w:val="continue"/>
            <w:tcBorders>
              <w:top w:val="nil"/>
            </w:tcBorders>
            <w:vAlign w:val="top"/>
          </w:tcPr>
          <w:p w14:paraId="79C3DE96">
            <w:pPr>
              <w:rPr>
                <w:rFonts w:ascii="Arial"/>
                <w:sz w:val="21"/>
              </w:rPr>
            </w:pPr>
          </w:p>
        </w:tc>
        <w:tc>
          <w:tcPr>
            <w:tcW w:w="483" w:type="dxa"/>
            <w:vMerge w:val="continue"/>
            <w:tcBorders>
              <w:top w:val="nil"/>
            </w:tcBorders>
            <w:textDirection w:val="tbRlV"/>
            <w:vAlign w:val="top"/>
          </w:tcPr>
          <w:p w14:paraId="1AB765F1">
            <w:pPr>
              <w:rPr>
                <w:rFonts w:ascii="Arial"/>
                <w:sz w:val="21"/>
              </w:rPr>
            </w:pPr>
          </w:p>
        </w:tc>
        <w:tc>
          <w:tcPr>
            <w:tcW w:w="3507" w:type="dxa"/>
            <w:vAlign w:val="top"/>
          </w:tcPr>
          <w:p w14:paraId="2B36E0E2">
            <w:pPr>
              <w:pStyle w:val="6"/>
              <w:spacing w:before="57" w:line="271" w:lineRule="auto"/>
              <w:ind w:left="112" w:right="101" w:hanging="5"/>
              <w:jc w:val="both"/>
            </w:pPr>
            <w:r>
              <w:rPr>
                <w:rFonts w:ascii="Times New Roman" w:hAnsi="Times New Roman" w:eastAsia="Times New Roman" w:cs="Times New Roman"/>
                <w:spacing w:val="-2"/>
              </w:rPr>
              <w:t>4.</w:t>
            </w:r>
            <w:r>
              <w:rPr>
                <w:spacing w:val="-2"/>
              </w:rPr>
              <w:t>牛栏江等流域内，严格按照《云南</w:t>
            </w:r>
            <w:r>
              <w:rPr>
                <w:spacing w:val="-17"/>
              </w:rPr>
              <w:t>省牛栏江保护条例》《牛栏江流域（云</w:t>
            </w:r>
            <w:r>
              <w:rPr>
                <w:spacing w:val="-5"/>
              </w:rPr>
              <w:t>南部分）水环境保护规划报告》及其中期评估报告有关要求，禁止在牛栏江水源保护区核心区新建、改建、扩建排污口。牛栏江流域上游保护区内</w:t>
            </w:r>
          </w:p>
        </w:tc>
        <w:tc>
          <w:tcPr>
            <w:tcW w:w="2603" w:type="dxa"/>
            <w:vAlign w:val="top"/>
          </w:tcPr>
          <w:p w14:paraId="04DBB31E">
            <w:pPr>
              <w:spacing w:line="304" w:lineRule="auto"/>
              <w:rPr>
                <w:rFonts w:ascii="Arial"/>
                <w:sz w:val="21"/>
              </w:rPr>
            </w:pPr>
          </w:p>
          <w:p w14:paraId="10E287DE">
            <w:pPr>
              <w:pStyle w:val="6"/>
              <w:spacing w:before="68" w:line="279" w:lineRule="auto"/>
              <w:ind w:left="112" w:right="103"/>
              <w:jc w:val="both"/>
            </w:pPr>
            <w:r>
              <w:rPr>
                <w:spacing w:val="6"/>
              </w:rPr>
              <w:t>本项目施工期废水经临时沉淀池处理后回用或洒水</w:t>
            </w:r>
            <w:r>
              <w:rPr>
                <w:spacing w:val="-12"/>
              </w:rPr>
              <w:t>降尘，不外排；运营期无废</w:t>
            </w:r>
            <w:r>
              <w:rPr>
                <w:spacing w:val="-2"/>
              </w:rPr>
              <w:t>水产生。</w:t>
            </w:r>
          </w:p>
        </w:tc>
        <w:tc>
          <w:tcPr>
            <w:tcW w:w="737" w:type="dxa"/>
            <w:vAlign w:val="top"/>
          </w:tcPr>
          <w:p w14:paraId="192CE1F6">
            <w:pPr>
              <w:spacing w:line="258" w:lineRule="auto"/>
              <w:rPr>
                <w:rFonts w:ascii="Arial"/>
                <w:sz w:val="21"/>
              </w:rPr>
            </w:pPr>
          </w:p>
          <w:p w14:paraId="04B26445">
            <w:pPr>
              <w:spacing w:line="259" w:lineRule="auto"/>
              <w:rPr>
                <w:rFonts w:ascii="Arial"/>
                <w:sz w:val="21"/>
              </w:rPr>
            </w:pPr>
          </w:p>
          <w:p w14:paraId="29BB064D">
            <w:pPr>
              <w:spacing w:line="259" w:lineRule="auto"/>
              <w:rPr>
                <w:rFonts w:ascii="Arial"/>
                <w:sz w:val="21"/>
              </w:rPr>
            </w:pPr>
          </w:p>
          <w:p w14:paraId="6FB1A9A1">
            <w:pPr>
              <w:pStyle w:val="6"/>
              <w:spacing w:before="69" w:line="221" w:lineRule="auto"/>
              <w:ind w:left="166"/>
            </w:pPr>
            <w:r>
              <w:rPr>
                <w:spacing w:val="-2"/>
              </w:rPr>
              <w:t>符合</w:t>
            </w:r>
          </w:p>
        </w:tc>
        <w:tc>
          <w:tcPr>
            <w:tcW w:w="115" w:type="dxa"/>
            <w:tcBorders>
              <w:top w:val="nil"/>
            </w:tcBorders>
            <w:vAlign w:val="top"/>
          </w:tcPr>
          <w:p w14:paraId="62DF9E55">
            <w:pPr>
              <w:rPr>
                <w:rFonts w:ascii="Arial"/>
                <w:sz w:val="21"/>
              </w:rPr>
            </w:pPr>
          </w:p>
        </w:tc>
      </w:tr>
    </w:tbl>
    <w:p w14:paraId="21095C41">
      <w:pPr>
        <w:rPr>
          <w:rFonts w:ascii="Arial"/>
          <w:sz w:val="21"/>
        </w:rPr>
      </w:pPr>
    </w:p>
    <w:p w14:paraId="54E94D91">
      <w:pPr>
        <w:rPr>
          <w:rFonts w:ascii="Arial" w:hAnsi="Arial" w:eastAsia="Arial" w:cs="Arial"/>
          <w:sz w:val="21"/>
          <w:szCs w:val="21"/>
        </w:rPr>
        <w:sectPr>
          <w:footerReference r:id="rId13" w:type="default"/>
          <w:pgSz w:w="11907" w:h="16841"/>
          <w:pgMar w:top="400" w:right="1413" w:bottom="1126" w:left="1414" w:header="0" w:footer="925" w:gutter="0"/>
          <w:cols w:space="720" w:num="1"/>
        </w:sectPr>
      </w:pPr>
    </w:p>
    <w:p w14:paraId="2EB229F6">
      <w:pPr>
        <w:spacing w:before="2"/>
      </w:pPr>
    </w:p>
    <w:p w14:paraId="3251C674">
      <w:pPr>
        <w:spacing w:before="2"/>
      </w:pPr>
    </w:p>
    <w:p w14:paraId="481725E8">
      <w:pPr>
        <w:spacing w:before="1"/>
      </w:pPr>
    </w:p>
    <w:p w14:paraId="40E5BB76">
      <w:pPr>
        <w:spacing w:before="1"/>
      </w:pPr>
    </w:p>
    <w:p w14:paraId="360E3B7A">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5"/>
        <w:gridCol w:w="494"/>
        <w:gridCol w:w="448"/>
        <w:gridCol w:w="483"/>
        <w:gridCol w:w="3507"/>
        <w:gridCol w:w="2603"/>
        <w:gridCol w:w="737"/>
        <w:gridCol w:w="115"/>
      </w:tblGrid>
      <w:tr w14:paraId="6F89CF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4" w:hRule="atLeast"/>
        </w:trPr>
        <w:tc>
          <w:tcPr>
            <w:tcW w:w="571" w:type="dxa"/>
            <w:vMerge w:val="restart"/>
            <w:tcBorders>
              <w:bottom w:val="nil"/>
            </w:tcBorders>
            <w:vAlign w:val="top"/>
          </w:tcPr>
          <w:p w14:paraId="17E0144A">
            <w:pPr>
              <w:rPr>
                <w:rFonts w:ascii="Arial"/>
                <w:sz w:val="21"/>
              </w:rPr>
            </w:pPr>
          </w:p>
        </w:tc>
        <w:tc>
          <w:tcPr>
            <w:tcW w:w="115" w:type="dxa"/>
            <w:tcBorders>
              <w:bottom w:val="nil"/>
            </w:tcBorders>
            <w:vAlign w:val="top"/>
          </w:tcPr>
          <w:p w14:paraId="10BF1CE9">
            <w:pPr>
              <w:rPr>
                <w:rFonts w:ascii="Arial"/>
                <w:sz w:val="21"/>
              </w:rPr>
            </w:pPr>
          </w:p>
        </w:tc>
        <w:tc>
          <w:tcPr>
            <w:tcW w:w="494" w:type="dxa"/>
            <w:vMerge w:val="restart"/>
            <w:tcBorders>
              <w:bottom w:val="nil"/>
            </w:tcBorders>
            <w:vAlign w:val="top"/>
          </w:tcPr>
          <w:p w14:paraId="3EB8D58D">
            <w:pPr>
              <w:rPr>
                <w:rFonts w:ascii="Arial"/>
                <w:sz w:val="21"/>
              </w:rPr>
            </w:pPr>
          </w:p>
        </w:tc>
        <w:tc>
          <w:tcPr>
            <w:tcW w:w="448" w:type="dxa"/>
            <w:vMerge w:val="restart"/>
            <w:tcBorders>
              <w:bottom w:val="nil"/>
            </w:tcBorders>
            <w:vAlign w:val="top"/>
          </w:tcPr>
          <w:p w14:paraId="2F1C75D2">
            <w:pPr>
              <w:rPr>
                <w:rFonts w:ascii="Arial"/>
                <w:sz w:val="21"/>
              </w:rPr>
            </w:pPr>
          </w:p>
        </w:tc>
        <w:tc>
          <w:tcPr>
            <w:tcW w:w="483" w:type="dxa"/>
            <w:vMerge w:val="restart"/>
            <w:tcBorders>
              <w:bottom w:val="nil"/>
            </w:tcBorders>
            <w:vAlign w:val="top"/>
          </w:tcPr>
          <w:p w14:paraId="7202D3EB">
            <w:pPr>
              <w:rPr>
                <w:rFonts w:ascii="Arial"/>
                <w:sz w:val="21"/>
              </w:rPr>
            </w:pPr>
          </w:p>
        </w:tc>
        <w:tc>
          <w:tcPr>
            <w:tcW w:w="3507" w:type="dxa"/>
            <w:vAlign w:val="top"/>
          </w:tcPr>
          <w:p w14:paraId="40AEC140">
            <w:pPr>
              <w:pStyle w:val="6"/>
              <w:spacing w:before="72" w:line="264" w:lineRule="auto"/>
              <w:ind w:left="112" w:right="101" w:firstLine="23"/>
              <w:jc w:val="both"/>
            </w:pPr>
            <w:r>
              <w:rPr>
                <w:spacing w:val="-6"/>
              </w:rPr>
              <w:t>已设置排污口的生产企业，排放水污</w:t>
            </w:r>
            <w:r>
              <w:rPr>
                <w:spacing w:val="8"/>
              </w:rPr>
              <w:t>染物应当符合国家或者地方规定的水污染物排放标准和重点水污染物</w:t>
            </w:r>
            <w:r>
              <w:rPr>
                <w:spacing w:val="-3"/>
              </w:rPr>
              <w:t>排放总量控制指标。</w:t>
            </w:r>
          </w:p>
        </w:tc>
        <w:tc>
          <w:tcPr>
            <w:tcW w:w="2603" w:type="dxa"/>
            <w:vAlign w:val="top"/>
          </w:tcPr>
          <w:p w14:paraId="148DA3DA">
            <w:pPr>
              <w:rPr>
                <w:rFonts w:ascii="Arial"/>
                <w:sz w:val="21"/>
              </w:rPr>
            </w:pPr>
          </w:p>
        </w:tc>
        <w:tc>
          <w:tcPr>
            <w:tcW w:w="737" w:type="dxa"/>
            <w:vAlign w:val="top"/>
          </w:tcPr>
          <w:p w14:paraId="43294A1E">
            <w:pPr>
              <w:rPr>
                <w:rFonts w:ascii="Arial"/>
                <w:sz w:val="21"/>
              </w:rPr>
            </w:pPr>
          </w:p>
        </w:tc>
        <w:tc>
          <w:tcPr>
            <w:tcW w:w="115" w:type="dxa"/>
            <w:tcBorders>
              <w:bottom w:val="nil"/>
            </w:tcBorders>
            <w:vAlign w:val="top"/>
          </w:tcPr>
          <w:p w14:paraId="3B2EB34B">
            <w:pPr>
              <w:rPr>
                <w:rFonts w:ascii="Arial"/>
                <w:sz w:val="21"/>
              </w:rPr>
            </w:pPr>
          </w:p>
        </w:tc>
      </w:tr>
      <w:tr w14:paraId="0760F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1" w:type="dxa"/>
            <w:vMerge w:val="continue"/>
            <w:tcBorders>
              <w:top w:val="nil"/>
              <w:bottom w:val="nil"/>
            </w:tcBorders>
            <w:vAlign w:val="top"/>
          </w:tcPr>
          <w:p w14:paraId="3CF10E20">
            <w:pPr>
              <w:rPr>
                <w:rFonts w:ascii="Arial"/>
                <w:sz w:val="21"/>
              </w:rPr>
            </w:pPr>
          </w:p>
        </w:tc>
        <w:tc>
          <w:tcPr>
            <w:tcW w:w="115" w:type="dxa"/>
            <w:tcBorders>
              <w:top w:val="nil"/>
              <w:bottom w:val="nil"/>
            </w:tcBorders>
            <w:vAlign w:val="top"/>
          </w:tcPr>
          <w:p w14:paraId="470A6AB1">
            <w:pPr>
              <w:rPr>
                <w:rFonts w:ascii="Arial"/>
                <w:sz w:val="21"/>
              </w:rPr>
            </w:pPr>
          </w:p>
        </w:tc>
        <w:tc>
          <w:tcPr>
            <w:tcW w:w="494" w:type="dxa"/>
            <w:vMerge w:val="continue"/>
            <w:tcBorders>
              <w:top w:val="nil"/>
              <w:bottom w:val="nil"/>
            </w:tcBorders>
            <w:vAlign w:val="top"/>
          </w:tcPr>
          <w:p w14:paraId="044FD528">
            <w:pPr>
              <w:rPr>
                <w:rFonts w:ascii="Arial"/>
                <w:sz w:val="21"/>
              </w:rPr>
            </w:pPr>
          </w:p>
        </w:tc>
        <w:tc>
          <w:tcPr>
            <w:tcW w:w="448" w:type="dxa"/>
            <w:vMerge w:val="continue"/>
            <w:tcBorders>
              <w:top w:val="nil"/>
              <w:bottom w:val="nil"/>
            </w:tcBorders>
            <w:vAlign w:val="top"/>
          </w:tcPr>
          <w:p w14:paraId="6586AF39">
            <w:pPr>
              <w:rPr>
                <w:rFonts w:ascii="Arial"/>
                <w:sz w:val="21"/>
              </w:rPr>
            </w:pPr>
          </w:p>
        </w:tc>
        <w:tc>
          <w:tcPr>
            <w:tcW w:w="483" w:type="dxa"/>
            <w:vMerge w:val="continue"/>
            <w:tcBorders>
              <w:top w:val="nil"/>
              <w:bottom w:val="nil"/>
            </w:tcBorders>
            <w:vAlign w:val="top"/>
          </w:tcPr>
          <w:p w14:paraId="6636C880">
            <w:pPr>
              <w:rPr>
                <w:rFonts w:ascii="Arial"/>
                <w:sz w:val="21"/>
              </w:rPr>
            </w:pPr>
          </w:p>
        </w:tc>
        <w:tc>
          <w:tcPr>
            <w:tcW w:w="3507" w:type="dxa"/>
            <w:vAlign w:val="top"/>
          </w:tcPr>
          <w:p w14:paraId="4B4C0D81">
            <w:pPr>
              <w:pStyle w:val="6"/>
              <w:spacing w:before="54" w:line="260" w:lineRule="auto"/>
              <w:ind w:left="112" w:right="101" w:firstLine="1"/>
              <w:jc w:val="both"/>
            </w:pPr>
            <w:r>
              <w:rPr>
                <w:rFonts w:ascii="Times New Roman" w:hAnsi="Times New Roman" w:eastAsia="Times New Roman" w:cs="Times New Roman"/>
                <w:spacing w:val="-2"/>
              </w:rPr>
              <w:t>5.</w:t>
            </w:r>
            <w:r>
              <w:rPr>
                <w:spacing w:val="-2"/>
              </w:rPr>
              <w:t>严格保护集中式饮用水水源地，整</w:t>
            </w:r>
            <w:r>
              <w:rPr>
                <w:spacing w:val="-5"/>
              </w:rPr>
              <w:t>治饮用水源保护区内的污染源，确保饮水安全。</w:t>
            </w:r>
          </w:p>
        </w:tc>
        <w:tc>
          <w:tcPr>
            <w:tcW w:w="2603" w:type="dxa"/>
            <w:vAlign w:val="top"/>
          </w:tcPr>
          <w:p w14:paraId="31B09BD6">
            <w:pPr>
              <w:pStyle w:val="6"/>
              <w:spacing w:before="211" w:line="281" w:lineRule="auto"/>
              <w:ind w:left="113" w:right="105" w:firstLine="2"/>
            </w:pPr>
            <w:r>
              <w:rPr>
                <w:spacing w:val="6"/>
              </w:rPr>
              <w:t>项目不涉及饮用水水源保</w:t>
            </w:r>
            <w:r>
              <w:rPr>
                <w:spacing w:val="-9"/>
              </w:rPr>
              <w:t>护区。</w:t>
            </w:r>
          </w:p>
        </w:tc>
        <w:tc>
          <w:tcPr>
            <w:tcW w:w="737" w:type="dxa"/>
            <w:vAlign w:val="top"/>
          </w:tcPr>
          <w:p w14:paraId="79C9C5C0">
            <w:pPr>
              <w:spacing w:line="299" w:lineRule="auto"/>
              <w:rPr>
                <w:rFonts w:ascii="Arial"/>
                <w:sz w:val="21"/>
              </w:rPr>
            </w:pPr>
          </w:p>
          <w:p w14:paraId="7FDCC6D6">
            <w:pPr>
              <w:pStyle w:val="6"/>
              <w:spacing w:before="69" w:line="221" w:lineRule="auto"/>
              <w:ind w:left="166"/>
            </w:pPr>
            <w:r>
              <w:rPr>
                <w:spacing w:val="-2"/>
              </w:rPr>
              <w:t>符合</w:t>
            </w:r>
          </w:p>
        </w:tc>
        <w:tc>
          <w:tcPr>
            <w:tcW w:w="115" w:type="dxa"/>
            <w:tcBorders>
              <w:top w:val="nil"/>
              <w:bottom w:val="nil"/>
            </w:tcBorders>
            <w:vAlign w:val="top"/>
          </w:tcPr>
          <w:p w14:paraId="391D5A8A">
            <w:pPr>
              <w:rPr>
                <w:rFonts w:ascii="Arial"/>
                <w:sz w:val="21"/>
              </w:rPr>
            </w:pPr>
          </w:p>
        </w:tc>
      </w:tr>
      <w:tr w14:paraId="3DF99E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94" w:hRule="atLeast"/>
        </w:trPr>
        <w:tc>
          <w:tcPr>
            <w:tcW w:w="571" w:type="dxa"/>
            <w:vMerge w:val="continue"/>
            <w:tcBorders>
              <w:top w:val="nil"/>
              <w:bottom w:val="nil"/>
            </w:tcBorders>
            <w:vAlign w:val="top"/>
          </w:tcPr>
          <w:p w14:paraId="4E73F8A0">
            <w:pPr>
              <w:rPr>
                <w:rFonts w:ascii="Arial"/>
                <w:sz w:val="21"/>
              </w:rPr>
            </w:pPr>
          </w:p>
        </w:tc>
        <w:tc>
          <w:tcPr>
            <w:tcW w:w="115" w:type="dxa"/>
            <w:tcBorders>
              <w:top w:val="nil"/>
              <w:bottom w:val="nil"/>
            </w:tcBorders>
            <w:vAlign w:val="top"/>
          </w:tcPr>
          <w:p w14:paraId="13C80E3C">
            <w:pPr>
              <w:rPr>
                <w:rFonts w:ascii="Arial"/>
                <w:sz w:val="21"/>
              </w:rPr>
            </w:pPr>
          </w:p>
        </w:tc>
        <w:tc>
          <w:tcPr>
            <w:tcW w:w="494" w:type="dxa"/>
            <w:vMerge w:val="continue"/>
            <w:tcBorders>
              <w:top w:val="nil"/>
              <w:bottom w:val="nil"/>
            </w:tcBorders>
            <w:vAlign w:val="top"/>
          </w:tcPr>
          <w:p w14:paraId="5440BC3C">
            <w:pPr>
              <w:rPr>
                <w:rFonts w:ascii="Arial"/>
                <w:sz w:val="21"/>
              </w:rPr>
            </w:pPr>
          </w:p>
        </w:tc>
        <w:tc>
          <w:tcPr>
            <w:tcW w:w="448" w:type="dxa"/>
            <w:vMerge w:val="continue"/>
            <w:tcBorders>
              <w:top w:val="nil"/>
              <w:bottom w:val="nil"/>
            </w:tcBorders>
            <w:vAlign w:val="top"/>
          </w:tcPr>
          <w:p w14:paraId="449A7015">
            <w:pPr>
              <w:rPr>
                <w:rFonts w:ascii="Arial"/>
                <w:sz w:val="21"/>
              </w:rPr>
            </w:pPr>
          </w:p>
        </w:tc>
        <w:tc>
          <w:tcPr>
            <w:tcW w:w="483" w:type="dxa"/>
            <w:vMerge w:val="continue"/>
            <w:tcBorders>
              <w:top w:val="nil"/>
              <w:bottom w:val="nil"/>
            </w:tcBorders>
            <w:vAlign w:val="top"/>
          </w:tcPr>
          <w:p w14:paraId="796350C9">
            <w:pPr>
              <w:rPr>
                <w:rFonts w:ascii="Arial"/>
                <w:sz w:val="21"/>
              </w:rPr>
            </w:pPr>
          </w:p>
        </w:tc>
        <w:tc>
          <w:tcPr>
            <w:tcW w:w="3507" w:type="dxa"/>
            <w:vAlign w:val="top"/>
          </w:tcPr>
          <w:p w14:paraId="12492118">
            <w:pPr>
              <w:pStyle w:val="6"/>
              <w:spacing w:before="53" w:line="275" w:lineRule="auto"/>
              <w:ind w:left="108" w:right="82" w:firstLine="5"/>
              <w:jc w:val="both"/>
            </w:pPr>
            <w:r>
              <w:rPr>
                <w:rFonts w:ascii="Times New Roman" w:hAnsi="Times New Roman" w:eastAsia="Times New Roman" w:cs="Times New Roman"/>
                <w:spacing w:val="-2"/>
              </w:rPr>
              <w:t>6.</w:t>
            </w:r>
            <w:r>
              <w:rPr>
                <w:spacing w:val="-2"/>
              </w:rPr>
              <w:t>全面开展城市（县城）排水管网排</w:t>
            </w:r>
            <w:r>
              <w:rPr>
                <w:spacing w:val="9"/>
              </w:rPr>
              <w:t>查整治，消除城市建成区管网空白</w:t>
            </w:r>
            <w:r>
              <w:rPr>
                <w:spacing w:val="-5"/>
              </w:rPr>
              <w:t>区、污水直排口，解决雨污混流、管网破损漏损、错接混接等问题。加大</w:t>
            </w:r>
            <w:r>
              <w:rPr>
                <w:spacing w:val="9"/>
              </w:rPr>
              <w:t>城市生活污水提标改造及扩容工作</w:t>
            </w:r>
            <w:r>
              <w:rPr>
                <w:spacing w:val="-5"/>
              </w:rPr>
              <w:t>力度，麒麟区、沾益区、曲靖经开区新、改、扩建城市生活污水集中处理</w:t>
            </w:r>
            <w:r>
              <w:rPr>
                <w:spacing w:val="9"/>
              </w:rPr>
              <w:t>设施及工业园区污水集中处理设施</w:t>
            </w:r>
            <w:r>
              <w:rPr>
                <w:spacing w:val="-5"/>
              </w:rPr>
              <w:t>污染物排放标准严格执行《地表水环</w:t>
            </w:r>
            <w:r>
              <w:rPr>
                <w:spacing w:val="9"/>
              </w:rPr>
              <w:t>境质量标准》Ⅳ类标准（其中总氮</w:t>
            </w:r>
            <w:r>
              <w:rPr>
                <w:rFonts w:ascii="Times New Roman" w:hAnsi="Times New Roman" w:eastAsia="Times New Roman" w:cs="Times New Roman"/>
                <w:spacing w:val="-6"/>
              </w:rPr>
              <w:t>&lt;10mg/L</w:t>
            </w:r>
            <w:r>
              <w:rPr>
                <w:spacing w:val="-6"/>
              </w:rPr>
              <w:t>，粪大肠菌群</w:t>
            </w:r>
            <w:r>
              <w:rPr>
                <w:rFonts w:ascii="Times New Roman" w:hAnsi="Times New Roman" w:eastAsia="Times New Roman" w:cs="Times New Roman"/>
                <w:spacing w:val="-6"/>
              </w:rPr>
              <w:t xml:space="preserve">&lt;1000 </w:t>
            </w:r>
            <w:r>
              <w:rPr>
                <w:spacing w:val="-6"/>
              </w:rPr>
              <w:t>个</w:t>
            </w:r>
            <w:r>
              <w:rPr>
                <w:rFonts w:ascii="Times New Roman" w:hAnsi="Times New Roman" w:eastAsia="Times New Roman" w:cs="Times New Roman"/>
                <w:spacing w:val="-6"/>
              </w:rPr>
              <w:t>/L</w:t>
            </w:r>
            <w:r>
              <w:rPr>
                <w:spacing w:val="-6"/>
              </w:rPr>
              <w:t>）。</w:t>
            </w:r>
            <w:r>
              <w:rPr>
                <w:spacing w:val="-5"/>
              </w:rPr>
              <w:t>陆良县、宣威市根据水生态环境质量变化趋势适时推进执行《地表水环境</w:t>
            </w:r>
            <w:r>
              <w:rPr>
                <w:spacing w:val="24"/>
              </w:rPr>
              <w:t>质量标准》Ⅳ类标准（其中总氮</w:t>
            </w:r>
            <w:r>
              <w:rPr>
                <w:rFonts w:ascii="Times New Roman" w:hAnsi="Times New Roman" w:eastAsia="Times New Roman" w:cs="Times New Roman"/>
                <w:spacing w:val="-6"/>
              </w:rPr>
              <w:t>&lt;10mg/L</w:t>
            </w:r>
            <w:r>
              <w:rPr>
                <w:spacing w:val="-6"/>
              </w:rPr>
              <w:t>，粪大肠菌群</w:t>
            </w:r>
            <w:r>
              <w:rPr>
                <w:rFonts w:ascii="Times New Roman" w:hAnsi="Times New Roman" w:eastAsia="Times New Roman" w:cs="Times New Roman"/>
                <w:spacing w:val="-6"/>
              </w:rPr>
              <w:t xml:space="preserve">&lt;1000 </w:t>
            </w:r>
            <w:r>
              <w:rPr>
                <w:spacing w:val="-6"/>
              </w:rPr>
              <w:t>个</w:t>
            </w:r>
            <w:r>
              <w:rPr>
                <w:rFonts w:ascii="Times New Roman" w:hAnsi="Times New Roman" w:eastAsia="Times New Roman" w:cs="Times New Roman"/>
                <w:spacing w:val="-6"/>
              </w:rPr>
              <w:t>/L</w:t>
            </w:r>
            <w:r>
              <w:rPr>
                <w:spacing w:val="-6"/>
              </w:rPr>
              <w:t>）。</w:t>
            </w:r>
            <w:r>
              <w:rPr>
                <w:spacing w:val="-11"/>
              </w:rPr>
              <w:t>其他县（市、区） 执行《城镇污水处</w:t>
            </w:r>
            <w:r>
              <w:rPr>
                <w:spacing w:val="-7"/>
              </w:rPr>
              <w:t>理厂污染物排放标准》一级标准</w:t>
            </w:r>
            <w:r>
              <w:rPr>
                <w:spacing w:val="-52"/>
              </w:rPr>
              <w:t xml:space="preserve"> </w:t>
            </w:r>
            <w:r>
              <w:rPr>
                <w:rFonts w:ascii="Times New Roman" w:hAnsi="Times New Roman" w:eastAsia="Times New Roman" w:cs="Times New Roman"/>
                <w:spacing w:val="-7"/>
              </w:rPr>
              <w:t xml:space="preserve">A </w:t>
            </w:r>
            <w:r>
              <w:rPr>
                <w:spacing w:val="-7"/>
              </w:rPr>
              <w:t>标</w:t>
            </w:r>
            <w:r>
              <w:rPr>
                <w:spacing w:val="-9"/>
              </w:rPr>
              <w:t>准。</w:t>
            </w:r>
          </w:p>
        </w:tc>
        <w:tc>
          <w:tcPr>
            <w:tcW w:w="2603" w:type="dxa"/>
            <w:vAlign w:val="top"/>
          </w:tcPr>
          <w:p w14:paraId="166031F3">
            <w:pPr>
              <w:spacing w:line="242" w:lineRule="auto"/>
              <w:rPr>
                <w:rFonts w:ascii="Arial"/>
                <w:sz w:val="21"/>
              </w:rPr>
            </w:pPr>
          </w:p>
          <w:p w14:paraId="5D73835C">
            <w:pPr>
              <w:spacing w:line="242" w:lineRule="auto"/>
              <w:rPr>
                <w:rFonts w:ascii="Arial"/>
                <w:sz w:val="21"/>
              </w:rPr>
            </w:pPr>
          </w:p>
          <w:p w14:paraId="35A3B517">
            <w:pPr>
              <w:spacing w:line="243" w:lineRule="auto"/>
              <w:rPr>
                <w:rFonts w:ascii="Arial"/>
                <w:sz w:val="21"/>
              </w:rPr>
            </w:pPr>
          </w:p>
          <w:p w14:paraId="142E1BB4">
            <w:pPr>
              <w:spacing w:line="243" w:lineRule="auto"/>
              <w:rPr>
                <w:rFonts w:ascii="Arial"/>
                <w:sz w:val="21"/>
              </w:rPr>
            </w:pPr>
          </w:p>
          <w:p w14:paraId="41CB04D1">
            <w:pPr>
              <w:spacing w:line="243" w:lineRule="auto"/>
              <w:rPr>
                <w:rFonts w:ascii="Arial"/>
                <w:sz w:val="21"/>
              </w:rPr>
            </w:pPr>
          </w:p>
          <w:p w14:paraId="23698AA9">
            <w:pPr>
              <w:spacing w:line="243" w:lineRule="auto"/>
              <w:rPr>
                <w:rFonts w:ascii="Arial"/>
                <w:sz w:val="21"/>
              </w:rPr>
            </w:pPr>
          </w:p>
          <w:p w14:paraId="394C40FD">
            <w:pPr>
              <w:spacing w:line="243" w:lineRule="auto"/>
              <w:rPr>
                <w:rFonts w:ascii="Arial"/>
                <w:sz w:val="21"/>
              </w:rPr>
            </w:pPr>
          </w:p>
          <w:p w14:paraId="6561D878">
            <w:pPr>
              <w:spacing w:line="243" w:lineRule="auto"/>
              <w:rPr>
                <w:rFonts w:ascii="Arial"/>
                <w:sz w:val="21"/>
              </w:rPr>
            </w:pPr>
          </w:p>
          <w:p w14:paraId="58AA9C89">
            <w:pPr>
              <w:spacing w:line="243" w:lineRule="auto"/>
              <w:rPr>
                <w:rFonts w:ascii="Arial"/>
                <w:sz w:val="21"/>
              </w:rPr>
            </w:pPr>
          </w:p>
          <w:p w14:paraId="6EDB2053">
            <w:pPr>
              <w:pStyle w:val="6"/>
              <w:spacing w:before="68" w:line="279" w:lineRule="auto"/>
              <w:ind w:left="112" w:right="103"/>
              <w:jc w:val="both"/>
            </w:pPr>
            <w:r>
              <w:rPr>
                <w:spacing w:val="6"/>
              </w:rPr>
              <w:t>本项目施工期废水经临时沉淀池处理后回用或洒水</w:t>
            </w:r>
            <w:r>
              <w:rPr>
                <w:spacing w:val="-12"/>
              </w:rPr>
              <w:t>降尘，不外排；运营期输电</w:t>
            </w:r>
            <w:r>
              <w:rPr>
                <w:spacing w:val="-1"/>
              </w:rPr>
              <w:t>线路无废水产生。</w:t>
            </w:r>
          </w:p>
        </w:tc>
        <w:tc>
          <w:tcPr>
            <w:tcW w:w="737" w:type="dxa"/>
            <w:vAlign w:val="top"/>
          </w:tcPr>
          <w:p w14:paraId="7C5345B1">
            <w:pPr>
              <w:spacing w:line="241" w:lineRule="auto"/>
              <w:rPr>
                <w:rFonts w:ascii="Arial"/>
                <w:sz w:val="21"/>
              </w:rPr>
            </w:pPr>
          </w:p>
          <w:p w14:paraId="5CFAC778">
            <w:pPr>
              <w:spacing w:line="241" w:lineRule="auto"/>
              <w:rPr>
                <w:rFonts w:ascii="Arial"/>
                <w:sz w:val="21"/>
              </w:rPr>
            </w:pPr>
          </w:p>
          <w:p w14:paraId="6F3921C2">
            <w:pPr>
              <w:spacing w:line="241" w:lineRule="auto"/>
              <w:rPr>
                <w:rFonts w:ascii="Arial"/>
                <w:sz w:val="21"/>
              </w:rPr>
            </w:pPr>
          </w:p>
          <w:p w14:paraId="38F02FDF">
            <w:pPr>
              <w:spacing w:line="241" w:lineRule="auto"/>
              <w:rPr>
                <w:rFonts w:ascii="Arial"/>
                <w:sz w:val="21"/>
              </w:rPr>
            </w:pPr>
          </w:p>
          <w:p w14:paraId="04EF8DD8">
            <w:pPr>
              <w:spacing w:line="241" w:lineRule="auto"/>
              <w:rPr>
                <w:rFonts w:ascii="Arial"/>
                <w:sz w:val="21"/>
              </w:rPr>
            </w:pPr>
          </w:p>
          <w:p w14:paraId="4CBA14FC">
            <w:pPr>
              <w:spacing w:line="242" w:lineRule="auto"/>
              <w:rPr>
                <w:rFonts w:ascii="Arial"/>
                <w:sz w:val="21"/>
              </w:rPr>
            </w:pPr>
          </w:p>
          <w:p w14:paraId="4BE4CFA1">
            <w:pPr>
              <w:spacing w:line="242" w:lineRule="auto"/>
              <w:rPr>
                <w:rFonts w:ascii="Arial"/>
                <w:sz w:val="21"/>
              </w:rPr>
            </w:pPr>
          </w:p>
          <w:p w14:paraId="3053A6C6">
            <w:pPr>
              <w:spacing w:line="242" w:lineRule="auto"/>
              <w:rPr>
                <w:rFonts w:ascii="Arial"/>
                <w:sz w:val="21"/>
              </w:rPr>
            </w:pPr>
          </w:p>
          <w:p w14:paraId="5F98004B">
            <w:pPr>
              <w:spacing w:line="242" w:lineRule="auto"/>
              <w:rPr>
                <w:rFonts w:ascii="Arial"/>
                <w:sz w:val="21"/>
              </w:rPr>
            </w:pPr>
          </w:p>
          <w:p w14:paraId="1355AB05">
            <w:pPr>
              <w:spacing w:line="242" w:lineRule="auto"/>
              <w:rPr>
                <w:rFonts w:ascii="Arial"/>
                <w:sz w:val="21"/>
              </w:rPr>
            </w:pPr>
          </w:p>
          <w:p w14:paraId="2682E6EB">
            <w:pPr>
              <w:spacing w:line="242" w:lineRule="auto"/>
              <w:rPr>
                <w:rFonts w:ascii="Arial"/>
                <w:sz w:val="21"/>
              </w:rPr>
            </w:pPr>
          </w:p>
          <w:p w14:paraId="4A7DA97C">
            <w:pPr>
              <w:pStyle w:val="6"/>
              <w:spacing w:before="69" w:line="221" w:lineRule="auto"/>
              <w:ind w:left="166"/>
            </w:pPr>
            <w:r>
              <w:rPr>
                <w:spacing w:val="-2"/>
              </w:rPr>
              <w:t>符合</w:t>
            </w:r>
          </w:p>
        </w:tc>
        <w:tc>
          <w:tcPr>
            <w:tcW w:w="115" w:type="dxa"/>
            <w:tcBorders>
              <w:top w:val="nil"/>
              <w:bottom w:val="nil"/>
            </w:tcBorders>
            <w:vAlign w:val="top"/>
          </w:tcPr>
          <w:p w14:paraId="6F40F6B0">
            <w:pPr>
              <w:rPr>
                <w:rFonts w:ascii="Arial"/>
                <w:sz w:val="21"/>
              </w:rPr>
            </w:pPr>
          </w:p>
        </w:tc>
      </w:tr>
      <w:tr w14:paraId="4F1CB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0" w:hRule="atLeast"/>
        </w:trPr>
        <w:tc>
          <w:tcPr>
            <w:tcW w:w="571" w:type="dxa"/>
            <w:vMerge w:val="continue"/>
            <w:tcBorders>
              <w:top w:val="nil"/>
              <w:bottom w:val="nil"/>
            </w:tcBorders>
            <w:vAlign w:val="top"/>
          </w:tcPr>
          <w:p w14:paraId="51EFCEF8">
            <w:pPr>
              <w:rPr>
                <w:rFonts w:ascii="Arial"/>
                <w:sz w:val="21"/>
              </w:rPr>
            </w:pPr>
          </w:p>
        </w:tc>
        <w:tc>
          <w:tcPr>
            <w:tcW w:w="115" w:type="dxa"/>
            <w:tcBorders>
              <w:top w:val="nil"/>
              <w:bottom w:val="nil"/>
            </w:tcBorders>
            <w:vAlign w:val="top"/>
          </w:tcPr>
          <w:p w14:paraId="0F72514F">
            <w:pPr>
              <w:rPr>
                <w:rFonts w:ascii="Arial"/>
                <w:sz w:val="21"/>
              </w:rPr>
            </w:pPr>
          </w:p>
        </w:tc>
        <w:tc>
          <w:tcPr>
            <w:tcW w:w="494" w:type="dxa"/>
            <w:vMerge w:val="continue"/>
            <w:tcBorders>
              <w:top w:val="nil"/>
              <w:bottom w:val="nil"/>
            </w:tcBorders>
            <w:vAlign w:val="top"/>
          </w:tcPr>
          <w:p w14:paraId="2B7D03A1">
            <w:pPr>
              <w:rPr>
                <w:rFonts w:ascii="Arial"/>
                <w:sz w:val="21"/>
              </w:rPr>
            </w:pPr>
          </w:p>
        </w:tc>
        <w:tc>
          <w:tcPr>
            <w:tcW w:w="448" w:type="dxa"/>
            <w:vMerge w:val="continue"/>
            <w:tcBorders>
              <w:top w:val="nil"/>
              <w:bottom w:val="nil"/>
            </w:tcBorders>
            <w:vAlign w:val="top"/>
          </w:tcPr>
          <w:p w14:paraId="3B72F085">
            <w:pPr>
              <w:rPr>
                <w:rFonts w:ascii="Arial"/>
                <w:sz w:val="21"/>
              </w:rPr>
            </w:pPr>
          </w:p>
        </w:tc>
        <w:tc>
          <w:tcPr>
            <w:tcW w:w="483" w:type="dxa"/>
            <w:vMerge w:val="continue"/>
            <w:tcBorders>
              <w:top w:val="nil"/>
              <w:bottom w:val="nil"/>
            </w:tcBorders>
            <w:vAlign w:val="top"/>
          </w:tcPr>
          <w:p w14:paraId="785EA1E2">
            <w:pPr>
              <w:rPr>
                <w:rFonts w:ascii="Arial"/>
                <w:sz w:val="21"/>
              </w:rPr>
            </w:pPr>
          </w:p>
        </w:tc>
        <w:tc>
          <w:tcPr>
            <w:tcW w:w="3507" w:type="dxa"/>
            <w:vAlign w:val="top"/>
          </w:tcPr>
          <w:p w14:paraId="3DE9BA7A">
            <w:pPr>
              <w:pStyle w:val="6"/>
              <w:spacing w:before="54" w:line="269" w:lineRule="auto"/>
              <w:ind w:left="111" w:right="101"/>
              <w:jc w:val="both"/>
            </w:pPr>
            <w:r>
              <w:rPr>
                <w:rFonts w:ascii="Times New Roman" w:hAnsi="Times New Roman" w:eastAsia="Times New Roman" w:cs="Times New Roman"/>
                <w:spacing w:val="11"/>
              </w:rPr>
              <w:t>7.</w:t>
            </w:r>
            <w:r>
              <w:rPr>
                <w:spacing w:val="11"/>
              </w:rPr>
              <w:t>加快推进污泥无害化处理处置工</w:t>
            </w:r>
            <w:r>
              <w:rPr>
                <w:spacing w:val="-5"/>
              </w:rPr>
              <w:t>程建设，鼓励采用资源化利用方式处</w:t>
            </w:r>
            <w:r>
              <w:rPr>
                <w:spacing w:val="8"/>
              </w:rPr>
              <w:t>理处置污泥，经处理后的污泥达到</w:t>
            </w:r>
            <w:r>
              <w:rPr>
                <w:spacing w:val="36"/>
              </w:rPr>
              <w:t>《农用污泥污染物控制标准</w:t>
            </w:r>
            <w:r>
              <w:rPr>
                <w:spacing w:val="-16"/>
              </w:rPr>
              <w:t xml:space="preserve"> </w:t>
            </w:r>
            <w:r>
              <w:rPr>
                <w:spacing w:val="36"/>
              </w:rPr>
              <w:t>》</w:t>
            </w:r>
            <w:r>
              <w:t xml:space="preserve"> </w:t>
            </w:r>
            <w:r>
              <w:rPr>
                <w:spacing w:val="3"/>
              </w:rPr>
              <w:t>（</w:t>
            </w:r>
            <w:r>
              <w:rPr>
                <w:rFonts w:ascii="Times New Roman" w:hAnsi="Times New Roman" w:eastAsia="Times New Roman" w:cs="Times New Roman"/>
              </w:rPr>
              <w:t>GB</w:t>
            </w:r>
            <w:r>
              <w:rPr>
                <w:rFonts w:ascii="Times New Roman" w:hAnsi="Times New Roman" w:eastAsia="Times New Roman" w:cs="Times New Roman"/>
                <w:spacing w:val="3"/>
              </w:rPr>
              <w:t>4282</w:t>
            </w:r>
            <w:r>
              <w:rPr>
                <w:spacing w:val="3"/>
              </w:rPr>
              <w:t>—</w:t>
            </w:r>
            <w:r>
              <w:rPr>
                <w:rFonts w:ascii="Times New Roman" w:hAnsi="Times New Roman" w:eastAsia="Times New Roman" w:cs="Times New Roman"/>
                <w:spacing w:val="3"/>
              </w:rPr>
              <w:t>2018</w:t>
            </w:r>
            <w:r>
              <w:rPr>
                <w:spacing w:val="3"/>
              </w:rPr>
              <w:t>）要求的用于还田</w:t>
            </w:r>
            <w:r>
              <w:rPr>
                <w:spacing w:val="-8"/>
              </w:rPr>
              <w:t>利用。</w:t>
            </w:r>
          </w:p>
        </w:tc>
        <w:tc>
          <w:tcPr>
            <w:tcW w:w="2603" w:type="dxa"/>
            <w:vAlign w:val="top"/>
          </w:tcPr>
          <w:p w14:paraId="6F6A98B6">
            <w:pPr>
              <w:spacing w:line="308" w:lineRule="auto"/>
              <w:rPr>
                <w:rFonts w:ascii="Arial"/>
                <w:sz w:val="21"/>
              </w:rPr>
            </w:pPr>
          </w:p>
          <w:p w14:paraId="168AE8B5">
            <w:pPr>
              <w:spacing w:line="308" w:lineRule="auto"/>
              <w:rPr>
                <w:rFonts w:ascii="Arial"/>
                <w:sz w:val="21"/>
              </w:rPr>
            </w:pPr>
          </w:p>
          <w:p w14:paraId="7A2E4DB7">
            <w:pPr>
              <w:pStyle w:val="6"/>
              <w:spacing w:before="68" w:line="281" w:lineRule="auto"/>
              <w:ind w:left="113" w:right="105"/>
            </w:pPr>
            <w:r>
              <w:rPr>
                <w:spacing w:val="6"/>
              </w:rPr>
              <w:t>本项目为输变电工程，不</w:t>
            </w:r>
            <w:r>
              <w:rPr>
                <w:spacing w:val="-2"/>
              </w:rPr>
              <w:t>涉及污泥处理处置问题。</w:t>
            </w:r>
          </w:p>
        </w:tc>
        <w:tc>
          <w:tcPr>
            <w:tcW w:w="737" w:type="dxa"/>
            <w:vAlign w:val="top"/>
          </w:tcPr>
          <w:p w14:paraId="3101EF84">
            <w:pPr>
              <w:spacing w:line="257" w:lineRule="auto"/>
              <w:rPr>
                <w:rFonts w:ascii="Arial"/>
                <w:sz w:val="21"/>
              </w:rPr>
            </w:pPr>
          </w:p>
          <w:p w14:paraId="007A42F0">
            <w:pPr>
              <w:spacing w:line="257" w:lineRule="auto"/>
              <w:rPr>
                <w:rFonts w:ascii="Arial"/>
                <w:sz w:val="21"/>
              </w:rPr>
            </w:pPr>
          </w:p>
          <w:p w14:paraId="758D86C3">
            <w:pPr>
              <w:spacing w:line="258" w:lineRule="auto"/>
              <w:rPr>
                <w:rFonts w:ascii="Arial"/>
                <w:sz w:val="21"/>
              </w:rPr>
            </w:pPr>
          </w:p>
          <w:p w14:paraId="502A9C29">
            <w:pPr>
              <w:pStyle w:val="6"/>
              <w:spacing w:before="68" w:line="221" w:lineRule="auto"/>
              <w:ind w:left="166"/>
            </w:pPr>
            <w:r>
              <w:rPr>
                <w:spacing w:val="-2"/>
              </w:rPr>
              <w:t>符合</w:t>
            </w:r>
          </w:p>
        </w:tc>
        <w:tc>
          <w:tcPr>
            <w:tcW w:w="115" w:type="dxa"/>
            <w:tcBorders>
              <w:top w:val="nil"/>
              <w:bottom w:val="nil"/>
            </w:tcBorders>
            <w:vAlign w:val="top"/>
          </w:tcPr>
          <w:p w14:paraId="671A7EFC">
            <w:pPr>
              <w:rPr>
                <w:rFonts w:ascii="Arial"/>
                <w:sz w:val="21"/>
              </w:rPr>
            </w:pPr>
          </w:p>
        </w:tc>
      </w:tr>
      <w:tr w14:paraId="649C47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9" w:hRule="atLeast"/>
        </w:trPr>
        <w:tc>
          <w:tcPr>
            <w:tcW w:w="571" w:type="dxa"/>
            <w:vMerge w:val="continue"/>
            <w:tcBorders>
              <w:top w:val="nil"/>
              <w:bottom w:val="nil"/>
            </w:tcBorders>
            <w:vAlign w:val="top"/>
          </w:tcPr>
          <w:p w14:paraId="471FF66B">
            <w:pPr>
              <w:rPr>
                <w:rFonts w:ascii="Arial"/>
                <w:sz w:val="21"/>
              </w:rPr>
            </w:pPr>
          </w:p>
        </w:tc>
        <w:tc>
          <w:tcPr>
            <w:tcW w:w="115" w:type="dxa"/>
            <w:tcBorders>
              <w:top w:val="nil"/>
              <w:bottom w:val="nil"/>
            </w:tcBorders>
            <w:vAlign w:val="top"/>
          </w:tcPr>
          <w:p w14:paraId="2BB7108E">
            <w:pPr>
              <w:rPr>
                <w:rFonts w:ascii="Arial"/>
                <w:sz w:val="21"/>
              </w:rPr>
            </w:pPr>
          </w:p>
        </w:tc>
        <w:tc>
          <w:tcPr>
            <w:tcW w:w="494" w:type="dxa"/>
            <w:vMerge w:val="continue"/>
            <w:tcBorders>
              <w:top w:val="nil"/>
              <w:bottom w:val="nil"/>
            </w:tcBorders>
            <w:vAlign w:val="top"/>
          </w:tcPr>
          <w:p w14:paraId="753E0498">
            <w:pPr>
              <w:rPr>
                <w:rFonts w:ascii="Arial"/>
                <w:sz w:val="21"/>
              </w:rPr>
            </w:pPr>
          </w:p>
        </w:tc>
        <w:tc>
          <w:tcPr>
            <w:tcW w:w="448" w:type="dxa"/>
            <w:vMerge w:val="continue"/>
            <w:tcBorders>
              <w:top w:val="nil"/>
              <w:bottom w:val="nil"/>
            </w:tcBorders>
            <w:vAlign w:val="top"/>
          </w:tcPr>
          <w:p w14:paraId="1932B262">
            <w:pPr>
              <w:rPr>
                <w:rFonts w:ascii="Arial"/>
                <w:sz w:val="21"/>
              </w:rPr>
            </w:pPr>
          </w:p>
        </w:tc>
        <w:tc>
          <w:tcPr>
            <w:tcW w:w="483" w:type="dxa"/>
            <w:vMerge w:val="continue"/>
            <w:tcBorders>
              <w:top w:val="nil"/>
              <w:bottom w:val="nil"/>
            </w:tcBorders>
            <w:vAlign w:val="top"/>
          </w:tcPr>
          <w:p w14:paraId="7333622B">
            <w:pPr>
              <w:rPr>
                <w:rFonts w:ascii="Arial"/>
                <w:sz w:val="21"/>
              </w:rPr>
            </w:pPr>
          </w:p>
        </w:tc>
        <w:tc>
          <w:tcPr>
            <w:tcW w:w="3507" w:type="dxa"/>
            <w:vAlign w:val="top"/>
          </w:tcPr>
          <w:p w14:paraId="48AC2D0B">
            <w:pPr>
              <w:pStyle w:val="6"/>
              <w:spacing w:before="57" w:line="264" w:lineRule="auto"/>
              <w:ind w:left="112" w:right="101" w:firstLine="4"/>
              <w:jc w:val="both"/>
            </w:pPr>
            <w:r>
              <w:rPr>
                <w:rFonts w:ascii="Times New Roman" w:hAnsi="Times New Roman" w:eastAsia="Times New Roman" w:cs="Times New Roman"/>
                <w:spacing w:val="-2"/>
              </w:rPr>
              <w:t>8.</w:t>
            </w:r>
            <w:r>
              <w:rPr>
                <w:spacing w:val="-2"/>
              </w:rPr>
              <w:t>加快生活垃圾处理设施建设，推进</w:t>
            </w:r>
            <w:r>
              <w:rPr>
                <w:spacing w:val="-5"/>
              </w:rPr>
              <w:t>实施生活垃圾焚烧发电，全面提升城</w:t>
            </w:r>
            <w:r>
              <w:rPr>
                <w:spacing w:val="8"/>
              </w:rPr>
              <w:t>镇生活垃圾分类收转运能力和厨余</w:t>
            </w:r>
            <w:r>
              <w:rPr>
                <w:spacing w:val="-3"/>
              </w:rPr>
              <w:t>垃圾处理能力。</w:t>
            </w:r>
          </w:p>
        </w:tc>
        <w:tc>
          <w:tcPr>
            <w:tcW w:w="2603" w:type="dxa"/>
            <w:vAlign w:val="top"/>
          </w:tcPr>
          <w:p w14:paraId="28563D5B">
            <w:pPr>
              <w:pStyle w:val="6"/>
              <w:spacing w:before="215" w:line="279" w:lineRule="auto"/>
              <w:ind w:left="114" w:right="105" w:firstLine="1"/>
              <w:jc w:val="both"/>
            </w:pPr>
            <w:r>
              <w:rPr>
                <w:spacing w:val="6"/>
              </w:rPr>
              <w:t>项目施工期施工人员生活垃圾依托租住村镇居民房</w:t>
            </w:r>
            <w:r>
              <w:rPr>
                <w:spacing w:val="-1"/>
              </w:rPr>
              <w:t>屋现有设施处理。</w:t>
            </w:r>
          </w:p>
        </w:tc>
        <w:tc>
          <w:tcPr>
            <w:tcW w:w="737" w:type="dxa"/>
            <w:vAlign w:val="top"/>
          </w:tcPr>
          <w:p w14:paraId="1D572664">
            <w:pPr>
              <w:spacing w:line="458" w:lineRule="auto"/>
              <w:rPr>
                <w:rFonts w:ascii="Arial"/>
                <w:sz w:val="21"/>
              </w:rPr>
            </w:pPr>
          </w:p>
          <w:p w14:paraId="2EB8A1DC">
            <w:pPr>
              <w:pStyle w:val="6"/>
              <w:spacing w:before="68" w:line="221" w:lineRule="auto"/>
              <w:ind w:left="166"/>
            </w:pPr>
            <w:r>
              <w:rPr>
                <w:spacing w:val="-2"/>
              </w:rPr>
              <w:t>符合</w:t>
            </w:r>
          </w:p>
        </w:tc>
        <w:tc>
          <w:tcPr>
            <w:tcW w:w="115" w:type="dxa"/>
            <w:tcBorders>
              <w:top w:val="nil"/>
              <w:bottom w:val="nil"/>
            </w:tcBorders>
            <w:vAlign w:val="top"/>
          </w:tcPr>
          <w:p w14:paraId="07BCE3E3">
            <w:pPr>
              <w:rPr>
                <w:rFonts w:ascii="Arial"/>
                <w:sz w:val="21"/>
              </w:rPr>
            </w:pPr>
          </w:p>
        </w:tc>
      </w:tr>
      <w:tr w14:paraId="73A6B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1" w:hRule="atLeast"/>
        </w:trPr>
        <w:tc>
          <w:tcPr>
            <w:tcW w:w="571" w:type="dxa"/>
            <w:vMerge w:val="continue"/>
            <w:tcBorders>
              <w:top w:val="nil"/>
            </w:tcBorders>
            <w:vAlign w:val="top"/>
          </w:tcPr>
          <w:p w14:paraId="5DA217B4">
            <w:pPr>
              <w:rPr>
                <w:rFonts w:ascii="Arial"/>
                <w:sz w:val="21"/>
              </w:rPr>
            </w:pPr>
          </w:p>
        </w:tc>
        <w:tc>
          <w:tcPr>
            <w:tcW w:w="115" w:type="dxa"/>
            <w:tcBorders>
              <w:top w:val="nil"/>
            </w:tcBorders>
            <w:vAlign w:val="top"/>
          </w:tcPr>
          <w:p w14:paraId="7D5BB7E9">
            <w:pPr>
              <w:rPr>
                <w:rFonts w:ascii="Arial"/>
                <w:sz w:val="21"/>
              </w:rPr>
            </w:pPr>
          </w:p>
        </w:tc>
        <w:tc>
          <w:tcPr>
            <w:tcW w:w="494" w:type="dxa"/>
            <w:vMerge w:val="continue"/>
            <w:tcBorders>
              <w:top w:val="nil"/>
            </w:tcBorders>
            <w:vAlign w:val="top"/>
          </w:tcPr>
          <w:p w14:paraId="35BFE66C">
            <w:pPr>
              <w:rPr>
                <w:rFonts w:ascii="Arial"/>
                <w:sz w:val="21"/>
              </w:rPr>
            </w:pPr>
          </w:p>
        </w:tc>
        <w:tc>
          <w:tcPr>
            <w:tcW w:w="448" w:type="dxa"/>
            <w:vMerge w:val="continue"/>
            <w:tcBorders>
              <w:top w:val="nil"/>
            </w:tcBorders>
            <w:vAlign w:val="top"/>
          </w:tcPr>
          <w:p w14:paraId="308B4548">
            <w:pPr>
              <w:rPr>
                <w:rFonts w:ascii="Arial"/>
                <w:sz w:val="21"/>
              </w:rPr>
            </w:pPr>
          </w:p>
        </w:tc>
        <w:tc>
          <w:tcPr>
            <w:tcW w:w="483" w:type="dxa"/>
            <w:vMerge w:val="continue"/>
            <w:tcBorders>
              <w:top w:val="nil"/>
            </w:tcBorders>
            <w:vAlign w:val="top"/>
          </w:tcPr>
          <w:p w14:paraId="22731455">
            <w:pPr>
              <w:rPr>
                <w:rFonts w:ascii="Arial"/>
                <w:sz w:val="21"/>
              </w:rPr>
            </w:pPr>
          </w:p>
        </w:tc>
        <w:tc>
          <w:tcPr>
            <w:tcW w:w="3507" w:type="dxa"/>
            <w:vAlign w:val="top"/>
          </w:tcPr>
          <w:p w14:paraId="3F9ECDBF">
            <w:pPr>
              <w:pStyle w:val="6"/>
              <w:spacing w:before="55" w:line="272" w:lineRule="auto"/>
              <w:ind w:left="113" w:right="101" w:hanging="1"/>
              <w:jc w:val="both"/>
            </w:pPr>
            <w:r>
              <w:rPr>
                <w:rFonts w:ascii="Times New Roman" w:hAnsi="Times New Roman" w:eastAsia="Times New Roman" w:cs="Times New Roman"/>
                <w:spacing w:val="-7"/>
              </w:rPr>
              <w:t>9.</w:t>
            </w:r>
            <w:r>
              <w:rPr>
                <w:spacing w:val="-7"/>
              </w:rPr>
              <w:t>到</w:t>
            </w:r>
            <w:r>
              <w:rPr>
                <w:spacing w:val="-39"/>
              </w:rPr>
              <w:t xml:space="preserve"> </w:t>
            </w:r>
            <w:r>
              <w:rPr>
                <w:rFonts w:ascii="Times New Roman" w:hAnsi="Times New Roman" w:eastAsia="Times New Roman" w:cs="Times New Roman"/>
                <w:spacing w:val="-7"/>
              </w:rPr>
              <w:t xml:space="preserve">2025 </w:t>
            </w:r>
            <w:r>
              <w:rPr>
                <w:spacing w:val="-7"/>
              </w:rPr>
              <w:t>年，中心城区、县城中心城</w:t>
            </w:r>
            <w:r>
              <w:rPr>
                <w:spacing w:val="-5"/>
              </w:rPr>
              <w:t>市建成区基本实现污水全收集、全处理，建制镇污水收集处理能力明显提升，中心城市、县城平均污泥无害化</w:t>
            </w:r>
            <w:r>
              <w:rPr>
                <w:spacing w:val="-6"/>
              </w:rPr>
              <w:t>处理率达到</w:t>
            </w:r>
            <w:r>
              <w:rPr>
                <w:spacing w:val="-44"/>
              </w:rPr>
              <w:t xml:space="preserve"> </w:t>
            </w:r>
            <w:r>
              <w:rPr>
                <w:rFonts w:ascii="Times New Roman" w:hAnsi="Times New Roman" w:eastAsia="Times New Roman" w:cs="Times New Roman"/>
                <w:spacing w:val="-6"/>
              </w:rPr>
              <w:t>90%</w:t>
            </w:r>
            <w:r>
              <w:rPr>
                <w:spacing w:val="-6"/>
              </w:rPr>
              <w:t>以上，力争实现全市</w:t>
            </w:r>
            <w:r>
              <w:rPr>
                <w:spacing w:val="-5"/>
              </w:rPr>
              <w:t>生活垃圾焚烧处理实现全覆盖，餐厨</w:t>
            </w:r>
            <w:r>
              <w:rPr>
                <w:spacing w:val="-2"/>
              </w:rPr>
              <w:t>垃圾实现零填埋无害化处理。</w:t>
            </w:r>
          </w:p>
        </w:tc>
        <w:tc>
          <w:tcPr>
            <w:tcW w:w="2603" w:type="dxa"/>
            <w:vAlign w:val="top"/>
          </w:tcPr>
          <w:p w14:paraId="2871170F">
            <w:pPr>
              <w:pStyle w:val="6"/>
              <w:spacing w:before="55" w:line="272" w:lineRule="auto"/>
              <w:ind w:left="112" w:right="102"/>
              <w:jc w:val="both"/>
            </w:pPr>
            <w:r>
              <w:rPr>
                <w:spacing w:val="6"/>
              </w:rPr>
              <w:t>本项目为输变电工程，施工期废水经临时沉淀池处</w:t>
            </w:r>
            <w:r>
              <w:rPr>
                <w:spacing w:val="22"/>
              </w:rPr>
              <w:t>理后全部回用或洒水</w:t>
            </w:r>
            <w:r>
              <w:rPr>
                <w:spacing w:val="-44"/>
              </w:rPr>
              <w:t xml:space="preserve"> </w:t>
            </w:r>
            <w:r>
              <w:rPr>
                <w:spacing w:val="22"/>
              </w:rPr>
              <w:t>降</w:t>
            </w:r>
            <w:r>
              <w:rPr>
                <w:spacing w:val="-12"/>
              </w:rPr>
              <w:t>尘，不外排；运营期无废水</w:t>
            </w:r>
            <w:r>
              <w:rPr>
                <w:spacing w:val="6"/>
              </w:rPr>
              <w:t>产生。施工期施工人员生活垃圾依托租住村镇居民</w:t>
            </w:r>
            <w:r>
              <w:rPr>
                <w:spacing w:val="-3"/>
              </w:rPr>
              <w:t>房屋现有设施处理。</w:t>
            </w:r>
          </w:p>
        </w:tc>
        <w:tc>
          <w:tcPr>
            <w:tcW w:w="737" w:type="dxa"/>
            <w:vAlign w:val="top"/>
          </w:tcPr>
          <w:p w14:paraId="3B72EFE2">
            <w:pPr>
              <w:spacing w:line="310" w:lineRule="auto"/>
              <w:rPr>
                <w:rFonts w:ascii="Arial"/>
                <w:sz w:val="21"/>
              </w:rPr>
            </w:pPr>
          </w:p>
          <w:p w14:paraId="0E77C766">
            <w:pPr>
              <w:spacing w:line="310" w:lineRule="auto"/>
              <w:rPr>
                <w:rFonts w:ascii="Arial"/>
                <w:sz w:val="21"/>
              </w:rPr>
            </w:pPr>
          </w:p>
          <w:p w14:paraId="098AD43F">
            <w:pPr>
              <w:spacing w:line="311" w:lineRule="auto"/>
              <w:rPr>
                <w:rFonts w:ascii="Arial"/>
                <w:sz w:val="21"/>
              </w:rPr>
            </w:pPr>
          </w:p>
          <w:p w14:paraId="35CE1757">
            <w:pPr>
              <w:pStyle w:val="6"/>
              <w:spacing w:before="68" w:line="221" w:lineRule="auto"/>
              <w:ind w:left="166"/>
            </w:pPr>
            <w:r>
              <w:rPr>
                <w:spacing w:val="-2"/>
              </w:rPr>
              <w:t>符合</w:t>
            </w:r>
          </w:p>
        </w:tc>
        <w:tc>
          <w:tcPr>
            <w:tcW w:w="115" w:type="dxa"/>
            <w:tcBorders>
              <w:top w:val="nil"/>
            </w:tcBorders>
            <w:vAlign w:val="top"/>
          </w:tcPr>
          <w:p w14:paraId="22B4FA1D">
            <w:pPr>
              <w:rPr>
                <w:rFonts w:ascii="Arial"/>
                <w:sz w:val="21"/>
              </w:rPr>
            </w:pPr>
          </w:p>
        </w:tc>
      </w:tr>
    </w:tbl>
    <w:p w14:paraId="37BED195">
      <w:pPr>
        <w:rPr>
          <w:rFonts w:ascii="Arial"/>
          <w:sz w:val="21"/>
        </w:rPr>
      </w:pPr>
    </w:p>
    <w:p w14:paraId="22EAE5D5">
      <w:pPr>
        <w:rPr>
          <w:rFonts w:ascii="Arial" w:hAnsi="Arial" w:eastAsia="Arial" w:cs="Arial"/>
          <w:sz w:val="21"/>
          <w:szCs w:val="21"/>
        </w:rPr>
        <w:sectPr>
          <w:footerReference r:id="rId14" w:type="default"/>
          <w:pgSz w:w="11907" w:h="16841"/>
          <w:pgMar w:top="400" w:right="1413" w:bottom="1126" w:left="1414" w:header="0" w:footer="925" w:gutter="0"/>
          <w:cols w:space="720" w:num="1"/>
        </w:sectPr>
      </w:pPr>
    </w:p>
    <w:p w14:paraId="02383196">
      <w:pPr>
        <w:spacing w:before="2"/>
      </w:pPr>
    </w:p>
    <w:p w14:paraId="5B9716F5">
      <w:pPr>
        <w:spacing w:before="2"/>
      </w:pPr>
    </w:p>
    <w:p w14:paraId="4BBAE613">
      <w:pPr>
        <w:spacing w:before="1"/>
      </w:pPr>
    </w:p>
    <w:p w14:paraId="1B80661B">
      <w:pPr>
        <w:spacing w:before="1"/>
      </w:pPr>
    </w:p>
    <w:p w14:paraId="7BA78F28">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5"/>
        <w:gridCol w:w="494"/>
        <w:gridCol w:w="448"/>
        <w:gridCol w:w="483"/>
        <w:gridCol w:w="3507"/>
        <w:gridCol w:w="2603"/>
        <w:gridCol w:w="737"/>
        <w:gridCol w:w="115"/>
      </w:tblGrid>
      <w:tr w14:paraId="57CA04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8" w:hRule="atLeast"/>
        </w:trPr>
        <w:tc>
          <w:tcPr>
            <w:tcW w:w="571" w:type="dxa"/>
            <w:vMerge w:val="restart"/>
            <w:tcBorders>
              <w:bottom w:val="nil"/>
            </w:tcBorders>
            <w:vAlign w:val="top"/>
          </w:tcPr>
          <w:p w14:paraId="400CBD13">
            <w:pPr>
              <w:rPr>
                <w:rFonts w:ascii="Arial"/>
                <w:sz w:val="21"/>
              </w:rPr>
            </w:pPr>
          </w:p>
        </w:tc>
        <w:tc>
          <w:tcPr>
            <w:tcW w:w="115" w:type="dxa"/>
            <w:tcBorders>
              <w:bottom w:val="nil"/>
            </w:tcBorders>
            <w:vAlign w:val="top"/>
          </w:tcPr>
          <w:p w14:paraId="29E17611">
            <w:pPr>
              <w:rPr>
                <w:rFonts w:ascii="Arial"/>
                <w:sz w:val="21"/>
              </w:rPr>
            </w:pPr>
          </w:p>
        </w:tc>
        <w:tc>
          <w:tcPr>
            <w:tcW w:w="494" w:type="dxa"/>
            <w:vMerge w:val="restart"/>
            <w:tcBorders>
              <w:bottom w:val="nil"/>
            </w:tcBorders>
            <w:vAlign w:val="top"/>
          </w:tcPr>
          <w:p w14:paraId="04C513F2">
            <w:pPr>
              <w:rPr>
                <w:rFonts w:ascii="Arial"/>
                <w:sz w:val="21"/>
              </w:rPr>
            </w:pPr>
          </w:p>
        </w:tc>
        <w:tc>
          <w:tcPr>
            <w:tcW w:w="448" w:type="dxa"/>
            <w:vMerge w:val="restart"/>
            <w:tcBorders>
              <w:bottom w:val="nil"/>
            </w:tcBorders>
            <w:vAlign w:val="top"/>
          </w:tcPr>
          <w:p w14:paraId="4F0C30E7">
            <w:pPr>
              <w:rPr>
                <w:rFonts w:ascii="Arial"/>
                <w:sz w:val="21"/>
              </w:rPr>
            </w:pPr>
          </w:p>
        </w:tc>
        <w:tc>
          <w:tcPr>
            <w:tcW w:w="483" w:type="dxa"/>
            <w:vMerge w:val="restart"/>
            <w:tcBorders>
              <w:bottom w:val="nil"/>
            </w:tcBorders>
            <w:vAlign w:val="top"/>
          </w:tcPr>
          <w:p w14:paraId="03595BBD">
            <w:pPr>
              <w:rPr>
                <w:rFonts w:ascii="Arial"/>
                <w:sz w:val="21"/>
              </w:rPr>
            </w:pPr>
          </w:p>
        </w:tc>
        <w:tc>
          <w:tcPr>
            <w:tcW w:w="3507" w:type="dxa"/>
            <w:vAlign w:val="top"/>
          </w:tcPr>
          <w:p w14:paraId="5A4D5776">
            <w:pPr>
              <w:pStyle w:val="6"/>
              <w:spacing w:before="71" w:line="271" w:lineRule="auto"/>
              <w:ind w:left="111" w:right="101" w:firstLine="17"/>
              <w:jc w:val="both"/>
            </w:pPr>
            <w:r>
              <w:rPr>
                <w:rFonts w:ascii="Times New Roman" w:hAnsi="Times New Roman" w:eastAsia="Times New Roman" w:cs="Times New Roman"/>
                <w:spacing w:val="-3"/>
              </w:rPr>
              <w:t>10.</w:t>
            </w:r>
            <w:r>
              <w:rPr>
                <w:spacing w:val="-3"/>
              </w:rPr>
              <w:t>到</w:t>
            </w:r>
            <w:r>
              <w:rPr>
                <w:spacing w:val="-31"/>
              </w:rPr>
              <w:t xml:space="preserve"> </w:t>
            </w:r>
            <w:r>
              <w:rPr>
                <w:rFonts w:ascii="Times New Roman" w:hAnsi="Times New Roman" w:eastAsia="Times New Roman" w:cs="Times New Roman"/>
                <w:spacing w:val="-3"/>
              </w:rPr>
              <w:t xml:space="preserve">2025 </w:t>
            </w:r>
            <w:r>
              <w:rPr>
                <w:spacing w:val="-3"/>
              </w:rPr>
              <w:t>年，全市农村生活污水治</w:t>
            </w:r>
            <w:r>
              <w:rPr>
                <w:spacing w:val="-6"/>
              </w:rPr>
              <w:t>理率达到</w:t>
            </w:r>
            <w:r>
              <w:rPr>
                <w:spacing w:val="-41"/>
              </w:rPr>
              <w:t xml:space="preserve"> </w:t>
            </w:r>
            <w:r>
              <w:rPr>
                <w:rFonts w:ascii="Times New Roman" w:hAnsi="Times New Roman" w:eastAsia="Times New Roman" w:cs="Times New Roman"/>
                <w:spacing w:val="-6"/>
              </w:rPr>
              <w:t>40%</w:t>
            </w:r>
            <w:r>
              <w:rPr>
                <w:spacing w:val="-6"/>
              </w:rPr>
              <w:t>以上，城乡生活垃圾焚烧处理比重达</w:t>
            </w:r>
            <w:r>
              <w:rPr>
                <w:spacing w:val="-41"/>
              </w:rPr>
              <w:t xml:space="preserve"> </w:t>
            </w:r>
            <w:r>
              <w:rPr>
                <w:rFonts w:ascii="Times New Roman" w:hAnsi="Times New Roman" w:eastAsia="Times New Roman" w:cs="Times New Roman"/>
                <w:spacing w:val="-6"/>
              </w:rPr>
              <w:t>90%</w:t>
            </w:r>
            <w:r>
              <w:rPr>
                <w:spacing w:val="-6"/>
              </w:rPr>
              <w:t>以上，全市农村卫生户厕覆盖率达到</w:t>
            </w:r>
            <w:r>
              <w:rPr>
                <w:spacing w:val="-41"/>
              </w:rPr>
              <w:t xml:space="preserve"> </w:t>
            </w:r>
            <w:r>
              <w:rPr>
                <w:rFonts w:ascii="Times New Roman" w:hAnsi="Times New Roman" w:eastAsia="Times New Roman" w:cs="Times New Roman"/>
                <w:spacing w:val="-6"/>
              </w:rPr>
              <w:t>70%</w:t>
            </w:r>
            <w:r>
              <w:rPr>
                <w:spacing w:val="-6"/>
              </w:rPr>
              <w:t>以上，农膜回收率达到</w:t>
            </w:r>
            <w:r>
              <w:rPr>
                <w:spacing w:val="-41"/>
              </w:rPr>
              <w:t xml:space="preserve"> </w:t>
            </w:r>
            <w:r>
              <w:rPr>
                <w:rFonts w:ascii="Times New Roman" w:hAnsi="Times New Roman" w:eastAsia="Times New Roman" w:cs="Times New Roman"/>
                <w:spacing w:val="-6"/>
              </w:rPr>
              <w:t>90%</w:t>
            </w:r>
            <w:r>
              <w:rPr>
                <w:spacing w:val="-6"/>
              </w:rPr>
              <w:t>以上，秸秆综合利用率稳定在</w:t>
            </w:r>
            <w:r>
              <w:rPr>
                <w:spacing w:val="-41"/>
              </w:rPr>
              <w:t xml:space="preserve"> </w:t>
            </w:r>
            <w:r>
              <w:rPr>
                <w:rFonts w:ascii="Times New Roman" w:hAnsi="Times New Roman" w:eastAsia="Times New Roman" w:cs="Times New Roman"/>
                <w:spacing w:val="-6"/>
              </w:rPr>
              <w:t>90%</w:t>
            </w:r>
            <w:r>
              <w:rPr>
                <w:spacing w:val="-6"/>
              </w:rPr>
              <w:t>以上，畜禽粪污综合利用率达到</w:t>
            </w:r>
            <w:r>
              <w:rPr>
                <w:spacing w:val="-41"/>
              </w:rPr>
              <w:t xml:space="preserve"> </w:t>
            </w:r>
            <w:r>
              <w:rPr>
                <w:rFonts w:ascii="Times New Roman" w:hAnsi="Times New Roman" w:eastAsia="Times New Roman" w:cs="Times New Roman"/>
                <w:spacing w:val="-6"/>
              </w:rPr>
              <w:t>95%</w:t>
            </w:r>
            <w:r>
              <w:rPr>
                <w:spacing w:val="-6"/>
              </w:rPr>
              <w:t>以上；基本实现化肥农药</w:t>
            </w:r>
            <w:r>
              <w:rPr>
                <w:spacing w:val="-3"/>
              </w:rPr>
              <w:t>施用量减少</w:t>
            </w:r>
            <w:r>
              <w:rPr>
                <w:spacing w:val="-43"/>
              </w:rPr>
              <w:t xml:space="preserve"> </w:t>
            </w:r>
            <w:r>
              <w:rPr>
                <w:rFonts w:ascii="Times New Roman" w:hAnsi="Times New Roman" w:eastAsia="Times New Roman" w:cs="Times New Roman"/>
                <w:spacing w:val="-3"/>
              </w:rPr>
              <w:t>3%</w:t>
            </w:r>
            <w:r>
              <w:rPr>
                <w:spacing w:val="-3"/>
              </w:rPr>
              <w:t>以上。</w:t>
            </w:r>
          </w:p>
        </w:tc>
        <w:tc>
          <w:tcPr>
            <w:tcW w:w="2603" w:type="dxa"/>
            <w:vAlign w:val="top"/>
          </w:tcPr>
          <w:p w14:paraId="536FF532">
            <w:pPr>
              <w:spacing w:line="315" w:lineRule="auto"/>
              <w:rPr>
                <w:rFonts w:ascii="Arial"/>
                <w:sz w:val="21"/>
              </w:rPr>
            </w:pPr>
          </w:p>
          <w:p w14:paraId="7A054AD7">
            <w:pPr>
              <w:spacing w:line="315" w:lineRule="auto"/>
              <w:rPr>
                <w:rFonts w:ascii="Arial"/>
                <w:sz w:val="21"/>
              </w:rPr>
            </w:pPr>
          </w:p>
          <w:p w14:paraId="6EDCAB49">
            <w:pPr>
              <w:spacing w:line="315" w:lineRule="auto"/>
              <w:rPr>
                <w:rFonts w:ascii="Arial"/>
                <w:sz w:val="21"/>
              </w:rPr>
            </w:pPr>
          </w:p>
          <w:p w14:paraId="58368062">
            <w:pPr>
              <w:pStyle w:val="6"/>
              <w:spacing w:before="68" w:line="278" w:lineRule="auto"/>
              <w:ind w:left="113" w:right="105"/>
            </w:pPr>
            <w:r>
              <w:rPr>
                <w:spacing w:val="6"/>
              </w:rPr>
              <w:t>本项目为输变电工程，不</w:t>
            </w:r>
            <w:r>
              <w:rPr>
                <w:spacing w:val="-3"/>
              </w:rPr>
              <w:t>属于该条所列项目。</w:t>
            </w:r>
          </w:p>
        </w:tc>
        <w:tc>
          <w:tcPr>
            <w:tcW w:w="737" w:type="dxa"/>
            <w:vAlign w:val="top"/>
          </w:tcPr>
          <w:p w14:paraId="5CC7AC39">
            <w:pPr>
              <w:spacing w:line="274" w:lineRule="auto"/>
              <w:rPr>
                <w:rFonts w:ascii="Arial"/>
                <w:sz w:val="21"/>
              </w:rPr>
            </w:pPr>
          </w:p>
          <w:p w14:paraId="3DC63A75">
            <w:pPr>
              <w:spacing w:line="275" w:lineRule="auto"/>
              <w:rPr>
                <w:rFonts w:ascii="Arial"/>
                <w:sz w:val="21"/>
              </w:rPr>
            </w:pPr>
          </w:p>
          <w:p w14:paraId="01FDB514">
            <w:pPr>
              <w:spacing w:line="275" w:lineRule="auto"/>
              <w:rPr>
                <w:rFonts w:ascii="Arial"/>
                <w:sz w:val="21"/>
              </w:rPr>
            </w:pPr>
          </w:p>
          <w:p w14:paraId="048F4232">
            <w:pPr>
              <w:spacing w:line="275" w:lineRule="auto"/>
              <w:rPr>
                <w:rFonts w:ascii="Arial"/>
                <w:sz w:val="21"/>
              </w:rPr>
            </w:pPr>
          </w:p>
          <w:p w14:paraId="3D7961F8">
            <w:pPr>
              <w:pStyle w:val="6"/>
              <w:spacing w:before="68" w:line="221" w:lineRule="auto"/>
              <w:ind w:left="166"/>
            </w:pPr>
            <w:r>
              <w:rPr>
                <w:spacing w:val="-2"/>
              </w:rPr>
              <w:t>符合</w:t>
            </w:r>
          </w:p>
        </w:tc>
        <w:tc>
          <w:tcPr>
            <w:tcW w:w="115" w:type="dxa"/>
            <w:tcBorders>
              <w:bottom w:val="nil"/>
            </w:tcBorders>
            <w:vAlign w:val="top"/>
          </w:tcPr>
          <w:p w14:paraId="3B093B1C">
            <w:pPr>
              <w:rPr>
                <w:rFonts w:ascii="Arial"/>
                <w:sz w:val="21"/>
              </w:rPr>
            </w:pPr>
          </w:p>
        </w:tc>
      </w:tr>
      <w:tr w14:paraId="0F275D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7" w:hRule="atLeast"/>
        </w:trPr>
        <w:tc>
          <w:tcPr>
            <w:tcW w:w="571" w:type="dxa"/>
            <w:vMerge w:val="continue"/>
            <w:tcBorders>
              <w:top w:val="nil"/>
              <w:bottom w:val="nil"/>
            </w:tcBorders>
            <w:vAlign w:val="top"/>
          </w:tcPr>
          <w:p w14:paraId="48E98E5E">
            <w:pPr>
              <w:rPr>
                <w:rFonts w:ascii="Arial"/>
                <w:sz w:val="21"/>
              </w:rPr>
            </w:pPr>
          </w:p>
        </w:tc>
        <w:tc>
          <w:tcPr>
            <w:tcW w:w="115" w:type="dxa"/>
            <w:tcBorders>
              <w:top w:val="nil"/>
              <w:bottom w:val="nil"/>
            </w:tcBorders>
            <w:vAlign w:val="top"/>
          </w:tcPr>
          <w:p w14:paraId="5A061E8B">
            <w:pPr>
              <w:rPr>
                <w:rFonts w:ascii="Arial"/>
                <w:sz w:val="21"/>
              </w:rPr>
            </w:pPr>
          </w:p>
        </w:tc>
        <w:tc>
          <w:tcPr>
            <w:tcW w:w="494" w:type="dxa"/>
            <w:vMerge w:val="continue"/>
            <w:tcBorders>
              <w:top w:val="nil"/>
              <w:bottom w:val="nil"/>
            </w:tcBorders>
            <w:vAlign w:val="top"/>
          </w:tcPr>
          <w:p w14:paraId="79F982A5">
            <w:pPr>
              <w:rPr>
                <w:rFonts w:ascii="Arial"/>
                <w:sz w:val="21"/>
              </w:rPr>
            </w:pPr>
          </w:p>
        </w:tc>
        <w:tc>
          <w:tcPr>
            <w:tcW w:w="448" w:type="dxa"/>
            <w:vMerge w:val="continue"/>
            <w:tcBorders>
              <w:top w:val="nil"/>
              <w:bottom w:val="nil"/>
            </w:tcBorders>
            <w:vAlign w:val="top"/>
          </w:tcPr>
          <w:p w14:paraId="6F15C8CB">
            <w:pPr>
              <w:rPr>
                <w:rFonts w:ascii="Arial"/>
                <w:sz w:val="21"/>
              </w:rPr>
            </w:pPr>
          </w:p>
        </w:tc>
        <w:tc>
          <w:tcPr>
            <w:tcW w:w="483" w:type="dxa"/>
            <w:vMerge w:val="continue"/>
            <w:tcBorders>
              <w:top w:val="nil"/>
              <w:bottom w:val="nil"/>
            </w:tcBorders>
            <w:vAlign w:val="top"/>
          </w:tcPr>
          <w:p w14:paraId="5D96F989">
            <w:pPr>
              <w:rPr>
                <w:rFonts w:ascii="Arial"/>
                <w:sz w:val="21"/>
              </w:rPr>
            </w:pPr>
          </w:p>
        </w:tc>
        <w:tc>
          <w:tcPr>
            <w:tcW w:w="3507" w:type="dxa"/>
            <w:vAlign w:val="top"/>
          </w:tcPr>
          <w:p w14:paraId="7B9EB1D1">
            <w:pPr>
              <w:pStyle w:val="6"/>
              <w:spacing w:before="57" w:line="270" w:lineRule="auto"/>
              <w:ind w:left="113" w:firstLine="15"/>
              <w:jc w:val="both"/>
            </w:pPr>
            <w:r>
              <w:rPr>
                <w:rFonts w:ascii="Times New Roman" w:hAnsi="Times New Roman" w:eastAsia="Times New Roman" w:cs="Times New Roman"/>
                <w:spacing w:val="-1"/>
              </w:rPr>
              <w:t>11.</w:t>
            </w:r>
            <w:r>
              <w:rPr>
                <w:spacing w:val="-1"/>
              </w:rPr>
              <w:t>严把新建、改扩建涉重金属重点</w:t>
            </w:r>
            <w:r>
              <w:rPr>
                <w:spacing w:val="-9"/>
              </w:rPr>
              <w:t>行业建设项目审批关，切实降低区域重金属排放总量。会泽县新、改、扩</w:t>
            </w:r>
            <w:r>
              <w:rPr>
                <w:spacing w:val="4"/>
              </w:rPr>
              <w:t>建涉重金属重点行业建设项目重点</w:t>
            </w:r>
            <w:r>
              <w:rPr>
                <w:spacing w:val="1"/>
              </w:rPr>
              <w:t>重金属污染物排放遵循“减量替代”</w:t>
            </w:r>
            <w:r>
              <w:rPr>
                <w:spacing w:val="-12"/>
              </w:rPr>
              <w:t>原则，替代比例不低于</w:t>
            </w:r>
            <w:r>
              <w:rPr>
                <w:spacing w:val="-27"/>
              </w:rPr>
              <w:t xml:space="preserve"> </w:t>
            </w:r>
            <w:r>
              <w:rPr>
                <w:rFonts w:ascii="Times New Roman" w:hAnsi="Times New Roman" w:eastAsia="Times New Roman" w:cs="Times New Roman"/>
                <w:spacing w:val="-12"/>
              </w:rPr>
              <w:t>1.2:1</w:t>
            </w:r>
            <w:r>
              <w:rPr>
                <w:spacing w:val="-12"/>
              </w:rPr>
              <w:t>；其他县</w:t>
            </w:r>
            <w:r>
              <w:rPr>
                <w:spacing w:val="-11"/>
              </w:rPr>
              <w:t>（市、区） 遵循“等量替代”原则。</w:t>
            </w:r>
          </w:p>
        </w:tc>
        <w:tc>
          <w:tcPr>
            <w:tcW w:w="2603" w:type="dxa"/>
            <w:vAlign w:val="top"/>
          </w:tcPr>
          <w:p w14:paraId="7F070DE6">
            <w:pPr>
              <w:spacing w:line="257" w:lineRule="auto"/>
              <w:rPr>
                <w:rFonts w:ascii="Arial"/>
                <w:sz w:val="21"/>
              </w:rPr>
            </w:pPr>
          </w:p>
          <w:p w14:paraId="4EBFBE3A">
            <w:pPr>
              <w:spacing w:line="257" w:lineRule="auto"/>
              <w:rPr>
                <w:rFonts w:ascii="Arial"/>
                <w:sz w:val="21"/>
              </w:rPr>
            </w:pPr>
          </w:p>
          <w:p w14:paraId="38F3051F">
            <w:pPr>
              <w:spacing w:line="257" w:lineRule="auto"/>
              <w:rPr>
                <w:rFonts w:ascii="Arial"/>
                <w:sz w:val="21"/>
              </w:rPr>
            </w:pPr>
          </w:p>
          <w:p w14:paraId="58278B08">
            <w:pPr>
              <w:pStyle w:val="6"/>
              <w:spacing w:before="68" w:line="281" w:lineRule="auto"/>
              <w:ind w:left="113" w:right="105"/>
            </w:pPr>
            <w:r>
              <w:rPr>
                <w:spacing w:val="6"/>
              </w:rPr>
              <w:t>本项目为输变电工程，不</w:t>
            </w:r>
            <w:r>
              <w:rPr>
                <w:spacing w:val="-3"/>
              </w:rPr>
              <w:t>属于该条所列项目。</w:t>
            </w:r>
          </w:p>
        </w:tc>
        <w:tc>
          <w:tcPr>
            <w:tcW w:w="737" w:type="dxa"/>
            <w:vAlign w:val="top"/>
          </w:tcPr>
          <w:p w14:paraId="3F7CD389">
            <w:pPr>
              <w:spacing w:line="309" w:lineRule="auto"/>
              <w:rPr>
                <w:rFonts w:ascii="Arial"/>
                <w:sz w:val="21"/>
              </w:rPr>
            </w:pPr>
          </w:p>
          <w:p w14:paraId="6A9CD6EB">
            <w:pPr>
              <w:spacing w:line="309" w:lineRule="auto"/>
              <w:rPr>
                <w:rFonts w:ascii="Arial"/>
                <w:sz w:val="21"/>
              </w:rPr>
            </w:pPr>
          </w:p>
          <w:p w14:paraId="6386883F">
            <w:pPr>
              <w:spacing w:line="310" w:lineRule="auto"/>
              <w:rPr>
                <w:rFonts w:ascii="Arial"/>
                <w:sz w:val="21"/>
              </w:rPr>
            </w:pPr>
          </w:p>
          <w:p w14:paraId="117B6D11">
            <w:pPr>
              <w:pStyle w:val="6"/>
              <w:spacing w:before="68" w:line="221" w:lineRule="auto"/>
              <w:ind w:left="166"/>
            </w:pPr>
            <w:r>
              <w:rPr>
                <w:spacing w:val="-2"/>
              </w:rPr>
              <w:t>符合</w:t>
            </w:r>
          </w:p>
        </w:tc>
        <w:tc>
          <w:tcPr>
            <w:tcW w:w="115" w:type="dxa"/>
            <w:tcBorders>
              <w:top w:val="nil"/>
              <w:bottom w:val="nil"/>
            </w:tcBorders>
            <w:vAlign w:val="top"/>
          </w:tcPr>
          <w:p w14:paraId="19FDF4F1">
            <w:pPr>
              <w:rPr>
                <w:rFonts w:ascii="Arial"/>
                <w:sz w:val="21"/>
              </w:rPr>
            </w:pPr>
          </w:p>
        </w:tc>
      </w:tr>
      <w:tr w14:paraId="2F9C13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trPr>
        <w:tc>
          <w:tcPr>
            <w:tcW w:w="571" w:type="dxa"/>
            <w:vMerge w:val="continue"/>
            <w:tcBorders>
              <w:top w:val="nil"/>
              <w:bottom w:val="nil"/>
            </w:tcBorders>
            <w:vAlign w:val="top"/>
          </w:tcPr>
          <w:p w14:paraId="21DD7216">
            <w:pPr>
              <w:rPr>
                <w:rFonts w:ascii="Arial"/>
                <w:sz w:val="21"/>
              </w:rPr>
            </w:pPr>
          </w:p>
        </w:tc>
        <w:tc>
          <w:tcPr>
            <w:tcW w:w="115" w:type="dxa"/>
            <w:tcBorders>
              <w:top w:val="nil"/>
              <w:bottom w:val="nil"/>
            </w:tcBorders>
            <w:vAlign w:val="top"/>
          </w:tcPr>
          <w:p w14:paraId="28735A63">
            <w:pPr>
              <w:rPr>
                <w:rFonts w:ascii="Arial"/>
                <w:sz w:val="21"/>
              </w:rPr>
            </w:pPr>
          </w:p>
        </w:tc>
        <w:tc>
          <w:tcPr>
            <w:tcW w:w="494" w:type="dxa"/>
            <w:vMerge w:val="continue"/>
            <w:tcBorders>
              <w:top w:val="nil"/>
              <w:bottom w:val="nil"/>
            </w:tcBorders>
            <w:vAlign w:val="top"/>
          </w:tcPr>
          <w:p w14:paraId="61F5251B">
            <w:pPr>
              <w:rPr>
                <w:rFonts w:ascii="Arial"/>
                <w:sz w:val="21"/>
              </w:rPr>
            </w:pPr>
          </w:p>
        </w:tc>
        <w:tc>
          <w:tcPr>
            <w:tcW w:w="448" w:type="dxa"/>
            <w:vMerge w:val="continue"/>
            <w:tcBorders>
              <w:top w:val="nil"/>
              <w:bottom w:val="nil"/>
            </w:tcBorders>
            <w:vAlign w:val="top"/>
          </w:tcPr>
          <w:p w14:paraId="72B11DF8">
            <w:pPr>
              <w:rPr>
                <w:rFonts w:ascii="Arial"/>
                <w:sz w:val="21"/>
              </w:rPr>
            </w:pPr>
          </w:p>
        </w:tc>
        <w:tc>
          <w:tcPr>
            <w:tcW w:w="483" w:type="dxa"/>
            <w:vMerge w:val="continue"/>
            <w:tcBorders>
              <w:top w:val="nil"/>
              <w:bottom w:val="nil"/>
            </w:tcBorders>
            <w:vAlign w:val="top"/>
          </w:tcPr>
          <w:p w14:paraId="4F34B142">
            <w:pPr>
              <w:rPr>
                <w:rFonts w:ascii="Arial"/>
                <w:sz w:val="21"/>
              </w:rPr>
            </w:pPr>
          </w:p>
        </w:tc>
        <w:tc>
          <w:tcPr>
            <w:tcW w:w="3507" w:type="dxa"/>
            <w:vAlign w:val="top"/>
          </w:tcPr>
          <w:p w14:paraId="3114C350">
            <w:pPr>
              <w:pStyle w:val="6"/>
              <w:spacing w:before="54" w:line="260" w:lineRule="auto"/>
              <w:ind w:left="113" w:right="101" w:firstLine="15"/>
              <w:jc w:val="both"/>
            </w:pPr>
            <w:r>
              <w:rPr>
                <w:rFonts w:ascii="Times New Roman" w:hAnsi="Times New Roman" w:eastAsia="Times New Roman" w:cs="Times New Roman"/>
                <w:spacing w:val="-3"/>
              </w:rPr>
              <w:t>12.</w:t>
            </w:r>
            <w:r>
              <w:rPr>
                <w:spacing w:val="-3"/>
              </w:rPr>
              <w:t>到</w:t>
            </w:r>
            <w:r>
              <w:rPr>
                <w:spacing w:val="-31"/>
              </w:rPr>
              <w:t xml:space="preserve"> </w:t>
            </w:r>
            <w:r>
              <w:rPr>
                <w:rFonts w:ascii="Times New Roman" w:hAnsi="Times New Roman" w:eastAsia="Times New Roman" w:cs="Times New Roman"/>
                <w:spacing w:val="-3"/>
              </w:rPr>
              <w:t xml:space="preserve">2025 </w:t>
            </w:r>
            <w:r>
              <w:rPr>
                <w:spacing w:val="-3"/>
              </w:rPr>
              <w:t>年，曲靖市重点行业重点</w:t>
            </w:r>
            <w:r>
              <w:rPr>
                <w:spacing w:val="-2"/>
              </w:rPr>
              <w:t>重金属污染物排放量比</w:t>
            </w:r>
            <w:r>
              <w:rPr>
                <w:spacing w:val="-17"/>
              </w:rPr>
              <w:t xml:space="preserve"> </w:t>
            </w:r>
            <w:r>
              <w:rPr>
                <w:rFonts w:ascii="Times New Roman" w:hAnsi="Times New Roman" w:eastAsia="Times New Roman" w:cs="Times New Roman"/>
                <w:spacing w:val="-2"/>
              </w:rPr>
              <w:t>2020</w:t>
            </w:r>
            <w:r>
              <w:rPr>
                <w:rFonts w:ascii="Times New Roman" w:hAnsi="Times New Roman" w:eastAsia="Times New Roman" w:cs="Times New Roman"/>
                <w:spacing w:val="29"/>
              </w:rPr>
              <w:t xml:space="preserve"> </w:t>
            </w:r>
            <w:r>
              <w:rPr>
                <w:spacing w:val="-2"/>
              </w:rPr>
              <w:t>年下降</w:t>
            </w:r>
            <w:r>
              <w:rPr>
                <w:rFonts w:ascii="Times New Roman" w:hAnsi="Times New Roman" w:eastAsia="Times New Roman" w:cs="Times New Roman"/>
                <w:spacing w:val="-3"/>
              </w:rPr>
              <w:t>6%</w:t>
            </w:r>
            <w:r>
              <w:rPr>
                <w:spacing w:val="-3"/>
              </w:rPr>
              <w:t>。</w:t>
            </w:r>
          </w:p>
        </w:tc>
        <w:tc>
          <w:tcPr>
            <w:tcW w:w="2603" w:type="dxa"/>
            <w:vAlign w:val="top"/>
          </w:tcPr>
          <w:p w14:paraId="35EEA8F5">
            <w:pPr>
              <w:pStyle w:val="6"/>
              <w:spacing w:before="214" w:line="278" w:lineRule="auto"/>
              <w:ind w:left="113" w:right="105"/>
            </w:pPr>
            <w:r>
              <w:rPr>
                <w:spacing w:val="6"/>
              </w:rPr>
              <w:t>本项目为输变电工程，不</w:t>
            </w:r>
            <w:r>
              <w:rPr>
                <w:spacing w:val="-3"/>
              </w:rPr>
              <w:t>属于该条所列项目。</w:t>
            </w:r>
          </w:p>
        </w:tc>
        <w:tc>
          <w:tcPr>
            <w:tcW w:w="737" w:type="dxa"/>
            <w:vAlign w:val="top"/>
          </w:tcPr>
          <w:p w14:paraId="0FF495C5">
            <w:pPr>
              <w:spacing w:line="301" w:lineRule="auto"/>
              <w:rPr>
                <w:rFonts w:ascii="Arial"/>
                <w:sz w:val="21"/>
              </w:rPr>
            </w:pPr>
          </w:p>
          <w:p w14:paraId="6A1C900B">
            <w:pPr>
              <w:pStyle w:val="6"/>
              <w:spacing w:before="69" w:line="221" w:lineRule="auto"/>
              <w:ind w:left="166"/>
            </w:pPr>
            <w:r>
              <w:rPr>
                <w:spacing w:val="-2"/>
              </w:rPr>
              <w:t>符合</w:t>
            </w:r>
          </w:p>
        </w:tc>
        <w:tc>
          <w:tcPr>
            <w:tcW w:w="115" w:type="dxa"/>
            <w:tcBorders>
              <w:top w:val="nil"/>
              <w:bottom w:val="nil"/>
            </w:tcBorders>
            <w:vAlign w:val="top"/>
          </w:tcPr>
          <w:p w14:paraId="754231C3">
            <w:pPr>
              <w:rPr>
                <w:rFonts w:ascii="Arial"/>
                <w:sz w:val="21"/>
              </w:rPr>
            </w:pPr>
          </w:p>
        </w:tc>
      </w:tr>
      <w:tr w14:paraId="52E31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9" w:hRule="atLeast"/>
        </w:trPr>
        <w:tc>
          <w:tcPr>
            <w:tcW w:w="571" w:type="dxa"/>
            <w:vMerge w:val="continue"/>
            <w:tcBorders>
              <w:top w:val="nil"/>
              <w:bottom w:val="nil"/>
            </w:tcBorders>
            <w:vAlign w:val="top"/>
          </w:tcPr>
          <w:p w14:paraId="296B40FB">
            <w:pPr>
              <w:rPr>
                <w:rFonts w:ascii="Arial"/>
                <w:sz w:val="21"/>
              </w:rPr>
            </w:pPr>
          </w:p>
        </w:tc>
        <w:tc>
          <w:tcPr>
            <w:tcW w:w="115" w:type="dxa"/>
            <w:tcBorders>
              <w:top w:val="nil"/>
              <w:bottom w:val="nil"/>
            </w:tcBorders>
            <w:vAlign w:val="top"/>
          </w:tcPr>
          <w:p w14:paraId="1B1F717D">
            <w:pPr>
              <w:rPr>
                <w:rFonts w:ascii="Arial"/>
                <w:sz w:val="21"/>
              </w:rPr>
            </w:pPr>
          </w:p>
        </w:tc>
        <w:tc>
          <w:tcPr>
            <w:tcW w:w="494" w:type="dxa"/>
            <w:vMerge w:val="continue"/>
            <w:tcBorders>
              <w:top w:val="nil"/>
              <w:bottom w:val="nil"/>
            </w:tcBorders>
            <w:vAlign w:val="top"/>
          </w:tcPr>
          <w:p w14:paraId="2C9CE0BC">
            <w:pPr>
              <w:rPr>
                <w:rFonts w:ascii="Arial"/>
                <w:sz w:val="21"/>
              </w:rPr>
            </w:pPr>
          </w:p>
        </w:tc>
        <w:tc>
          <w:tcPr>
            <w:tcW w:w="448" w:type="dxa"/>
            <w:vMerge w:val="continue"/>
            <w:tcBorders>
              <w:top w:val="nil"/>
              <w:bottom w:val="nil"/>
            </w:tcBorders>
            <w:vAlign w:val="top"/>
          </w:tcPr>
          <w:p w14:paraId="28CC2DB9">
            <w:pPr>
              <w:rPr>
                <w:rFonts w:ascii="Arial"/>
                <w:sz w:val="21"/>
              </w:rPr>
            </w:pPr>
          </w:p>
        </w:tc>
        <w:tc>
          <w:tcPr>
            <w:tcW w:w="483" w:type="dxa"/>
            <w:vMerge w:val="continue"/>
            <w:tcBorders>
              <w:top w:val="nil"/>
            </w:tcBorders>
            <w:vAlign w:val="top"/>
          </w:tcPr>
          <w:p w14:paraId="244D43DD">
            <w:pPr>
              <w:rPr>
                <w:rFonts w:ascii="Arial"/>
                <w:sz w:val="21"/>
              </w:rPr>
            </w:pPr>
          </w:p>
        </w:tc>
        <w:tc>
          <w:tcPr>
            <w:tcW w:w="3507" w:type="dxa"/>
            <w:vAlign w:val="top"/>
          </w:tcPr>
          <w:p w14:paraId="29FB93FB">
            <w:pPr>
              <w:pStyle w:val="6"/>
              <w:spacing w:before="57" w:line="264" w:lineRule="auto"/>
              <w:ind w:left="111" w:right="101" w:firstLine="18"/>
              <w:jc w:val="both"/>
            </w:pPr>
            <w:r>
              <w:rPr>
                <w:rFonts w:ascii="Times New Roman" w:hAnsi="Times New Roman" w:eastAsia="Times New Roman" w:cs="Times New Roman"/>
                <w:spacing w:val="-3"/>
              </w:rPr>
              <w:t>13.</w:t>
            </w:r>
            <w:r>
              <w:rPr>
                <w:spacing w:val="-3"/>
              </w:rPr>
              <w:t>到</w:t>
            </w:r>
            <w:r>
              <w:rPr>
                <w:spacing w:val="-33"/>
              </w:rPr>
              <w:t xml:space="preserve"> </w:t>
            </w:r>
            <w:r>
              <w:rPr>
                <w:rFonts w:ascii="Times New Roman" w:hAnsi="Times New Roman" w:eastAsia="Times New Roman" w:cs="Times New Roman"/>
                <w:spacing w:val="-3"/>
              </w:rPr>
              <w:t xml:space="preserve">2025 </w:t>
            </w:r>
            <w:r>
              <w:rPr>
                <w:spacing w:val="-3"/>
              </w:rPr>
              <w:t>年，全市化学需氧量、氨</w:t>
            </w:r>
            <w:r>
              <w:rPr>
                <w:spacing w:val="-5"/>
              </w:rPr>
              <w:t>氮、氮氧化物、挥发性有机物排放总</w:t>
            </w:r>
            <w:r>
              <w:rPr>
                <w:spacing w:val="1"/>
              </w:rPr>
              <w:t xml:space="preserve">量等重点工程减排量分别达到 </w:t>
            </w:r>
            <w:r>
              <w:rPr>
                <w:rFonts w:ascii="Times New Roman" w:hAnsi="Times New Roman" w:eastAsia="Times New Roman" w:cs="Times New Roman"/>
                <w:spacing w:val="1"/>
              </w:rPr>
              <w:t>7984</w:t>
            </w:r>
            <w:r>
              <w:rPr>
                <w:spacing w:val="-5"/>
              </w:rPr>
              <w:t>吨、</w:t>
            </w:r>
            <w:r>
              <w:rPr>
                <w:rFonts w:ascii="Times New Roman" w:hAnsi="Times New Roman" w:eastAsia="Times New Roman" w:cs="Times New Roman"/>
                <w:spacing w:val="-5"/>
              </w:rPr>
              <w:t>496</w:t>
            </w:r>
            <w:r>
              <w:rPr>
                <w:rFonts w:ascii="Times New Roman" w:hAnsi="Times New Roman" w:eastAsia="Times New Roman" w:cs="Times New Roman"/>
                <w:spacing w:val="34"/>
              </w:rPr>
              <w:t xml:space="preserve"> </w:t>
            </w:r>
            <w:r>
              <w:rPr>
                <w:spacing w:val="-5"/>
              </w:rPr>
              <w:t>吨、</w:t>
            </w:r>
            <w:r>
              <w:rPr>
                <w:rFonts w:ascii="Times New Roman" w:hAnsi="Times New Roman" w:eastAsia="Times New Roman" w:cs="Times New Roman"/>
                <w:spacing w:val="-5"/>
              </w:rPr>
              <w:t>3611</w:t>
            </w:r>
            <w:r>
              <w:rPr>
                <w:rFonts w:ascii="Times New Roman" w:hAnsi="Times New Roman" w:eastAsia="Times New Roman" w:cs="Times New Roman"/>
                <w:spacing w:val="16"/>
              </w:rPr>
              <w:t xml:space="preserve"> </w:t>
            </w:r>
            <w:r>
              <w:rPr>
                <w:spacing w:val="-5"/>
              </w:rPr>
              <w:t>吨、</w:t>
            </w:r>
            <w:r>
              <w:rPr>
                <w:rFonts w:ascii="Times New Roman" w:hAnsi="Times New Roman" w:eastAsia="Times New Roman" w:cs="Times New Roman"/>
                <w:spacing w:val="-5"/>
              </w:rPr>
              <w:t>1181</w:t>
            </w:r>
            <w:r>
              <w:rPr>
                <w:rFonts w:ascii="Times New Roman" w:hAnsi="Times New Roman" w:eastAsia="Times New Roman" w:cs="Times New Roman"/>
                <w:spacing w:val="18"/>
              </w:rPr>
              <w:t xml:space="preserve"> </w:t>
            </w:r>
            <w:r>
              <w:rPr>
                <w:spacing w:val="-5"/>
              </w:rPr>
              <w:t>吨。</w:t>
            </w:r>
          </w:p>
        </w:tc>
        <w:tc>
          <w:tcPr>
            <w:tcW w:w="2603" w:type="dxa"/>
            <w:vAlign w:val="top"/>
          </w:tcPr>
          <w:p w14:paraId="42892AF5">
            <w:pPr>
              <w:pStyle w:val="6"/>
              <w:spacing w:before="57" w:line="264" w:lineRule="auto"/>
              <w:ind w:left="112" w:right="103"/>
              <w:jc w:val="both"/>
            </w:pPr>
            <w:r>
              <w:rPr>
                <w:spacing w:val="6"/>
              </w:rPr>
              <w:t>本项目为输变电工程，不</w:t>
            </w:r>
            <w:r>
              <w:rPr>
                <w:spacing w:val="-12"/>
              </w:rPr>
              <w:t>涉及化学需氧量、氨氮、氮</w:t>
            </w:r>
            <w:r>
              <w:rPr>
                <w:spacing w:val="6"/>
              </w:rPr>
              <w:t>氧化物、挥发性有机物排</w:t>
            </w:r>
            <w:r>
              <w:rPr>
                <w:spacing w:val="-10"/>
              </w:rPr>
              <w:t>放。</w:t>
            </w:r>
          </w:p>
        </w:tc>
        <w:tc>
          <w:tcPr>
            <w:tcW w:w="737" w:type="dxa"/>
            <w:vAlign w:val="top"/>
          </w:tcPr>
          <w:p w14:paraId="6DF26C32">
            <w:pPr>
              <w:spacing w:line="459" w:lineRule="auto"/>
              <w:rPr>
                <w:rFonts w:ascii="Arial"/>
                <w:sz w:val="21"/>
              </w:rPr>
            </w:pPr>
          </w:p>
          <w:p w14:paraId="553BCC1C">
            <w:pPr>
              <w:pStyle w:val="6"/>
              <w:spacing w:before="69" w:line="221" w:lineRule="auto"/>
              <w:ind w:left="166"/>
            </w:pPr>
            <w:r>
              <w:rPr>
                <w:spacing w:val="-2"/>
              </w:rPr>
              <w:t>符合</w:t>
            </w:r>
          </w:p>
        </w:tc>
        <w:tc>
          <w:tcPr>
            <w:tcW w:w="115" w:type="dxa"/>
            <w:tcBorders>
              <w:top w:val="nil"/>
              <w:bottom w:val="nil"/>
            </w:tcBorders>
            <w:vAlign w:val="top"/>
          </w:tcPr>
          <w:p w14:paraId="47AB6F23">
            <w:pPr>
              <w:rPr>
                <w:rFonts w:ascii="Arial"/>
                <w:sz w:val="21"/>
              </w:rPr>
            </w:pPr>
          </w:p>
        </w:tc>
      </w:tr>
      <w:tr w14:paraId="5E6670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0" w:hRule="atLeast"/>
        </w:trPr>
        <w:tc>
          <w:tcPr>
            <w:tcW w:w="571" w:type="dxa"/>
            <w:vMerge w:val="continue"/>
            <w:tcBorders>
              <w:top w:val="nil"/>
              <w:bottom w:val="nil"/>
            </w:tcBorders>
            <w:vAlign w:val="top"/>
          </w:tcPr>
          <w:p w14:paraId="187A0C53">
            <w:pPr>
              <w:rPr>
                <w:rFonts w:ascii="Arial"/>
                <w:sz w:val="21"/>
              </w:rPr>
            </w:pPr>
          </w:p>
        </w:tc>
        <w:tc>
          <w:tcPr>
            <w:tcW w:w="115" w:type="dxa"/>
            <w:tcBorders>
              <w:top w:val="nil"/>
              <w:bottom w:val="nil"/>
            </w:tcBorders>
            <w:vAlign w:val="top"/>
          </w:tcPr>
          <w:p w14:paraId="14EB1914">
            <w:pPr>
              <w:rPr>
                <w:rFonts w:ascii="Arial"/>
                <w:sz w:val="21"/>
              </w:rPr>
            </w:pPr>
          </w:p>
        </w:tc>
        <w:tc>
          <w:tcPr>
            <w:tcW w:w="494" w:type="dxa"/>
            <w:vMerge w:val="continue"/>
            <w:tcBorders>
              <w:top w:val="nil"/>
              <w:bottom w:val="nil"/>
            </w:tcBorders>
            <w:vAlign w:val="top"/>
          </w:tcPr>
          <w:p w14:paraId="0673E754">
            <w:pPr>
              <w:rPr>
                <w:rFonts w:ascii="Arial"/>
                <w:sz w:val="21"/>
              </w:rPr>
            </w:pPr>
          </w:p>
        </w:tc>
        <w:tc>
          <w:tcPr>
            <w:tcW w:w="448" w:type="dxa"/>
            <w:vMerge w:val="continue"/>
            <w:tcBorders>
              <w:top w:val="nil"/>
              <w:bottom w:val="nil"/>
            </w:tcBorders>
            <w:vAlign w:val="top"/>
          </w:tcPr>
          <w:p w14:paraId="6FB32555">
            <w:pPr>
              <w:rPr>
                <w:rFonts w:ascii="Arial"/>
                <w:sz w:val="21"/>
              </w:rPr>
            </w:pPr>
          </w:p>
        </w:tc>
        <w:tc>
          <w:tcPr>
            <w:tcW w:w="483" w:type="dxa"/>
            <w:vMerge w:val="restart"/>
            <w:tcBorders>
              <w:bottom w:val="nil"/>
            </w:tcBorders>
            <w:textDirection w:val="tbRlV"/>
            <w:vAlign w:val="top"/>
          </w:tcPr>
          <w:p w14:paraId="3D19E7A8">
            <w:pPr>
              <w:pStyle w:val="6"/>
              <w:spacing w:before="138" w:line="210" w:lineRule="auto"/>
              <w:ind w:left="1331"/>
            </w:pPr>
            <w:r>
              <w:t>环 境 风 险 防 控</w:t>
            </w:r>
          </w:p>
        </w:tc>
        <w:tc>
          <w:tcPr>
            <w:tcW w:w="3507" w:type="dxa"/>
            <w:vAlign w:val="top"/>
          </w:tcPr>
          <w:p w14:paraId="6E899017">
            <w:pPr>
              <w:pStyle w:val="6"/>
              <w:spacing w:before="58" w:line="264" w:lineRule="auto"/>
              <w:ind w:left="111" w:right="101" w:firstLine="17"/>
              <w:jc w:val="both"/>
            </w:pPr>
            <w:r>
              <w:rPr>
                <w:rFonts w:ascii="Times New Roman" w:hAnsi="Times New Roman" w:eastAsia="Times New Roman" w:cs="Times New Roman"/>
                <w:spacing w:val="-3"/>
              </w:rPr>
              <w:t>1.</w:t>
            </w:r>
            <w:r>
              <w:rPr>
                <w:spacing w:val="-3"/>
              </w:rPr>
              <w:t>以南盘江、北盘江、牛栏江流域为</w:t>
            </w:r>
            <w:r>
              <w:rPr>
                <w:spacing w:val="-5"/>
              </w:rPr>
              <w:t>重点，按规范开展流域工业企业、工业集聚区环境风险评估，落实防控措</w:t>
            </w:r>
            <w:r>
              <w:rPr>
                <w:spacing w:val="-10"/>
              </w:rPr>
              <w:t>施。</w:t>
            </w:r>
          </w:p>
        </w:tc>
        <w:tc>
          <w:tcPr>
            <w:tcW w:w="2603" w:type="dxa"/>
            <w:vAlign w:val="top"/>
          </w:tcPr>
          <w:p w14:paraId="39A4EBB0">
            <w:pPr>
              <w:spacing w:line="303" w:lineRule="auto"/>
              <w:rPr>
                <w:rFonts w:ascii="Arial"/>
                <w:sz w:val="21"/>
              </w:rPr>
            </w:pPr>
          </w:p>
          <w:p w14:paraId="0B112D76">
            <w:pPr>
              <w:pStyle w:val="6"/>
              <w:spacing w:before="68" w:line="279" w:lineRule="auto"/>
              <w:ind w:left="114" w:right="105" w:firstLine="1"/>
            </w:pPr>
            <w:r>
              <w:rPr>
                <w:spacing w:val="6"/>
              </w:rPr>
              <w:t>项目为输电线路工程，不</w:t>
            </w:r>
            <w:r>
              <w:rPr>
                <w:spacing w:val="-1"/>
              </w:rPr>
              <w:t>涉及环境风险物质</w:t>
            </w:r>
          </w:p>
        </w:tc>
        <w:tc>
          <w:tcPr>
            <w:tcW w:w="737" w:type="dxa"/>
            <w:vAlign w:val="top"/>
          </w:tcPr>
          <w:p w14:paraId="1D231E8F">
            <w:pPr>
              <w:spacing w:line="458" w:lineRule="auto"/>
              <w:rPr>
                <w:rFonts w:ascii="Arial"/>
                <w:sz w:val="21"/>
              </w:rPr>
            </w:pPr>
          </w:p>
          <w:p w14:paraId="5EE36C8B">
            <w:pPr>
              <w:pStyle w:val="6"/>
              <w:spacing w:before="68" w:line="221" w:lineRule="auto"/>
              <w:ind w:left="166"/>
            </w:pPr>
            <w:r>
              <w:rPr>
                <w:spacing w:val="-2"/>
              </w:rPr>
              <w:t>符合</w:t>
            </w:r>
          </w:p>
        </w:tc>
        <w:tc>
          <w:tcPr>
            <w:tcW w:w="115" w:type="dxa"/>
            <w:tcBorders>
              <w:top w:val="nil"/>
              <w:bottom w:val="nil"/>
            </w:tcBorders>
            <w:vAlign w:val="top"/>
          </w:tcPr>
          <w:p w14:paraId="21075492">
            <w:pPr>
              <w:rPr>
                <w:rFonts w:ascii="Arial"/>
                <w:sz w:val="21"/>
              </w:rPr>
            </w:pPr>
          </w:p>
        </w:tc>
      </w:tr>
      <w:tr w14:paraId="57B91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3" w:hRule="atLeast"/>
        </w:trPr>
        <w:tc>
          <w:tcPr>
            <w:tcW w:w="571" w:type="dxa"/>
            <w:vMerge w:val="continue"/>
            <w:tcBorders>
              <w:top w:val="nil"/>
              <w:bottom w:val="nil"/>
            </w:tcBorders>
            <w:vAlign w:val="top"/>
          </w:tcPr>
          <w:p w14:paraId="1A1CD97D">
            <w:pPr>
              <w:rPr>
                <w:rFonts w:ascii="Arial"/>
                <w:sz w:val="21"/>
              </w:rPr>
            </w:pPr>
          </w:p>
        </w:tc>
        <w:tc>
          <w:tcPr>
            <w:tcW w:w="115" w:type="dxa"/>
            <w:tcBorders>
              <w:top w:val="nil"/>
              <w:bottom w:val="nil"/>
            </w:tcBorders>
            <w:vAlign w:val="top"/>
          </w:tcPr>
          <w:p w14:paraId="3F045B87">
            <w:pPr>
              <w:rPr>
                <w:rFonts w:ascii="Arial"/>
                <w:sz w:val="21"/>
              </w:rPr>
            </w:pPr>
          </w:p>
        </w:tc>
        <w:tc>
          <w:tcPr>
            <w:tcW w:w="494" w:type="dxa"/>
            <w:vMerge w:val="continue"/>
            <w:tcBorders>
              <w:top w:val="nil"/>
              <w:bottom w:val="nil"/>
            </w:tcBorders>
            <w:vAlign w:val="top"/>
          </w:tcPr>
          <w:p w14:paraId="62B872EA">
            <w:pPr>
              <w:rPr>
                <w:rFonts w:ascii="Arial"/>
                <w:sz w:val="21"/>
              </w:rPr>
            </w:pPr>
          </w:p>
        </w:tc>
        <w:tc>
          <w:tcPr>
            <w:tcW w:w="448" w:type="dxa"/>
            <w:vMerge w:val="continue"/>
            <w:tcBorders>
              <w:top w:val="nil"/>
              <w:bottom w:val="nil"/>
            </w:tcBorders>
            <w:vAlign w:val="top"/>
          </w:tcPr>
          <w:p w14:paraId="7B05105E">
            <w:pPr>
              <w:rPr>
                <w:rFonts w:ascii="Arial"/>
                <w:sz w:val="21"/>
              </w:rPr>
            </w:pPr>
          </w:p>
        </w:tc>
        <w:tc>
          <w:tcPr>
            <w:tcW w:w="483" w:type="dxa"/>
            <w:vMerge w:val="continue"/>
            <w:tcBorders>
              <w:top w:val="nil"/>
              <w:bottom w:val="nil"/>
            </w:tcBorders>
            <w:textDirection w:val="tbRlV"/>
            <w:vAlign w:val="top"/>
          </w:tcPr>
          <w:p w14:paraId="2016596E">
            <w:pPr>
              <w:rPr>
                <w:rFonts w:ascii="Arial"/>
                <w:sz w:val="21"/>
              </w:rPr>
            </w:pPr>
          </w:p>
        </w:tc>
        <w:tc>
          <w:tcPr>
            <w:tcW w:w="3507" w:type="dxa"/>
            <w:vAlign w:val="top"/>
          </w:tcPr>
          <w:p w14:paraId="611E68C9">
            <w:pPr>
              <w:pStyle w:val="6"/>
              <w:spacing w:before="54" w:line="267" w:lineRule="auto"/>
              <w:ind w:left="110" w:right="101" w:hanging="2"/>
              <w:jc w:val="both"/>
            </w:pPr>
            <w:r>
              <w:rPr>
                <w:rFonts w:ascii="Times New Roman" w:hAnsi="Times New Roman" w:eastAsia="Times New Roman" w:cs="Times New Roman"/>
                <w:spacing w:val="11"/>
              </w:rPr>
              <w:t>2.</w:t>
            </w:r>
            <w:r>
              <w:rPr>
                <w:spacing w:val="11"/>
              </w:rPr>
              <w:t>开展麒沾马区域大气污染联防联</w:t>
            </w:r>
            <w:r>
              <w:rPr>
                <w:spacing w:val="-5"/>
              </w:rPr>
              <w:t>控，逐步推行区域统一规划，统一监测，实行协同的环境准入、落后产能淘汰、机动车环境管理政策和考核评</w:t>
            </w:r>
            <w:r>
              <w:rPr>
                <w:spacing w:val="-1"/>
              </w:rPr>
              <w:t>估制度。</w:t>
            </w:r>
          </w:p>
        </w:tc>
        <w:tc>
          <w:tcPr>
            <w:tcW w:w="2603" w:type="dxa"/>
            <w:vAlign w:val="top"/>
          </w:tcPr>
          <w:p w14:paraId="329EA44A">
            <w:pPr>
              <w:pStyle w:val="6"/>
              <w:spacing w:before="54" w:line="267" w:lineRule="auto"/>
              <w:ind w:left="113" w:right="102" w:firstLine="2"/>
              <w:jc w:val="both"/>
            </w:pPr>
            <w:r>
              <w:rPr>
                <w:spacing w:val="6"/>
              </w:rPr>
              <w:t>项目仅施工期产生少量扬</w:t>
            </w:r>
            <w:r>
              <w:rPr>
                <w:spacing w:val="-12"/>
              </w:rPr>
              <w:t>尘，经采取洒水降尘、篷布</w:t>
            </w:r>
            <w:r>
              <w:rPr>
                <w:spacing w:val="6"/>
              </w:rPr>
              <w:t>覆盖等措施后，对环境空气影响较小，运营期无废</w:t>
            </w:r>
            <w:r>
              <w:rPr>
                <w:spacing w:val="-2"/>
              </w:rPr>
              <w:t>气产生。</w:t>
            </w:r>
          </w:p>
        </w:tc>
        <w:tc>
          <w:tcPr>
            <w:tcW w:w="737" w:type="dxa"/>
            <w:vAlign w:val="top"/>
          </w:tcPr>
          <w:p w14:paraId="4FAC5F4C">
            <w:pPr>
              <w:spacing w:line="307" w:lineRule="auto"/>
              <w:rPr>
                <w:rFonts w:ascii="Arial"/>
                <w:sz w:val="21"/>
              </w:rPr>
            </w:pPr>
          </w:p>
          <w:p w14:paraId="29766E85">
            <w:pPr>
              <w:spacing w:line="308" w:lineRule="auto"/>
              <w:rPr>
                <w:rFonts w:ascii="Arial"/>
                <w:sz w:val="21"/>
              </w:rPr>
            </w:pPr>
          </w:p>
          <w:p w14:paraId="5B43D429">
            <w:pPr>
              <w:pStyle w:val="6"/>
              <w:spacing w:before="68" w:line="221" w:lineRule="auto"/>
              <w:ind w:left="166"/>
            </w:pPr>
            <w:r>
              <w:rPr>
                <w:spacing w:val="-2"/>
              </w:rPr>
              <w:t>符合</w:t>
            </w:r>
          </w:p>
        </w:tc>
        <w:tc>
          <w:tcPr>
            <w:tcW w:w="115" w:type="dxa"/>
            <w:tcBorders>
              <w:top w:val="nil"/>
              <w:bottom w:val="nil"/>
            </w:tcBorders>
            <w:vAlign w:val="top"/>
          </w:tcPr>
          <w:p w14:paraId="51C3EB26">
            <w:pPr>
              <w:rPr>
                <w:rFonts w:ascii="Arial"/>
                <w:sz w:val="21"/>
              </w:rPr>
            </w:pPr>
          </w:p>
        </w:tc>
      </w:tr>
      <w:tr w14:paraId="5E1EF2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6" w:hRule="atLeast"/>
        </w:trPr>
        <w:tc>
          <w:tcPr>
            <w:tcW w:w="571" w:type="dxa"/>
            <w:vMerge w:val="continue"/>
            <w:tcBorders>
              <w:top w:val="nil"/>
              <w:bottom w:val="nil"/>
            </w:tcBorders>
            <w:vAlign w:val="top"/>
          </w:tcPr>
          <w:p w14:paraId="2B9F4390">
            <w:pPr>
              <w:rPr>
                <w:rFonts w:ascii="Arial"/>
                <w:sz w:val="21"/>
              </w:rPr>
            </w:pPr>
          </w:p>
        </w:tc>
        <w:tc>
          <w:tcPr>
            <w:tcW w:w="115" w:type="dxa"/>
            <w:tcBorders>
              <w:top w:val="nil"/>
              <w:bottom w:val="nil"/>
            </w:tcBorders>
            <w:vAlign w:val="top"/>
          </w:tcPr>
          <w:p w14:paraId="52B036E2">
            <w:pPr>
              <w:rPr>
                <w:rFonts w:ascii="Arial"/>
                <w:sz w:val="21"/>
              </w:rPr>
            </w:pPr>
          </w:p>
        </w:tc>
        <w:tc>
          <w:tcPr>
            <w:tcW w:w="494" w:type="dxa"/>
            <w:vMerge w:val="continue"/>
            <w:tcBorders>
              <w:top w:val="nil"/>
              <w:bottom w:val="nil"/>
            </w:tcBorders>
            <w:vAlign w:val="top"/>
          </w:tcPr>
          <w:p w14:paraId="11698A28">
            <w:pPr>
              <w:rPr>
                <w:rFonts w:ascii="Arial"/>
                <w:sz w:val="21"/>
              </w:rPr>
            </w:pPr>
          </w:p>
        </w:tc>
        <w:tc>
          <w:tcPr>
            <w:tcW w:w="448" w:type="dxa"/>
            <w:vMerge w:val="continue"/>
            <w:tcBorders>
              <w:top w:val="nil"/>
              <w:bottom w:val="nil"/>
            </w:tcBorders>
            <w:vAlign w:val="top"/>
          </w:tcPr>
          <w:p w14:paraId="06FB9830">
            <w:pPr>
              <w:rPr>
                <w:rFonts w:ascii="Arial"/>
                <w:sz w:val="21"/>
              </w:rPr>
            </w:pPr>
          </w:p>
        </w:tc>
        <w:tc>
          <w:tcPr>
            <w:tcW w:w="483" w:type="dxa"/>
            <w:vMerge w:val="continue"/>
            <w:tcBorders>
              <w:top w:val="nil"/>
            </w:tcBorders>
            <w:textDirection w:val="tbRlV"/>
            <w:vAlign w:val="top"/>
          </w:tcPr>
          <w:p w14:paraId="348664C8">
            <w:pPr>
              <w:rPr>
                <w:rFonts w:ascii="Arial"/>
                <w:sz w:val="21"/>
              </w:rPr>
            </w:pPr>
          </w:p>
        </w:tc>
        <w:tc>
          <w:tcPr>
            <w:tcW w:w="3507" w:type="dxa"/>
            <w:vAlign w:val="top"/>
          </w:tcPr>
          <w:p w14:paraId="55E623B9">
            <w:pPr>
              <w:pStyle w:val="6"/>
              <w:spacing w:before="57" w:line="267" w:lineRule="auto"/>
              <w:ind w:left="112" w:right="82"/>
              <w:jc w:val="both"/>
            </w:pPr>
            <w:r>
              <w:rPr>
                <w:rFonts w:ascii="Times New Roman" w:hAnsi="Times New Roman" w:eastAsia="Times New Roman" w:cs="Times New Roman"/>
                <w:spacing w:val="-2"/>
              </w:rPr>
              <w:t>3.</w:t>
            </w:r>
            <w:r>
              <w:rPr>
                <w:spacing w:val="-2"/>
              </w:rPr>
              <w:t>加强环境风险防控和应急管理，制</w:t>
            </w:r>
            <w:r>
              <w:rPr>
                <w:spacing w:val="8"/>
              </w:rPr>
              <w:t>定和完善突发环境事件和集中式饮</w:t>
            </w:r>
            <w:r>
              <w:rPr>
                <w:spacing w:val="-4"/>
              </w:rPr>
              <w:t>用水水源地突发环境事件应急预案，</w:t>
            </w:r>
            <w:r>
              <w:rPr>
                <w:spacing w:val="8"/>
              </w:rPr>
              <w:t>加强风险防控和突发环境事件应急</w:t>
            </w:r>
            <w:r>
              <w:rPr>
                <w:spacing w:val="-3"/>
              </w:rPr>
              <w:t>处理处置能力。</w:t>
            </w:r>
          </w:p>
        </w:tc>
        <w:tc>
          <w:tcPr>
            <w:tcW w:w="2603" w:type="dxa"/>
            <w:vAlign w:val="top"/>
          </w:tcPr>
          <w:p w14:paraId="0D3C03F5">
            <w:pPr>
              <w:spacing w:line="460" w:lineRule="auto"/>
              <w:rPr>
                <w:rFonts w:ascii="Arial"/>
                <w:sz w:val="21"/>
              </w:rPr>
            </w:pPr>
          </w:p>
          <w:p w14:paraId="21A5EB7F">
            <w:pPr>
              <w:pStyle w:val="6"/>
              <w:spacing w:before="68" w:line="279" w:lineRule="auto"/>
              <w:ind w:left="114" w:right="105" w:firstLine="1"/>
            </w:pPr>
            <w:r>
              <w:rPr>
                <w:spacing w:val="6"/>
              </w:rPr>
              <w:t>项目为输电线路工程，不</w:t>
            </w:r>
            <w:r>
              <w:rPr>
                <w:spacing w:val="-3"/>
              </w:rPr>
              <w:t>涉及环境风险物质。</w:t>
            </w:r>
          </w:p>
        </w:tc>
        <w:tc>
          <w:tcPr>
            <w:tcW w:w="737" w:type="dxa"/>
            <w:vAlign w:val="top"/>
          </w:tcPr>
          <w:p w14:paraId="37829F24">
            <w:pPr>
              <w:spacing w:line="309" w:lineRule="auto"/>
              <w:rPr>
                <w:rFonts w:ascii="Arial"/>
                <w:sz w:val="21"/>
              </w:rPr>
            </w:pPr>
          </w:p>
          <w:p w14:paraId="40D8368A">
            <w:pPr>
              <w:spacing w:line="309" w:lineRule="auto"/>
              <w:rPr>
                <w:rFonts w:ascii="Arial"/>
                <w:sz w:val="21"/>
              </w:rPr>
            </w:pPr>
          </w:p>
          <w:p w14:paraId="37A65362">
            <w:pPr>
              <w:pStyle w:val="6"/>
              <w:spacing w:before="68" w:line="221" w:lineRule="auto"/>
              <w:ind w:left="166"/>
            </w:pPr>
            <w:r>
              <w:rPr>
                <w:spacing w:val="-2"/>
              </w:rPr>
              <w:t>符合</w:t>
            </w:r>
          </w:p>
        </w:tc>
        <w:tc>
          <w:tcPr>
            <w:tcW w:w="115" w:type="dxa"/>
            <w:tcBorders>
              <w:top w:val="nil"/>
              <w:bottom w:val="nil"/>
            </w:tcBorders>
            <w:vAlign w:val="top"/>
          </w:tcPr>
          <w:p w14:paraId="0E76E820">
            <w:pPr>
              <w:rPr>
                <w:rFonts w:ascii="Arial"/>
                <w:sz w:val="21"/>
              </w:rPr>
            </w:pPr>
          </w:p>
        </w:tc>
      </w:tr>
      <w:tr w14:paraId="6BBB6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4" w:hRule="atLeast"/>
        </w:trPr>
        <w:tc>
          <w:tcPr>
            <w:tcW w:w="571" w:type="dxa"/>
            <w:vMerge w:val="continue"/>
            <w:tcBorders>
              <w:top w:val="nil"/>
            </w:tcBorders>
            <w:vAlign w:val="top"/>
          </w:tcPr>
          <w:p w14:paraId="457A8516">
            <w:pPr>
              <w:rPr>
                <w:rFonts w:ascii="Arial"/>
                <w:sz w:val="21"/>
              </w:rPr>
            </w:pPr>
          </w:p>
        </w:tc>
        <w:tc>
          <w:tcPr>
            <w:tcW w:w="115" w:type="dxa"/>
            <w:tcBorders>
              <w:top w:val="nil"/>
            </w:tcBorders>
            <w:vAlign w:val="top"/>
          </w:tcPr>
          <w:p w14:paraId="3D79A12E">
            <w:pPr>
              <w:rPr>
                <w:rFonts w:ascii="Arial"/>
                <w:sz w:val="21"/>
              </w:rPr>
            </w:pPr>
          </w:p>
        </w:tc>
        <w:tc>
          <w:tcPr>
            <w:tcW w:w="494" w:type="dxa"/>
            <w:vMerge w:val="continue"/>
            <w:tcBorders>
              <w:top w:val="nil"/>
            </w:tcBorders>
            <w:vAlign w:val="top"/>
          </w:tcPr>
          <w:p w14:paraId="774CA05B">
            <w:pPr>
              <w:rPr>
                <w:rFonts w:ascii="Arial"/>
                <w:sz w:val="21"/>
              </w:rPr>
            </w:pPr>
          </w:p>
        </w:tc>
        <w:tc>
          <w:tcPr>
            <w:tcW w:w="448" w:type="dxa"/>
            <w:vMerge w:val="continue"/>
            <w:tcBorders>
              <w:top w:val="nil"/>
            </w:tcBorders>
            <w:vAlign w:val="top"/>
          </w:tcPr>
          <w:p w14:paraId="2E832175">
            <w:pPr>
              <w:rPr>
                <w:rFonts w:ascii="Arial"/>
                <w:sz w:val="21"/>
              </w:rPr>
            </w:pPr>
          </w:p>
        </w:tc>
        <w:tc>
          <w:tcPr>
            <w:tcW w:w="483" w:type="dxa"/>
            <w:textDirection w:val="tbRlV"/>
            <w:vAlign w:val="top"/>
          </w:tcPr>
          <w:p w14:paraId="67A4716A">
            <w:pPr>
              <w:pStyle w:val="6"/>
              <w:spacing w:before="137" w:line="210" w:lineRule="auto"/>
              <w:ind w:left="57"/>
            </w:pPr>
            <w:r>
              <w:t>资 源 利 用 效 率</w:t>
            </w:r>
          </w:p>
        </w:tc>
        <w:tc>
          <w:tcPr>
            <w:tcW w:w="3507" w:type="dxa"/>
            <w:vAlign w:val="top"/>
          </w:tcPr>
          <w:p w14:paraId="6E8ADB96">
            <w:pPr>
              <w:pStyle w:val="6"/>
              <w:spacing w:before="61" w:line="270" w:lineRule="auto"/>
              <w:ind w:left="112" w:right="65" w:firstLine="16"/>
              <w:jc w:val="both"/>
            </w:pPr>
            <w:r>
              <w:rPr>
                <w:rFonts w:ascii="Times New Roman" w:hAnsi="Times New Roman" w:eastAsia="Times New Roman" w:cs="Times New Roman"/>
                <w:spacing w:val="-3"/>
              </w:rPr>
              <w:t>1.</w:t>
            </w:r>
            <w:r>
              <w:rPr>
                <w:spacing w:val="-3"/>
              </w:rPr>
              <w:t>建立水资源刚性约束制度，实行水</w:t>
            </w:r>
            <w:r>
              <w:rPr>
                <w:spacing w:val="-5"/>
              </w:rPr>
              <w:t>资源消耗总量和强度双控，严格实施取水许可和水资源有偿使用制度，强</w:t>
            </w:r>
            <w:r>
              <w:rPr>
                <w:spacing w:val="-3"/>
              </w:rPr>
              <w:t>化用水全过程管理，深入抓好工业、</w:t>
            </w:r>
            <w:r>
              <w:rPr>
                <w:spacing w:val="-5"/>
              </w:rPr>
              <w:t>城镇、农业等方面用水量控制，严格</w:t>
            </w:r>
            <w:r>
              <w:rPr>
                <w:spacing w:val="-2"/>
              </w:rPr>
              <w:t>规范取水许可审批管理。</w:t>
            </w:r>
          </w:p>
        </w:tc>
        <w:tc>
          <w:tcPr>
            <w:tcW w:w="2603" w:type="dxa"/>
            <w:vAlign w:val="top"/>
          </w:tcPr>
          <w:p w14:paraId="4BF63BEE">
            <w:pPr>
              <w:spacing w:line="301" w:lineRule="auto"/>
              <w:rPr>
                <w:rFonts w:ascii="Arial"/>
                <w:sz w:val="21"/>
              </w:rPr>
            </w:pPr>
          </w:p>
          <w:p w14:paraId="4D76FEE6">
            <w:pPr>
              <w:pStyle w:val="6"/>
              <w:spacing w:before="68" w:line="279" w:lineRule="auto"/>
              <w:ind w:left="113" w:right="103" w:firstLine="2"/>
              <w:jc w:val="both"/>
            </w:pPr>
            <w:r>
              <w:rPr>
                <w:spacing w:val="6"/>
              </w:rPr>
              <w:t>项目为输电线路工程，施</w:t>
            </w:r>
            <w:r>
              <w:rPr>
                <w:spacing w:val="28"/>
              </w:rPr>
              <w:t>工期塔基施工用水量很</w:t>
            </w:r>
            <w:r>
              <w:rPr>
                <w:spacing w:val="6"/>
              </w:rPr>
              <w:t>少，运营期不涉及水资源</w:t>
            </w:r>
            <w:r>
              <w:rPr>
                <w:spacing w:val="-9"/>
              </w:rPr>
              <w:t>消耗。</w:t>
            </w:r>
          </w:p>
        </w:tc>
        <w:tc>
          <w:tcPr>
            <w:tcW w:w="737" w:type="dxa"/>
            <w:vAlign w:val="top"/>
          </w:tcPr>
          <w:p w14:paraId="39805A6C">
            <w:pPr>
              <w:spacing w:line="258" w:lineRule="auto"/>
              <w:rPr>
                <w:rFonts w:ascii="Arial"/>
                <w:sz w:val="21"/>
              </w:rPr>
            </w:pPr>
          </w:p>
          <w:p w14:paraId="1B0257A6">
            <w:pPr>
              <w:spacing w:line="258" w:lineRule="auto"/>
              <w:rPr>
                <w:rFonts w:ascii="Arial"/>
                <w:sz w:val="21"/>
              </w:rPr>
            </w:pPr>
          </w:p>
          <w:p w14:paraId="23014829">
            <w:pPr>
              <w:spacing w:line="258" w:lineRule="auto"/>
              <w:rPr>
                <w:rFonts w:ascii="Arial"/>
                <w:sz w:val="21"/>
              </w:rPr>
            </w:pPr>
          </w:p>
          <w:p w14:paraId="306BBC99">
            <w:pPr>
              <w:pStyle w:val="6"/>
              <w:spacing w:before="68" w:line="221" w:lineRule="auto"/>
              <w:ind w:left="166"/>
            </w:pPr>
            <w:r>
              <w:rPr>
                <w:spacing w:val="-2"/>
              </w:rPr>
              <w:t>符合</w:t>
            </w:r>
          </w:p>
        </w:tc>
        <w:tc>
          <w:tcPr>
            <w:tcW w:w="115" w:type="dxa"/>
            <w:tcBorders>
              <w:top w:val="nil"/>
            </w:tcBorders>
            <w:vAlign w:val="top"/>
          </w:tcPr>
          <w:p w14:paraId="24A0AC48">
            <w:pPr>
              <w:rPr>
                <w:rFonts w:ascii="Arial"/>
                <w:sz w:val="21"/>
              </w:rPr>
            </w:pPr>
          </w:p>
        </w:tc>
      </w:tr>
    </w:tbl>
    <w:p w14:paraId="666F2B28">
      <w:pPr>
        <w:rPr>
          <w:rFonts w:ascii="Arial"/>
          <w:sz w:val="21"/>
        </w:rPr>
      </w:pPr>
    </w:p>
    <w:p w14:paraId="35D54886">
      <w:pPr>
        <w:rPr>
          <w:rFonts w:ascii="Arial" w:hAnsi="Arial" w:eastAsia="Arial" w:cs="Arial"/>
          <w:sz w:val="21"/>
          <w:szCs w:val="21"/>
        </w:rPr>
        <w:sectPr>
          <w:footerReference r:id="rId15" w:type="default"/>
          <w:pgSz w:w="11907" w:h="16841"/>
          <w:pgMar w:top="400" w:right="1413" w:bottom="1126" w:left="1414" w:header="0" w:footer="925" w:gutter="0"/>
          <w:cols w:space="720" w:num="1"/>
        </w:sectPr>
      </w:pPr>
    </w:p>
    <w:p w14:paraId="3FB60A20">
      <w:pPr>
        <w:spacing w:before="2"/>
      </w:pPr>
    </w:p>
    <w:p w14:paraId="6C19007A">
      <w:pPr>
        <w:spacing w:before="2"/>
      </w:pPr>
    </w:p>
    <w:p w14:paraId="75E143F7">
      <w:pPr>
        <w:spacing w:before="1"/>
      </w:pPr>
    </w:p>
    <w:p w14:paraId="7DC2F2C4">
      <w:pPr>
        <w:spacing w:before="1"/>
      </w:pPr>
    </w:p>
    <w:p w14:paraId="3C71747B">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5"/>
        <w:gridCol w:w="494"/>
        <w:gridCol w:w="448"/>
        <w:gridCol w:w="483"/>
        <w:gridCol w:w="3507"/>
        <w:gridCol w:w="2603"/>
        <w:gridCol w:w="737"/>
        <w:gridCol w:w="115"/>
      </w:tblGrid>
      <w:tr w14:paraId="1B6B1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17" w:hRule="atLeast"/>
        </w:trPr>
        <w:tc>
          <w:tcPr>
            <w:tcW w:w="571" w:type="dxa"/>
            <w:vMerge w:val="restart"/>
            <w:tcBorders>
              <w:bottom w:val="nil"/>
            </w:tcBorders>
            <w:vAlign w:val="top"/>
          </w:tcPr>
          <w:p w14:paraId="6DE7CFCB">
            <w:pPr>
              <w:rPr>
                <w:rFonts w:ascii="Arial"/>
                <w:sz w:val="21"/>
              </w:rPr>
            </w:pPr>
          </w:p>
        </w:tc>
        <w:tc>
          <w:tcPr>
            <w:tcW w:w="115" w:type="dxa"/>
            <w:tcBorders>
              <w:bottom w:val="nil"/>
            </w:tcBorders>
            <w:vAlign w:val="top"/>
          </w:tcPr>
          <w:p w14:paraId="79FFF40E">
            <w:pPr>
              <w:rPr>
                <w:rFonts w:ascii="Arial"/>
                <w:sz w:val="21"/>
              </w:rPr>
            </w:pPr>
          </w:p>
        </w:tc>
        <w:tc>
          <w:tcPr>
            <w:tcW w:w="494" w:type="dxa"/>
            <w:vMerge w:val="restart"/>
            <w:tcBorders>
              <w:bottom w:val="nil"/>
            </w:tcBorders>
            <w:vAlign w:val="top"/>
          </w:tcPr>
          <w:p w14:paraId="5FD04C3C">
            <w:pPr>
              <w:rPr>
                <w:rFonts w:ascii="Arial"/>
                <w:sz w:val="21"/>
              </w:rPr>
            </w:pPr>
          </w:p>
        </w:tc>
        <w:tc>
          <w:tcPr>
            <w:tcW w:w="448" w:type="dxa"/>
            <w:vAlign w:val="top"/>
          </w:tcPr>
          <w:p w14:paraId="219B1A7C">
            <w:pPr>
              <w:rPr>
                <w:rFonts w:ascii="Arial"/>
                <w:sz w:val="21"/>
              </w:rPr>
            </w:pPr>
          </w:p>
        </w:tc>
        <w:tc>
          <w:tcPr>
            <w:tcW w:w="483" w:type="dxa"/>
            <w:vAlign w:val="top"/>
          </w:tcPr>
          <w:p w14:paraId="58EAA03E">
            <w:pPr>
              <w:rPr>
                <w:rFonts w:ascii="Arial"/>
                <w:sz w:val="21"/>
              </w:rPr>
            </w:pPr>
          </w:p>
        </w:tc>
        <w:tc>
          <w:tcPr>
            <w:tcW w:w="3507" w:type="dxa"/>
            <w:vAlign w:val="top"/>
          </w:tcPr>
          <w:p w14:paraId="6F1ACC05">
            <w:pPr>
              <w:pStyle w:val="6"/>
              <w:spacing w:before="228" w:line="278" w:lineRule="auto"/>
              <w:ind w:left="112" w:right="101" w:hanging="4"/>
              <w:jc w:val="both"/>
            </w:pPr>
            <w:r>
              <w:rPr>
                <w:rFonts w:ascii="Times New Roman" w:hAnsi="Times New Roman" w:eastAsia="Times New Roman" w:cs="Times New Roman"/>
                <w:spacing w:val="-1"/>
              </w:rPr>
              <w:t>2.</w:t>
            </w:r>
            <w:r>
              <w:rPr>
                <w:spacing w:val="-1"/>
              </w:rPr>
              <w:t>坚持最严格的耕地保护制度，坚决</w:t>
            </w:r>
            <w:r>
              <w:rPr>
                <w:spacing w:val="-5"/>
              </w:rPr>
              <w:t>制止耕地“非农化”防止耕地“非粮化”。坚持节约用地，严格执行耕地占补平衡等制度，提高土地投资强度</w:t>
            </w:r>
            <w:r>
              <w:rPr>
                <w:spacing w:val="-1"/>
              </w:rPr>
              <w:t>和单位面积产出水平。</w:t>
            </w:r>
          </w:p>
        </w:tc>
        <w:tc>
          <w:tcPr>
            <w:tcW w:w="2603" w:type="dxa"/>
            <w:vAlign w:val="top"/>
          </w:tcPr>
          <w:p w14:paraId="30FD4793">
            <w:pPr>
              <w:pStyle w:val="6"/>
              <w:spacing w:before="71" w:line="269" w:lineRule="auto"/>
              <w:ind w:left="112" w:right="28"/>
              <w:jc w:val="both"/>
            </w:pPr>
            <w:r>
              <w:rPr>
                <w:spacing w:val="6"/>
              </w:rPr>
              <w:t>根据查询，本项目线路塔基占用永久基本农田和耕</w:t>
            </w:r>
            <w:r>
              <w:rPr>
                <w:spacing w:val="-3"/>
              </w:rPr>
              <w:t xml:space="preserve">地保护目标，除铁塔 </w:t>
            </w:r>
            <w:r>
              <w:rPr>
                <w:rFonts w:ascii="Times New Roman" w:hAnsi="Times New Roman" w:eastAsia="Times New Roman" w:cs="Times New Roman"/>
                <w:spacing w:val="-3"/>
              </w:rPr>
              <w:t>4</w:t>
            </w:r>
            <w:r>
              <w:rPr>
                <w:rFonts w:ascii="Times New Roman" w:hAnsi="Times New Roman" w:eastAsia="Times New Roman" w:cs="Times New Roman"/>
                <w:spacing w:val="55"/>
              </w:rPr>
              <w:t xml:space="preserve"> </w:t>
            </w:r>
            <w:r>
              <w:rPr>
                <w:spacing w:val="-3"/>
              </w:rPr>
              <w:t>个</w:t>
            </w:r>
            <w:r>
              <w:rPr>
                <w:spacing w:val="6"/>
              </w:rPr>
              <w:t>支撑脚外，施工期间临时占用的耕地施工结束后进</w:t>
            </w:r>
            <w:r>
              <w:rPr>
                <w:spacing w:val="-6"/>
              </w:rPr>
              <w:t>行复耕，恢复其原有功能。</w:t>
            </w:r>
          </w:p>
        </w:tc>
        <w:tc>
          <w:tcPr>
            <w:tcW w:w="737" w:type="dxa"/>
            <w:vAlign w:val="top"/>
          </w:tcPr>
          <w:p w14:paraId="785ECECA">
            <w:pPr>
              <w:spacing w:line="262" w:lineRule="auto"/>
              <w:rPr>
                <w:rFonts w:ascii="Arial"/>
                <w:sz w:val="21"/>
              </w:rPr>
            </w:pPr>
          </w:p>
          <w:p w14:paraId="28D6BE20">
            <w:pPr>
              <w:spacing w:line="262" w:lineRule="auto"/>
              <w:rPr>
                <w:rFonts w:ascii="Arial"/>
                <w:sz w:val="21"/>
              </w:rPr>
            </w:pPr>
          </w:p>
          <w:p w14:paraId="0B6C86A5">
            <w:pPr>
              <w:spacing w:line="262" w:lineRule="auto"/>
              <w:rPr>
                <w:rFonts w:ascii="Arial"/>
                <w:sz w:val="21"/>
              </w:rPr>
            </w:pPr>
          </w:p>
          <w:p w14:paraId="5AFECD1A">
            <w:pPr>
              <w:pStyle w:val="6"/>
              <w:spacing w:before="69" w:line="221" w:lineRule="auto"/>
              <w:ind w:left="166"/>
            </w:pPr>
            <w:r>
              <w:rPr>
                <w:spacing w:val="-2"/>
              </w:rPr>
              <w:t>符合</w:t>
            </w:r>
          </w:p>
        </w:tc>
        <w:tc>
          <w:tcPr>
            <w:tcW w:w="115" w:type="dxa"/>
            <w:tcBorders>
              <w:bottom w:val="nil"/>
            </w:tcBorders>
            <w:vAlign w:val="top"/>
          </w:tcPr>
          <w:p w14:paraId="1CA11F41">
            <w:pPr>
              <w:rPr>
                <w:rFonts w:ascii="Arial"/>
                <w:sz w:val="21"/>
              </w:rPr>
            </w:pPr>
          </w:p>
        </w:tc>
      </w:tr>
      <w:tr w14:paraId="52D92B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6" w:hRule="atLeast"/>
        </w:trPr>
        <w:tc>
          <w:tcPr>
            <w:tcW w:w="571" w:type="dxa"/>
            <w:vMerge w:val="continue"/>
            <w:tcBorders>
              <w:top w:val="nil"/>
              <w:bottom w:val="nil"/>
            </w:tcBorders>
            <w:vAlign w:val="top"/>
          </w:tcPr>
          <w:p w14:paraId="0C8A3355">
            <w:pPr>
              <w:rPr>
                <w:rFonts w:ascii="Arial"/>
                <w:sz w:val="21"/>
              </w:rPr>
            </w:pPr>
          </w:p>
        </w:tc>
        <w:tc>
          <w:tcPr>
            <w:tcW w:w="115" w:type="dxa"/>
            <w:tcBorders>
              <w:top w:val="nil"/>
              <w:bottom w:val="nil"/>
            </w:tcBorders>
            <w:vAlign w:val="top"/>
          </w:tcPr>
          <w:p w14:paraId="021B070B">
            <w:pPr>
              <w:rPr>
                <w:rFonts w:ascii="Arial"/>
                <w:sz w:val="21"/>
              </w:rPr>
            </w:pPr>
          </w:p>
        </w:tc>
        <w:tc>
          <w:tcPr>
            <w:tcW w:w="494" w:type="dxa"/>
            <w:vMerge w:val="continue"/>
            <w:tcBorders>
              <w:top w:val="nil"/>
              <w:bottom w:val="nil"/>
            </w:tcBorders>
            <w:vAlign w:val="top"/>
          </w:tcPr>
          <w:p w14:paraId="0E2CBFDB">
            <w:pPr>
              <w:rPr>
                <w:rFonts w:ascii="Arial"/>
                <w:sz w:val="21"/>
              </w:rPr>
            </w:pPr>
          </w:p>
        </w:tc>
        <w:tc>
          <w:tcPr>
            <w:tcW w:w="448" w:type="dxa"/>
            <w:vMerge w:val="restart"/>
            <w:tcBorders>
              <w:bottom w:val="nil"/>
            </w:tcBorders>
            <w:textDirection w:val="tbRlV"/>
            <w:vAlign w:val="top"/>
          </w:tcPr>
          <w:p w14:paraId="40088A2A">
            <w:pPr>
              <w:pStyle w:val="6"/>
              <w:spacing w:before="120" w:line="210" w:lineRule="auto"/>
              <w:ind w:left="4804"/>
            </w:pPr>
            <w:r>
              <w:t>优 先 保 护 单 元</w:t>
            </w:r>
          </w:p>
        </w:tc>
        <w:tc>
          <w:tcPr>
            <w:tcW w:w="483" w:type="dxa"/>
            <w:textDirection w:val="tbRlV"/>
            <w:vAlign w:val="top"/>
          </w:tcPr>
          <w:p w14:paraId="17970CB4">
            <w:pPr>
              <w:pStyle w:val="6"/>
              <w:spacing w:before="137" w:line="210" w:lineRule="auto"/>
              <w:ind w:left="54"/>
            </w:pPr>
            <w:r>
              <w:t>生 态 保 护 红 线 优 先 保 护 单 元</w:t>
            </w:r>
          </w:p>
        </w:tc>
        <w:tc>
          <w:tcPr>
            <w:tcW w:w="3507" w:type="dxa"/>
            <w:vAlign w:val="top"/>
          </w:tcPr>
          <w:p w14:paraId="449FFC60">
            <w:pPr>
              <w:pStyle w:val="6"/>
              <w:spacing w:before="59" w:line="273" w:lineRule="auto"/>
              <w:ind w:left="111" w:right="101" w:firstLine="2"/>
              <w:jc w:val="both"/>
            </w:pPr>
            <w:r>
              <w:rPr>
                <w:spacing w:val="-7"/>
              </w:rPr>
              <w:t>按《自然资源部 生态环境部</w:t>
            </w:r>
            <w:r>
              <w:rPr>
                <w:spacing w:val="36"/>
              </w:rPr>
              <w:t xml:space="preserve"> </w:t>
            </w:r>
            <w:r>
              <w:rPr>
                <w:spacing w:val="-7"/>
              </w:rPr>
              <w:t>国家林</w:t>
            </w:r>
            <w:r>
              <w:rPr>
                <w:spacing w:val="8"/>
              </w:rPr>
              <w:t>业和草原局关于加强生态保护红线</w:t>
            </w:r>
            <w:r>
              <w:rPr>
                <w:spacing w:val="9"/>
              </w:rPr>
              <w:t>管理的通知（试行）》（自然资发</w:t>
            </w:r>
            <w:r>
              <w:rPr>
                <w:spacing w:val="-2"/>
              </w:rPr>
              <w:t>〔</w:t>
            </w:r>
            <w:r>
              <w:rPr>
                <w:rFonts w:ascii="Times New Roman" w:hAnsi="Times New Roman" w:eastAsia="Times New Roman" w:cs="Times New Roman"/>
                <w:spacing w:val="-2"/>
              </w:rPr>
              <w:t>2022</w:t>
            </w:r>
            <w:r>
              <w:rPr>
                <w:spacing w:val="-2"/>
              </w:rPr>
              <w:t>〕</w:t>
            </w:r>
            <w:r>
              <w:rPr>
                <w:rFonts w:ascii="Times New Roman" w:hAnsi="Times New Roman" w:eastAsia="Times New Roman" w:cs="Times New Roman"/>
                <w:spacing w:val="-2"/>
              </w:rPr>
              <w:t>142</w:t>
            </w:r>
            <w:r>
              <w:rPr>
                <w:rFonts w:ascii="Times New Roman" w:hAnsi="Times New Roman" w:eastAsia="Times New Roman" w:cs="Times New Roman"/>
                <w:spacing w:val="17"/>
                <w:w w:val="101"/>
              </w:rPr>
              <w:t xml:space="preserve"> </w:t>
            </w:r>
            <w:r>
              <w:rPr>
                <w:spacing w:val="-2"/>
              </w:rPr>
              <w:t>号）和《云南省自然资</w:t>
            </w:r>
            <w:r>
              <w:rPr>
                <w:spacing w:val="5"/>
              </w:rPr>
              <w:t>源厅</w:t>
            </w:r>
            <w:r>
              <w:rPr>
                <w:spacing w:val="32"/>
              </w:rPr>
              <w:t xml:space="preserve"> </w:t>
            </w:r>
            <w:r>
              <w:rPr>
                <w:spacing w:val="5"/>
              </w:rPr>
              <w:t>云南省生态环境厅</w:t>
            </w:r>
            <w:r>
              <w:rPr>
                <w:spacing w:val="34"/>
              </w:rPr>
              <w:t xml:space="preserve"> </w:t>
            </w:r>
            <w:r>
              <w:rPr>
                <w:spacing w:val="5"/>
              </w:rPr>
              <w:t>云南省林</w:t>
            </w:r>
            <w:r>
              <w:rPr>
                <w:spacing w:val="8"/>
              </w:rPr>
              <w:t>业和草原局关于加强生态保护红线</w:t>
            </w:r>
            <w:r>
              <w:rPr>
                <w:spacing w:val="-11"/>
              </w:rPr>
              <w:t>管</w:t>
            </w:r>
            <w:r>
              <w:rPr>
                <w:spacing w:val="-32"/>
              </w:rPr>
              <w:t xml:space="preserve"> </w:t>
            </w:r>
            <w:r>
              <w:rPr>
                <w:spacing w:val="-11"/>
              </w:rPr>
              <w:t>理</w:t>
            </w:r>
            <w:r>
              <w:rPr>
                <w:spacing w:val="-40"/>
              </w:rPr>
              <w:t xml:space="preserve"> </w:t>
            </w:r>
            <w:r>
              <w:rPr>
                <w:spacing w:val="-11"/>
              </w:rPr>
              <w:t>工</w:t>
            </w:r>
            <w:r>
              <w:rPr>
                <w:spacing w:val="-41"/>
              </w:rPr>
              <w:t xml:space="preserve"> </w:t>
            </w:r>
            <w:r>
              <w:rPr>
                <w:spacing w:val="-11"/>
              </w:rPr>
              <w:t>作</w:t>
            </w:r>
            <w:r>
              <w:rPr>
                <w:spacing w:val="-27"/>
              </w:rPr>
              <w:t xml:space="preserve"> </w:t>
            </w:r>
            <w:r>
              <w:rPr>
                <w:spacing w:val="-11"/>
              </w:rPr>
              <w:t>的</w:t>
            </w:r>
            <w:r>
              <w:rPr>
                <w:spacing w:val="-41"/>
              </w:rPr>
              <w:t xml:space="preserve"> </w:t>
            </w:r>
            <w:r>
              <w:rPr>
                <w:spacing w:val="-11"/>
              </w:rPr>
              <w:t>通</w:t>
            </w:r>
            <w:r>
              <w:rPr>
                <w:spacing w:val="-38"/>
              </w:rPr>
              <w:t xml:space="preserve"> </w:t>
            </w:r>
            <w:r>
              <w:rPr>
                <w:spacing w:val="-11"/>
              </w:rPr>
              <w:t>知</w:t>
            </w:r>
            <w:r>
              <w:rPr>
                <w:spacing w:val="-50"/>
              </w:rPr>
              <w:t xml:space="preserve"> </w:t>
            </w:r>
            <w:r>
              <w:rPr>
                <w:spacing w:val="-11"/>
              </w:rPr>
              <w:t>》（云 自</w:t>
            </w:r>
            <w:r>
              <w:rPr>
                <w:spacing w:val="-41"/>
              </w:rPr>
              <w:t xml:space="preserve"> </w:t>
            </w:r>
            <w:r>
              <w:rPr>
                <w:spacing w:val="-11"/>
              </w:rPr>
              <w:t>然</w:t>
            </w:r>
            <w:r>
              <w:rPr>
                <w:spacing w:val="-33"/>
              </w:rPr>
              <w:t xml:space="preserve"> </w:t>
            </w:r>
            <w:r>
              <w:rPr>
                <w:spacing w:val="-11"/>
              </w:rPr>
              <w:t>资</w:t>
            </w:r>
            <w:r>
              <w:rPr>
                <w:spacing w:val="-8"/>
              </w:rPr>
              <w:t>﹝</w:t>
            </w:r>
            <w:r>
              <w:rPr>
                <w:rFonts w:ascii="Times New Roman" w:hAnsi="Times New Roman" w:eastAsia="Times New Roman" w:cs="Times New Roman"/>
                <w:spacing w:val="-8"/>
              </w:rPr>
              <w:t>2023</w:t>
            </w:r>
            <w:r>
              <w:rPr>
                <w:spacing w:val="-8"/>
              </w:rPr>
              <w:t>﹞</w:t>
            </w:r>
            <w:r>
              <w:rPr>
                <w:rFonts w:ascii="Times New Roman" w:hAnsi="Times New Roman" w:eastAsia="Times New Roman" w:cs="Times New Roman"/>
                <w:spacing w:val="-8"/>
              </w:rPr>
              <w:t>98</w:t>
            </w:r>
            <w:r>
              <w:rPr>
                <w:rFonts w:ascii="Times New Roman" w:hAnsi="Times New Roman" w:eastAsia="Times New Roman" w:cs="Times New Roman"/>
                <w:spacing w:val="26"/>
                <w:w w:val="101"/>
              </w:rPr>
              <w:t xml:space="preserve"> </w:t>
            </w:r>
            <w:r>
              <w:rPr>
                <w:spacing w:val="-8"/>
              </w:rPr>
              <w:t>号）执行。后续若国家和</w:t>
            </w:r>
            <w:r>
              <w:rPr>
                <w:spacing w:val="8"/>
              </w:rPr>
              <w:t>省生态保护红线相关管控政策发生</w:t>
            </w:r>
            <w:r>
              <w:rPr>
                <w:spacing w:val="-5"/>
              </w:rPr>
              <w:t>调整，按调整后的管控办法执行。自然保护地优化整合成果获批前，按现</w:t>
            </w:r>
            <w:r>
              <w:rPr>
                <w:spacing w:val="-1"/>
              </w:rPr>
              <w:t>行有效法律法规管理。</w:t>
            </w:r>
          </w:p>
        </w:tc>
        <w:tc>
          <w:tcPr>
            <w:tcW w:w="2603" w:type="dxa"/>
            <w:vAlign w:val="top"/>
          </w:tcPr>
          <w:p w14:paraId="0433996D">
            <w:pPr>
              <w:spacing w:line="455" w:lineRule="auto"/>
              <w:rPr>
                <w:rFonts w:ascii="Arial"/>
                <w:sz w:val="21"/>
              </w:rPr>
            </w:pPr>
          </w:p>
          <w:p w14:paraId="16E13097">
            <w:pPr>
              <w:pStyle w:val="6"/>
              <w:spacing w:before="68" w:line="278" w:lineRule="auto"/>
              <w:ind w:left="107" w:right="103" w:firstLine="8"/>
              <w:jc w:val="both"/>
            </w:pPr>
            <w:r>
              <w:rPr>
                <w:spacing w:val="27"/>
              </w:rPr>
              <w:t>项目穿越生态保护红线</w:t>
            </w:r>
            <w:r>
              <w:rPr>
                <w:rFonts w:ascii="Times New Roman" w:hAnsi="Times New Roman" w:eastAsia="Times New Roman" w:cs="Times New Roman"/>
                <w:spacing w:val="-7"/>
              </w:rPr>
              <w:t>4257m</w:t>
            </w:r>
            <w:r>
              <w:rPr>
                <w:spacing w:val="-7"/>
              </w:rPr>
              <w:t>，生态保护红线内立</w:t>
            </w:r>
            <w:r>
              <w:rPr>
                <w:spacing w:val="-9"/>
              </w:rPr>
              <w:t>塔</w:t>
            </w:r>
            <w:r>
              <w:rPr>
                <w:spacing w:val="-28"/>
              </w:rPr>
              <w:t xml:space="preserve"> </w:t>
            </w:r>
            <w:r>
              <w:rPr>
                <w:rFonts w:ascii="Times New Roman" w:hAnsi="Times New Roman" w:eastAsia="Times New Roman" w:cs="Times New Roman"/>
                <w:spacing w:val="-9"/>
              </w:rPr>
              <w:t>13</w:t>
            </w:r>
            <w:r>
              <w:rPr>
                <w:rFonts w:ascii="Times New Roman" w:hAnsi="Times New Roman" w:eastAsia="Times New Roman" w:cs="Times New Roman"/>
                <w:spacing w:val="7"/>
              </w:rPr>
              <w:t xml:space="preserve"> </w:t>
            </w:r>
            <w:r>
              <w:rPr>
                <w:spacing w:val="-9"/>
              </w:rPr>
              <w:t>基。</w:t>
            </w:r>
          </w:p>
          <w:p w14:paraId="0402B271">
            <w:pPr>
              <w:pStyle w:val="6"/>
              <w:spacing w:before="1" w:line="278" w:lineRule="auto"/>
              <w:ind w:left="111" w:right="102" w:firstLine="2"/>
              <w:jc w:val="both"/>
            </w:pPr>
            <w:r>
              <w:rPr>
                <w:spacing w:val="-12"/>
              </w:rPr>
              <w:t>经前文分析，项目与（自然</w:t>
            </w:r>
            <w:r>
              <w:rPr>
                <w:spacing w:val="-20"/>
              </w:rPr>
              <w:t>资发〔</w:t>
            </w:r>
            <w:r>
              <w:rPr>
                <w:rFonts w:ascii="Times New Roman" w:hAnsi="Times New Roman" w:eastAsia="Times New Roman" w:cs="Times New Roman"/>
                <w:spacing w:val="-20"/>
              </w:rPr>
              <w:t>2022</w:t>
            </w:r>
            <w:r>
              <w:rPr>
                <w:spacing w:val="-20"/>
              </w:rPr>
              <w:t>〕</w:t>
            </w:r>
            <w:r>
              <w:rPr>
                <w:rFonts w:ascii="Times New Roman" w:hAnsi="Times New Roman" w:eastAsia="Times New Roman" w:cs="Times New Roman"/>
                <w:spacing w:val="-20"/>
              </w:rPr>
              <w:t>142</w:t>
            </w:r>
            <w:r>
              <w:rPr>
                <w:rFonts w:ascii="Times New Roman" w:hAnsi="Times New Roman" w:eastAsia="Times New Roman" w:cs="Times New Roman"/>
                <w:spacing w:val="25"/>
              </w:rPr>
              <w:t xml:space="preserve"> </w:t>
            </w:r>
            <w:r>
              <w:rPr>
                <w:spacing w:val="-20"/>
              </w:rPr>
              <w:t>号）、（云</w:t>
            </w:r>
            <w:r>
              <w:rPr>
                <w:spacing w:val="-2"/>
              </w:rPr>
              <w:t>自然资〔</w:t>
            </w:r>
            <w:r>
              <w:rPr>
                <w:rFonts w:ascii="Times New Roman" w:hAnsi="Times New Roman" w:eastAsia="Times New Roman" w:cs="Times New Roman"/>
                <w:spacing w:val="-2"/>
              </w:rPr>
              <w:t>2023</w:t>
            </w:r>
            <w:r>
              <w:rPr>
                <w:spacing w:val="-2"/>
              </w:rPr>
              <w:t>〕</w:t>
            </w:r>
            <w:r>
              <w:rPr>
                <w:rFonts w:ascii="Times New Roman" w:hAnsi="Times New Roman" w:eastAsia="Times New Roman" w:cs="Times New Roman"/>
                <w:spacing w:val="-2"/>
              </w:rPr>
              <w:t>98</w:t>
            </w:r>
            <w:r>
              <w:rPr>
                <w:rFonts w:ascii="Times New Roman" w:hAnsi="Times New Roman" w:eastAsia="Times New Roman" w:cs="Times New Roman"/>
                <w:spacing w:val="48"/>
              </w:rPr>
              <w:t xml:space="preserve"> </w:t>
            </w:r>
            <w:r>
              <w:rPr>
                <w:spacing w:val="-2"/>
              </w:rPr>
              <w:t>号）文</w:t>
            </w:r>
            <w:r>
              <w:rPr>
                <w:spacing w:val="6"/>
              </w:rPr>
              <w:t>件生态保护红线、自然保</w:t>
            </w:r>
            <w:r>
              <w:rPr>
                <w:spacing w:val="28"/>
              </w:rPr>
              <w:t>护区相关管理规定不冲</w:t>
            </w:r>
            <w:r>
              <w:rPr>
                <w:spacing w:val="-10"/>
              </w:rPr>
              <w:t>突。</w:t>
            </w:r>
          </w:p>
        </w:tc>
        <w:tc>
          <w:tcPr>
            <w:tcW w:w="737" w:type="dxa"/>
            <w:vAlign w:val="top"/>
          </w:tcPr>
          <w:p w14:paraId="48DB4924">
            <w:pPr>
              <w:spacing w:line="244" w:lineRule="auto"/>
              <w:rPr>
                <w:rFonts w:ascii="Arial"/>
                <w:sz w:val="21"/>
              </w:rPr>
            </w:pPr>
          </w:p>
          <w:p w14:paraId="08BEF23E">
            <w:pPr>
              <w:spacing w:line="244" w:lineRule="auto"/>
              <w:rPr>
                <w:rFonts w:ascii="Arial"/>
                <w:sz w:val="21"/>
              </w:rPr>
            </w:pPr>
          </w:p>
          <w:p w14:paraId="0F4ECFE0">
            <w:pPr>
              <w:spacing w:line="245" w:lineRule="auto"/>
              <w:rPr>
                <w:rFonts w:ascii="Arial"/>
                <w:sz w:val="21"/>
              </w:rPr>
            </w:pPr>
          </w:p>
          <w:p w14:paraId="230AB681">
            <w:pPr>
              <w:spacing w:line="245" w:lineRule="auto"/>
              <w:rPr>
                <w:rFonts w:ascii="Arial"/>
                <w:sz w:val="21"/>
              </w:rPr>
            </w:pPr>
          </w:p>
          <w:p w14:paraId="536F5FB4">
            <w:pPr>
              <w:spacing w:line="245" w:lineRule="auto"/>
              <w:rPr>
                <w:rFonts w:ascii="Arial"/>
                <w:sz w:val="21"/>
              </w:rPr>
            </w:pPr>
          </w:p>
          <w:p w14:paraId="44651491">
            <w:pPr>
              <w:spacing w:line="245" w:lineRule="auto"/>
              <w:rPr>
                <w:rFonts w:ascii="Arial"/>
                <w:sz w:val="21"/>
              </w:rPr>
            </w:pPr>
          </w:p>
          <w:p w14:paraId="6824E2B5">
            <w:pPr>
              <w:spacing w:line="245" w:lineRule="auto"/>
              <w:rPr>
                <w:rFonts w:ascii="Arial"/>
                <w:sz w:val="21"/>
              </w:rPr>
            </w:pPr>
          </w:p>
          <w:p w14:paraId="0D6B67D8">
            <w:pPr>
              <w:pStyle w:val="6"/>
              <w:spacing w:before="68" w:line="221" w:lineRule="auto"/>
              <w:ind w:left="166"/>
            </w:pPr>
            <w:r>
              <w:rPr>
                <w:spacing w:val="-2"/>
              </w:rPr>
              <w:t>符合</w:t>
            </w:r>
          </w:p>
        </w:tc>
        <w:tc>
          <w:tcPr>
            <w:tcW w:w="115" w:type="dxa"/>
            <w:tcBorders>
              <w:top w:val="nil"/>
              <w:bottom w:val="nil"/>
            </w:tcBorders>
            <w:vAlign w:val="top"/>
          </w:tcPr>
          <w:p w14:paraId="57A9A96B">
            <w:pPr>
              <w:rPr>
                <w:rFonts w:ascii="Arial"/>
                <w:sz w:val="21"/>
              </w:rPr>
            </w:pPr>
          </w:p>
        </w:tc>
      </w:tr>
      <w:tr w14:paraId="08FB2A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79" w:hRule="atLeast"/>
        </w:trPr>
        <w:tc>
          <w:tcPr>
            <w:tcW w:w="571" w:type="dxa"/>
            <w:vMerge w:val="continue"/>
            <w:tcBorders>
              <w:top w:val="nil"/>
              <w:bottom w:val="nil"/>
            </w:tcBorders>
            <w:vAlign w:val="top"/>
          </w:tcPr>
          <w:p w14:paraId="5CD7A7CB">
            <w:pPr>
              <w:rPr>
                <w:rFonts w:ascii="Arial"/>
                <w:sz w:val="21"/>
              </w:rPr>
            </w:pPr>
          </w:p>
        </w:tc>
        <w:tc>
          <w:tcPr>
            <w:tcW w:w="115" w:type="dxa"/>
            <w:tcBorders>
              <w:top w:val="nil"/>
              <w:bottom w:val="nil"/>
            </w:tcBorders>
            <w:vAlign w:val="top"/>
          </w:tcPr>
          <w:p w14:paraId="28EB76F7">
            <w:pPr>
              <w:rPr>
                <w:rFonts w:ascii="Arial"/>
                <w:sz w:val="21"/>
              </w:rPr>
            </w:pPr>
          </w:p>
        </w:tc>
        <w:tc>
          <w:tcPr>
            <w:tcW w:w="494" w:type="dxa"/>
            <w:vMerge w:val="continue"/>
            <w:tcBorders>
              <w:top w:val="nil"/>
              <w:bottom w:val="nil"/>
            </w:tcBorders>
            <w:vAlign w:val="top"/>
          </w:tcPr>
          <w:p w14:paraId="74423A65">
            <w:pPr>
              <w:rPr>
                <w:rFonts w:ascii="Arial"/>
                <w:sz w:val="21"/>
              </w:rPr>
            </w:pPr>
          </w:p>
        </w:tc>
        <w:tc>
          <w:tcPr>
            <w:tcW w:w="448" w:type="dxa"/>
            <w:vMerge w:val="continue"/>
            <w:tcBorders>
              <w:top w:val="nil"/>
              <w:bottom w:val="nil"/>
            </w:tcBorders>
            <w:textDirection w:val="tbRlV"/>
            <w:vAlign w:val="top"/>
          </w:tcPr>
          <w:p w14:paraId="1B27F9D8">
            <w:pPr>
              <w:rPr>
                <w:rFonts w:ascii="Arial"/>
                <w:sz w:val="21"/>
              </w:rPr>
            </w:pPr>
          </w:p>
        </w:tc>
        <w:tc>
          <w:tcPr>
            <w:tcW w:w="483" w:type="dxa"/>
            <w:vMerge w:val="restart"/>
            <w:tcBorders>
              <w:bottom w:val="nil"/>
            </w:tcBorders>
            <w:textDirection w:val="tbRlV"/>
            <w:vAlign w:val="top"/>
          </w:tcPr>
          <w:p w14:paraId="6F46AFD2">
            <w:pPr>
              <w:pStyle w:val="6"/>
              <w:spacing w:before="137" w:line="210" w:lineRule="auto"/>
              <w:ind w:left="2035"/>
            </w:pPr>
            <w:r>
              <w:rPr>
                <w:spacing w:val="-70"/>
                <w:w w:val="43"/>
              </w:rPr>
              <w:t>一</w:t>
            </w:r>
            <w:r>
              <w:rPr>
                <w:spacing w:val="8"/>
              </w:rPr>
              <w:t xml:space="preserve">  </w:t>
            </w:r>
            <w:r>
              <w:t>般 生 态 空 间 优 先 保 护 单 元</w:t>
            </w:r>
          </w:p>
        </w:tc>
        <w:tc>
          <w:tcPr>
            <w:tcW w:w="3507" w:type="dxa"/>
            <w:vAlign w:val="top"/>
          </w:tcPr>
          <w:p w14:paraId="65255C16">
            <w:pPr>
              <w:pStyle w:val="6"/>
              <w:spacing w:before="53" w:line="273" w:lineRule="auto"/>
              <w:ind w:left="111" w:right="27" w:firstLine="17"/>
              <w:jc w:val="both"/>
            </w:pPr>
            <w:r>
              <w:rPr>
                <w:rFonts w:ascii="Times New Roman" w:hAnsi="Times New Roman" w:eastAsia="Times New Roman" w:cs="Times New Roman"/>
                <w:spacing w:val="8"/>
              </w:rPr>
              <w:t>1.</w:t>
            </w:r>
            <w:r>
              <w:rPr>
                <w:rFonts w:ascii="Times New Roman" w:hAnsi="Times New Roman" w:eastAsia="Times New Roman" w:cs="Times New Roman"/>
                <w:spacing w:val="-14"/>
              </w:rPr>
              <w:t xml:space="preserve"> </w:t>
            </w:r>
            <w:r>
              <w:rPr>
                <w:spacing w:val="8"/>
              </w:rPr>
              <w:t>一般生态空间优先保护单元以保</w:t>
            </w:r>
            <w:r>
              <w:rPr>
                <w:spacing w:val="-5"/>
              </w:rPr>
              <w:t>护和修复生态环境、提供生态产品为首要任务，参照主体功能区中重点生</w:t>
            </w:r>
            <w:r>
              <w:rPr>
                <w:spacing w:val="8"/>
              </w:rPr>
              <w:t>态功能区的开发和管制原则进行管</w:t>
            </w:r>
            <w:r>
              <w:rPr>
                <w:spacing w:val="-5"/>
              </w:rPr>
              <w:t>控，加强资源环境承载力控制，防止</w:t>
            </w:r>
            <w:r>
              <w:rPr>
                <w:spacing w:val="-13"/>
              </w:rPr>
              <w:t>过度垦殖、放牧、采伐、取水、渔猎、</w:t>
            </w:r>
            <w:r>
              <w:rPr>
                <w:spacing w:val="-5"/>
              </w:rPr>
              <w:t>旅游等对生态功能造成损害，确保自然生态系统稳定。涉及占用一般生态</w:t>
            </w:r>
            <w:r>
              <w:rPr>
                <w:spacing w:val="8"/>
              </w:rPr>
              <w:t>空间的开发活动应符合相关法律法</w:t>
            </w:r>
            <w:r>
              <w:rPr>
                <w:spacing w:val="-5"/>
              </w:rPr>
              <w:t>规规定，没有明确规定的，加强论证</w:t>
            </w:r>
            <w:r>
              <w:rPr>
                <w:spacing w:val="-1"/>
              </w:rPr>
              <w:t>和管理。</w:t>
            </w:r>
          </w:p>
        </w:tc>
        <w:tc>
          <w:tcPr>
            <w:tcW w:w="2603" w:type="dxa"/>
            <w:vAlign w:val="top"/>
          </w:tcPr>
          <w:p w14:paraId="1B4A3DBD">
            <w:pPr>
              <w:spacing w:line="272" w:lineRule="auto"/>
              <w:rPr>
                <w:rFonts w:ascii="Arial"/>
                <w:sz w:val="21"/>
              </w:rPr>
            </w:pPr>
          </w:p>
          <w:p w14:paraId="4772A17C">
            <w:pPr>
              <w:spacing w:line="272" w:lineRule="auto"/>
              <w:rPr>
                <w:rFonts w:ascii="Arial"/>
                <w:sz w:val="21"/>
              </w:rPr>
            </w:pPr>
          </w:p>
          <w:p w14:paraId="215FBC88">
            <w:pPr>
              <w:spacing w:line="272" w:lineRule="auto"/>
              <w:rPr>
                <w:rFonts w:ascii="Arial"/>
                <w:sz w:val="21"/>
              </w:rPr>
            </w:pPr>
          </w:p>
          <w:p w14:paraId="4F0BCCD4">
            <w:pPr>
              <w:spacing w:line="272" w:lineRule="auto"/>
              <w:rPr>
                <w:rFonts w:ascii="Arial"/>
                <w:sz w:val="21"/>
              </w:rPr>
            </w:pPr>
          </w:p>
          <w:p w14:paraId="692AB240">
            <w:pPr>
              <w:pStyle w:val="6"/>
              <w:spacing w:before="68" w:line="279" w:lineRule="auto"/>
              <w:ind w:left="111" w:right="105" w:firstLine="4"/>
              <w:jc w:val="both"/>
            </w:pPr>
            <w:r>
              <w:rPr>
                <w:spacing w:val="6"/>
              </w:rPr>
              <w:t>项目为输变电工程，不属</w:t>
            </w:r>
            <w:r>
              <w:rPr>
                <w:spacing w:val="5"/>
              </w:rPr>
              <w:t>于大规模开发建设活动，</w:t>
            </w:r>
            <w:r>
              <w:rPr>
                <w:spacing w:val="6"/>
              </w:rPr>
              <w:t>不会对地区主体功能定位</w:t>
            </w:r>
            <w:r>
              <w:rPr>
                <w:spacing w:val="-4"/>
              </w:rPr>
              <w:t>造成影响。</w:t>
            </w:r>
          </w:p>
        </w:tc>
        <w:tc>
          <w:tcPr>
            <w:tcW w:w="737" w:type="dxa"/>
            <w:vAlign w:val="top"/>
          </w:tcPr>
          <w:p w14:paraId="307FF2D5">
            <w:pPr>
              <w:spacing w:line="259" w:lineRule="auto"/>
              <w:rPr>
                <w:rFonts w:ascii="Arial"/>
                <w:sz w:val="21"/>
              </w:rPr>
            </w:pPr>
          </w:p>
          <w:p w14:paraId="57F5C2E2">
            <w:pPr>
              <w:spacing w:line="259" w:lineRule="auto"/>
              <w:rPr>
                <w:rFonts w:ascii="Arial"/>
                <w:sz w:val="21"/>
              </w:rPr>
            </w:pPr>
          </w:p>
          <w:p w14:paraId="289CA35E">
            <w:pPr>
              <w:spacing w:line="259" w:lineRule="auto"/>
              <w:rPr>
                <w:rFonts w:ascii="Arial"/>
                <w:sz w:val="21"/>
              </w:rPr>
            </w:pPr>
          </w:p>
          <w:p w14:paraId="6D2D46DA">
            <w:pPr>
              <w:spacing w:line="259" w:lineRule="auto"/>
              <w:rPr>
                <w:rFonts w:ascii="Arial"/>
                <w:sz w:val="21"/>
              </w:rPr>
            </w:pPr>
          </w:p>
          <w:p w14:paraId="08EF1D32">
            <w:pPr>
              <w:spacing w:line="260" w:lineRule="auto"/>
              <w:rPr>
                <w:rFonts w:ascii="Arial"/>
                <w:sz w:val="21"/>
              </w:rPr>
            </w:pPr>
          </w:p>
          <w:p w14:paraId="6FFBC64A">
            <w:pPr>
              <w:spacing w:line="260" w:lineRule="auto"/>
              <w:rPr>
                <w:rFonts w:ascii="Arial"/>
                <w:sz w:val="21"/>
              </w:rPr>
            </w:pPr>
          </w:p>
          <w:p w14:paraId="7F424037">
            <w:pPr>
              <w:pStyle w:val="6"/>
              <w:spacing w:before="69" w:line="221" w:lineRule="auto"/>
              <w:ind w:left="166"/>
            </w:pPr>
            <w:r>
              <w:rPr>
                <w:spacing w:val="-2"/>
              </w:rPr>
              <w:t>符合</w:t>
            </w:r>
          </w:p>
        </w:tc>
        <w:tc>
          <w:tcPr>
            <w:tcW w:w="115" w:type="dxa"/>
            <w:tcBorders>
              <w:top w:val="nil"/>
              <w:bottom w:val="nil"/>
            </w:tcBorders>
            <w:vAlign w:val="top"/>
          </w:tcPr>
          <w:p w14:paraId="44F45367">
            <w:pPr>
              <w:rPr>
                <w:rFonts w:ascii="Arial"/>
                <w:sz w:val="21"/>
              </w:rPr>
            </w:pPr>
          </w:p>
        </w:tc>
      </w:tr>
      <w:tr w14:paraId="5BEBD7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26" w:hRule="atLeast"/>
        </w:trPr>
        <w:tc>
          <w:tcPr>
            <w:tcW w:w="571" w:type="dxa"/>
            <w:vMerge w:val="continue"/>
            <w:tcBorders>
              <w:top w:val="nil"/>
            </w:tcBorders>
            <w:vAlign w:val="top"/>
          </w:tcPr>
          <w:p w14:paraId="1157F7AF">
            <w:pPr>
              <w:rPr>
                <w:rFonts w:ascii="Arial"/>
                <w:sz w:val="21"/>
              </w:rPr>
            </w:pPr>
          </w:p>
        </w:tc>
        <w:tc>
          <w:tcPr>
            <w:tcW w:w="115" w:type="dxa"/>
            <w:tcBorders>
              <w:top w:val="nil"/>
            </w:tcBorders>
            <w:vAlign w:val="top"/>
          </w:tcPr>
          <w:p w14:paraId="45BE16C3">
            <w:pPr>
              <w:rPr>
                <w:rFonts w:ascii="Arial"/>
                <w:sz w:val="21"/>
              </w:rPr>
            </w:pPr>
          </w:p>
        </w:tc>
        <w:tc>
          <w:tcPr>
            <w:tcW w:w="494" w:type="dxa"/>
            <w:vMerge w:val="continue"/>
            <w:tcBorders>
              <w:top w:val="nil"/>
            </w:tcBorders>
            <w:vAlign w:val="top"/>
          </w:tcPr>
          <w:p w14:paraId="0756E505">
            <w:pPr>
              <w:rPr>
                <w:rFonts w:ascii="Arial"/>
                <w:sz w:val="21"/>
              </w:rPr>
            </w:pPr>
          </w:p>
        </w:tc>
        <w:tc>
          <w:tcPr>
            <w:tcW w:w="448" w:type="dxa"/>
            <w:vMerge w:val="continue"/>
            <w:tcBorders>
              <w:top w:val="nil"/>
            </w:tcBorders>
            <w:textDirection w:val="tbRlV"/>
            <w:vAlign w:val="top"/>
          </w:tcPr>
          <w:p w14:paraId="70716D16">
            <w:pPr>
              <w:rPr>
                <w:rFonts w:ascii="Arial"/>
                <w:sz w:val="21"/>
              </w:rPr>
            </w:pPr>
          </w:p>
        </w:tc>
        <w:tc>
          <w:tcPr>
            <w:tcW w:w="483" w:type="dxa"/>
            <w:vMerge w:val="continue"/>
            <w:tcBorders>
              <w:top w:val="nil"/>
            </w:tcBorders>
            <w:textDirection w:val="tbRlV"/>
            <w:vAlign w:val="top"/>
          </w:tcPr>
          <w:p w14:paraId="7EB16BC8">
            <w:pPr>
              <w:rPr>
                <w:rFonts w:ascii="Arial"/>
                <w:sz w:val="21"/>
              </w:rPr>
            </w:pPr>
          </w:p>
        </w:tc>
        <w:tc>
          <w:tcPr>
            <w:tcW w:w="3507" w:type="dxa"/>
            <w:vAlign w:val="top"/>
          </w:tcPr>
          <w:p w14:paraId="04DFED91">
            <w:pPr>
              <w:pStyle w:val="6"/>
              <w:spacing w:before="49" w:line="275" w:lineRule="auto"/>
              <w:ind w:left="110" w:right="101" w:hanging="2"/>
            </w:pPr>
            <w:r>
              <w:rPr>
                <w:rFonts w:ascii="Times New Roman" w:hAnsi="Times New Roman" w:eastAsia="Times New Roman" w:cs="Times New Roman"/>
                <w:spacing w:val="11"/>
              </w:rPr>
              <w:t>2.</w:t>
            </w:r>
            <w:r>
              <w:rPr>
                <w:spacing w:val="11"/>
              </w:rPr>
              <w:t>暂未纳入生态保护红线的自然保</w:t>
            </w:r>
            <w:r>
              <w:rPr>
                <w:spacing w:val="8"/>
              </w:rPr>
              <w:t>护地按照相关保护地法律法规进行</w:t>
            </w:r>
            <w:r>
              <w:rPr>
                <w:spacing w:val="-5"/>
              </w:rPr>
              <w:t>管理；自然保护地优化整合成果获批前，按现行有效法律法规管理。重要湿地依据《湿地保护管理规定》《云南省湿地保护条例》《云南省人民政府关于加强湿地保护工作的意见》等进行管理；生态公益林依据《国家级公益林管理办法》《云南省地方公益林管理办法》进行管理；天然林依据</w:t>
            </w:r>
            <w:r>
              <w:rPr>
                <w:spacing w:val="8"/>
              </w:rPr>
              <w:t>《国家林业局关于严格保护天然林</w:t>
            </w:r>
            <w:r>
              <w:rPr>
                <w:spacing w:val="-14"/>
              </w:rPr>
              <w:t>的通知》（林资发〔</w:t>
            </w:r>
            <w:r>
              <w:rPr>
                <w:rFonts w:ascii="Times New Roman" w:hAnsi="Times New Roman" w:eastAsia="Times New Roman" w:cs="Times New Roman"/>
                <w:spacing w:val="-14"/>
              </w:rPr>
              <w:t>2015</w:t>
            </w:r>
            <w:r>
              <w:rPr>
                <w:spacing w:val="-14"/>
              </w:rPr>
              <w:t>〕</w:t>
            </w:r>
            <w:r>
              <w:rPr>
                <w:rFonts w:ascii="Times New Roman" w:hAnsi="Times New Roman" w:eastAsia="Times New Roman" w:cs="Times New Roman"/>
                <w:spacing w:val="-14"/>
              </w:rPr>
              <w:t>181</w:t>
            </w:r>
            <w:r>
              <w:rPr>
                <w:rFonts w:ascii="Times New Roman" w:hAnsi="Times New Roman" w:eastAsia="Times New Roman" w:cs="Times New Roman"/>
                <w:spacing w:val="31"/>
              </w:rPr>
              <w:t xml:space="preserve"> </w:t>
            </w:r>
            <w:r>
              <w:rPr>
                <w:spacing w:val="-14"/>
              </w:rPr>
              <w:t>号）、</w:t>
            </w:r>
            <w:r>
              <w:t xml:space="preserve"> </w:t>
            </w:r>
            <w:r>
              <w:rPr>
                <w:spacing w:val="-1"/>
              </w:rPr>
              <w:t>《中共中央办公厅</w:t>
            </w:r>
            <w:r>
              <w:rPr>
                <w:spacing w:val="47"/>
              </w:rPr>
              <w:t xml:space="preserve"> </w:t>
            </w:r>
            <w:r>
              <w:rPr>
                <w:spacing w:val="-1"/>
              </w:rPr>
              <w:t>国务院办公厅关</w:t>
            </w:r>
          </w:p>
        </w:tc>
        <w:tc>
          <w:tcPr>
            <w:tcW w:w="2603" w:type="dxa"/>
            <w:vAlign w:val="top"/>
          </w:tcPr>
          <w:p w14:paraId="75E18A79">
            <w:pPr>
              <w:spacing w:line="310" w:lineRule="auto"/>
              <w:rPr>
                <w:rFonts w:ascii="Arial"/>
                <w:sz w:val="21"/>
              </w:rPr>
            </w:pPr>
          </w:p>
          <w:p w14:paraId="3102A5E9">
            <w:pPr>
              <w:spacing w:line="311" w:lineRule="auto"/>
              <w:rPr>
                <w:rFonts w:ascii="Arial"/>
                <w:sz w:val="21"/>
              </w:rPr>
            </w:pPr>
          </w:p>
          <w:p w14:paraId="3BDA4D92">
            <w:pPr>
              <w:pStyle w:val="6"/>
              <w:spacing w:before="68" w:line="278" w:lineRule="auto"/>
              <w:ind w:left="111" w:right="102" w:firstLine="4"/>
              <w:jc w:val="both"/>
            </w:pPr>
            <w:r>
              <w:rPr>
                <w:spacing w:val="6"/>
              </w:rPr>
              <w:t>项目不涉及重要湿地；本</w:t>
            </w:r>
            <w:r>
              <w:rPr>
                <w:spacing w:val="28"/>
              </w:rPr>
              <w:t>项目涉及公益林及天然</w:t>
            </w:r>
            <w:r>
              <w:rPr>
                <w:spacing w:val="-12"/>
              </w:rPr>
              <w:t>林，严格按照《国家级公益林管理办法》《云南省地方公益林管理办法》《国家林</w:t>
            </w:r>
            <w:r>
              <w:rPr>
                <w:spacing w:val="6"/>
              </w:rPr>
              <w:t>业局关于严格保护天然林</w:t>
            </w:r>
            <w:r>
              <w:rPr>
                <w:spacing w:val="-12"/>
              </w:rPr>
              <w:t>的通知》要求执行，项目正</w:t>
            </w:r>
            <w:r>
              <w:rPr>
                <w:spacing w:val="6"/>
              </w:rPr>
              <w:t>同步办理占用林地相关手</w:t>
            </w:r>
            <w:r>
              <w:rPr>
                <w:spacing w:val="-10"/>
              </w:rPr>
              <w:t>续。</w:t>
            </w:r>
          </w:p>
        </w:tc>
        <w:tc>
          <w:tcPr>
            <w:tcW w:w="737" w:type="dxa"/>
            <w:vAlign w:val="top"/>
          </w:tcPr>
          <w:p w14:paraId="37C09C0E">
            <w:pPr>
              <w:spacing w:line="267" w:lineRule="auto"/>
              <w:rPr>
                <w:rFonts w:ascii="Arial"/>
                <w:sz w:val="21"/>
              </w:rPr>
            </w:pPr>
          </w:p>
          <w:p w14:paraId="19E23F79">
            <w:pPr>
              <w:spacing w:line="267" w:lineRule="auto"/>
              <w:rPr>
                <w:rFonts w:ascii="Arial"/>
                <w:sz w:val="21"/>
              </w:rPr>
            </w:pPr>
          </w:p>
          <w:p w14:paraId="5BB7A07C">
            <w:pPr>
              <w:spacing w:line="267" w:lineRule="auto"/>
              <w:rPr>
                <w:rFonts w:ascii="Arial"/>
                <w:sz w:val="21"/>
              </w:rPr>
            </w:pPr>
          </w:p>
          <w:p w14:paraId="5A011A60">
            <w:pPr>
              <w:spacing w:line="268" w:lineRule="auto"/>
              <w:rPr>
                <w:rFonts w:ascii="Arial"/>
                <w:sz w:val="21"/>
              </w:rPr>
            </w:pPr>
          </w:p>
          <w:p w14:paraId="6E2D5FE2">
            <w:pPr>
              <w:spacing w:line="268" w:lineRule="auto"/>
              <w:rPr>
                <w:rFonts w:ascii="Arial"/>
                <w:sz w:val="21"/>
              </w:rPr>
            </w:pPr>
          </w:p>
          <w:p w14:paraId="3DA62196">
            <w:pPr>
              <w:spacing w:line="268" w:lineRule="auto"/>
              <w:rPr>
                <w:rFonts w:ascii="Arial"/>
                <w:sz w:val="21"/>
              </w:rPr>
            </w:pPr>
          </w:p>
          <w:p w14:paraId="75912C54">
            <w:pPr>
              <w:spacing w:line="268" w:lineRule="auto"/>
              <w:rPr>
                <w:rFonts w:ascii="Arial"/>
                <w:sz w:val="21"/>
              </w:rPr>
            </w:pPr>
          </w:p>
          <w:p w14:paraId="4CB24F69">
            <w:pPr>
              <w:pStyle w:val="6"/>
              <w:spacing w:before="68" w:line="221" w:lineRule="auto"/>
              <w:ind w:left="166"/>
            </w:pPr>
            <w:r>
              <w:rPr>
                <w:spacing w:val="-2"/>
              </w:rPr>
              <w:t>符合</w:t>
            </w:r>
          </w:p>
        </w:tc>
        <w:tc>
          <w:tcPr>
            <w:tcW w:w="115" w:type="dxa"/>
            <w:tcBorders>
              <w:top w:val="nil"/>
            </w:tcBorders>
            <w:vAlign w:val="top"/>
          </w:tcPr>
          <w:p w14:paraId="15B684AF">
            <w:pPr>
              <w:rPr>
                <w:rFonts w:ascii="Arial"/>
                <w:sz w:val="21"/>
              </w:rPr>
            </w:pPr>
          </w:p>
        </w:tc>
      </w:tr>
    </w:tbl>
    <w:p w14:paraId="4D7887AD">
      <w:pPr>
        <w:rPr>
          <w:rFonts w:ascii="Arial"/>
          <w:sz w:val="21"/>
        </w:rPr>
      </w:pPr>
    </w:p>
    <w:p w14:paraId="7F2B7877">
      <w:pPr>
        <w:rPr>
          <w:rFonts w:ascii="Arial" w:hAnsi="Arial" w:eastAsia="Arial" w:cs="Arial"/>
          <w:sz w:val="21"/>
          <w:szCs w:val="21"/>
        </w:rPr>
        <w:sectPr>
          <w:footerReference r:id="rId16" w:type="default"/>
          <w:pgSz w:w="11907" w:h="16841"/>
          <w:pgMar w:top="400" w:right="1413" w:bottom="1126" w:left="1414" w:header="0" w:footer="925" w:gutter="0"/>
          <w:cols w:space="720" w:num="1"/>
        </w:sectPr>
      </w:pPr>
    </w:p>
    <w:p w14:paraId="3CCFF979">
      <w:pPr>
        <w:spacing w:before="2"/>
      </w:pPr>
    </w:p>
    <w:p w14:paraId="005A69EF">
      <w:pPr>
        <w:spacing w:before="2"/>
      </w:pPr>
    </w:p>
    <w:p w14:paraId="74F10E43">
      <w:pPr>
        <w:spacing w:before="1"/>
      </w:pPr>
    </w:p>
    <w:p w14:paraId="5740DAD7">
      <w:pPr>
        <w:spacing w:before="1"/>
      </w:pPr>
    </w:p>
    <w:p w14:paraId="26050792">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5"/>
        <w:gridCol w:w="494"/>
        <w:gridCol w:w="448"/>
        <w:gridCol w:w="483"/>
        <w:gridCol w:w="3507"/>
        <w:gridCol w:w="2603"/>
        <w:gridCol w:w="737"/>
        <w:gridCol w:w="115"/>
      </w:tblGrid>
      <w:tr w14:paraId="141147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9" w:hRule="atLeast"/>
        </w:trPr>
        <w:tc>
          <w:tcPr>
            <w:tcW w:w="571" w:type="dxa"/>
            <w:vMerge w:val="restart"/>
            <w:tcBorders>
              <w:bottom w:val="nil"/>
            </w:tcBorders>
            <w:vAlign w:val="top"/>
          </w:tcPr>
          <w:p w14:paraId="35D19B67">
            <w:pPr>
              <w:rPr>
                <w:rFonts w:ascii="Arial"/>
                <w:sz w:val="21"/>
              </w:rPr>
            </w:pPr>
          </w:p>
        </w:tc>
        <w:tc>
          <w:tcPr>
            <w:tcW w:w="115" w:type="dxa"/>
            <w:tcBorders>
              <w:bottom w:val="nil"/>
            </w:tcBorders>
            <w:vAlign w:val="top"/>
          </w:tcPr>
          <w:p w14:paraId="440040DF">
            <w:pPr>
              <w:rPr>
                <w:rFonts w:ascii="Arial"/>
                <w:sz w:val="21"/>
              </w:rPr>
            </w:pPr>
          </w:p>
        </w:tc>
        <w:tc>
          <w:tcPr>
            <w:tcW w:w="494" w:type="dxa"/>
            <w:vMerge w:val="restart"/>
            <w:tcBorders>
              <w:bottom w:val="nil"/>
            </w:tcBorders>
            <w:vAlign w:val="top"/>
          </w:tcPr>
          <w:p w14:paraId="57A2CA32">
            <w:pPr>
              <w:rPr>
                <w:rFonts w:ascii="Arial"/>
                <w:sz w:val="21"/>
              </w:rPr>
            </w:pPr>
          </w:p>
        </w:tc>
        <w:tc>
          <w:tcPr>
            <w:tcW w:w="448" w:type="dxa"/>
            <w:vAlign w:val="top"/>
          </w:tcPr>
          <w:p w14:paraId="4F5F962F">
            <w:pPr>
              <w:rPr>
                <w:rFonts w:ascii="Arial"/>
                <w:sz w:val="21"/>
              </w:rPr>
            </w:pPr>
          </w:p>
        </w:tc>
        <w:tc>
          <w:tcPr>
            <w:tcW w:w="483" w:type="dxa"/>
            <w:vAlign w:val="top"/>
          </w:tcPr>
          <w:p w14:paraId="0E3D6642">
            <w:pPr>
              <w:rPr>
                <w:rFonts w:ascii="Arial"/>
                <w:sz w:val="21"/>
              </w:rPr>
            </w:pPr>
          </w:p>
        </w:tc>
        <w:tc>
          <w:tcPr>
            <w:tcW w:w="3507" w:type="dxa"/>
            <w:vAlign w:val="top"/>
          </w:tcPr>
          <w:p w14:paraId="7103533C">
            <w:pPr>
              <w:pStyle w:val="6"/>
              <w:spacing w:before="71" w:line="260" w:lineRule="auto"/>
              <w:ind w:left="116" w:right="69"/>
              <w:jc w:val="both"/>
            </w:pPr>
            <w:r>
              <w:rPr>
                <w:spacing w:val="-3"/>
              </w:rPr>
              <w:t>于印发〈天然林保护修复制度方案〉</w:t>
            </w:r>
            <w:r>
              <w:rPr>
                <w:spacing w:val="-8"/>
              </w:rPr>
              <w:t>的通知》（厅字〔</w:t>
            </w:r>
            <w:r>
              <w:rPr>
                <w:rFonts w:ascii="Times New Roman" w:hAnsi="Times New Roman" w:eastAsia="Times New Roman" w:cs="Times New Roman"/>
                <w:spacing w:val="-8"/>
              </w:rPr>
              <w:t>2019</w:t>
            </w:r>
            <w:r>
              <w:rPr>
                <w:spacing w:val="-8"/>
              </w:rPr>
              <w:t>〕</w:t>
            </w:r>
            <w:r>
              <w:rPr>
                <w:rFonts w:ascii="Times New Roman" w:hAnsi="Times New Roman" w:eastAsia="Times New Roman" w:cs="Times New Roman"/>
                <w:spacing w:val="-8"/>
              </w:rPr>
              <w:t>39</w:t>
            </w:r>
            <w:r>
              <w:rPr>
                <w:rFonts w:ascii="Times New Roman" w:hAnsi="Times New Roman" w:eastAsia="Times New Roman" w:cs="Times New Roman"/>
                <w:spacing w:val="20"/>
              </w:rPr>
              <w:t xml:space="preserve"> </w:t>
            </w:r>
            <w:r>
              <w:rPr>
                <w:spacing w:val="-8"/>
              </w:rPr>
              <w:t>号）等进</w:t>
            </w:r>
            <w:r>
              <w:rPr>
                <w:spacing w:val="-3"/>
              </w:rPr>
              <w:t>行管理。</w:t>
            </w:r>
          </w:p>
        </w:tc>
        <w:tc>
          <w:tcPr>
            <w:tcW w:w="2603" w:type="dxa"/>
            <w:vAlign w:val="top"/>
          </w:tcPr>
          <w:p w14:paraId="3576CFF0">
            <w:pPr>
              <w:rPr>
                <w:rFonts w:ascii="Arial"/>
                <w:sz w:val="21"/>
              </w:rPr>
            </w:pPr>
          </w:p>
        </w:tc>
        <w:tc>
          <w:tcPr>
            <w:tcW w:w="737" w:type="dxa"/>
            <w:vAlign w:val="top"/>
          </w:tcPr>
          <w:p w14:paraId="17B69D61">
            <w:pPr>
              <w:rPr>
                <w:rFonts w:ascii="Arial"/>
                <w:sz w:val="21"/>
              </w:rPr>
            </w:pPr>
          </w:p>
        </w:tc>
        <w:tc>
          <w:tcPr>
            <w:tcW w:w="115" w:type="dxa"/>
            <w:tcBorders>
              <w:bottom w:val="nil"/>
            </w:tcBorders>
            <w:vAlign w:val="top"/>
          </w:tcPr>
          <w:p w14:paraId="54BC6CB5">
            <w:pPr>
              <w:rPr>
                <w:rFonts w:ascii="Arial"/>
                <w:sz w:val="21"/>
              </w:rPr>
            </w:pPr>
          </w:p>
        </w:tc>
      </w:tr>
      <w:tr w14:paraId="4D5C99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2" w:hRule="atLeast"/>
        </w:trPr>
        <w:tc>
          <w:tcPr>
            <w:tcW w:w="571" w:type="dxa"/>
            <w:vMerge w:val="continue"/>
            <w:tcBorders>
              <w:top w:val="nil"/>
              <w:bottom w:val="nil"/>
            </w:tcBorders>
            <w:vAlign w:val="top"/>
          </w:tcPr>
          <w:p w14:paraId="7F9AF86A">
            <w:pPr>
              <w:rPr>
                <w:rFonts w:ascii="Arial"/>
                <w:sz w:val="21"/>
              </w:rPr>
            </w:pPr>
          </w:p>
        </w:tc>
        <w:tc>
          <w:tcPr>
            <w:tcW w:w="115" w:type="dxa"/>
            <w:tcBorders>
              <w:top w:val="nil"/>
              <w:bottom w:val="nil"/>
            </w:tcBorders>
            <w:vAlign w:val="top"/>
          </w:tcPr>
          <w:p w14:paraId="12403943">
            <w:pPr>
              <w:rPr>
                <w:rFonts w:ascii="Arial"/>
                <w:sz w:val="21"/>
              </w:rPr>
            </w:pPr>
          </w:p>
        </w:tc>
        <w:tc>
          <w:tcPr>
            <w:tcW w:w="494" w:type="dxa"/>
            <w:vMerge w:val="continue"/>
            <w:tcBorders>
              <w:top w:val="nil"/>
              <w:bottom w:val="nil"/>
            </w:tcBorders>
            <w:vAlign w:val="top"/>
          </w:tcPr>
          <w:p w14:paraId="0C0F1127">
            <w:pPr>
              <w:rPr>
                <w:rFonts w:ascii="Arial"/>
                <w:sz w:val="21"/>
              </w:rPr>
            </w:pPr>
          </w:p>
        </w:tc>
        <w:tc>
          <w:tcPr>
            <w:tcW w:w="448" w:type="dxa"/>
            <w:vMerge w:val="restart"/>
            <w:tcBorders>
              <w:bottom w:val="nil"/>
            </w:tcBorders>
            <w:textDirection w:val="tbRlV"/>
            <w:vAlign w:val="top"/>
          </w:tcPr>
          <w:p w14:paraId="7CEC83AD">
            <w:pPr>
              <w:pStyle w:val="6"/>
              <w:spacing w:before="120" w:line="210" w:lineRule="auto"/>
              <w:ind w:left="4576"/>
            </w:pPr>
            <w:r>
              <w:rPr>
                <w:spacing w:val="-70"/>
                <w:w w:val="43"/>
              </w:rPr>
              <w:t>一</w:t>
            </w:r>
            <w:r>
              <w:rPr>
                <w:spacing w:val="6"/>
              </w:rPr>
              <w:t xml:space="preserve">  </w:t>
            </w:r>
            <w:r>
              <w:t>般 管 控 单 元</w:t>
            </w:r>
          </w:p>
        </w:tc>
        <w:tc>
          <w:tcPr>
            <w:tcW w:w="483" w:type="dxa"/>
            <w:vMerge w:val="restart"/>
            <w:tcBorders>
              <w:bottom w:val="nil"/>
            </w:tcBorders>
            <w:textDirection w:val="tbRlV"/>
            <w:vAlign w:val="top"/>
          </w:tcPr>
          <w:p w14:paraId="220B5114">
            <w:pPr>
              <w:pStyle w:val="6"/>
              <w:spacing w:before="138" w:line="208" w:lineRule="auto"/>
              <w:ind w:left="1479"/>
            </w:pPr>
            <w:r>
              <w:t>空 间 布 局 约 束</w:t>
            </w:r>
          </w:p>
        </w:tc>
        <w:tc>
          <w:tcPr>
            <w:tcW w:w="3507" w:type="dxa"/>
            <w:vAlign w:val="top"/>
          </w:tcPr>
          <w:p w14:paraId="36DB733A">
            <w:pPr>
              <w:spacing w:line="271" w:lineRule="auto"/>
              <w:rPr>
                <w:rFonts w:ascii="Arial"/>
                <w:sz w:val="21"/>
              </w:rPr>
            </w:pPr>
          </w:p>
          <w:p w14:paraId="7EF03E29">
            <w:pPr>
              <w:spacing w:line="272" w:lineRule="auto"/>
              <w:rPr>
                <w:rFonts w:ascii="Arial"/>
                <w:sz w:val="21"/>
              </w:rPr>
            </w:pPr>
          </w:p>
          <w:p w14:paraId="0B15339A">
            <w:pPr>
              <w:spacing w:line="272" w:lineRule="auto"/>
              <w:rPr>
                <w:rFonts w:ascii="Arial"/>
                <w:sz w:val="21"/>
              </w:rPr>
            </w:pPr>
          </w:p>
          <w:p w14:paraId="6A6F0D0C">
            <w:pPr>
              <w:spacing w:line="272" w:lineRule="auto"/>
              <w:rPr>
                <w:rFonts w:ascii="Arial"/>
                <w:sz w:val="21"/>
              </w:rPr>
            </w:pPr>
          </w:p>
          <w:p w14:paraId="4E065F0A">
            <w:pPr>
              <w:pStyle w:val="6"/>
              <w:spacing w:before="68" w:line="276" w:lineRule="auto"/>
              <w:ind w:left="112" w:right="101" w:firstLine="16"/>
              <w:jc w:val="both"/>
            </w:pPr>
            <w:r>
              <w:rPr>
                <w:rFonts w:ascii="Times New Roman" w:hAnsi="Times New Roman" w:eastAsia="Times New Roman" w:cs="Times New Roman"/>
                <w:spacing w:val="-3"/>
              </w:rPr>
              <w:t>1.</w:t>
            </w:r>
            <w:r>
              <w:rPr>
                <w:spacing w:val="-3"/>
              </w:rPr>
              <w:t>加强耕地和永久基本农田保护，坚</w:t>
            </w:r>
            <w:r>
              <w:rPr>
                <w:spacing w:val="-17"/>
              </w:rPr>
              <w:t>决制止耕地“非农化”、防止耕地“非</w:t>
            </w:r>
            <w:r>
              <w:rPr>
                <w:spacing w:val="-2"/>
              </w:rPr>
              <w:t>粮化”。</w:t>
            </w:r>
          </w:p>
        </w:tc>
        <w:tc>
          <w:tcPr>
            <w:tcW w:w="2603" w:type="dxa"/>
            <w:vAlign w:val="top"/>
          </w:tcPr>
          <w:p w14:paraId="185D7996">
            <w:pPr>
              <w:pStyle w:val="6"/>
              <w:spacing w:before="57" w:line="272" w:lineRule="auto"/>
              <w:ind w:left="111" w:right="44" w:firstLine="1"/>
              <w:jc w:val="both"/>
            </w:pPr>
            <w:r>
              <w:rPr>
                <w:spacing w:val="6"/>
              </w:rPr>
              <w:t>本项目线路塔基涉及永久</w:t>
            </w:r>
            <w:r>
              <w:rPr>
                <w:spacing w:val="20"/>
              </w:rPr>
              <w:t>基本农田及耕地保护</w:t>
            </w:r>
            <w:r>
              <w:rPr>
                <w:spacing w:val="-23"/>
              </w:rPr>
              <w:t xml:space="preserve"> </w:t>
            </w:r>
            <w:r>
              <w:rPr>
                <w:spacing w:val="20"/>
              </w:rPr>
              <w:t>目</w:t>
            </w:r>
            <w:r>
              <w:rPr>
                <w:spacing w:val="6"/>
              </w:rPr>
              <w:t>标。占用的耕地施工结束</w:t>
            </w:r>
            <w:r>
              <w:rPr>
                <w:spacing w:val="-3"/>
              </w:rPr>
              <w:t xml:space="preserve">后除塔基 </w:t>
            </w:r>
            <w:r>
              <w:rPr>
                <w:rFonts w:ascii="Times New Roman" w:hAnsi="Times New Roman" w:eastAsia="Times New Roman" w:cs="Times New Roman"/>
                <w:spacing w:val="-3"/>
              </w:rPr>
              <w:t>4</w:t>
            </w:r>
            <w:r>
              <w:rPr>
                <w:rFonts w:ascii="Times New Roman" w:hAnsi="Times New Roman" w:eastAsia="Times New Roman" w:cs="Times New Roman"/>
                <w:spacing w:val="56"/>
              </w:rPr>
              <w:t xml:space="preserve"> </w:t>
            </w:r>
            <w:r>
              <w:rPr>
                <w:spacing w:val="-3"/>
              </w:rPr>
              <w:t>个支撑脚外全</w:t>
            </w:r>
            <w:r>
              <w:rPr>
                <w:spacing w:val="6"/>
              </w:rPr>
              <w:t>部进行复耕，恢复其原有功能。严格按照法律法规及主管部门意见办理土地</w:t>
            </w:r>
            <w:r>
              <w:rPr>
                <w:spacing w:val="-7"/>
              </w:rPr>
              <w:t>使用手续，实施用地补偿，</w:t>
            </w:r>
            <w:r>
              <w:rPr>
                <w:spacing w:val="6"/>
              </w:rPr>
              <w:t>做好群众工作后方可动工</w:t>
            </w:r>
            <w:r>
              <w:rPr>
                <w:spacing w:val="-8"/>
              </w:rPr>
              <w:t>建设。</w:t>
            </w:r>
          </w:p>
        </w:tc>
        <w:tc>
          <w:tcPr>
            <w:tcW w:w="737" w:type="dxa"/>
            <w:vAlign w:val="top"/>
          </w:tcPr>
          <w:p w14:paraId="63A7E03D">
            <w:pPr>
              <w:spacing w:line="279" w:lineRule="auto"/>
              <w:rPr>
                <w:rFonts w:ascii="Arial"/>
                <w:sz w:val="21"/>
              </w:rPr>
            </w:pPr>
          </w:p>
          <w:p w14:paraId="063E2DA7">
            <w:pPr>
              <w:spacing w:line="279" w:lineRule="auto"/>
              <w:rPr>
                <w:rFonts w:ascii="Arial"/>
                <w:sz w:val="21"/>
              </w:rPr>
            </w:pPr>
          </w:p>
          <w:p w14:paraId="0D6B4D4E">
            <w:pPr>
              <w:spacing w:line="279" w:lineRule="auto"/>
              <w:rPr>
                <w:rFonts w:ascii="Arial"/>
                <w:sz w:val="21"/>
              </w:rPr>
            </w:pPr>
          </w:p>
          <w:p w14:paraId="579A5732">
            <w:pPr>
              <w:spacing w:line="280" w:lineRule="auto"/>
              <w:rPr>
                <w:rFonts w:ascii="Arial"/>
                <w:sz w:val="21"/>
              </w:rPr>
            </w:pPr>
          </w:p>
          <w:p w14:paraId="291E7F31">
            <w:pPr>
              <w:spacing w:line="280" w:lineRule="auto"/>
              <w:rPr>
                <w:rFonts w:ascii="Arial"/>
                <w:sz w:val="21"/>
              </w:rPr>
            </w:pPr>
          </w:p>
          <w:p w14:paraId="7198F82A">
            <w:pPr>
              <w:pStyle w:val="6"/>
              <w:spacing w:before="69" w:line="221" w:lineRule="auto"/>
              <w:ind w:left="166"/>
            </w:pPr>
            <w:r>
              <w:rPr>
                <w:spacing w:val="-2"/>
              </w:rPr>
              <w:t>符合</w:t>
            </w:r>
          </w:p>
        </w:tc>
        <w:tc>
          <w:tcPr>
            <w:tcW w:w="115" w:type="dxa"/>
            <w:tcBorders>
              <w:top w:val="nil"/>
              <w:bottom w:val="nil"/>
            </w:tcBorders>
            <w:vAlign w:val="top"/>
          </w:tcPr>
          <w:p w14:paraId="43AF3959">
            <w:pPr>
              <w:rPr>
                <w:rFonts w:ascii="Arial"/>
                <w:sz w:val="21"/>
              </w:rPr>
            </w:pPr>
          </w:p>
        </w:tc>
      </w:tr>
      <w:tr w14:paraId="191F72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6" w:hRule="atLeast"/>
        </w:trPr>
        <w:tc>
          <w:tcPr>
            <w:tcW w:w="571" w:type="dxa"/>
            <w:vMerge w:val="continue"/>
            <w:tcBorders>
              <w:top w:val="nil"/>
              <w:bottom w:val="nil"/>
            </w:tcBorders>
            <w:vAlign w:val="top"/>
          </w:tcPr>
          <w:p w14:paraId="4247DCB0">
            <w:pPr>
              <w:rPr>
                <w:rFonts w:ascii="Arial"/>
                <w:sz w:val="21"/>
              </w:rPr>
            </w:pPr>
          </w:p>
        </w:tc>
        <w:tc>
          <w:tcPr>
            <w:tcW w:w="115" w:type="dxa"/>
            <w:tcBorders>
              <w:top w:val="nil"/>
              <w:bottom w:val="nil"/>
            </w:tcBorders>
            <w:vAlign w:val="top"/>
          </w:tcPr>
          <w:p w14:paraId="1736A622">
            <w:pPr>
              <w:rPr>
                <w:rFonts w:ascii="Arial"/>
                <w:sz w:val="21"/>
              </w:rPr>
            </w:pPr>
          </w:p>
        </w:tc>
        <w:tc>
          <w:tcPr>
            <w:tcW w:w="494" w:type="dxa"/>
            <w:vMerge w:val="continue"/>
            <w:tcBorders>
              <w:top w:val="nil"/>
              <w:bottom w:val="nil"/>
            </w:tcBorders>
            <w:vAlign w:val="top"/>
          </w:tcPr>
          <w:p w14:paraId="0F45DA01">
            <w:pPr>
              <w:rPr>
                <w:rFonts w:ascii="Arial"/>
                <w:sz w:val="21"/>
              </w:rPr>
            </w:pPr>
          </w:p>
        </w:tc>
        <w:tc>
          <w:tcPr>
            <w:tcW w:w="448" w:type="dxa"/>
            <w:vMerge w:val="continue"/>
            <w:tcBorders>
              <w:top w:val="nil"/>
              <w:bottom w:val="nil"/>
            </w:tcBorders>
            <w:textDirection w:val="tbRlV"/>
            <w:vAlign w:val="top"/>
          </w:tcPr>
          <w:p w14:paraId="78CC76AB">
            <w:pPr>
              <w:rPr>
                <w:rFonts w:ascii="Arial"/>
                <w:sz w:val="21"/>
              </w:rPr>
            </w:pPr>
          </w:p>
        </w:tc>
        <w:tc>
          <w:tcPr>
            <w:tcW w:w="483" w:type="dxa"/>
            <w:vMerge w:val="continue"/>
            <w:tcBorders>
              <w:top w:val="nil"/>
            </w:tcBorders>
            <w:textDirection w:val="tbRlV"/>
            <w:vAlign w:val="top"/>
          </w:tcPr>
          <w:p w14:paraId="055A465A">
            <w:pPr>
              <w:rPr>
                <w:rFonts w:ascii="Arial"/>
                <w:sz w:val="21"/>
              </w:rPr>
            </w:pPr>
          </w:p>
        </w:tc>
        <w:tc>
          <w:tcPr>
            <w:tcW w:w="3507" w:type="dxa"/>
            <w:vAlign w:val="top"/>
          </w:tcPr>
          <w:p w14:paraId="6FD3C840">
            <w:pPr>
              <w:pStyle w:val="6"/>
              <w:spacing w:before="57" w:line="267" w:lineRule="auto"/>
              <w:ind w:left="110" w:right="101" w:hanging="2"/>
              <w:jc w:val="both"/>
            </w:pPr>
            <w:r>
              <w:rPr>
                <w:rFonts w:ascii="Times New Roman" w:hAnsi="Times New Roman" w:eastAsia="Times New Roman" w:cs="Times New Roman"/>
                <w:spacing w:val="-1"/>
              </w:rPr>
              <w:t>2.</w:t>
            </w:r>
            <w:r>
              <w:rPr>
                <w:spacing w:val="-1"/>
              </w:rPr>
              <w:t>禁止新建、改扩建中小水电项目，</w:t>
            </w:r>
            <w:r>
              <w:rPr>
                <w:spacing w:val="-5"/>
              </w:rPr>
              <w:t>现有中小水电站应按照环评批复（环</w:t>
            </w:r>
            <w:r>
              <w:rPr>
                <w:spacing w:val="8"/>
              </w:rPr>
              <w:t>评批复未明确生态流量的根据来水</w:t>
            </w:r>
            <w:r>
              <w:rPr>
                <w:spacing w:val="1"/>
              </w:rPr>
              <w:t>量科学确定生态流量</w:t>
            </w:r>
            <w:r>
              <w:rPr>
                <w:spacing w:val="-45"/>
              </w:rPr>
              <w:t>），</w:t>
            </w:r>
            <w:r>
              <w:rPr>
                <w:spacing w:val="1"/>
              </w:rPr>
              <w:t>确保连续稳</w:t>
            </w:r>
            <w:r>
              <w:rPr>
                <w:spacing w:val="-1"/>
              </w:rPr>
              <w:t>定下泄生态流量。</w:t>
            </w:r>
          </w:p>
        </w:tc>
        <w:tc>
          <w:tcPr>
            <w:tcW w:w="2603" w:type="dxa"/>
            <w:vAlign w:val="top"/>
          </w:tcPr>
          <w:p w14:paraId="62B76268">
            <w:pPr>
              <w:spacing w:line="461" w:lineRule="auto"/>
              <w:rPr>
                <w:rFonts w:ascii="Arial"/>
                <w:sz w:val="21"/>
              </w:rPr>
            </w:pPr>
          </w:p>
          <w:p w14:paraId="33414785">
            <w:pPr>
              <w:pStyle w:val="6"/>
              <w:spacing w:before="68" w:line="280" w:lineRule="auto"/>
              <w:ind w:left="111" w:right="105" w:firstLine="4"/>
            </w:pPr>
            <w:r>
              <w:rPr>
                <w:spacing w:val="6"/>
              </w:rPr>
              <w:t>项目为输变电工程，不涉</w:t>
            </w:r>
            <w:r>
              <w:rPr>
                <w:spacing w:val="-1"/>
              </w:rPr>
              <w:t>及该条所列项目。</w:t>
            </w:r>
          </w:p>
        </w:tc>
        <w:tc>
          <w:tcPr>
            <w:tcW w:w="737" w:type="dxa"/>
            <w:vAlign w:val="top"/>
          </w:tcPr>
          <w:p w14:paraId="146D0476">
            <w:pPr>
              <w:spacing w:line="308" w:lineRule="auto"/>
              <w:rPr>
                <w:rFonts w:ascii="Arial"/>
                <w:sz w:val="21"/>
              </w:rPr>
            </w:pPr>
          </w:p>
          <w:p w14:paraId="1A46F823">
            <w:pPr>
              <w:spacing w:line="309" w:lineRule="auto"/>
              <w:rPr>
                <w:rFonts w:ascii="Arial"/>
                <w:sz w:val="21"/>
              </w:rPr>
            </w:pPr>
          </w:p>
          <w:p w14:paraId="64B5780F">
            <w:pPr>
              <w:pStyle w:val="6"/>
              <w:spacing w:before="68" w:line="221" w:lineRule="auto"/>
              <w:ind w:left="166"/>
            </w:pPr>
            <w:r>
              <w:rPr>
                <w:spacing w:val="-2"/>
              </w:rPr>
              <w:t>符合</w:t>
            </w:r>
          </w:p>
        </w:tc>
        <w:tc>
          <w:tcPr>
            <w:tcW w:w="115" w:type="dxa"/>
            <w:tcBorders>
              <w:top w:val="nil"/>
              <w:bottom w:val="nil"/>
            </w:tcBorders>
            <w:vAlign w:val="top"/>
          </w:tcPr>
          <w:p w14:paraId="0F72539D">
            <w:pPr>
              <w:rPr>
                <w:rFonts w:ascii="Arial"/>
                <w:sz w:val="21"/>
              </w:rPr>
            </w:pPr>
          </w:p>
        </w:tc>
      </w:tr>
      <w:tr w14:paraId="4E1DE0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7" w:hRule="atLeast"/>
        </w:trPr>
        <w:tc>
          <w:tcPr>
            <w:tcW w:w="571" w:type="dxa"/>
            <w:vMerge w:val="continue"/>
            <w:tcBorders>
              <w:top w:val="nil"/>
              <w:bottom w:val="nil"/>
            </w:tcBorders>
            <w:vAlign w:val="top"/>
          </w:tcPr>
          <w:p w14:paraId="3F117437">
            <w:pPr>
              <w:rPr>
                <w:rFonts w:ascii="Arial"/>
                <w:sz w:val="21"/>
              </w:rPr>
            </w:pPr>
          </w:p>
        </w:tc>
        <w:tc>
          <w:tcPr>
            <w:tcW w:w="115" w:type="dxa"/>
            <w:tcBorders>
              <w:top w:val="nil"/>
              <w:bottom w:val="nil"/>
            </w:tcBorders>
            <w:vAlign w:val="top"/>
          </w:tcPr>
          <w:p w14:paraId="08E5FDCF">
            <w:pPr>
              <w:rPr>
                <w:rFonts w:ascii="Arial"/>
                <w:sz w:val="21"/>
              </w:rPr>
            </w:pPr>
          </w:p>
        </w:tc>
        <w:tc>
          <w:tcPr>
            <w:tcW w:w="494" w:type="dxa"/>
            <w:vMerge w:val="continue"/>
            <w:tcBorders>
              <w:top w:val="nil"/>
              <w:bottom w:val="nil"/>
            </w:tcBorders>
            <w:vAlign w:val="top"/>
          </w:tcPr>
          <w:p w14:paraId="7C0E1679">
            <w:pPr>
              <w:rPr>
                <w:rFonts w:ascii="Arial"/>
                <w:sz w:val="21"/>
              </w:rPr>
            </w:pPr>
          </w:p>
        </w:tc>
        <w:tc>
          <w:tcPr>
            <w:tcW w:w="448" w:type="dxa"/>
            <w:vMerge w:val="continue"/>
            <w:tcBorders>
              <w:top w:val="nil"/>
              <w:bottom w:val="nil"/>
            </w:tcBorders>
            <w:textDirection w:val="tbRlV"/>
            <w:vAlign w:val="top"/>
          </w:tcPr>
          <w:p w14:paraId="5CB1CEAE">
            <w:pPr>
              <w:rPr>
                <w:rFonts w:ascii="Arial"/>
                <w:sz w:val="21"/>
              </w:rPr>
            </w:pPr>
          </w:p>
        </w:tc>
        <w:tc>
          <w:tcPr>
            <w:tcW w:w="483" w:type="dxa"/>
            <w:textDirection w:val="tbRlV"/>
            <w:vAlign w:val="top"/>
          </w:tcPr>
          <w:p w14:paraId="6A550084">
            <w:pPr>
              <w:pStyle w:val="6"/>
              <w:spacing w:before="137" w:line="210" w:lineRule="auto"/>
              <w:ind w:left="56"/>
            </w:pPr>
            <w:r>
              <w:t>污 染 物 排 放 管 控</w:t>
            </w:r>
          </w:p>
        </w:tc>
        <w:tc>
          <w:tcPr>
            <w:tcW w:w="3507" w:type="dxa"/>
            <w:vAlign w:val="top"/>
          </w:tcPr>
          <w:p w14:paraId="4A493922">
            <w:pPr>
              <w:spacing w:line="257" w:lineRule="auto"/>
              <w:rPr>
                <w:rFonts w:ascii="Arial"/>
                <w:sz w:val="21"/>
              </w:rPr>
            </w:pPr>
          </w:p>
          <w:p w14:paraId="19A690EB">
            <w:pPr>
              <w:spacing w:line="257" w:lineRule="auto"/>
              <w:rPr>
                <w:rFonts w:ascii="Arial"/>
                <w:sz w:val="21"/>
              </w:rPr>
            </w:pPr>
          </w:p>
          <w:p w14:paraId="2A57416E">
            <w:pPr>
              <w:spacing w:line="258" w:lineRule="auto"/>
              <w:rPr>
                <w:rFonts w:ascii="Arial"/>
                <w:sz w:val="21"/>
              </w:rPr>
            </w:pPr>
          </w:p>
          <w:p w14:paraId="65AED644">
            <w:pPr>
              <w:pStyle w:val="6"/>
              <w:spacing w:before="69" w:line="273" w:lineRule="auto"/>
              <w:ind w:left="114" w:right="107" w:firstLine="15"/>
            </w:pPr>
            <w:r>
              <w:rPr>
                <w:rFonts w:ascii="Times New Roman" w:hAnsi="Times New Roman" w:eastAsia="Times New Roman" w:cs="Times New Roman"/>
                <w:spacing w:val="10"/>
              </w:rPr>
              <w:t>1.</w:t>
            </w:r>
            <w:r>
              <w:rPr>
                <w:spacing w:val="10"/>
              </w:rPr>
              <w:t>严禁污水灌溉，灌溉用水应满足</w:t>
            </w:r>
            <w:r>
              <w:rPr>
                <w:spacing w:val="-11"/>
              </w:rPr>
              <w:t>《农田灌溉水质标准》。</w:t>
            </w:r>
          </w:p>
        </w:tc>
        <w:tc>
          <w:tcPr>
            <w:tcW w:w="2603" w:type="dxa"/>
            <w:vAlign w:val="top"/>
          </w:tcPr>
          <w:p w14:paraId="31ED4B8A">
            <w:pPr>
              <w:spacing w:line="309" w:lineRule="auto"/>
              <w:rPr>
                <w:rFonts w:ascii="Arial"/>
                <w:sz w:val="21"/>
              </w:rPr>
            </w:pPr>
          </w:p>
          <w:p w14:paraId="0DDB17DB">
            <w:pPr>
              <w:spacing w:line="310" w:lineRule="auto"/>
              <w:rPr>
                <w:rFonts w:ascii="Arial"/>
                <w:sz w:val="21"/>
              </w:rPr>
            </w:pPr>
          </w:p>
          <w:p w14:paraId="70814889">
            <w:pPr>
              <w:spacing w:line="310" w:lineRule="auto"/>
              <w:rPr>
                <w:rFonts w:ascii="Arial"/>
                <w:sz w:val="21"/>
              </w:rPr>
            </w:pPr>
          </w:p>
          <w:p w14:paraId="2F39D676">
            <w:pPr>
              <w:pStyle w:val="6"/>
              <w:spacing w:before="68" w:line="221" w:lineRule="auto"/>
              <w:ind w:left="115"/>
            </w:pPr>
            <w:r>
              <w:rPr>
                <w:spacing w:val="-1"/>
              </w:rPr>
              <w:t>项目不涉及污水灌溉。</w:t>
            </w:r>
          </w:p>
        </w:tc>
        <w:tc>
          <w:tcPr>
            <w:tcW w:w="737" w:type="dxa"/>
            <w:vAlign w:val="top"/>
          </w:tcPr>
          <w:p w14:paraId="7F922135">
            <w:pPr>
              <w:spacing w:line="309" w:lineRule="auto"/>
              <w:rPr>
                <w:rFonts w:ascii="Arial"/>
                <w:sz w:val="21"/>
              </w:rPr>
            </w:pPr>
          </w:p>
          <w:p w14:paraId="5A3E056D">
            <w:pPr>
              <w:spacing w:line="310" w:lineRule="auto"/>
              <w:rPr>
                <w:rFonts w:ascii="Arial"/>
                <w:sz w:val="21"/>
              </w:rPr>
            </w:pPr>
          </w:p>
          <w:p w14:paraId="01C2F6B7">
            <w:pPr>
              <w:spacing w:line="310" w:lineRule="auto"/>
              <w:rPr>
                <w:rFonts w:ascii="Arial"/>
                <w:sz w:val="21"/>
              </w:rPr>
            </w:pPr>
          </w:p>
          <w:p w14:paraId="1938550D">
            <w:pPr>
              <w:pStyle w:val="6"/>
              <w:spacing w:before="68" w:line="221" w:lineRule="auto"/>
              <w:ind w:left="166"/>
            </w:pPr>
            <w:r>
              <w:rPr>
                <w:spacing w:val="-2"/>
              </w:rPr>
              <w:t>符合</w:t>
            </w:r>
          </w:p>
        </w:tc>
        <w:tc>
          <w:tcPr>
            <w:tcW w:w="115" w:type="dxa"/>
            <w:tcBorders>
              <w:top w:val="nil"/>
              <w:bottom w:val="nil"/>
            </w:tcBorders>
            <w:vAlign w:val="top"/>
          </w:tcPr>
          <w:p w14:paraId="3E927BAE">
            <w:pPr>
              <w:rPr>
                <w:rFonts w:ascii="Arial"/>
                <w:sz w:val="21"/>
              </w:rPr>
            </w:pPr>
          </w:p>
        </w:tc>
      </w:tr>
      <w:tr w14:paraId="4918B0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0" w:hRule="atLeast"/>
        </w:trPr>
        <w:tc>
          <w:tcPr>
            <w:tcW w:w="571" w:type="dxa"/>
            <w:vMerge w:val="continue"/>
            <w:tcBorders>
              <w:top w:val="nil"/>
              <w:bottom w:val="nil"/>
            </w:tcBorders>
            <w:vAlign w:val="top"/>
          </w:tcPr>
          <w:p w14:paraId="57DB50F8">
            <w:pPr>
              <w:rPr>
                <w:rFonts w:ascii="Arial"/>
                <w:sz w:val="21"/>
              </w:rPr>
            </w:pPr>
          </w:p>
        </w:tc>
        <w:tc>
          <w:tcPr>
            <w:tcW w:w="115" w:type="dxa"/>
            <w:tcBorders>
              <w:top w:val="nil"/>
              <w:bottom w:val="nil"/>
            </w:tcBorders>
            <w:vAlign w:val="top"/>
          </w:tcPr>
          <w:p w14:paraId="1A1E6994">
            <w:pPr>
              <w:rPr>
                <w:rFonts w:ascii="Arial"/>
                <w:sz w:val="21"/>
              </w:rPr>
            </w:pPr>
          </w:p>
        </w:tc>
        <w:tc>
          <w:tcPr>
            <w:tcW w:w="494" w:type="dxa"/>
            <w:vMerge w:val="continue"/>
            <w:tcBorders>
              <w:top w:val="nil"/>
              <w:bottom w:val="nil"/>
            </w:tcBorders>
            <w:vAlign w:val="top"/>
          </w:tcPr>
          <w:p w14:paraId="14799A2D">
            <w:pPr>
              <w:rPr>
                <w:rFonts w:ascii="Arial"/>
                <w:sz w:val="21"/>
              </w:rPr>
            </w:pPr>
          </w:p>
        </w:tc>
        <w:tc>
          <w:tcPr>
            <w:tcW w:w="448" w:type="dxa"/>
            <w:vMerge w:val="continue"/>
            <w:tcBorders>
              <w:top w:val="nil"/>
              <w:bottom w:val="nil"/>
            </w:tcBorders>
            <w:textDirection w:val="tbRlV"/>
            <w:vAlign w:val="top"/>
          </w:tcPr>
          <w:p w14:paraId="6B0ED466">
            <w:pPr>
              <w:rPr>
                <w:rFonts w:ascii="Arial"/>
                <w:sz w:val="21"/>
              </w:rPr>
            </w:pPr>
          </w:p>
        </w:tc>
        <w:tc>
          <w:tcPr>
            <w:tcW w:w="483" w:type="dxa"/>
            <w:textDirection w:val="tbRlV"/>
            <w:vAlign w:val="top"/>
          </w:tcPr>
          <w:p w14:paraId="519CDAF7">
            <w:pPr>
              <w:pStyle w:val="6"/>
              <w:spacing w:before="138" w:line="210" w:lineRule="auto"/>
              <w:ind w:left="56"/>
            </w:pPr>
            <w:r>
              <w:t>环 境 风 险 防 控</w:t>
            </w:r>
          </w:p>
        </w:tc>
        <w:tc>
          <w:tcPr>
            <w:tcW w:w="3507" w:type="dxa"/>
            <w:vAlign w:val="top"/>
          </w:tcPr>
          <w:p w14:paraId="65C8C9D2">
            <w:pPr>
              <w:pStyle w:val="6"/>
              <w:spacing w:before="214" w:line="278" w:lineRule="auto"/>
              <w:ind w:left="112" w:right="101" w:firstLine="16"/>
              <w:jc w:val="both"/>
            </w:pPr>
            <w:r>
              <w:rPr>
                <w:rFonts w:ascii="Times New Roman" w:hAnsi="Times New Roman" w:eastAsia="Times New Roman" w:cs="Times New Roman"/>
                <w:spacing w:val="-3"/>
              </w:rPr>
              <w:t>1.</w:t>
            </w:r>
            <w:r>
              <w:rPr>
                <w:spacing w:val="-3"/>
              </w:rPr>
              <w:t>加强环境风险防范应急体系建设，</w:t>
            </w:r>
            <w:r>
              <w:rPr>
                <w:spacing w:val="-5"/>
              </w:rPr>
              <w:t>加强环境应急预案管理，定期开展应急演练，持续开展环境安全隐患排查整治，提升应急监测能力，加强应急物资管理。</w:t>
            </w:r>
          </w:p>
        </w:tc>
        <w:tc>
          <w:tcPr>
            <w:tcW w:w="2603" w:type="dxa"/>
            <w:vAlign w:val="top"/>
          </w:tcPr>
          <w:p w14:paraId="22BBFCCD">
            <w:pPr>
              <w:spacing w:line="307" w:lineRule="auto"/>
              <w:rPr>
                <w:rFonts w:ascii="Arial"/>
                <w:sz w:val="21"/>
              </w:rPr>
            </w:pPr>
          </w:p>
          <w:p w14:paraId="755B1A49">
            <w:pPr>
              <w:spacing w:line="308" w:lineRule="auto"/>
              <w:rPr>
                <w:rFonts w:ascii="Arial"/>
                <w:sz w:val="21"/>
              </w:rPr>
            </w:pPr>
          </w:p>
          <w:p w14:paraId="3E2076A9">
            <w:pPr>
              <w:pStyle w:val="6"/>
              <w:spacing w:before="69" w:line="281" w:lineRule="auto"/>
              <w:ind w:left="113" w:right="105"/>
            </w:pPr>
            <w:r>
              <w:rPr>
                <w:spacing w:val="6"/>
              </w:rPr>
              <w:t>本项目不涉及环境风险物</w:t>
            </w:r>
            <w:r>
              <w:rPr>
                <w:spacing w:val="-10"/>
              </w:rPr>
              <w:t>质。</w:t>
            </w:r>
          </w:p>
        </w:tc>
        <w:tc>
          <w:tcPr>
            <w:tcW w:w="737" w:type="dxa"/>
            <w:vAlign w:val="top"/>
          </w:tcPr>
          <w:p w14:paraId="6C45CAF7">
            <w:pPr>
              <w:spacing w:line="257" w:lineRule="auto"/>
              <w:rPr>
                <w:rFonts w:ascii="Arial"/>
                <w:sz w:val="21"/>
              </w:rPr>
            </w:pPr>
          </w:p>
          <w:p w14:paraId="6675DE58">
            <w:pPr>
              <w:spacing w:line="258" w:lineRule="auto"/>
              <w:rPr>
                <w:rFonts w:ascii="Arial"/>
                <w:sz w:val="21"/>
              </w:rPr>
            </w:pPr>
          </w:p>
          <w:p w14:paraId="7A67F53C">
            <w:pPr>
              <w:spacing w:line="258" w:lineRule="auto"/>
              <w:rPr>
                <w:rFonts w:ascii="Arial"/>
                <w:sz w:val="21"/>
              </w:rPr>
            </w:pPr>
          </w:p>
          <w:p w14:paraId="60BED9C7">
            <w:pPr>
              <w:pStyle w:val="6"/>
              <w:spacing w:before="68" w:line="221" w:lineRule="auto"/>
              <w:ind w:left="166"/>
            </w:pPr>
            <w:r>
              <w:rPr>
                <w:spacing w:val="-2"/>
              </w:rPr>
              <w:t>符合</w:t>
            </w:r>
          </w:p>
        </w:tc>
        <w:tc>
          <w:tcPr>
            <w:tcW w:w="115" w:type="dxa"/>
            <w:tcBorders>
              <w:top w:val="nil"/>
              <w:bottom w:val="nil"/>
            </w:tcBorders>
            <w:vAlign w:val="top"/>
          </w:tcPr>
          <w:p w14:paraId="2D42791D">
            <w:pPr>
              <w:rPr>
                <w:rFonts w:ascii="Arial"/>
                <w:sz w:val="21"/>
              </w:rPr>
            </w:pPr>
          </w:p>
        </w:tc>
      </w:tr>
      <w:tr w14:paraId="171706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571" w:type="dxa"/>
            <w:vMerge w:val="continue"/>
            <w:tcBorders>
              <w:top w:val="nil"/>
              <w:bottom w:val="nil"/>
            </w:tcBorders>
            <w:vAlign w:val="top"/>
          </w:tcPr>
          <w:p w14:paraId="2FEDFA6D">
            <w:pPr>
              <w:rPr>
                <w:rFonts w:ascii="Arial"/>
                <w:sz w:val="21"/>
              </w:rPr>
            </w:pPr>
          </w:p>
        </w:tc>
        <w:tc>
          <w:tcPr>
            <w:tcW w:w="115" w:type="dxa"/>
            <w:tcBorders>
              <w:top w:val="nil"/>
              <w:bottom w:val="nil"/>
            </w:tcBorders>
            <w:vAlign w:val="top"/>
          </w:tcPr>
          <w:p w14:paraId="1460260B">
            <w:pPr>
              <w:rPr>
                <w:rFonts w:ascii="Arial"/>
                <w:sz w:val="21"/>
              </w:rPr>
            </w:pPr>
          </w:p>
        </w:tc>
        <w:tc>
          <w:tcPr>
            <w:tcW w:w="494" w:type="dxa"/>
            <w:vMerge w:val="continue"/>
            <w:tcBorders>
              <w:top w:val="nil"/>
              <w:bottom w:val="nil"/>
            </w:tcBorders>
            <w:vAlign w:val="top"/>
          </w:tcPr>
          <w:p w14:paraId="37EE788F">
            <w:pPr>
              <w:rPr>
                <w:rFonts w:ascii="Arial"/>
                <w:sz w:val="21"/>
              </w:rPr>
            </w:pPr>
          </w:p>
        </w:tc>
        <w:tc>
          <w:tcPr>
            <w:tcW w:w="448" w:type="dxa"/>
            <w:vMerge w:val="continue"/>
            <w:tcBorders>
              <w:top w:val="nil"/>
              <w:bottom w:val="nil"/>
            </w:tcBorders>
            <w:textDirection w:val="tbRlV"/>
            <w:vAlign w:val="top"/>
          </w:tcPr>
          <w:p w14:paraId="10536152">
            <w:pPr>
              <w:rPr>
                <w:rFonts w:ascii="Arial"/>
                <w:sz w:val="21"/>
              </w:rPr>
            </w:pPr>
          </w:p>
        </w:tc>
        <w:tc>
          <w:tcPr>
            <w:tcW w:w="483" w:type="dxa"/>
            <w:vMerge w:val="restart"/>
            <w:tcBorders>
              <w:bottom w:val="nil"/>
            </w:tcBorders>
            <w:textDirection w:val="tbRlV"/>
            <w:vAlign w:val="top"/>
          </w:tcPr>
          <w:p w14:paraId="0E73A690">
            <w:pPr>
              <w:pStyle w:val="6"/>
              <w:spacing w:before="137" w:line="210" w:lineRule="auto"/>
              <w:ind w:left="57"/>
            </w:pPr>
            <w:r>
              <w:t>资 源 开 发 效 率</w:t>
            </w:r>
          </w:p>
        </w:tc>
        <w:tc>
          <w:tcPr>
            <w:tcW w:w="3507" w:type="dxa"/>
            <w:vAlign w:val="top"/>
          </w:tcPr>
          <w:p w14:paraId="2EC2D44A">
            <w:pPr>
              <w:pStyle w:val="6"/>
              <w:spacing w:before="58" w:line="249" w:lineRule="auto"/>
              <w:ind w:left="114" w:right="107" w:firstLine="14"/>
            </w:pPr>
            <w:r>
              <w:rPr>
                <w:rFonts w:ascii="Times New Roman" w:hAnsi="Times New Roman" w:eastAsia="Times New Roman" w:cs="Times New Roman"/>
                <w:spacing w:val="10"/>
              </w:rPr>
              <w:t>1.</w:t>
            </w:r>
            <w:r>
              <w:rPr>
                <w:spacing w:val="10"/>
              </w:rPr>
              <w:t>优化能源结构，加强能源清洁利</w:t>
            </w:r>
            <w:r>
              <w:rPr>
                <w:spacing w:val="-10"/>
              </w:rPr>
              <w:t>用。</w:t>
            </w:r>
          </w:p>
        </w:tc>
        <w:tc>
          <w:tcPr>
            <w:tcW w:w="2603" w:type="dxa"/>
            <w:vAlign w:val="top"/>
          </w:tcPr>
          <w:p w14:paraId="47CBCD6A">
            <w:pPr>
              <w:pStyle w:val="6"/>
              <w:spacing w:before="58" w:line="249" w:lineRule="auto"/>
              <w:ind w:left="111" w:right="105" w:firstLine="4"/>
            </w:pPr>
            <w:r>
              <w:rPr>
                <w:spacing w:val="6"/>
              </w:rPr>
              <w:t>项目为输变电工程，不涉</w:t>
            </w:r>
            <w:r>
              <w:rPr>
                <w:spacing w:val="-1"/>
              </w:rPr>
              <w:t>及能源消耗。</w:t>
            </w:r>
          </w:p>
        </w:tc>
        <w:tc>
          <w:tcPr>
            <w:tcW w:w="737" w:type="dxa"/>
            <w:vAlign w:val="top"/>
          </w:tcPr>
          <w:p w14:paraId="6B60321A">
            <w:pPr>
              <w:pStyle w:val="6"/>
              <w:spacing w:before="215" w:line="221" w:lineRule="auto"/>
              <w:ind w:left="166"/>
            </w:pPr>
            <w:r>
              <w:rPr>
                <w:spacing w:val="-2"/>
              </w:rPr>
              <w:t>符合</w:t>
            </w:r>
          </w:p>
        </w:tc>
        <w:tc>
          <w:tcPr>
            <w:tcW w:w="115" w:type="dxa"/>
            <w:tcBorders>
              <w:top w:val="nil"/>
              <w:bottom w:val="nil"/>
            </w:tcBorders>
            <w:vAlign w:val="top"/>
          </w:tcPr>
          <w:p w14:paraId="19F122AB">
            <w:pPr>
              <w:rPr>
                <w:rFonts w:ascii="Arial"/>
                <w:sz w:val="21"/>
              </w:rPr>
            </w:pPr>
          </w:p>
        </w:tc>
      </w:tr>
      <w:tr w14:paraId="754897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0" w:hRule="atLeast"/>
        </w:trPr>
        <w:tc>
          <w:tcPr>
            <w:tcW w:w="571" w:type="dxa"/>
            <w:vMerge w:val="continue"/>
            <w:tcBorders>
              <w:top w:val="nil"/>
              <w:bottom w:val="nil"/>
            </w:tcBorders>
            <w:vAlign w:val="top"/>
          </w:tcPr>
          <w:p w14:paraId="7F95483A">
            <w:pPr>
              <w:rPr>
                <w:rFonts w:ascii="Arial"/>
                <w:sz w:val="21"/>
              </w:rPr>
            </w:pPr>
          </w:p>
        </w:tc>
        <w:tc>
          <w:tcPr>
            <w:tcW w:w="115" w:type="dxa"/>
            <w:tcBorders>
              <w:top w:val="nil"/>
              <w:bottom w:val="nil"/>
            </w:tcBorders>
            <w:vAlign w:val="top"/>
          </w:tcPr>
          <w:p w14:paraId="728DAC2C">
            <w:pPr>
              <w:rPr>
                <w:rFonts w:ascii="Arial"/>
                <w:sz w:val="21"/>
              </w:rPr>
            </w:pPr>
          </w:p>
        </w:tc>
        <w:tc>
          <w:tcPr>
            <w:tcW w:w="494" w:type="dxa"/>
            <w:vMerge w:val="continue"/>
            <w:tcBorders>
              <w:top w:val="nil"/>
            </w:tcBorders>
            <w:vAlign w:val="top"/>
          </w:tcPr>
          <w:p w14:paraId="3F805EBE">
            <w:pPr>
              <w:rPr>
                <w:rFonts w:ascii="Arial"/>
                <w:sz w:val="21"/>
              </w:rPr>
            </w:pPr>
          </w:p>
        </w:tc>
        <w:tc>
          <w:tcPr>
            <w:tcW w:w="448" w:type="dxa"/>
            <w:vMerge w:val="continue"/>
            <w:tcBorders>
              <w:top w:val="nil"/>
            </w:tcBorders>
            <w:textDirection w:val="tbRlV"/>
            <w:vAlign w:val="top"/>
          </w:tcPr>
          <w:p w14:paraId="328A411C">
            <w:pPr>
              <w:rPr>
                <w:rFonts w:ascii="Arial"/>
                <w:sz w:val="21"/>
              </w:rPr>
            </w:pPr>
          </w:p>
        </w:tc>
        <w:tc>
          <w:tcPr>
            <w:tcW w:w="483" w:type="dxa"/>
            <w:vMerge w:val="continue"/>
            <w:tcBorders>
              <w:top w:val="nil"/>
            </w:tcBorders>
            <w:textDirection w:val="tbRlV"/>
            <w:vAlign w:val="top"/>
          </w:tcPr>
          <w:p w14:paraId="6E749D32">
            <w:pPr>
              <w:rPr>
                <w:rFonts w:ascii="Arial"/>
                <w:sz w:val="21"/>
              </w:rPr>
            </w:pPr>
          </w:p>
        </w:tc>
        <w:tc>
          <w:tcPr>
            <w:tcW w:w="3507" w:type="dxa"/>
            <w:vAlign w:val="top"/>
          </w:tcPr>
          <w:p w14:paraId="04C1F21B">
            <w:pPr>
              <w:spacing w:line="300" w:lineRule="auto"/>
              <w:rPr>
                <w:rFonts w:ascii="Arial"/>
                <w:sz w:val="21"/>
              </w:rPr>
            </w:pPr>
          </w:p>
          <w:p w14:paraId="6DB63C0F">
            <w:pPr>
              <w:pStyle w:val="6"/>
              <w:spacing w:before="69" w:line="274" w:lineRule="auto"/>
              <w:ind w:left="112" w:right="101" w:hanging="4"/>
            </w:pPr>
            <w:r>
              <w:rPr>
                <w:rFonts w:ascii="Times New Roman" w:hAnsi="Times New Roman" w:eastAsia="Times New Roman" w:cs="Times New Roman"/>
                <w:spacing w:val="-1"/>
              </w:rPr>
              <w:t>2.</w:t>
            </w:r>
            <w:r>
              <w:rPr>
                <w:spacing w:val="-1"/>
              </w:rPr>
              <w:t>提高土地利用效率，节约集约利用</w:t>
            </w:r>
            <w:r>
              <w:rPr>
                <w:spacing w:val="-5"/>
              </w:rPr>
              <w:t>土地资源。</w:t>
            </w:r>
          </w:p>
        </w:tc>
        <w:tc>
          <w:tcPr>
            <w:tcW w:w="2603" w:type="dxa"/>
            <w:vAlign w:val="top"/>
          </w:tcPr>
          <w:p w14:paraId="14079747">
            <w:pPr>
              <w:pStyle w:val="6"/>
              <w:spacing w:before="210" w:line="281" w:lineRule="auto"/>
              <w:ind w:left="112" w:right="105" w:firstLine="3"/>
              <w:jc w:val="both"/>
            </w:pPr>
            <w:r>
              <w:rPr>
                <w:spacing w:val="6"/>
              </w:rPr>
              <w:t>项目输电线路仅塔基四个基础占地，对土地资源的</w:t>
            </w:r>
            <w:r>
              <w:rPr>
                <w:spacing w:val="-5"/>
              </w:rPr>
              <w:t>占用较小。</w:t>
            </w:r>
          </w:p>
        </w:tc>
        <w:tc>
          <w:tcPr>
            <w:tcW w:w="737" w:type="dxa"/>
            <w:vAlign w:val="top"/>
          </w:tcPr>
          <w:p w14:paraId="460D7538">
            <w:pPr>
              <w:spacing w:line="457" w:lineRule="auto"/>
              <w:rPr>
                <w:rFonts w:ascii="Arial"/>
                <w:sz w:val="21"/>
              </w:rPr>
            </w:pPr>
          </w:p>
          <w:p w14:paraId="249C6819">
            <w:pPr>
              <w:pStyle w:val="6"/>
              <w:spacing w:before="69" w:line="221" w:lineRule="auto"/>
              <w:ind w:left="166"/>
            </w:pPr>
            <w:r>
              <w:rPr>
                <w:spacing w:val="-2"/>
              </w:rPr>
              <w:t>符合</w:t>
            </w:r>
          </w:p>
        </w:tc>
        <w:tc>
          <w:tcPr>
            <w:tcW w:w="115" w:type="dxa"/>
            <w:tcBorders>
              <w:top w:val="nil"/>
              <w:bottom w:val="nil"/>
            </w:tcBorders>
            <w:vAlign w:val="top"/>
          </w:tcPr>
          <w:p w14:paraId="1920FC3C">
            <w:pPr>
              <w:rPr>
                <w:rFonts w:ascii="Arial"/>
                <w:sz w:val="21"/>
              </w:rPr>
            </w:pPr>
          </w:p>
        </w:tc>
      </w:tr>
      <w:tr w14:paraId="35F4A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2" w:hRule="atLeast"/>
        </w:trPr>
        <w:tc>
          <w:tcPr>
            <w:tcW w:w="571" w:type="dxa"/>
            <w:vMerge w:val="continue"/>
            <w:tcBorders>
              <w:top w:val="nil"/>
            </w:tcBorders>
            <w:vAlign w:val="top"/>
          </w:tcPr>
          <w:p w14:paraId="4DFA68F8">
            <w:pPr>
              <w:rPr>
                <w:rFonts w:ascii="Arial"/>
                <w:sz w:val="21"/>
              </w:rPr>
            </w:pPr>
          </w:p>
        </w:tc>
        <w:tc>
          <w:tcPr>
            <w:tcW w:w="8502" w:type="dxa"/>
            <w:gridSpan w:val="8"/>
            <w:vAlign w:val="top"/>
          </w:tcPr>
          <w:p w14:paraId="615B7E24">
            <w:pPr>
              <w:pStyle w:val="6"/>
              <w:spacing w:before="123" w:line="357" w:lineRule="auto"/>
              <w:ind w:left="114" w:firstLine="508"/>
              <w:rPr>
                <w:sz w:val="24"/>
                <w:szCs w:val="24"/>
              </w:rPr>
            </w:pPr>
            <w:r>
              <w:rPr>
                <w:spacing w:val="-8"/>
                <w:sz w:val="24"/>
                <w:szCs w:val="24"/>
              </w:rPr>
              <w:t>由上表可知，项目符合《曲靖市生态环境分区管控动态更新方案（</w:t>
            </w:r>
            <w:r>
              <w:rPr>
                <w:rFonts w:ascii="Times New Roman" w:hAnsi="Times New Roman" w:eastAsia="Times New Roman" w:cs="Times New Roman"/>
                <w:spacing w:val="-8"/>
                <w:sz w:val="24"/>
                <w:szCs w:val="24"/>
              </w:rPr>
              <w:t>2023</w:t>
            </w:r>
            <w:r>
              <w:rPr>
                <w:spacing w:val="-8"/>
                <w:sz w:val="24"/>
                <w:szCs w:val="24"/>
              </w:rPr>
              <w:t>年）》</w:t>
            </w:r>
            <w:r>
              <w:rPr>
                <w:spacing w:val="-6"/>
                <w:sz w:val="24"/>
                <w:szCs w:val="24"/>
              </w:rPr>
              <w:t>相关管控要求。</w:t>
            </w:r>
          </w:p>
          <w:p w14:paraId="744C4978">
            <w:pPr>
              <w:pStyle w:val="6"/>
              <w:spacing w:before="19" w:line="219" w:lineRule="auto"/>
              <w:jc w:val="right"/>
              <w:rPr>
                <w:sz w:val="24"/>
                <w:szCs w:val="24"/>
              </w:rPr>
            </w:pPr>
            <w:r>
              <w:rPr>
                <w:spacing w:val="-8"/>
                <w:sz w:val="24"/>
                <w:szCs w:val="24"/>
              </w:rPr>
              <w:t>综上所述，项目建设符合《曲靖市“三线一单”生态环境分区管控实施方案》</w:t>
            </w:r>
          </w:p>
        </w:tc>
      </w:tr>
    </w:tbl>
    <w:p w14:paraId="22860791">
      <w:pPr>
        <w:rPr>
          <w:rFonts w:ascii="Arial"/>
          <w:sz w:val="21"/>
        </w:rPr>
      </w:pPr>
    </w:p>
    <w:p w14:paraId="0DEEA8D0">
      <w:pPr>
        <w:rPr>
          <w:rFonts w:ascii="Arial" w:hAnsi="Arial" w:eastAsia="Arial" w:cs="Arial"/>
          <w:sz w:val="21"/>
          <w:szCs w:val="21"/>
        </w:rPr>
        <w:sectPr>
          <w:footerReference r:id="rId17" w:type="default"/>
          <w:pgSz w:w="11907" w:h="16841"/>
          <w:pgMar w:top="400" w:right="1413" w:bottom="1126" w:left="1414" w:header="0" w:footer="923" w:gutter="0"/>
          <w:cols w:space="720" w:num="1"/>
        </w:sectPr>
      </w:pPr>
    </w:p>
    <w:p w14:paraId="175E5073">
      <w:pPr>
        <w:spacing w:before="2"/>
      </w:pPr>
    </w:p>
    <w:p w14:paraId="53D3DA83">
      <w:pPr>
        <w:spacing w:before="2"/>
      </w:pPr>
    </w:p>
    <w:p w14:paraId="3BBF4292">
      <w:pPr>
        <w:spacing w:before="1"/>
      </w:pPr>
    </w:p>
    <w:p w14:paraId="215B5EDE">
      <w:pPr>
        <w:spacing w:before="1"/>
      </w:pPr>
    </w:p>
    <w:p w14:paraId="17E92B28">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03"/>
        <w:gridCol w:w="739"/>
        <w:gridCol w:w="3546"/>
        <w:gridCol w:w="3263"/>
        <w:gridCol w:w="748"/>
        <w:gridCol w:w="103"/>
      </w:tblGrid>
      <w:tr w14:paraId="1D2682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22" w:hRule="atLeast"/>
        </w:trPr>
        <w:tc>
          <w:tcPr>
            <w:tcW w:w="571" w:type="dxa"/>
            <w:vMerge w:val="restart"/>
            <w:tcBorders>
              <w:bottom w:val="nil"/>
            </w:tcBorders>
            <w:vAlign w:val="top"/>
          </w:tcPr>
          <w:p w14:paraId="0E4A81B5">
            <w:pPr>
              <w:rPr>
                <w:rFonts w:ascii="Arial"/>
                <w:sz w:val="21"/>
              </w:rPr>
            </w:pPr>
          </w:p>
        </w:tc>
        <w:tc>
          <w:tcPr>
            <w:tcW w:w="8502" w:type="dxa"/>
            <w:gridSpan w:val="6"/>
            <w:vAlign w:val="top"/>
          </w:tcPr>
          <w:p w14:paraId="59A3F55C">
            <w:pPr>
              <w:pStyle w:val="6"/>
              <w:spacing w:before="125" w:line="234" w:lineRule="auto"/>
              <w:ind w:left="121"/>
              <w:rPr>
                <w:sz w:val="24"/>
                <w:szCs w:val="24"/>
              </w:rPr>
            </w:pPr>
            <w:r>
              <w:rPr>
                <w:spacing w:val="-3"/>
                <w:sz w:val="24"/>
                <w:szCs w:val="24"/>
              </w:rPr>
              <w:t>（曲政发〔</w:t>
            </w:r>
            <w:r>
              <w:rPr>
                <w:rFonts w:ascii="Times New Roman" w:hAnsi="Times New Roman" w:eastAsia="Times New Roman" w:cs="Times New Roman"/>
                <w:spacing w:val="-3"/>
                <w:sz w:val="24"/>
                <w:szCs w:val="24"/>
              </w:rPr>
              <w:t>2021</w:t>
            </w:r>
            <w:r>
              <w:rPr>
                <w:spacing w:val="-3"/>
                <w:sz w:val="24"/>
                <w:szCs w:val="24"/>
              </w:rPr>
              <w:t>〕</w:t>
            </w:r>
            <w:r>
              <w:rPr>
                <w:rFonts w:ascii="Times New Roman" w:hAnsi="Times New Roman" w:eastAsia="Times New Roman" w:cs="Times New Roman"/>
                <w:spacing w:val="-3"/>
                <w:sz w:val="24"/>
                <w:szCs w:val="24"/>
              </w:rPr>
              <w:t>27</w:t>
            </w:r>
            <w:r>
              <w:rPr>
                <w:spacing w:val="-3"/>
                <w:sz w:val="24"/>
                <w:szCs w:val="24"/>
              </w:rPr>
              <w:t>号）相关要求。</w:t>
            </w:r>
          </w:p>
          <w:p w14:paraId="5DD70FAD">
            <w:pPr>
              <w:pStyle w:val="6"/>
              <w:spacing w:before="168" w:line="233" w:lineRule="auto"/>
              <w:ind w:left="111"/>
              <w:rPr>
                <w:sz w:val="24"/>
                <w:szCs w:val="24"/>
              </w:rPr>
            </w:pPr>
            <w:r>
              <w:rPr>
                <w:rFonts w:ascii="Times New Roman" w:hAnsi="Times New Roman" w:eastAsia="Times New Roman" w:cs="Times New Roman"/>
                <w:b/>
                <w:bCs/>
                <w:spacing w:val="-5"/>
                <w:sz w:val="24"/>
                <w:szCs w:val="24"/>
              </w:rPr>
              <w:t>2</w:t>
            </w:r>
            <w:r>
              <w:rPr>
                <w:b/>
                <w:bCs/>
                <w:spacing w:val="-5"/>
                <w:sz w:val="24"/>
                <w:szCs w:val="24"/>
              </w:rPr>
              <w:t>、与《输变电建设项目环境保护技术要求》（</w:t>
            </w:r>
            <w:r>
              <w:rPr>
                <w:rFonts w:ascii="Times New Roman" w:hAnsi="Times New Roman" w:eastAsia="Times New Roman" w:cs="Times New Roman"/>
                <w:b/>
                <w:bCs/>
                <w:spacing w:val="-5"/>
                <w:sz w:val="24"/>
                <w:szCs w:val="24"/>
              </w:rPr>
              <w:t>HJ1113-2020</w:t>
            </w:r>
            <w:r>
              <w:rPr>
                <w:b/>
                <w:bCs/>
                <w:spacing w:val="-5"/>
                <w:sz w:val="24"/>
                <w:szCs w:val="24"/>
              </w:rPr>
              <w:t>）的符合性分析</w:t>
            </w:r>
          </w:p>
          <w:p w14:paraId="70489FB8">
            <w:pPr>
              <w:pStyle w:val="6"/>
              <w:spacing w:before="169" w:line="340" w:lineRule="auto"/>
              <w:ind w:left="118" w:right="115" w:firstLine="480"/>
              <w:rPr>
                <w:sz w:val="24"/>
                <w:szCs w:val="24"/>
              </w:rPr>
            </w:pPr>
            <w:r>
              <w:rPr>
                <w:spacing w:val="-6"/>
                <w:sz w:val="24"/>
                <w:szCs w:val="24"/>
              </w:rPr>
              <w:t>项目与《输变电建设项目环境保护技术要求》（</w:t>
            </w:r>
            <w:r>
              <w:rPr>
                <w:rFonts w:ascii="Times New Roman" w:hAnsi="Times New Roman" w:eastAsia="Times New Roman" w:cs="Times New Roman"/>
                <w:spacing w:val="-6"/>
                <w:sz w:val="24"/>
                <w:szCs w:val="24"/>
              </w:rPr>
              <w:t>HJ1113</w:t>
            </w:r>
            <w:r>
              <w:rPr>
                <w:rFonts w:ascii="Times New Roman" w:hAnsi="Times New Roman" w:eastAsia="Times New Roman" w:cs="Times New Roman"/>
                <w:spacing w:val="-7"/>
                <w:sz w:val="24"/>
                <w:szCs w:val="24"/>
              </w:rPr>
              <w:t>-2020</w:t>
            </w:r>
            <w:r>
              <w:rPr>
                <w:spacing w:val="-7"/>
                <w:sz w:val="24"/>
                <w:szCs w:val="24"/>
              </w:rPr>
              <w:t>）的符合性分析</w:t>
            </w:r>
            <w:r>
              <w:rPr>
                <w:spacing w:val="-9"/>
                <w:sz w:val="24"/>
                <w:szCs w:val="24"/>
              </w:rPr>
              <w:t>见下表。</w:t>
            </w:r>
          </w:p>
          <w:p w14:paraId="3E6BA8C2">
            <w:pPr>
              <w:pStyle w:val="6"/>
              <w:spacing w:line="226" w:lineRule="auto"/>
              <w:ind w:left="1481"/>
            </w:pPr>
            <w:r>
              <w:rPr>
                <w:b/>
                <w:bCs/>
                <w:spacing w:val="-1"/>
              </w:rPr>
              <w:t>表</w:t>
            </w:r>
            <w:r>
              <w:rPr>
                <w:rFonts w:ascii="Times New Roman" w:hAnsi="Times New Roman" w:eastAsia="Times New Roman" w:cs="Times New Roman"/>
                <w:b/>
                <w:bCs/>
                <w:spacing w:val="-1"/>
              </w:rPr>
              <w:t xml:space="preserve">1-3    </w:t>
            </w:r>
            <w:r>
              <w:rPr>
                <w:b/>
                <w:bCs/>
                <w:spacing w:val="-1"/>
              </w:rPr>
              <w:t>与《输变电建设项目环境保护技</w:t>
            </w:r>
            <w:r>
              <w:rPr>
                <w:b/>
                <w:bCs/>
                <w:spacing w:val="-2"/>
              </w:rPr>
              <w:t>术要求》符合性分析</w:t>
            </w:r>
          </w:p>
        </w:tc>
      </w:tr>
      <w:tr w14:paraId="75031F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1" w:type="dxa"/>
            <w:vMerge w:val="continue"/>
            <w:tcBorders>
              <w:top w:val="nil"/>
              <w:bottom w:val="nil"/>
            </w:tcBorders>
            <w:vAlign w:val="top"/>
          </w:tcPr>
          <w:p w14:paraId="142E8E9A">
            <w:pPr>
              <w:rPr>
                <w:rFonts w:ascii="Arial"/>
                <w:sz w:val="21"/>
              </w:rPr>
            </w:pPr>
          </w:p>
        </w:tc>
        <w:tc>
          <w:tcPr>
            <w:tcW w:w="103" w:type="dxa"/>
            <w:tcBorders>
              <w:top w:val="nil"/>
              <w:bottom w:val="nil"/>
            </w:tcBorders>
            <w:vAlign w:val="top"/>
          </w:tcPr>
          <w:p w14:paraId="7B446E8E">
            <w:pPr>
              <w:rPr>
                <w:rFonts w:ascii="Arial"/>
                <w:sz w:val="21"/>
              </w:rPr>
            </w:pPr>
          </w:p>
        </w:tc>
        <w:tc>
          <w:tcPr>
            <w:tcW w:w="739" w:type="dxa"/>
            <w:vAlign w:val="top"/>
          </w:tcPr>
          <w:p w14:paraId="5552EA6E">
            <w:pPr>
              <w:pStyle w:val="6"/>
              <w:spacing w:before="54" w:line="221" w:lineRule="auto"/>
              <w:ind w:left="161"/>
            </w:pPr>
            <w:r>
              <w:rPr>
                <w:b/>
                <w:bCs/>
                <w:spacing w:val="-4"/>
              </w:rPr>
              <w:t>相关</w:t>
            </w:r>
          </w:p>
          <w:p w14:paraId="6D58BA06">
            <w:pPr>
              <w:pStyle w:val="6"/>
              <w:spacing w:before="65" w:line="222" w:lineRule="auto"/>
              <w:ind w:left="162"/>
            </w:pPr>
            <w:r>
              <w:rPr>
                <w:b/>
                <w:bCs/>
                <w:spacing w:val="-4"/>
              </w:rPr>
              <w:t>方面</w:t>
            </w:r>
          </w:p>
        </w:tc>
        <w:tc>
          <w:tcPr>
            <w:tcW w:w="3546" w:type="dxa"/>
            <w:vAlign w:val="top"/>
          </w:tcPr>
          <w:p w14:paraId="078E2E5A">
            <w:pPr>
              <w:pStyle w:val="6"/>
              <w:spacing w:before="212" w:line="221" w:lineRule="auto"/>
              <w:ind w:left="1144"/>
            </w:pPr>
            <w:r>
              <w:rPr>
                <w:b/>
                <w:bCs/>
                <w:spacing w:val="-3"/>
              </w:rPr>
              <w:t>相关规定内容</w:t>
            </w:r>
          </w:p>
        </w:tc>
        <w:tc>
          <w:tcPr>
            <w:tcW w:w="3263" w:type="dxa"/>
            <w:vAlign w:val="top"/>
          </w:tcPr>
          <w:p w14:paraId="2BE7629F">
            <w:pPr>
              <w:pStyle w:val="6"/>
              <w:spacing w:before="212" w:line="221" w:lineRule="auto"/>
              <w:ind w:left="1111"/>
            </w:pPr>
            <w:r>
              <w:rPr>
                <w:b/>
                <w:bCs/>
                <w:spacing w:val="-3"/>
              </w:rPr>
              <w:t>符合性分析</w:t>
            </w:r>
          </w:p>
        </w:tc>
        <w:tc>
          <w:tcPr>
            <w:tcW w:w="748" w:type="dxa"/>
            <w:vAlign w:val="top"/>
          </w:tcPr>
          <w:p w14:paraId="07F28F95">
            <w:pPr>
              <w:pStyle w:val="6"/>
              <w:spacing w:before="54" w:line="221" w:lineRule="auto"/>
              <w:ind w:left="170"/>
            </w:pPr>
            <w:r>
              <w:rPr>
                <w:b/>
                <w:bCs/>
                <w:spacing w:val="-5"/>
              </w:rPr>
              <w:t>分析</w:t>
            </w:r>
          </w:p>
          <w:p w14:paraId="71974C8A">
            <w:pPr>
              <w:pStyle w:val="6"/>
              <w:spacing w:before="65" w:line="221" w:lineRule="auto"/>
              <w:ind w:left="173"/>
            </w:pPr>
            <w:r>
              <w:rPr>
                <w:b/>
                <w:bCs/>
                <w:spacing w:val="-5"/>
              </w:rPr>
              <w:t>结果</w:t>
            </w:r>
          </w:p>
        </w:tc>
        <w:tc>
          <w:tcPr>
            <w:tcW w:w="103" w:type="dxa"/>
            <w:tcBorders>
              <w:top w:val="nil"/>
              <w:bottom w:val="nil"/>
            </w:tcBorders>
            <w:vAlign w:val="top"/>
          </w:tcPr>
          <w:p w14:paraId="7A7B207B">
            <w:pPr>
              <w:rPr>
                <w:rFonts w:ascii="Arial"/>
                <w:sz w:val="21"/>
              </w:rPr>
            </w:pPr>
          </w:p>
        </w:tc>
      </w:tr>
      <w:tr w14:paraId="44CF1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2" w:hRule="atLeast"/>
        </w:trPr>
        <w:tc>
          <w:tcPr>
            <w:tcW w:w="571" w:type="dxa"/>
            <w:vMerge w:val="continue"/>
            <w:tcBorders>
              <w:top w:val="nil"/>
              <w:bottom w:val="nil"/>
            </w:tcBorders>
            <w:vAlign w:val="top"/>
          </w:tcPr>
          <w:p w14:paraId="67520004">
            <w:pPr>
              <w:rPr>
                <w:rFonts w:ascii="Arial"/>
                <w:sz w:val="21"/>
              </w:rPr>
            </w:pPr>
          </w:p>
        </w:tc>
        <w:tc>
          <w:tcPr>
            <w:tcW w:w="103" w:type="dxa"/>
            <w:tcBorders>
              <w:top w:val="nil"/>
              <w:bottom w:val="nil"/>
            </w:tcBorders>
            <w:vAlign w:val="top"/>
          </w:tcPr>
          <w:p w14:paraId="1ACA6F5D">
            <w:pPr>
              <w:rPr>
                <w:rFonts w:ascii="Arial"/>
                <w:sz w:val="21"/>
              </w:rPr>
            </w:pPr>
          </w:p>
        </w:tc>
        <w:tc>
          <w:tcPr>
            <w:tcW w:w="739" w:type="dxa"/>
            <w:vAlign w:val="top"/>
          </w:tcPr>
          <w:p w14:paraId="44C4BC0D">
            <w:pPr>
              <w:spacing w:line="248" w:lineRule="auto"/>
              <w:rPr>
                <w:rFonts w:ascii="Arial"/>
                <w:sz w:val="21"/>
              </w:rPr>
            </w:pPr>
          </w:p>
          <w:p w14:paraId="66379835">
            <w:pPr>
              <w:spacing w:line="248" w:lineRule="auto"/>
              <w:rPr>
                <w:rFonts w:ascii="Arial"/>
                <w:sz w:val="21"/>
              </w:rPr>
            </w:pPr>
          </w:p>
          <w:p w14:paraId="1D4ABF00">
            <w:pPr>
              <w:spacing w:line="248" w:lineRule="auto"/>
              <w:rPr>
                <w:rFonts w:ascii="Arial"/>
                <w:sz w:val="21"/>
              </w:rPr>
            </w:pPr>
          </w:p>
          <w:p w14:paraId="094A9BF9">
            <w:pPr>
              <w:spacing w:line="248" w:lineRule="auto"/>
              <w:rPr>
                <w:rFonts w:ascii="Arial"/>
                <w:sz w:val="21"/>
              </w:rPr>
            </w:pPr>
          </w:p>
          <w:p w14:paraId="209C3EB2">
            <w:pPr>
              <w:spacing w:line="249" w:lineRule="auto"/>
              <w:rPr>
                <w:rFonts w:ascii="Arial"/>
                <w:sz w:val="21"/>
              </w:rPr>
            </w:pPr>
          </w:p>
          <w:p w14:paraId="2E7269F5">
            <w:pPr>
              <w:pStyle w:val="6"/>
              <w:spacing w:before="68" w:line="281" w:lineRule="auto"/>
              <w:ind w:left="161" w:right="157"/>
            </w:pPr>
            <w:r>
              <w:rPr>
                <w:spacing w:val="-3"/>
              </w:rPr>
              <w:t>基本</w:t>
            </w:r>
            <w:r>
              <w:rPr>
                <w:spacing w:val="-4"/>
              </w:rPr>
              <w:t>规定</w:t>
            </w:r>
          </w:p>
        </w:tc>
        <w:tc>
          <w:tcPr>
            <w:tcW w:w="3546" w:type="dxa"/>
            <w:vAlign w:val="top"/>
          </w:tcPr>
          <w:p>
            <w:r>
              <w:t>1.输变电建设项目环境保护应坚持保护优先、预防为主、综合治理、公众参与、损害担责的原则，对可能产生的电磁、声、生态、水、大气等不利环境影响和环境风险进行防治，在确保满足各项环境标准的基础上持续改善环境质量。</w:t>
              <w:br/>
              <w:t>2.输变电建设项目需要配套建设的环境保护设施，必须与主体工程同时设计、同时施工、同时投产使用。</w:t>
            </w:r>
          </w:p>
        </w:tc>
        <w:tc>
          <w:tcPr>
            <w:tcW w:w="3263" w:type="dxa"/>
            <w:vAlign w:val="top"/>
          </w:tcPr>
          <w:p w14:paraId="3689E9B0">
            <w:pPr>
              <w:spacing w:line="456" w:lineRule="auto"/>
              <w:rPr>
                <w:rFonts w:ascii="Arial"/>
                <w:sz w:val="21"/>
              </w:rPr>
            </w:pPr>
          </w:p>
          <w:p w14:paraId="6FE95088">
            <w:pPr>
              <w:pStyle w:val="6"/>
              <w:spacing w:before="68" w:line="278" w:lineRule="auto"/>
              <w:ind w:left="114" w:right="101" w:firstLine="15"/>
            </w:pPr>
            <w:r>
              <w:rPr>
                <w:rFonts w:ascii="Times New Roman" w:hAnsi="Times New Roman" w:eastAsia="Times New Roman" w:cs="Times New Roman"/>
                <w:spacing w:val="-5"/>
              </w:rPr>
              <w:t>1.</w:t>
            </w:r>
            <w:r>
              <w:rPr>
                <w:spacing w:val="-5"/>
              </w:rPr>
              <w:t>落实本报告提出的措施，可对项</w:t>
            </w:r>
            <w:r>
              <w:rPr>
                <w:spacing w:val="-8"/>
              </w:rPr>
              <w:t>目产生的电磁、声、生态、水、大</w:t>
            </w:r>
            <w:r>
              <w:rPr>
                <w:spacing w:val="7"/>
              </w:rPr>
              <w:t>气等不利环境影响和环境风险进</w:t>
            </w:r>
            <w:r>
              <w:rPr>
                <w:spacing w:val="-2"/>
              </w:rPr>
              <w:t>行防治，保证污染物达标排放。</w:t>
            </w:r>
          </w:p>
          <w:p w14:paraId="431F3EF7">
            <w:pPr>
              <w:pStyle w:val="6"/>
              <w:spacing w:before="2" w:line="276" w:lineRule="auto"/>
              <w:ind w:left="112" w:right="101" w:hanging="2"/>
            </w:pPr>
            <w:r>
              <w:rPr>
                <w:rFonts w:ascii="Times New Roman" w:hAnsi="Times New Roman" w:eastAsia="Times New Roman" w:cs="Times New Roman"/>
                <w:spacing w:val="-4"/>
              </w:rPr>
              <w:t>2.</w:t>
            </w:r>
            <w:r>
              <w:rPr>
                <w:spacing w:val="-4"/>
              </w:rPr>
              <w:t>本工程环境保护设施，与主体工</w:t>
            </w:r>
            <w:r>
              <w:rPr>
                <w:spacing w:val="-8"/>
              </w:rPr>
              <w:t>程同时设计、同时施工、同时投产使用。</w:t>
            </w:r>
          </w:p>
        </w:tc>
        <w:tc>
          <w:tcPr>
            <w:tcW w:w="748" w:type="dxa"/>
            <w:vAlign w:val="top"/>
          </w:tcPr>
          <w:p w14:paraId="028EAD7C">
            <w:pPr>
              <w:spacing w:line="279" w:lineRule="auto"/>
              <w:rPr>
                <w:rFonts w:ascii="Arial"/>
                <w:sz w:val="21"/>
              </w:rPr>
            </w:pPr>
          </w:p>
          <w:p w14:paraId="4FE4A259">
            <w:pPr>
              <w:spacing w:line="279" w:lineRule="auto"/>
              <w:rPr>
                <w:rFonts w:ascii="Arial"/>
                <w:sz w:val="21"/>
              </w:rPr>
            </w:pPr>
          </w:p>
          <w:p w14:paraId="463E0E2E">
            <w:pPr>
              <w:spacing w:line="280" w:lineRule="auto"/>
              <w:rPr>
                <w:rFonts w:ascii="Arial"/>
                <w:sz w:val="21"/>
              </w:rPr>
            </w:pPr>
          </w:p>
          <w:p w14:paraId="63BA677F">
            <w:pPr>
              <w:spacing w:line="280" w:lineRule="auto"/>
              <w:rPr>
                <w:rFonts w:ascii="Arial"/>
                <w:sz w:val="21"/>
              </w:rPr>
            </w:pPr>
          </w:p>
          <w:p w14:paraId="270DFAAB">
            <w:pPr>
              <w:spacing w:line="280" w:lineRule="auto"/>
              <w:rPr>
                <w:rFonts w:ascii="Arial"/>
                <w:sz w:val="21"/>
              </w:rPr>
            </w:pPr>
          </w:p>
          <w:p w14:paraId="2A357E9D">
            <w:pPr>
              <w:pStyle w:val="6"/>
              <w:spacing w:before="68" w:line="221" w:lineRule="auto"/>
              <w:ind w:left="168"/>
            </w:pPr>
            <w:r>
              <w:rPr>
                <w:spacing w:val="-2"/>
              </w:rPr>
              <w:t>满足</w:t>
            </w:r>
          </w:p>
        </w:tc>
        <w:tc>
          <w:tcPr>
            <w:tcW w:w="103" w:type="dxa"/>
            <w:tcBorders>
              <w:top w:val="nil"/>
              <w:bottom w:val="nil"/>
            </w:tcBorders>
            <w:vAlign w:val="top"/>
          </w:tcPr>
          <w:p w14:paraId="713B7F66">
            <w:pPr>
              <w:rPr>
                <w:rFonts w:ascii="Arial"/>
                <w:sz w:val="21"/>
              </w:rPr>
            </w:pPr>
          </w:p>
        </w:tc>
      </w:tr>
      <w:tr w14:paraId="0D2D1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5" w:hRule="atLeast"/>
        </w:trPr>
        <w:tc>
          <w:tcPr>
            <w:tcW w:w="571" w:type="dxa"/>
            <w:vMerge w:val="continue"/>
            <w:tcBorders>
              <w:top w:val="nil"/>
              <w:bottom w:val="nil"/>
            </w:tcBorders>
            <w:vAlign w:val="top"/>
          </w:tcPr>
          <w:p w14:paraId="52848D94">
            <w:pPr>
              <w:rPr>
                <w:rFonts w:ascii="Arial"/>
                <w:sz w:val="21"/>
              </w:rPr>
            </w:pPr>
          </w:p>
        </w:tc>
        <w:tc>
          <w:tcPr>
            <w:tcW w:w="103" w:type="dxa"/>
            <w:tcBorders>
              <w:top w:val="nil"/>
              <w:bottom w:val="nil"/>
            </w:tcBorders>
            <w:vAlign w:val="top"/>
          </w:tcPr>
          <w:p w14:paraId="34675ECC">
            <w:pPr>
              <w:rPr>
                <w:rFonts w:ascii="Arial"/>
                <w:sz w:val="21"/>
              </w:rPr>
            </w:pPr>
          </w:p>
        </w:tc>
        <w:tc>
          <w:tcPr>
            <w:tcW w:w="739" w:type="dxa"/>
            <w:vAlign w:val="top"/>
          </w:tcPr>
          <w:p w14:paraId="4075610E">
            <w:pPr>
              <w:spacing w:line="256" w:lineRule="auto"/>
              <w:rPr>
                <w:rFonts w:ascii="Arial"/>
                <w:sz w:val="21"/>
              </w:rPr>
            </w:pPr>
          </w:p>
          <w:p w14:paraId="5B36A54B">
            <w:pPr>
              <w:spacing w:line="256" w:lineRule="auto"/>
              <w:rPr>
                <w:rFonts w:ascii="Arial"/>
                <w:sz w:val="21"/>
              </w:rPr>
            </w:pPr>
          </w:p>
          <w:p w14:paraId="61357319">
            <w:pPr>
              <w:spacing w:line="256" w:lineRule="auto"/>
              <w:rPr>
                <w:rFonts w:ascii="Arial"/>
                <w:sz w:val="21"/>
              </w:rPr>
            </w:pPr>
          </w:p>
          <w:p w14:paraId="205038C1">
            <w:pPr>
              <w:spacing w:line="256" w:lineRule="auto"/>
              <w:rPr>
                <w:rFonts w:ascii="Arial"/>
                <w:sz w:val="21"/>
              </w:rPr>
            </w:pPr>
          </w:p>
          <w:p w14:paraId="02E491B1">
            <w:pPr>
              <w:spacing w:line="256" w:lineRule="auto"/>
              <w:rPr>
                <w:rFonts w:ascii="Arial"/>
                <w:sz w:val="21"/>
              </w:rPr>
            </w:pPr>
          </w:p>
          <w:p w14:paraId="5A74130D">
            <w:pPr>
              <w:spacing w:line="256" w:lineRule="auto"/>
              <w:rPr>
                <w:rFonts w:ascii="Arial"/>
                <w:sz w:val="21"/>
              </w:rPr>
            </w:pPr>
          </w:p>
          <w:p w14:paraId="3CF698A8">
            <w:pPr>
              <w:spacing w:line="256" w:lineRule="auto"/>
              <w:rPr>
                <w:rFonts w:ascii="Arial"/>
                <w:sz w:val="21"/>
              </w:rPr>
            </w:pPr>
          </w:p>
          <w:p w14:paraId="0316FE35">
            <w:pPr>
              <w:spacing w:line="256" w:lineRule="auto"/>
              <w:rPr>
                <w:rFonts w:ascii="Arial"/>
                <w:sz w:val="21"/>
              </w:rPr>
            </w:pPr>
          </w:p>
          <w:p w14:paraId="2C0A26FF">
            <w:pPr>
              <w:spacing w:line="256" w:lineRule="auto"/>
              <w:rPr>
                <w:rFonts w:ascii="Arial"/>
                <w:sz w:val="21"/>
              </w:rPr>
            </w:pPr>
          </w:p>
          <w:p w14:paraId="45999B1E">
            <w:pPr>
              <w:spacing w:line="256" w:lineRule="auto"/>
              <w:rPr>
                <w:rFonts w:ascii="Arial"/>
                <w:sz w:val="21"/>
              </w:rPr>
            </w:pPr>
          </w:p>
          <w:p w14:paraId="48B16BE8">
            <w:pPr>
              <w:spacing w:line="256" w:lineRule="auto"/>
              <w:rPr>
                <w:rFonts w:ascii="Arial"/>
                <w:sz w:val="21"/>
              </w:rPr>
            </w:pPr>
          </w:p>
          <w:p w14:paraId="5681716C">
            <w:pPr>
              <w:pStyle w:val="6"/>
              <w:spacing w:before="68" w:line="279" w:lineRule="auto"/>
              <w:ind w:left="161" w:right="157"/>
            </w:pPr>
            <w:r>
              <w:rPr>
                <w:spacing w:val="-3"/>
              </w:rPr>
              <w:t>选址选线</w:t>
            </w:r>
          </w:p>
        </w:tc>
        <w:tc>
          <w:tcPr>
            <w:tcW w:w="3546" w:type="dxa"/>
            <w:vAlign w:val="top"/>
          </w:tcPr>
          <w:p w14:paraId="54F6C8D5">
            <w:pPr>
              <w:pStyle w:val="6"/>
              <w:spacing w:before="56" w:line="278" w:lineRule="auto"/>
              <w:ind w:left="110" w:right="103" w:firstLine="18"/>
            </w:pPr>
            <w:r>
              <w:rPr>
                <w:rFonts w:ascii="Times New Roman" w:hAnsi="Times New Roman" w:eastAsia="Times New Roman" w:cs="Times New Roman"/>
              </w:rPr>
              <w:t>1.</w:t>
            </w:r>
            <w:r>
              <w:t>输变电建设项目选址选线应符合生</w:t>
            </w:r>
            <w:r>
              <w:rPr>
                <w:spacing w:val="-3"/>
              </w:rPr>
              <w:t>态保护红线管控要求，避让自然保护</w:t>
            </w:r>
            <w:r>
              <w:rPr>
                <w:spacing w:val="11"/>
              </w:rPr>
              <w:t>区、饮用水水源保护区等环境敏感</w:t>
            </w:r>
            <w:r>
              <w:rPr>
                <w:spacing w:val="-3"/>
              </w:rPr>
              <w:t>区。确实因自然条件等因素限制无法避让自然保护区实验区、饮用水水源</w:t>
            </w:r>
            <w:r>
              <w:rPr>
                <w:spacing w:val="11"/>
              </w:rPr>
              <w:t>二级保护区等环境敏感区的输电线</w:t>
            </w:r>
            <w:r>
              <w:rPr>
                <w:spacing w:val="-3"/>
              </w:rPr>
              <w:t>路，应在满足相关法律法规及管理要</w:t>
            </w:r>
            <w:r>
              <w:rPr>
                <w:spacing w:val="11"/>
              </w:rPr>
              <w:t>求的前提下对线路方案进行唯一性</w:t>
            </w:r>
            <w:r>
              <w:rPr>
                <w:spacing w:val="-2"/>
              </w:rPr>
              <w:t>论证，并采取无害化方式通过。</w:t>
            </w:r>
          </w:p>
          <w:p w14:paraId="4CC7AE92">
            <w:pPr>
              <w:pStyle w:val="6"/>
              <w:spacing w:before="2" w:line="277" w:lineRule="auto"/>
              <w:ind w:left="109" w:right="103" w:hanging="2"/>
            </w:pPr>
            <w:r>
              <w:rPr>
                <w:rFonts w:ascii="Times New Roman" w:hAnsi="Times New Roman" w:eastAsia="Times New Roman" w:cs="Times New Roman"/>
                <w:spacing w:val="1"/>
              </w:rPr>
              <w:t>2.</w:t>
            </w:r>
            <w:r>
              <w:rPr>
                <w:spacing w:val="1"/>
              </w:rPr>
              <w:t>同一走廊内的多回输电线路，宜采</w:t>
            </w:r>
            <w:r>
              <w:rPr>
                <w:spacing w:val="-3"/>
              </w:rPr>
              <w:t>取同塔多回架设、并行架设等形式，</w:t>
            </w:r>
            <w:r>
              <w:rPr>
                <w:spacing w:val="11"/>
              </w:rPr>
              <w:t>减少新开辟走廊，优化线路走廊间</w:t>
            </w:r>
            <w:r>
              <w:rPr>
                <w:spacing w:val="-3"/>
              </w:rPr>
              <w:t>距，降低环境影响。</w:t>
            </w:r>
          </w:p>
          <w:p w14:paraId="0D3FC0BF">
            <w:pPr>
              <w:pStyle w:val="6"/>
              <w:spacing w:line="273" w:lineRule="auto"/>
              <w:ind w:left="114" w:right="103" w:hanging="2"/>
            </w:pPr>
            <w:r>
              <w:rPr>
                <w:rFonts w:ascii="Times New Roman" w:hAnsi="Times New Roman" w:eastAsia="Times New Roman" w:cs="Times New Roman"/>
                <w:spacing w:val="-2"/>
              </w:rPr>
              <w:t>3.</w:t>
            </w:r>
            <w:r>
              <w:rPr>
                <w:spacing w:val="-2"/>
              </w:rPr>
              <w:t>原则上避免在</w:t>
            </w:r>
            <w:r>
              <w:rPr>
                <w:spacing w:val="-20"/>
              </w:rPr>
              <w:t xml:space="preserve"> </w:t>
            </w:r>
            <w:r>
              <w:rPr>
                <w:rFonts w:ascii="Times New Roman" w:hAnsi="Times New Roman" w:eastAsia="Times New Roman" w:cs="Times New Roman"/>
                <w:spacing w:val="-2"/>
              </w:rPr>
              <w:t>0</w:t>
            </w:r>
            <w:r>
              <w:rPr>
                <w:rFonts w:ascii="Times New Roman" w:hAnsi="Times New Roman" w:eastAsia="Times New Roman" w:cs="Times New Roman"/>
                <w:spacing w:val="18"/>
                <w:w w:val="101"/>
              </w:rPr>
              <w:t xml:space="preserve"> </w:t>
            </w:r>
            <w:r>
              <w:rPr>
                <w:spacing w:val="-2"/>
              </w:rPr>
              <w:t>类声环境功能区建设变电工程。</w:t>
            </w:r>
          </w:p>
          <w:p w14:paraId="379F6E26">
            <w:pPr>
              <w:pStyle w:val="6"/>
              <w:spacing w:before="12" w:line="271" w:lineRule="auto"/>
              <w:ind w:left="111" w:right="104" w:hanging="5"/>
            </w:pPr>
            <w:r>
              <w:rPr>
                <w:rFonts w:ascii="Times New Roman" w:hAnsi="Times New Roman" w:eastAsia="Times New Roman" w:cs="Times New Roman"/>
                <w:spacing w:val="1"/>
              </w:rPr>
              <w:t>4.</w:t>
            </w:r>
            <w:r>
              <w:rPr>
                <w:spacing w:val="1"/>
              </w:rPr>
              <w:t>输电线路宜避让集中林区，以减少</w:t>
            </w:r>
            <w:r>
              <w:rPr>
                <w:spacing w:val="-1"/>
              </w:rPr>
              <w:t>林木砍伐，保护生态环境。</w:t>
            </w:r>
          </w:p>
          <w:p w14:paraId="59E0107E">
            <w:pPr>
              <w:pStyle w:val="6"/>
              <w:spacing w:before="15" w:line="259" w:lineRule="auto"/>
              <w:ind w:left="110" w:right="104" w:firstLine="3"/>
            </w:pPr>
            <w:r>
              <w:rPr>
                <w:rFonts w:ascii="Times New Roman" w:hAnsi="Times New Roman" w:eastAsia="Times New Roman" w:cs="Times New Roman"/>
              </w:rPr>
              <w:t>5.</w:t>
            </w:r>
            <w:r>
              <w:t>进入自然保护区的输电线路，应按</w:t>
            </w:r>
            <w:r>
              <w:rPr>
                <w:spacing w:val="-2"/>
              </w:rPr>
              <w:t>照</w:t>
            </w:r>
            <w:r>
              <w:rPr>
                <w:spacing w:val="-23"/>
              </w:rPr>
              <w:t xml:space="preserve"> </w:t>
            </w:r>
            <w:r>
              <w:rPr>
                <w:rFonts w:ascii="Times New Roman" w:hAnsi="Times New Roman" w:eastAsia="Times New Roman" w:cs="Times New Roman"/>
                <w:spacing w:val="-2"/>
              </w:rPr>
              <w:t>HJ19</w:t>
            </w:r>
            <w:r>
              <w:rPr>
                <w:rFonts w:ascii="Times New Roman" w:hAnsi="Times New Roman" w:eastAsia="Times New Roman" w:cs="Times New Roman"/>
                <w:spacing w:val="51"/>
              </w:rPr>
              <w:t xml:space="preserve"> </w:t>
            </w:r>
            <w:r>
              <w:rPr>
                <w:spacing w:val="-2"/>
              </w:rPr>
              <w:t>的要求开展生态现状调查，避让保护对象的集中分布区。</w:t>
            </w:r>
          </w:p>
        </w:tc>
        <w:tc>
          <w:tcPr>
            <w:tcW w:w="3263" w:type="dxa"/>
            <w:vAlign w:val="top"/>
          </w:tcPr>
          <w:p w14:paraId="5A94244C">
            <w:pPr>
              <w:spacing w:line="308" w:lineRule="auto"/>
              <w:rPr>
                <w:rFonts w:ascii="Arial"/>
                <w:sz w:val="21"/>
              </w:rPr>
            </w:pPr>
          </w:p>
          <w:p w14:paraId="07BCEF7A">
            <w:pPr>
              <w:spacing w:line="308" w:lineRule="auto"/>
              <w:rPr>
                <w:rFonts w:ascii="Arial"/>
                <w:sz w:val="21"/>
              </w:rPr>
            </w:pPr>
          </w:p>
          <w:p w14:paraId="416EDE02">
            <w:pPr>
              <w:pStyle w:val="6"/>
              <w:spacing w:before="68" w:line="278" w:lineRule="auto"/>
              <w:ind w:left="114" w:right="101" w:firstLine="15"/>
            </w:pPr>
            <w:r>
              <w:rPr>
                <w:rFonts w:ascii="Times New Roman" w:hAnsi="Times New Roman" w:eastAsia="Times New Roman" w:cs="Times New Roman"/>
                <w:spacing w:val="-5"/>
              </w:rPr>
              <w:t>1.</w:t>
            </w:r>
            <w:r>
              <w:rPr>
                <w:spacing w:val="-5"/>
              </w:rPr>
              <w:t>项目不涉及饮用水水源保护区；</w:t>
            </w:r>
            <w:r>
              <w:rPr>
                <w:spacing w:val="7"/>
              </w:rPr>
              <w:t>涉及生态保护红线符合相关法律</w:t>
            </w:r>
            <w:r>
              <w:rPr>
                <w:spacing w:val="-8"/>
              </w:rPr>
              <w:t>法规要求，且进行了线路方案进行唯一性论证，对生态保护红线的影</w:t>
            </w:r>
            <w:r>
              <w:rPr>
                <w:spacing w:val="-2"/>
              </w:rPr>
              <w:t>响很小。</w:t>
            </w:r>
          </w:p>
          <w:p w14:paraId="212F2280">
            <w:pPr>
              <w:pStyle w:val="6"/>
              <w:spacing w:before="2" w:line="277" w:lineRule="auto"/>
              <w:ind w:left="112" w:right="82" w:hanging="2"/>
            </w:pPr>
            <w:r>
              <w:rPr>
                <w:rFonts w:ascii="Times New Roman" w:hAnsi="Times New Roman" w:eastAsia="Times New Roman" w:cs="Times New Roman"/>
                <w:spacing w:val="-2"/>
              </w:rPr>
              <w:t>2.</w:t>
            </w:r>
            <w:r>
              <w:rPr>
                <w:spacing w:val="-2"/>
              </w:rPr>
              <w:t>项目在部分区域采用同塔双回、</w:t>
            </w:r>
            <w:r>
              <w:rPr>
                <w:spacing w:val="7"/>
              </w:rPr>
              <w:t>与现有线路并行等方式减少新开</w:t>
            </w:r>
            <w:r>
              <w:rPr>
                <w:spacing w:val="-1"/>
              </w:rPr>
              <w:t>辟走廊。</w:t>
            </w:r>
          </w:p>
          <w:p w14:paraId="20CAEFEB">
            <w:pPr>
              <w:pStyle w:val="6"/>
              <w:spacing w:before="1" w:line="273" w:lineRule="auto"/>
              <w:ind w:left="113" w:right="101"/>
            </w:pPr>
            <w:r>
              <w:rPr>
                <w:rFonts w:ascii="Times New Roman" w:hAnsi="Times New Roman" w:eastAsia="Times New Roman" w:cs="Times New Roman"/>
              </w:rPr>
              <w:t>3.</w:t>
            </w:r>
            <w:r>
              <w:t>工程在选址选线时避让了</w:t>
            </w:r>
            <w:r>
              <w:rPr>
                <w:rFonts w:ascii="Times New Roman" w:hAnsi="Times New Roman" w:eastAsia="Times New Roman" w:cs="Times New Roman"/>
              </w:rPr>
              <w:t>0</w:t>
            </w:r>
            <w:r>
              <w:rPr>
                <w:rFonts w:ascii="Times New Roman" w:hAnsi="Times New Roman" w:eastAsia="Times New Roman" w:cs="Times New Roman"/>
                <w:spacing w:val="-4"/>
              </w:rPr>
              <w:t xml:space="preserve"> </w:t>
            </w:r>
            <w:r>
              <w:t>类声</w:t>
            </w:r>
            <w:r>
              <w:rPr>
                <w:spacing w:val="-1"/>
              </w:rPr>
              <w:t>环境功能区。</w:t>
            </w:r>
          </w:p>
          <w:p w14:paraId="285BE3E9">
            <w:pPr>
              <w:pStyle w:val="6"/>
              <w:spacing w:before="10" w:line="278" w:lineRule="auto"/>
              <w:ind w:left="114" w:right="101" w:hanging="5"/>
            </w:pPr>
            <w:r>
              <w:rPr>
                <w:rFonts w:ascii="Times New Roman" w:hAnsi="Times New Roman" w:eastAsia="Times New Roman" w:cs="Times New Roman"/>
                <w:spacing w:val="10"/>
              </w:rPr>
              <w:t>4.</w:t>
            </w:r>
            <w:r>
              <w:rPr>
                <w:spacing w:val="10"/>
              </w:rPr>
              <w:t>输电线路已经设计尽量避让集</w:t>
            </w:r>
            <w:r>
              <w:rPr>
                <w:spacing w:val="-8"/>
              </w:rPr>
              <w:t>中林区，不得不穿越林区时，设计</w:t>
            </w:r>
            <w:r>
              <w:rPr>
                <w:spacing w:val="7"/>
              </w:rPr>
              <w:t>落塔位置尽量选择林间斑块无树</w:t>
            </w:r>
            <w:r>
              <w:rPr>
                <w:spacing w:val="-8"/>
              </w:rPr>
              <w:t>木、稀树荒草地处落塔，以减少林</w:t>
            </w:r>
            <w:r>
              <w:rPr>
                <w:spacing w:val="-2"/>
              </w:rPr>
              <w:t>木砍伐。</w:t>
            </w:r>
          </w:p>
          <w:p w14:paraId="6B17096B">
            <w:pPr>
              <w:pStyle w:val="6"/>
              <w:spacing w:line="235" w:lineRule="auto"/>
              <w:ind w:left="115"/>
            </w:pPr>
            <w:r>
              <w:rPr>
                <w:rFonts w:ascii="Times New Roman" w:hAnsi="Times New Roman" w:eastAsia="Times New Roman" w:cs="Times New Roman"/>
                <w:spacing w:val="-1"/>
              </w:rPr>
              <w:t>5.</w:t>
            </w:r>
            <w:r>
              <w:rPr>
                <w:spacing w:val="-1"/>
              </w:rPr>
              <w:t>项目不涉及自然保护区。</w:t>
            </w:r>
          </w:p>
        </w:tc>
        <w:tc>
          <w:tcPr>
            <w:tcW w:w="748" w:type="dxa"/>
            <w:vAlign w:val="top"/>
          </w:tcPr>
          <w:p w14:paraId="40EF4CF7">
            <w:pPr>
              <w:spacing w:line="247" w:lineRule="auto"/>
              <w:rPr>
                <w:rFonts w:ascii="Arial"/>
                <w:sz w:val="21"/>
              </w:rPr>
            </w:pPr>
          </w:p>
          <w:p w14:paraId="3AE40C11">
            <w:pPr>
              <w:spacing w:line="247" w:lineRule="auto"/>
              <w:rPr>
                <w:rFonts w:ascii="Arial"/>
                <w:sz w:val="21"/>
              </w:rPr>
            </w:pPr>
          </w:p>
          <w:p w14:paraId="4A098694">
            <w:pPr>
              <w:spacing w:line="247" w:lineRule="auto"/>
              <w:rPr>
                <w:rFonts w:ascii="Arial"/>
                <w:sz w:val="21"/>
              </w:rPr>
            </w:pPr>
          </w:p>
          <w:p w14:paraId="398C4845">
            <w:pPr>
              <w:spacing w:line="247" w:lineRule="auto"/>
              <w:rPr>
                <w:rFonts w:ascii="Arial"/>
                <w:sz w:val="21"/>
              </w:rPr>
            </w:pPr>
          </w:p>
          <w:p w14:paraId="166FB57F">
            <w:pPr>
              <w:spacing w:line="247" w:lineRule="auto"/>
              <w:rPr>
                <w:rFonts w:ascii="Arial"/>
                <w:sz w:val="21"/>
              </w:rPr>
            </w:pPr>
          </w:p>
          <w:p w14:paraId="71EFD7E9">
            <w:pPr>
              <w:spacing w:line="248" w:lineRule="auto"/>
              <w:rPr>
                <w:rFonts w:ascii="Arial"/>
                <w:sz w:val="21"/>
              </w:rPr>
            </w:pPr>
          </w:p>
          <w:p w14:paraId="26D13319">
            <w:pPr>
              <w:spacing w:line="248" w:lineRule="auto"/>
              <w:rPr>
                <w:rFonts w:ascii="Arial"/>
                <w:sz w:val="21"/>
              </w:rPr>
            </w:pPr>
          </w:p>
          <w:p w14:paraId="0E294986">
            <w:pPr>
              <w:spacing w:line="248" w:lineRule="auto"/>
              <w:rPr>
                <w:rFonts w:ascii="Arial"/>
                <w:sz w:val="21"/>
              </w:rPr>
            </w:pPr>
          </w:p>
          <w:p w14:paraId="48AB2535">
            <w:pPr>
              <w:spacing w:line="248" w:lineRule="auto"/>
              <w:rPr>
                <w:rFonts w:ascii="Arial"/>
                <w:sz w:val="21"/>
              </w:rPr>
            </w:pPr>
          </w:p>
          <w:p w14:paraId="6AB18D52">
            <w:pPr>
              <w:spacing w:line="248" w:lineRule="auto"/>
              <w:rPr>
                <w:rFonts w:ascii="Arial"/>
                <w:sz w:val="21"/>
              </w:rPr>
            </w:pPr>
          </w:p>
          <w:p w14:paraId="6BBACCAF">
            <w:pPr>
              <w:spacing w:line="248" w:lineRule="auto"/>
              <w:rPr>
                <w:rFonts w:ascii="Arial"/>
                <w:sz w:val="21"/>
              </w:rPr>
            </w:pPr>
          </w:p>
          <w:p w14:paraId="1109E845">
            <w:pPr>
              <w:spacing w:line="248" w:lineRule="auto"/>
              <w:rPr>
                <w:rFonts w:ascii="Arial"/>
                <w:sz w:val="21"/>
              </w:rPr>
            </w:pPr>
          </w:p>
          <w:p w14:paraId="5A8D6E0D">
            <w:pPr>
              <w:pStyle w:val="6"/>
              <w:spacing w:before="68" w:line="221" w:lineRule="auto"/>
              <w:ind w:left="168"/>
            </w:pPr>
            <w:r>
              <w:rPr>
                <w:spacing w:val="-2"/>
              </w:rPr>
              <w:t>满足</w:t>
            </w:r>
          </w:p>
        </w:tc>
        <w:tc>
          <w:tcPr>
            <w:tcW w:w="103" w:type="dxa"/>
            <w:tcBorders>
              <w:top w:val="nil"/>
              <w:bottom w:val="nil"/>
            </w:tcBorders>
            <w:vAlign w:val="top"/>
          </w:tcPr>
          <w:p w14:paraId="1B43C733">
            <w:pPr>
              <w:rPr>
                <w:rFonts w:ascii="Arial"/>
                <w:sz w:val="21"/>
              </w:rPr>
            </w:pPr>
          </w:p>
        </w:tc>
      </w:tr>
      <w:tr w14:paraId="46FC91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6" w:hRule="atLeast"/>
        </w:trPr>
        <w:tc>
          <w:tcPr>
            <w:tcW w:w="571" w:type="dxa"/>
            <w:vMerge w:val="continue"/>
            <w:tcBorders>
              <w:top w:val="nil"/>
            </w:tcBorders>
            <w:vAlign w:val="top"/>
          </w:tcPr>
          <w:p w14:paraId="6C716497">
            <w:pPr>
              <w:rPr>
                <w:rFonts w:ascii="Arial"/>
                <w:sz w:val="21"/>
              </w:rPr>
            </w:pPr>
          </w:p>
        </w:tc>
        <w:tc>
          <w:tcPr>
            <w:tcW w:w="103" w:type="dxa"/>
            <w:tcBorders>
              <w:top w:val="nil"/>
            </w:tcBorders>
            <w:vAlign w:val="top"/>
          </w:tcPr>
          <w:p w14:paraId="66A5C476">
            <w:pPr>
              <w:rPr>
                <w:rFonts w:ascii="Arial"/>
                <w:sz w:val="21"/>
              </w:rPr>
            </w:pPr>
          </w:p>
        </w:tc>
        <w:tc>
          <w:tcPr>
            <w:tcW w:w="739" w:type="dxa"/>
            <w:vAlign w:val="top"/>
          </w:tcPr>
          <w:p w14:paraId="36237632">
            <w:pPr>
              <w:pStyle w:val="6"/>
              <w:spacing w:before="58" w:line="226" w:lineRule="auto"/>
              <w:ind w:left="186"/>
            </w:pPr>
            <w:r>
              <w:rPr>
                <w:spacing w:val="-8"/>
              </w:rPr>
              <w:t>电磁</w:t>
            </w:r>
          </w:p>
          <w:p w14:paraId="7C039AFD">
            <w:pPr>
              <w:pStyle w:val="6"/>
              <w:spacing w:before="59" w:line="221" w:lineRule="auto"/>
              <w:ind w:left="161"/>
            </w:pPr>
            <w:r>
              <w:rPr>
                <w:spacing w:val="-2"/>
              </w:rPr>
              <w:t>环境</w:t>
            </w:r>
          </w:p>
          <w:p w14:paraId="539C7E12">
            <w:pPr>
              <w:pStyle w:val="6"/>
              <w:spacing w:before="62" w:line="221" w:lineRule="auto"/>
              <w:ind w:left="162"/>
            </w:pPr>
            <w:r>
              <w:rPr>
                <w:spacing w:val="-2"/>
              </w:rPr>
              <w:t>保护</w:t>
            </w:r>
          </w:p>
        </w:tc>
        <w:tc>
          <w:tcPr>
            <w:tcW w:w="3546" w:type="dxa"/>
            <w:vAlign w:val="top"/>
          </w:tcPr>
          <w:p w14:paraId="0F66F6A1">
            <w:pPr>
              <w:pStyle w:val="6"/>
              <w:spacing w:before="58" w:line="263" w:lineRule="auto"/>
              <w:ind w:left="112" w:right="103" w:firstLine="15"/>
              <w:jc w:val="both"/>
            </w:pPr>
            <w:r>
              <w:rPr>
                <w:rFonts w:ascii="Times New Roman" w:hAnsi="Times New Roman" w:eastAsia="Times New Roman" w:cs="Times New Roman"/>
                <w:spacing w:val="-1"/>
              </w:rPr>
              <w:t>1.</w:t>
            </w:r>
            <w:r>
              <w:rPr>
                <w:spacing w:val="-1"/>
              </w:rPr>
              <w:t>工程设计应对产生的工频电场、工</w:t>
            </w:r>
            <w:r>
              <w:rPr>
                <w:spacing w:val="-3"/>
              </w:rPr>
              <w:t>频磁场、直流合成电场等电磁环境影</w:t>
            </w:r>
            <w:r>
              <w:rPr>
                <w:spacing w:val="11"/>
              </w:rPr>
              <w:t>响因子进行验算，采取相应防护措</w:t>
            </w:r>
          </w:p>
        </w:tc>
        <w:tc>
          <w:tcPr>
            <w:tcW w:w="3263" w:type="dxa"/>
            <w:vAlign w:val="top"/>
          </w:tcPr>
          <w:p w14:paraId="7B0AA352">
            <w:pPr>
              <w:pStyle w:val="6"/>
              <w:spacing w:before="58" w:line="263" w:lineRule="auto"/>
              <w:ind w:left="130" w:right="101"/>
              <w:jc w:val="both"/>
            </w:pPr>
            <w:r>
              <w:rPr>
                <w:rFonts w:ascii="Times New Roman" w:hAnsi="Times New Roman" w:eastAsia="Times New Roman" w:cs="Times New Roman"/>
                <w:spacing w:val="9"/>
              </w:rPr>
              <w:t>1.</w:t>
            </w:r>
            <w:r>
              <w:rPr>
                <w:spacing w:val="9"/>
              </w:rPr>
              <w:t>本项目设计中对电磁环境影响</w:t>
            </w:r>
            <w:r>
              <w:rPr>
                <w:spacing w:val="-9"/>
              </w:rPr>
              <w:t>因子进行了验算，并提出了相对应</w:t>
            </w:r>
            <w:r>
              <w:rPr>
                <w:spacing w:val="-6"/>
              </w:rPr>
              <w:t>的措施。</w:t>
            </w:r>
          </w:p>
        </w:tc>
        <w:tc>
          <w:tcPr>
            <w:tcW w:w="748" w:type="dxa"/>
            <w:vAlign w:val="top"/>
          </w:tcPr>
          <w:p w14:paraId="6262ED45">
            <w:pPr>
              <w:spacing w:line="304" w:lineRule="auto"/>
              <w:rPr>
                <w:rFonts w:ascii="Arial"/>
                <w:sz w:val="21"/>
              </w:rPr>
            </w:pPr>
          </w:p>
          <w:p w14:paraId="7BFE0DD2">
            <w:pPr>
              <w:pStyle w:val="6"/>
              <w:spacing w:before="68" w:line="221" w:lineRule="auto"/>
              <w:ind w:left="168"/>
            </w:pPr>
            <w:r>
              <w:rPr>
                <w:spacing w:val="-2"/>
              </w:rPr>
              <w:t>满足</w:t>
            </w:r>
          </w:p>
        </w:tc>
        <w:tc>
          <w:tcPr>
            <w:tcW w:w="103" w:type="dxa"/>
            <w:tcBorders>
              <w:top w:val="nil"/>
            </w:tcBorders>
            <w:vAlign w:val="top"/>
          </w:tcPr>
          <w:p w14:paraId="61299B8F">
            <w:pPr>
              <w:rPr>
                <w:rFonts w:ascii="Arial"/>
                <w:sz w:val="21"/>
              </w:rPr>
            </w:pPr>
          </w:p>
        </w:tc>
      </w:tr>
    </w:tbl>
    <w:p w14:paraId="0034CEAE">
      <w:pPr>
        <w:rPr>
          <w:rFonts w:ascii="Arial"/>
          <w:sz w:val="21"/>
        </w:rPr>
      </w:pPr>
    </w:p>
    <w:p w14:paraId="71C695E5">
      <w:pPr>
        <w:rPr>
          <w:rFonts w:ascii="Arial" w:hAnsi="Arial" w:eastAsia="Arial" w:cs="Arial"/>
          <w:sz w:val="21"/>
          <w:szCs w:val="21"/>
        </w:rPr>
        <w:sectPr>
          <w:footerReference r:id="rId18" w:type="default"/>
          <w:pgSz w:w="11907" w:h="16841"/>
          <w:pgMar w:top="400" w:right="1413" w:bottom="1126" w:left="1414" w:header="0" w:footer="923" w:gutter="0"/>
          <w:cols w:space="720" w:num="1"/>
        </w:sectPr>
      </w:pPr>
    </w:p>
    <w:p w14:paraId="066614A8">
      <w:pPr>
        <w:spacing w:before="2"/>
      </w:pPr>
    </w:p>
    <w:p w14:paraId="790E73FB">
      <w:pPr>
        <w:spacing w:before="2"/>
      </w:pPr>
    </w:p>
    <w:p w14:paraId="1BD351FB">
      <w:pPr>
        <w:spacing w:before="1"/>
      </w:pPr>
    </w:p>
    <w:p w14:paraId="114EAE1E">
      <w:pPr>
        <w:spacing w:before="1"/>
      </w:pPr>
    </w:p>
    <w:p w14:paraId="14B81B16">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03"/>
        <w:gridCol w:w="739"/>
        <w:gridCol w:w="3546"/>
        <w:gridCol w:w="3263"/>
        <w:gridCol w:w="748"/>
        <w:gridCol w:w="103"/>
      </w:tblGrid>
      <w:tr w14:paraId="0B2754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8" w:hRule="atLeast"/>
        </w:trPr>
        <w:tc>
          <w:tcPr>
            <w:tcW w:w="571" w:type="dxa"/>
            <w:vMerge w:val="restart"/>
            <w:tcBorders>
              <w:bottom w:val="nil"/>
            </w:tcBorders>
            <w:vAlign w:val="top"/>
          </w:tcPr>
          <w:p w14:paraId="2057AB56">
            <w:pPr>
              <w:rPr>
                <w:rFonts w:ascii="Arial"/>
                <w:sz w:val="21"/>
              </w:rPr>
            </w:pPr>
          </w:p>
        </w:tc>
        <w:tc>
          <w:tcPr>
            <w:tcW w:w="103" w:type="dxa"/>
            <w:tcBorders>
              <w:bottom w:val="nil"/>
            </w:tcBorders>
            <w:vAlign w:val="top"/>
          </w:tcPr>
          <w:p w14:paraId="2CAB506E">
            <w:pPr>
              <w:rPr>
                <w:rFonts w:ascii="Arial"/>
                <w:sz w:val="21"/>
              </w:rPr>
            </w:pPr>
          </w:p>
        </w:tc>
        <w:tc>
          <w:tcPr>
            <w:tcW w:w="739" w:type="dxa"/>
            <w:vAlign w:val="top"/>
          </w:tcPr>
          <w:p w14:paraId="6ECF547B">
            <w:pPr>
              <w:rPr>
                <w:rFonts w:ascii="Arial"/>
                <w:sz w:val="21"/>
              </w:rPr>
            </w:pPr>
          </w:p>
        </w:tc>
        <w:tc>
          <w:tcPr>
            <w:tcW w:w="3546" w:type="dxa"/>
            <w:vAlign w:val="top"/>
          </w:tcPr>
          <w:p w14:paraId="7B8D4F79">
            <w:pPr>
              <w:pStyle w:val="6"/>
              <w:spacing w:before="71" w:line="277" w:lineRule="auto"/>
              <w:ind w:left="111" w:right="103" w:hanging="1"/>
            </w:pPr>
            <w:r>
              <w:rPr>
                <w:spacing w:val="-3"/>
              </w:rPr>
              <w:t>施，确保电磁环境影响满足国家标准</w:t>
            </w:r>
            <w:r>
              <w:rPr>
                <w:spacing w:val="-9"/>
              </w:rPr>
              <w:t>要求。</w:t>
            </w:r>
          </w:p>
          <w:p w14:paraId="393ED3FF">
            <w:pPr>
              <w:pStyle w:val="6"/>
              <w:spacing w:before="1" w:line="276" w:lineRule="auto"/>
              <w:ind w:left="112" w:right="28" w:hanging="5"/>
            </w:pPr>
            <w:r>
              <w:rPr>
                <w:rFonts w:ascii="Times New Roman" w:hAnsi="Times New Roman" w:eastAsia="Times New Roman" w:cs="Times New Roman"/>
                <w:spacing w:val="1"/>
              </w:rPr>
              <w:t>2.</w:t>
            </w:r>
            <w:r>
              <w:rPr>
                <w:spacing w:val="1"/>
              </w:rPr>
              <w:t>输电线路设计应因地制宜选择线路</w:t>
            </w:r>
            <w:r>
              <w:rPr>
                <w:spacing w:val="-3"/>
              </w:rPr>
              <w:t>型式、架设高度、杆塔塔型、导线参</w:t>
            </w:r>
            <w:r>
              <w:rPr>
                <w:spacing w:val="-11"/>
              </w:rPr>
              <w:t>数、相序布置等，减少电磁环境影响。</w:t>
            </w:r>
          </w:p>
          <w:p w14:paraId="248E8134">
            <w:pPr>
              <w:pStyle w:val="6"/>
              <w:spacing w:before="5" w:line="260" w:lineRule="auto"/>
              <w:ind w:left="110" w:right="103" w:firstLine="1"/>
            </w:pPr>
            <w:r>
              <w:rPr>
                <w:rFonts w:ascii="Times New Roman" w:hAnsi="Times New Roman" w:eastAsia="Times New Roman" w:cs="Times New Roman"/>
              </w:rPr>
              <w:t>3.</w:t>
            </w:r>
            <w:r>
              <w:t>架空输电线路经过电磁环境敏感目</w:t>
            </w:r>
            <w:r>
              <w:rPr>
                <w:spacing w:val="-3"/>
              </w:rPr>
              <w:t>标时，应采取避让或增加导线对地高</w:t>
            </w:r>
            <w:r>
              <w:rPr>
                <w:spacing w:val="-2"/>
              </w:rPr>
              <w:t>度等措施，减少电磁环境影响。</w:t>
            </w:r>
          </w:p>
        </w:tc>
        <w:tc>
          <w:tcPr>
            <w:tcW w:w="3263" w:type="dxa"/>
            <w:vAlign w:val="top"/>
          </w:tcPr>
          <w:p w14:paraId="672C6E80">
            <w:pPr>
              <w:pStyle w:val="6"/>
              <w:spacing w:before="72" w:line="277" w:lineRule="auto"/>
              <w:ind w:left="112" w:right="101" w:hanging="2"/>
            </w:pPr>
            <w:r>
              <w:rPr>
                <w:rFonts w:ascii="Times New Roman" w:hAnsi="Times New Roman" w:eastAsia="Times New Roman" w:cs="Times New Roman"/>
                <w:spacing w:val="-4"/>
              </w:rPr>
              <w:t>2.</w:t>
            </w:r>
            <w:r>
              <w:rPr>
                <w:spacing w:val="-4"/>
              </w:rPr>
              <w:t>本工程设计阶段对线路型式、架</w:t>
            </w:r>
            <w:r>
              <w:rPr>
                <w:spacing w:val="-8"/>
              </w:rPr>
              <w:t>设高度、杆塔塔型、导线参数、相序布置等进行了优化，一定程度上</w:t>
            </w:r>
            <w:r>
              <w:rPr>
                <w:spacing w:val="-1"/>
              </w:rPr>
              <w:t>减少了电磁环境影响。</w:t>
            </w:r>
          </w:p>
          <w:p w14:paraId="2295EAF6">
            <w:pPr>
              <w:pStyle w:val="6"/>
              <w:spacing w:before="2" w:line="277" w:lineRule="auto"/>
              <w:ind w:left="112" w:right="101" w:firstLine="2"/>
            </w:pPr>
            <w:r>
              <w:rPr>
                <w:rFonts w:ascii="Times New Roman" w:hAnsi="Times New Roman" w:eastAsia="Times New Roman" w:cs="Times New Roman"/>
                <w:spacing w:val="10"/>
              </w:rPr>
              <w:t>3.</w:t>
            </w:r>
            <w:r>
              <w:rPr>
                <w:spacing w:val="10"/>
              </w:rPr>
              <w:t>本工程设计中已采取塔基定位</w:t>
            </w:r>
            <w:r>
              <w:rPr>
                <w:spacing w:val="-8"/>
              </w:rPr>
              <w:t>避让、控制导线高度、高塔跨越架</w:t>
            </w:r>
            <w:r>
              <w:rPr>
                <w:spacing w:val="-3"/>
              </w:rPr>
              <w:t>设等环境保护措施。</w:t>
            </w:r>
          </w:p>
        </w:tc>
        <w:tc>
          <w:tcPr>
            <w:tcW w:w="748" w:type="dxa"/>
            <w:vAlign w:val="top"/>
          </w:tcPr>
          <w:p w14:paraId="56B26B91">
            <w:pPr>
              <w:rPr>
                <w:rFonts w:ascii="Arial"/>
                <w:sz w:val="21"/>
              </w:rPr>
            </w:pPr>
          </w:p>
        </w:tc>
        <w:tc>
          <w:tcPr>
            <w:tcW w:w="103" w:type="dxa"/>
            <w:tcBorders>
              <w:bottom w:val="nil"/>
            </w:tcBorders>
            <w:vAlign w:val="top"/>
          </w:tcPr>
          <w:p w14:paraId="73F2FD45">
            <w:pPr>
              <w:rPr>
                <w:rFonts w:ascii="Arial"/>
                <w:sz w:val="21"/>
              </w:rPr>
            </w:pPr>
          </w:p>
        </w:tc>
      </w:tr>
      <w:tr w14:paraId="644245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7" w:hRule="atLeast"/>
        </w:trPr>
        <w:tc>
          <w:tcPr>
            <w:tcW w:w="571" w:type="dxa"/>
            <w:vMerge w:val="continue"/>
            <w:tcBorders>
              <w:top w:val="nil"/>
              <w:bottom w:val="nil"/>
            </w:tcBorders>
            <w:vAlign w:val="top"/>
          </w:tcPr>
          <w:p w14:paraId="6402947C">
            <w:pPr>
              <w:rPr>
                <w:rFonts w:ascii="Arial"/>
                <w:sz w:val="21"/>
              </w:rPr>
            </w:pPr>
          </w:p>
        </w:tc>
        <w:tc>
          <w:tcPr>
            <w:tcW w:w="103" w:type="dxa"/>
            <w:tcBorders>
              <w:top w:val="nil"/>
              <w:bottom w:val="nil"/>
            </w:tcBorders>
            <w:vAlign w:val="top"/>
          </w:tcPr>
          <w:p w14:paraId="0C966BC6">
            <w:pPr>
              <w:rPr>
                <w:rFonts w:ascii="Arial"/>
                <w:sz w:val="21"/>
              </w:rPr>
            </w:pPr>
          </w:p>
        </w:tc>
        <w:tc>
          <w:tcPr>
            <w:tcW w:w="739" w:type="dxa"/>
            <w:vAlign w:val="top"/>
          </w:tcPr>
          <w:p w14:paraId="1BE98C74">
            <w:pPr>
              <w:spacing w:line="307" w:lineRule="auto"/>
              <w:rPr>
                <w:rFonts w:ascii="Arial"/>
                <w:sz w:val="21"/>
              </w:rPr>
            </w:pPr>
          </w:p>
          <w:p w14:paraId="05D03359">
            <w:pPr>
              <w:spacing w:line="307" w:lineRule="auto"/>
              <w:rPr>
                <w:rFonts w:ascii="Arial"/>
                <w:sz w:val="21"/>
              </w:rPr>
            </w:pPr>
          </w:p>
          <w:p w14:paraId="0D1C95A4">
            <w:pPr>
              <w:pStyle w:val="6"/>
              <w:spacing w:before="69" w:line="280" w:lineRule="auto"/>
              <w:ind w:left="162" w:right="157" w:firstLine="3"/>
              <w:jc w:val="both"/>
            </w:pPr>
            <w:r>
              <w:rPr>
                <w:spacing w:val="-6"/>
              </w:rPr>
              <w:t>声环</w:t>
            </w:r>
            <w:r>
              <w:rPr>
                <w:spacing w:val="-4"/>
              </w:rPr>
              <w:t>境保</w:t>
            </w:r>
            <w:r>
              <w:rPr>
                <w:spacing w:val="36"/>
                <w:w w:val="129"/>
              </w:rPr>
              <w:t>护</w:t>
            </w:r>
          </w:p>
        </w:tc>
        <w:tc>
          <w:tcPr>
            <w:tcW w:w="3546" w:type="dxa"/>
            <w:vAlign w:val="top"/>
          </w:tcPr>
          <w:p w14:paraId="542D136A">
            <w:pPr>
              <w:pStyle w:val="6"/>
              <w:spacing w:before="57" w:line="270" w:lineRule="auto"/>
              <w:ind w:left="110" w:right="100"/>
              <w:jc w:val="both"/>
            </w:pPr>
            <w:r>
              <w:rPr>
                <w:spacing w:val="11"/>
              </w:rPr>
              <w:t>变电工程噪声控制设计应首先从噪声源强上进行控制，选择低噪声设</w:t>
            </w:r>
            <w:r>
              <w:rPr>
                <w:spacing w:val="-3"/>
              </w:rPr>
              <w:t>备；对于声源上无法根治的噪声，应</w:t>
            </w:r>
            <w:r>
              <w:rPr>
                <w:spacing w:val="-2"/>
              </w:rPr>
              <w:t>采用隔声、吸声、消声、防振、减振</w:t>
            </w:r>
            <w:r>
              <w:rPr>
                <w:spacing w:val="-3"/>
              </w:rPr>
              <w:t>等降噪措施，确保厂界排放噪声和周</w:t>
            </w:r>
            <w:r>
              <w:rPr>
                <w:spacing w:val="-12"/>
              </w:rPr>
              <w:t>围 声</w:t>
            </w:r>
            <w:r>
              <w:rPr>
                <w:spacing w:val="-10"/>
              </w:rPr>
              <w:t xml:space="preserve"> </w:t>
            </w:r>
            <w:r>
              <w:rPr>
                <w:spacing w:val="-12"/>
              </w:rPr>
              <w:t>环</w:t>
            </w:r>
            <w:r>
              <w:rPr>
                <w:spacing w:val="-24"/>
              </w:rPr>
              <w:t xml:space="preserve"> </w:t>
            </w:r>
            <w:r>
              <w:rPr>
                <w:spacing w:val="-12"/>
              </w:rPr>
              <w:t>境</w:t>
            </w:r>
            <w:r>
              <w:rPr>
                <w:spacing w:val="-24"/>
              </w:rPr>
              <w:t xml:space="preserve"> </w:t>
            </w:r>
            <w:r>
              <w:rPr>
                <w:spacing w:val="-12"/>
              </w:rPr>
              <w:t>敏</w:t>
            </w:r>
            <w:r>
              <w:rPr>
                <w:spacing w:val="-24"/>
              </w:rPr>
              <w:t xml:space="preserve"> </w:t>
            </w:r>
            <w:r>
              <w:rPr>
                <w:spacing w:val="-12"/>
              </w:rPr>
              <w:t>感 目</w:t>
            </w:r>
            <w:r>
              <w:rPr>
                <w:spacing w:val="-24"/>
              </w:rPr>
              <w:t xml:space="preserve"> </w:t>
            </w:r>
            <w:r>
              <w:rPr>
                <w:spacing w:val="-12"/>
              </w:rPr>
              <w:t>标 分</w:t>
            </w:r>
            <w:r>
              <w:rPr>
                <w:spacing w:val="-22"/>
              </w:rPr>
              <w:t xml:space="preserve"> </w:t>
            </w:r>
            <w:r>
              <w:rPr>
                <w:spacing w:val="-12"/>
              </w:rPr>
              <w:t>别</w:t>
            </w:r>
            <w:r>
              <w:rPr>
                <w:spacing w:val="-23"/>
              </w:rPr>
              <w:t xml:space="preserve"> </w:t>
            </w:r>
            <w:r>
              <w:rPr>
                <w:spacing w:val="-12"/>
              </w:rPr>
              <w:t>满</w:t>
            </w:r>
            <w:r>
              <w:rPr>
                <w:spacing w:val="-22"/>
              </w:rPr>
              <w:t xml:space="preserve"> </w:t>
            </w:r>
            <w:r>
              <w:rPr>
                <w:spacing w:val="-12"/>
              </w:rPr>
              <w:t>足</w:t>
            </w:r>
            <w:r>
              <w:rPr>
                <w:rFonts w:ascii="Times New Roman" w:hAnsi="Times New Roman" w:eastAsia="Times New Roman" w:cs="Times New Roman"/>
                <w:spacing w:val="-2"/>
              </w:rPr>
              <w:t xml:space="preserve">GB12348 </w:t>
            </w:r>
            <w:r>
              <w:rPr>
                <w:spacing w:val="-2"/>
              </w:rPr>
              <w:t>和</w:t>
            </w:r>
            <w:r>
              <w:rPr>
                <w:spacing w:val="-39"/>
              </w:rPr>
              <w:t xml:space="preserve"> </w:t>
            </w:r>
            <w:r>
              <w:rPr>
                <w:rFonts w:ascii="Times New Roman" w:hAnsi="Times New Roman" w:eastAsia="Times New Roman" w:cs="Times New Roman"/>
                <w:spacing w:val="-2"/>
              </w:rPr>
              <w:t xml:space="preserve">GB3096 </w:t>
            </w:r>
            <w:r>
              <w:rPr>
                <w:spacing w:val="-2"/>
              </w:rPr>
              <w:t>要求。</w:t>
            </w:r>
          </w:p>
        </w:tc>
        <w:tc>
          <w:tcPr>
            <w:tcW w:w="3263" w:type="dxa"/>
            <w:vAlign w:val="top"/>
          </w:tcPr>
          <w:p w14:paraId="23DA069E">
            <w:pPr>
              <w:spacing w:line="299" w:lineRule="auto"/>
              <w:rPr>
                <w:rFonts w:ascii="Arial"/>
                <w:sz w:val="21"/>
              </w:rPr>
            </w:pPr>
          </w:p>
          <w:p w14:paraId="49ED43DF">
            <w:pPr>
              <w:pStyle w:val="6"/>
              <w:spacing w:before="68" w:line="279" w:lineRule="auto"/>
              <w:ind w:left="113" w:right="101" w:firstLine="2"/>
              <w:jc w:val="both"/>
            </w:pPr>
            <w:r>
              <w:rPr>
                <w:spacing w:val="-8"/>
              </w:rPr>
              <w:t>工程设计阶段从导线、绝缘串、铁塔的选型上进行优化，可以起到减小噪声源强的效果。根据本报告预测，项目建成投运后噪声可达标排</w:t>
            </w:r>
            <w:r>
              <w:rPr>
                <w:spacing w:val="-10"/>
              </w:rPr>
              <w:t>放。</w:t>
            </w:r>
          </w:p>
        </w:tc>
        <w:tc>
          <w:tcPr>
            <w:tcW w:w="748" w:type="dxa"/>
            <w:vAlign w:val="top"/>
          </w:tcPr>
          <w:p w14:paraId="4C119DE5">
            <w:pPr>
              <w:spacing w:line="309" w:lineRule="auto"/>
              <w:rPr>
                <w:rFonts w:ascii="Arial"/>
                <w:sz w:val="21"/>
              </w:rPr>
            </w:pPr>
          </w:p>
          <w:p w14:paraId="3E13194D">
            <w:pPr>
              <w:spacing w:line="309" w:lineRule="auto"/>
              <w:rPr>
                <w:rFonts w:ascii="Arial"/>
                <w:sz w:val="21"/>
              </w:rPr>
            </w:pPr>
          </w:p>
          <w:p w14:paraId="132D14F0">
            <w:pPr>
              <w:spacing w:line="310" w:lineRule="auto"/>
              <w:rPr>
                <w:rFonts w:ascii="Arial"/>
                <w:sz w:val="21"/>
              </w:rPr>
            </w:pPr>
          </w:p>
          <w:p w14:paraId="6DCF5494">
            <w:pPr>
              <w:pStyle w:val="6"/>
              <w:spacing w:before="68" w:line="221" w:lineRule="auto"/>
              <w:ind w:left="168"/>
            </w:pPr>
            <w:r>
              <w:rPr>
                <w:spacing w:val="-2"/>
              </w:rPr>
              <w:t>满足</w:t>
            </w:r>
          </w:p>
        </w:tc>
        <w:tc>
          <w:tcPr>
            <w:tcW w:w="103" w:type="dxa"/>
            <w:tcBorders>
              <w:top w:val="nil"/>
              <w:bottom w:val="nil"/>
            </w:tcBorders>
            <w:vAlign w:val="top"/>
          </w:tcPr>
          <w:p w14:paraId="4498E702">
            <w:pPr>
              <w:rPr>
                <w:rFonts w:ascii="Arial"/>
                <w:sz w:val="21"/>
              </w:rPr>
            </w:pPr>
          </w:p>
        </w:tc>
      </w:tr>
      <w:tr w14:paraId="714E81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8" w:hRule="atLeast"/>
        </w:trPr>
        <w:tc>
          <w:tcPr>
            <w:tcW w:w="571" w:type="dxa"/>
            <w:vMerge w:val="continue"/>
            <w:tcBorders>
              <w:top w:val="nil"/>
            </w:tcBorders>
            <w:vAlign w:val="top"/>
          </w:tcPr>
          <w:p w14:paraId="2A1B38B7">
            <w:pPr>
              <w:rPr>
                <w:rFonts w:ascii="Arial"/>
                <w:sz w:val="21"/>
              </w:rPr>
            </w:pPr>
          </w:p>
        </w:tc>
        <w:tc>
          <w:tcPr>
            <w:tcW w:w="103" w:type="dxa"/>
            <w:tcBorders>
              <w:top w:val="nil"/>
            </w:tcBorders>
            <w:vAlign w:val="top"/>
          </w:tcPr>
          <w:p w14:paraId="26DDF7E3">
            <w:pPr>
              <w:rPr>
                <w:rFonts w:ascii="Arial"/>
                <w:sz w:val="21"/>
              </w:rPr>
            </w:pPr>
          </w:p>
        </w:tc>
        <w:tc>
          <w:tcPr>
            <w:tcW w:w="739" w:type="dxa"/>
            <w:vAlign w:val="top"/>
          </w:tcPr>
          <w:p w14:paraId="778F6F49">
            <w:pPr>
              <w:spacing w:line="250" w:lineRule="auto"/>
              <w:rPr>
                <w:rFonts w:ascii="Arial"/>
                <w:sz w:val="21"/>
              </w:rPr>
            </w:pPr>
          </w:p>
          <w:p w14:paraId="06A351BA">
            <w:pPr>
              <w:spacing w:line="250" w:lineRule="auto"/>
              <w:rPr>
                <w:rFonts w:ascii="Arial"/>
                <w:sz w:val="21"/>
              </w:rPr>
            </w:pPr>
          </w:p>
          <w:p w14:paraId="49A5922D">
            <w:pPr>
              <w:spacing w:line="250" w:lineRule="auto"/>
              <w:rPr>
                <w:rFonts w:ascii="Arial"/>
                <w:sz w:val="21"/>
              </w:rPr>
            </w:pPr>
          </w:p>
          <w:p w14:paraId="32CBD4F1">
            <w:pPr>
              <w:spacing w:line="250" w:lineRule="auto"/>
              <w:rPr>
                <w:rFonts w:ascii="Arial"/>
                <w:sz w:val="21"/>
              </w:rPr>
            </w:pPr>
          </w:p>
          <w:p w14:paraId="5AA822F5">
            <w:pPr>
              <w:spacing w:line="250" w:lineRule="auto"/>
              <w:rPr>
                <w:rFonts w:ascii="Arial"/>
                <w:sz w:val="21"/>
              </w:rPr>
            </w:pPr>
          </w:p>
          <w:p w14:paraId="327AE774">
            <w:pPr>
              <w:spacing w:line="250" w:lineRule="auto"/>
              <w:rPr>
                <w:rFonts w:ascii="Arial"/>
                <w:sz w:val="21"/>
              </w:rPr>
            </w:pPr>
          </w:p>
          <w:p w14:paraId="00D3319E">
            <w:pPr>
              <w:spacing w:line="250" w:lineRule="auto"/>
              <w:rPr>
                <w:rFonts w:ascii="Arial"/>
                <w:sz w:val="21"/>
              </w:rPr>
            </w:pPr>
          </w:p>
          <w:p w14:paraId="50818189">
            <w:pPr>
              <w:spacing w:line="250" w:lineRule="auto"/>
              <w:rPr>
                <w:rFonts w:ascii="Arial"/>
                <w:sz w:val="21"/>
              </w:rPr>
            </w:pPr>
          </w:p>
          <w:p w14:paraId="57C14BBE">
            <w:pPr>
              <w:spacing w:line="250" w:lineRule="auto"/>
              <w:rPr>
                <w:rFonts w:ascii="Arial"/>
                <w:sz w:val="21"/>
              </w:rPr>
            </w:pPr>
          </w:p>
          <w:p w14:paraId="792E0135">
            <w:pPr>
              <w:spacing w:line="251" w:lineRule="auto"/>
              <w:rPr>
                <w:rFonts w:ascii="Arial"/>
                <w:sz w:val="21"/>
              </w:rPr>
            </w:pPr>
          </w:p>
          <w:p w14:paraId="31531BB7">
            <w:pPr>
              <w:spacing w:line="251" w:lineRule="auto"/>
              <w:rPr>
                <w:rFonts w:ascii="Arial"/>
                <w:sz w:val="21"/>
              </w:rPr>
            </w:pPr>
          </w:p>
          <w:p w14:paraId="571DEF51">
            <w:pPr>
              <w:spacing w:line="251" w:lineRule="auto"/>
              <w:rPr>
                <w:rFonts w:ascii="Arial"/>
                <w:sz w:val="21"/>
              </w:rPr>
            </w:pPr>
          </w:p>
          <w:p w14:paraId="4D469610">
            <w:pPr>
              <w:spacing w:line="251" w:lineRule="auto"/>
              <w:rPr>
                <w:rFonts w:ascii="Arial"/>
                <w:sz w:val="21"/>
              </w:rPr>
            </w:pPr>
          </w:p>
          <w:p w14:paraId="3491D602">
            <w:pPr>
              <w:spacing w:line="251" w:lineRule="auto"/>
              <w:rPr>
                <w:rFonts w:ascii="Arial"/>
                <w:sz w:val="21"/>
              </w:rPr>
            </w:pPr>
          </w:p>
          <w:p w14:paraId="1F40357A">
            <w:pPr>
              <w:spacing w:line="251" w:lineRule="auto"/>
              <w:rPr>
                <w:rFonts w:ascii="Arial"/>
                <w:sz w:val="21"/>
              </w:rPr>
            </w:pPr>
          </w:p>
          <w:p w14:paraId="31A260E4">
            <w:pPr>
              <w:pStyle w:val="6"/>
              <w:spacing w:before="68" w:line="279" w:lineRule="auto"/>
              <w:ind w:left="161" w:right="157" w:firstLine="1"/>
              <w:jc w:val="both"/>
            </w:pPr>
            <w:r>
              <w:rPr>
                <w:spacing w:val="-4"/>
              </w:rPr>
              <w:t>生态</w:t>
            </w:r>
            <w:r>
              <w:rPr>
                <w:spacing w:val="-3"/>
              </w:rPr>
              <w:t>环境保护</w:t>
            </w:r>
          </w:p>
        </w:tc>
        <w:tc>
          <w:tcPr>
            <w:tcW w:w="3546" w:type="dxa"/>
            <w:vAlign w:val="top"/>
          </w:tcPr>
          <w:p w14:paraId="6BC395A6">
            <w:pPr>
              <w:pStyle w:val="6"/>
              <w:spacing w:before="55" w:line="277" w:lineRule="auto"/>
              <w:ind w:left="111" w:right="103" w:firstLine="16"/>
            </w:pPr>
            <w:r>
              <w:rPr>
                <w:rFonts w:ascii="Times New Roman" w:hAnsi="Times New Roman" w:eastAsia="Times New Roman" w:cs="Times New Roman"/>
              </w:rPr>
              <w:t>1.</w:t>
            </w:r>
            <w:r>
              <w:t>输变电建设项目在设计过程中应按</w:t>
            </w:r>
            <w:r>
              <w:rPr>
                <w:spacing w:val="-3"/>
              </w:rPr>
              <w:t>照避让、减缓、恢复的次序提出生态</w:t>
            </w:r>
            <w:r>
              <w:rPr>
                <w:spacing w:val="-2"/>
              </w:rPr>
              <w:t>影响防护与恢复的措施。</w:t>
            </w:r>
          </w:p>
          <w:p w14:paraId="089ED618">
            <w:pPr>
              <w:pStyle w:val="6"/>
              <w:spacing w:before="2" w:line="278" w:lineRule="auto"/>
              <w:ind w:left="109" w:right="103" w:hanging="2"/>
            </w:pPr>
            <w:r>
              <w:rPr>
                <w:rFonts w:ascii="Times New Roman" w:hAnsi="Times New Roman" w:eastAsia="Times New Roman" w:cs="Times New Roman"/>
                <w:spacing w:val="1"/>
              </w:rPr>
              <w:t>2.</w:t>
            </w:r>
            <w:r>
              <w:rPr>
                <w:spacing w:val="1"/>
              </w:rPr>
              <w:t>输电线路应因地制宜合理选择塔基</w:t>
            </w:r>
            <w:r>
              <w:rPr>
                <w:spacing w:val="-3"/>
              </w:rPr>
              <w:t>基础，在山丘区应采用全方位长短腿与不等高基础设计，以减少土石方开挖。输电线路无法避让集中林区时，应采取控制导线高度设计，以减少林</w:t>
            </w:r>
            <w:r>
              <w:rPr>
                <w:spacing w:val="-2"/>
              </w:rPr>
              <w:t>木砍伐，保护生态环境。</w:t>
            </w:r>
          </w:p>
          <w:p w14:paraId="27F54538">
            <w:pPr>
              <w:pStyle w:val="6"/>
              <w:spacing w:line="273" w:lineRule="auto"/>
              <w:ind w:left="112" w:right="104"/>
            </w:pPr>
            <w:r>
              <w:rPr>
                <w:rFonts w:ascii="Times New Roman" w:hAnsi="Times New Roman" w:eastAsia="Times New Roman" w:cs="Times New Roman"/>
              </w:rPr>
              <w:t>3.</w:t>
            </w:r>
            <w:r>
              <w:t>输变电建设项目临时占地，应因地</w:t>
            </w:r>
            <w:r>
              <w:rPr>
                <w:spacing w:val="-2"/>
              </w:rPr>
              <w:t>制宜进行土地功能恢复设计。</w:t>
            </w:r>
          </w:p>
          <w:p w14:paraId="0EA44C97">
            <w:pPr>
              <w:pStyle w:val="6"/>
              <w:spacing w:before="7" w:line="278" w:lineRule="auto"/>
              <w:ind w:left="110" w:right="103" w:hanging="4"/>
            </w:pPr>
            <w:r>
              <w:rPr>
                <w:rFonts w:ascii="Times New Roman" w:hAnsi="Times New Roman" w:eastAsia="Times New Roman" w:cs="Times New Roman"/>
                <w:spacing w:val="1"/>
              </w:rPr>
              <w:t>4.</w:t>
            </w:r>
            <w:r>
              <w:rPr>
                <w:spacing w:val="1"/>
              </w:rPr>
              <w:t>进入自然保护区的输电线路，应根</w:t>
            </w:r>
            <w:r>
              <w:rPr>
                <w:spacing w:val="-3"/>
              </w:rPr>
              <w:t>据生态现状调查结果，制定相应的保护方案。塔基定位应避让珍稀濒危物种、保护植物和保护动物的栖息地，</w:t>
            </w:r>
            <w:r>
              <w:rPr>
                <w:spacing w:val="11"/>
              </w:rPr>
              <w:t>根据保护对象的特性设计相应的生</w:t>
            </w:r>
            <w:r>
              <w:rPr>
                <w:spacing w:val="-1"/>
              </w:rPr>
              <w:t>态环境保护措施、设施等。</w:t>
            </w:r>
          </w:p>
          <w:p w14:paraId="2E949218">
            <w:pPr>
              <w:pStyle w:val="6"/>
              <w:spacing w:line="273" w:lineRule="auto"/>
              <w:ind w:left="113" w:right="104"/>
            </w:pPr>
            <w:r>
              <w:rPr>
                <w:rFonts w:ascii="Times New Roman" w:hAnsi="Times New Roman" w:eastAsia="Times New Roman" w:cs="Times New Roman"/>
              </w:rPr>
              <w:t>5.</w:t>
            </w:r>
            <w:r>
              <w:t>输变电建设项目施工期临时用地应</w:t>
            </w:r>
            <w:r>
              <w:rPr>
                <w:spacing w:val="-1"/>
              </w:rPr>
              <w:t>永临结合，优先利用荒地、劣地。</w:t>
            </w:r>
          </w:p>
          <w:p w14:paraId="6BF33D61">
            <w:pPr>
              <w:pStyle w:val="6"/>
              <w:spacing w:before="12" w:line="277" w:lineRule="auto"/>
              <w:ind w:left="111" w:right="105"/>
            </w:pPr>
            <w:r>
              <w:rPr>
                <w:rFonts w:ascii="Times New Roman" w:hAnsi="Times New Roman" w:eastAsia="Times New Roman" w:cs="Times New Roman"/>
                <w:spacing w:val="-1"/>
              </w:rPr>
              <w:t>6.</w:t>
            </w:r>
            <w:r>
              <w:rPr>
                <w:spacing w:val="-1"/>
              </w:rPr>
              <w:t>输变电建设项目施工占用耕地、园</w:t>
            </w:r>
            <w:r>
              <w:rPr>
                <w:spacing w:val="-3"/>
              </w:rPr>
              <w:t>地、林地和草地，应做好表土剥离、</w:t>
            </w:r>
            <w:r>
              <w:rPr>
                <w:spacing w:val="-1"/>
              </w:rPr>
              <w:t>分类存放和回填利用。</w:t>
            </w:r>
          </w:p>
          <w:p w14:paraId="61B4C553">
            <w:pPr>
              <w:pStyle w:val="6"/>
              <w:spacing w:before="5" w:line="277" w:lineRule="auto"/>
              <w:ind w:left="110" w:right="103"/>
            </w:pPr>
            <w:r>
              <w:rPr>
                <w:rFonts w:ascii="Times New Roman" w:hAnsi="Times New Roman" w:eastAsia="Times New Roman" w:cs="Times New Roman"/>
                <w:spacing w:val="14"/>
              </w:rPr>
              <w:t>7.</w:t>
            </w:r>
            <w:r>
              <w:rPr>
                <w:spacing w:val="14"/>
              </w:rPr>
              <w:t>施工临时道路应尽可能利用机耕</w:t>
            </w:r>
            <w:r>
              <w:rPr>
                <w:spacing w:val="-3"/>
              </w:rPr>
              <w:t>路、林区小路等现有道路，新建道路应严格控制道路宽度，以减少临时工</w:t>
            </w:r>
            <w:r>
              <w:rPr>
                <w:spacing w:val="-1"/>
              </w:rPr>
              <w:t>程对生态环境的影响。</w:t>
            </w:r>
          </w:p>
          <w:p w14:paraId="4D8D2C11">
            <w:pPr>
              <w:pStyle w:val="6"/>
              <w:spacing w:before="1" w:line="233" w:lineRule="auto"/>
              <w:ind w:left="116"/>
            </w:pPr>
            <w:r>
              <w:rPr>
                <w:rFonts w:ascii="Times New Roman" w:hAnsi="Times New Roman" w:eastAsia="Times New Roman" w:cs="Times New Roman"/>
                <w:spacing w:val="-1"/>
              </w:rPr>
              <w:t>8.</w:t>
            </w:r>
            <w:r>
              <w:rPr>
                <w:spacing w:val="-1"/>
              </w:rPr>
              <w:t>施工现场使用带油料的机械器具，</w:t>
            </w:r>
          </w:p>
        </w:tc>
        <w:tc>
          <w:tcPr>
            <w:tcW w:w="3263" w:type="dxa"/>
            <w:vAlign w:val="top"/>
          </w:tcPr>
          <w:p w14:paraId="79491B3F">
            <w:pPr>
              <w:pStyle w:val="6"/>
              <w:spacing w:before="55" w:line="277" w:lineRule="auto"/>
              <w:ind w:left="119" w:right="103" w:firstLine="10"/>
            </w:pPr>
            <w:r>
              <w:rPr>
                <w:rFonts w:ascii="Times New Roman" w:hAnsi="Times New Roman" w:eastAsia="Times New Roman" w:cs="Times New Roman"/>
                <w:spacing w:val="-5"/>
              </w:rPr>
              <w:t>1.</w:t>
            </w:r>
            <w:r>
              <w:rPr>
                <w:spacing w:val="-5"/>
              </w:rPr>
              <w:t>本次环评已按照避让、减缓、恢</w:t>
            </w:r>
            <w:r>
              <w:rPr>
                <w:spacing w:val="6"/>
              </w:rPr>
              <w:t>复的次序提出生态影响防护与恢</w:t>
            </w:r>
            <w:r>
              <w:rPr>
                <w:spacing w:val="-6"/>
              </w:rPr>
              <w:t>复的措施。</w:t>
            </w:r>
          </w:p>
          <w:p w14:paraId="4018D77D">
            <w:pPr>
              <w:pStyle w:val="6"/>
              <w:spacing w:line="278" w:lineRule="auto"/>
              <w:ind w:left="112" w:right="45" w:hanging="2"/>
            </w:pPr>
            <w:r>
              <w:rPr>
                <w:rFonts w:ascii="Times New Roman" w:hAnsi="Times New Roman" w:eastAsia="Times New Roman" w:cs="Times New Roman"/>
                <w:spacing w:val="-4"/>
              </w:rPr>
              <w:t>2.</w:t>
            </w:r>
            <w:r>
              <w:rPr>
                <w:spacing w:val="-4"/>
              </w:rPr>
              <w:t>本工程主要采用挖孔桩、人工掏</w:t>
            </w:r>
            <w:r>
              <w:rPr>
                <w:spacing w:val="-8"/>
              </w:rPr>
              <w:t>挖式基础，铁塔均有全方位长短腿设计，减少了土石方开挖量。输电</w:t>
            </w:r>
            <w:r>
              <w:rPr>
                <w:spacing w:val="-4"/>
              </w:rPr>
              <w:t>线路已经设计尽量避让集中林区，</w:t>
            </w:r>
            <w:r>
              <w:rPr>
                <w:spacing w:val="-8"/>
              </w:rPr>
              <w:t>不得不穿越林区时，设计落塔位置尽量选择林间斑块无树木、稀树荒</w:t>
            </w:r>
            <w:r>
              <w:rPr>
                <w:spacing w:val="3"/>
              </w:rPr>
              <w:t>草地处落塔，</w:t>
            </w:r>
            <w:r>
              <w:rPr>
                <w:spacing w:val="-49"/>
              </w:rPr>
              <w:t xml:space="preserve"> </w:t>
            </w:r>
            <w:r>
              <w:rPr>
                <w:spacing w:val="3"/>
              </w:rPr>
              <w:t>且全部采用高塔跨</w:t>
            </w:r>
            <w:r>
              <w:rPr>
                <w:spacing w:val="-1"/>
              </w:rPr>
              <w:t>越，减少对林木的砍伐。</w:t>
            </w:r>
          </w:p>
          <w:p w14:paraId="47D11138">
            <w:pPr>
              <w:pStyle w:val="6"/>
              <w:spacing w:line="273" w:lineRule="auto"/>
              <w:ind w:left="114" w:right="29"/>
            </w:pPr>
            <w:r>
              <w:rPr>
                <w:rFonts w:ascii="Times New Roman" w:hAnsi="Times New Roman" w:eastAsia="Times New Roman" w:cs="Times New Roman"/>
                <w:spacing w:val="8"/>
              </w:rPr>
              <w:t>3.</w:t>
            </w:r>
            <w:r>
              <w:rPr>
                <w:rFonts w:ascii="Times New Roman" w:hAnsi="Times New Roman" w:eastAsia="Times New Roman" w:cs="Times New Roman"/>
                <w:spacing w:val="-22"/>
              </w:rPr>
              <w:t xml:space="preserve"> </w:t>
            </w:r>
            <w:r>
              <w:rPr>
                <w:spacing w:val="8"/>
              </w:rPr>
              <w:t>项目建成后及时按照本项目水</w:t>
            </w:r>
            <w:r>
              <w:rPr>
                <w:spacing w:val="-3"/>
              </w:rPr>
              <w:t>土保持方案对临时用地进行恢复。</w:t>
            </w:r>
          </w:p>
          <w:p w14:paraId="5F4C6682">
            <w:pPr>
              <w:pStyle w:val="6"/>
              <w:spacing w:before="11" w:line="277" w:lineRule="auto"/>
              <w:ind w:left="114" w:right="29" w:hanging="5"/>
            </w:pPr>
            <w:r>
              <w:rPr>
                <w:rFonts w:ascii="Times New Roman" w:hAnsi="Times New Roman" w:eastAsia="Times New Roman" w:cs="Times New Roman"/>
                <w:spacing w:val="-4"/>
              </w:rPr>
              <w:t>4.</w:t>
            </w:r>
            <w:r>
              <w:rPr>
                <w:spacing w:val="-4"/>
              </w:rPr>
              <w:t>本项目不涉及自然保护区，根据</w:t>
            </w:r>
            <w:r>
              <w:rPr>
                <w:spacing w:val="-3"/>
              </w:rPr>
              <w:t>调查，线路沿线无珍稀濒危物种、</w:t>
            </w:r>
            <w:r>
              <w:rPr>
                <w:spacing w:val="-2"/>
              </w:rPr>
              <w:t>保护植物和保护动物的栖息地。</w:t>
            </w:r>
          </w:p>
          <w:p w14:paraId="44B7E499">
            <w:pPr>
              <w:pStyle w:val="6"/>
              <w:spacing w:before="2" w:line="277" w:lineRule="auto"/>
              <w:ind w:left="114" w:right="101" w:firstLine="1"/>
            </w:pPr>
            <w:r>
              <w:rPr>
                <w:rFonts w:ascii="Times New Roman" w:hAnsi="Times New Roman" w:eastAsia="Times New Roman" w:cs="Times New Roman"/>
                <w:spacing w:val="-4"/>
              </w:rPr>
              <w:t>5.</w:t>
            </w:r>
            <w:r>
              <w:rPr>
                <w:spacing w:val="-4"/>
              </w:rPr>
              <w:t>临时施工场地布置在塔基处，在</w:t>
            </w:r>
            <w:r>
              <w:rPr>
                <w:spacing w:val="-8"/>
              </w:rPr>
              <w:t>工程条件允许的情况下，铁塔落点</w:t>
            </w:r>
            <w:r>
              <w:rPr>
                <w:spacing w:val="-2"/>
              </w:rPr>
              <w:t>尽量选择了荒草地、裸土地等。</w:t>
            </w:r>
          </w:p>
          <w:p w14:paraId="47CFB9E8">
            <w:pPr>
              <w:pStyle w:val="6"/>
              <w:spacing w:before="5" w:line="271" w:lineRule="auto"/>
              <w:ind w:left="114" w:right="101"/>
            </w:pPr>
            <w:r>
              <w:rPr>
                <w:rFonts w:ascii="Times New Roman" w:hAnsi="Times New Roman" w:eastAsia="Times New Roman" w:cs="Times New Roman"/>
                <w:spacing w:val="-4"/>
              </w:rPr>
              <w:t>6.</w:t>
            </w:r>
            <w:r>
              <w:rPr>
                <w:spacing w:val="-4"/>
              </w:rPr>
              <w:t>本次环评已提出相应要求，建设</w:t>
            </w:r>
            <w:r>
              <w:rPr>
                <w:spacing w:val="-2"/>
              </w:rPr>
              <w:t>单位应监督施工单位严格落实。</w:t>
            </w:r>
          </w:p>
          <w:p w14:paraId="591319B5">
            <w:pPr>
              <w:pStyle w:val="6"/>
              <w:spacing w:before="12" w:line="277" w:lineRule="auto"/>
              <w:ind w:left="113" w:right="101"/>
            </w:pPr>
            <w:r>
              <w:rPr>
                <w:rFonts w:ascii="Times New Roman" w:hAnsi="Times New Roman" w:eastAsia="Times New Roman" w:cs="Times New Roman"/>
                <w:spacing w:val="-4"/>
              </w:rPr>
              <w:t>7.</w:t>
            </w:r>
            <w:r>
              <w:rPr>
                <w:spacing w:val="-4"/>
              </w:rPr>
              <w:t>施工道路利用现有乡村路，新设</w:t>
            </w:r>
            <w:r>
              <w:rPr>
                <w:spacing w:val="-2"/>
              </w:rPr>
              <w:t>施工便道宽度控制在</w:t>
            </w:r>
            <w:r>
              <w:rPr>
                <w:spacing w:val="-31"/>
              </w:rPr>
              <w:t xml:space="preserve"> </w:t>
            </w:r>
            <w:r>
              <w:rPr>
                <w:rFonts w:ascii="Times New Roman" w:hAnsi="Times New Roman" w:eastAsia="Times New Roman" w:cs="Times New Roman"/>
                <w:spacing w:val="-2"/>
              </w:rPr>
              <w:t>3m</w:t>
            </w:r>
            <w:r>
              <w:rPr>
                <w:spacing w:val="-2"/>
              </w:rPr>
              <w:t>，且尽量</w:t>
            </w:r>
            <w:r>
              <w:rPr>
                <w:spacing w:val="-8"/>
              </w:rPr>
              <w:t>缩减长度，生态敏感区域采用人扛</w:t>
            </w:r>
            <w:r>
              <w:rPr>
                <w:spacing w:val="-1"/>
              </w:rPr>
              <w:t>马驮的方式运送至塔基点。</w:t>
            </w:r>
          </w:p>
          <w:p w14:paraId="2E2AFA17">
            <w:pPr>
              <w:pStyle w:val="6"/>
              <w:spacing w:before="7" w:line="255" w:lineRule="auto"/>
              <w:ind w:left="115" w:right="101" w:firstLine="2"/>
            </w:pPr>
            <w:r>
              <w:rPr>
                <w:rFonts w:ascii="Times New Roman" w:hAnsi="Times New Roman" w:eastAsia="Times New Roman" w:cs="Times New Roman"/>
                <w:spacing w:val="-4"/>
              </w:rPr>
              <w:t>8.</w:t>
            </w:r>
            <w:r>
              <w:rPr>
                <w:spacing w:val="-4"/>
              </w:rPr>
              <w:t>本次环评已提出相应要求，建设</w:t>
            </w:r>
            <w:r>
              <w:rPr>
                <w:spacing w:val="-2"/>
              </w:rPr>
              <w:t>单位应监督施工单位严格落实。</w:t>
            </w:r>
          </w:p>
        </w:tc>
        <w:tc>
          <w:tcPr>
            <w:tcW w:w="748" w:type="dxa"/>
            <w:vAlign w:val="top"/>
          </w:tcPr>
          <w:p w14:paraId="04D57915">
            <w:pPr>
              <w:spacing w:line="254" w:lineRule="auto"/>
              <w:rPr>
                <w:rFonts w:ascii="Arial"/>
                <w:sz w:val="21"/>
              </w:rPr>
            </w:pPr>
          </w:p>
          <w:p w14:paraId="4FFD6C85">
            <w:pPr>
              <w:spacing w:line="254" w:lineRule="auto"/>
              <w:rPr>
                <w:rFonts w:ascii="Arial"/>
                <w:sz w:val="21"/>
              </w:rPr>
            </w:pPr>
          </w:p>
          <w:p w14:paraId="582741FA">
            <w:pPr>
              <w:spacing w:line="254" w:lineRule="auto"/>
              <w:rPr>
                <w:rFonts w:ascii="Arial"/>
                <w:sz w:val="21"/>
              </w:rPr>
            </w:pPr>
          </w:p>
          <w:p w14:paraId="42276F47">
            <w:pPr>
              <w:spacing w:line="254" w:lineRule="auto"/>
              <w:rPr>
                <w:rFonts w:ascii="Arial"/>
                <w:sz w:val="21"/>
              </w:rPr>
            </w:pPr>
          </w:p>
          <w:p w14:paraId="4ED62C12">
            <w:pPr>
              <w:spacing w:line="254" w:lineRule="auto"/>
              <w:rPr>
                <w:rFonts w:ascii="Arial"/>
                <w:sz w:val="21"/>
              </w:rPr>
            </w:pPr>
          </w:p>
          <w:p w14:paraId="2CFF890C">
            <w:pPr>
              <w:spacing w:line="254" w:lineRule="auto"/>
              <w:rPr>
                <w:rFonts w:ascii="Arial"/>
                <w:sz w:val="21"/>
              </w:rPr>
            </w:pPr>
          </w:p>
          <w:p w14:paraId="2B4197F9">
            <w:pPr>
              <w:spacing w:line="254" w:lineRule="auto"/>
              <w:rPr>
                <w:rFonts w:ascii="Arial"/>
                <w:sz w:val="21"/>
              </w:rPr>
            </w:pPr>
          </w:p>
          <w:p w14:paraId="45CBE2AB">
            <w:pPr>
              <w:spacing w:line="254" w:lineRule="auto"/>
              <w:rPr>
                <w:rFonts w:ascii="Arial"/>
                <w:sz w:val="21"/>
              </w:rPr>
            </w:pPr>
          </w:p>
          <w:p w14:paraId="5CE15DDD">
            <w:pPr>
              <w:spacing w:line="254" w:lineRule="auto"/>
              <w:rPr>
                <w:rFonts w:ascii="Arial"/>
                <w:sz w:val="21"/>
              </w:rPr>
            </w:pPr>
          </w:p>
          <w:p w14:paraId="681DC43D">
            <w:pPr>
              <w:spacing w:line="254" w:lineRule="auto"/>
              <w:rPr>
                <w:rFonts w:ascii="Arial"/>
                <w:sz w:val="21"/>
              </w:rPr>
            </w:pPr>
          </w:p>
          <w:p w14:paraId="417F5D72">
            <w:pPr>
              <w:spacing w:line="255" w:lineRule="auto"/>
              <w:rPr>
                <w:rFonts w:ascii="Arial"/>
                <w:sz w:val="21"/>
              </w:rPr>
            </w:pPr>
          </w:p>
          <w:p w14:paraId="69CCF1C1">
            <w:pPr>
              <w:spacing w:line="255" w:lineRule="auto"/>
              <w:rPr>
                <w:rFonts w:ascii="Arial"/>
                <w:sz w:val="21"/>
              </w:rPr>
            </w:pPr>
          </w:p>
          <w:p w14:paraId="5319B74E">
            <w:pPr>
              <w:spacing w:line="255" w:lineRule="auto"/>
              <w:rPr>
                <w:rFonts w:ascii="Arial"/>
                <w:sz w:val="21"/>
              </w:rPr>
            </w:pPr>
          </w:p>
          <w:p w14:paraId="51AFA3FC">
            <w:pPr>
              <w:spacing w:line="255" w:lineRule="auto"/>
              <w:rPr>
                <w:rFonts w:ascii="Arial"/>
                <w:sz w:val="21"/>
              </w:rPr>
            </w:pPr>
          </w:p>
          <w:p w14:paraId="3C205C3A">
            <w:pPr>
              <w:spacing w:line="255" w:lineRule="auto"/>
              <w:rPr>
                <w:rFonts w:ascii="Arial"/>
                <w:sz w:val="21"/>
              </w:rPr>
            </w:pPr>
          </w:p>
          <w:p w14:paraId="4FFE291D">
            <w:pPr>
              <w:spacing w:line="255" w:lineRule="auto"/>
              <w:rPr>
                <w:rFonts w:ascii="Arial"/>
                <w:sz w:val="21"/>
              </w:rPr>
            </w:pPr>
          </w:p>
          <w:p w14:paraId="7A91FDB6">
            <w:pPr>
              <w:pStyle w:val="6"/>
              <w:spacing w:before="69" w:line="221" w:lineRule="auto"/>
              <w:ind w:left="168"/>
            </w:pPr>
            <w:r>
              <w:rPr>
                <w:spacing w:val="-2"/>
              </w:rPr>
              <w:t>满足</w:t>
            </w:r>
          </w:p>
        </w:tc>
        <w:tc>
          <w:tcPr>
            <w:tcW w:w="103" w:type="dxa"/>
            <w:tcBorders>
              <w:top w:val="nil"/>
            </w:tcBorders>
            <w:vAlign w:val="top"/>
          </w:tcPr>
          <w:p w14:paraId="68F1CE6E">
            <w:pPr>
              <w:rPr>
                <w:rFonts w:ascii="Arial"/>
                <w:sz w:val="21"/>
              </w:rPr>
            </w:pPr>
          </w:p>
        </w:tc>
      </w:tr>
    </w:tbl>
    <w:p w14:paraId="1EABC035">
      <w:pPr>
        <w:rPr>
          <w:rFonts w:ascii="Arial"/>
          <w:sz w:val="21"/>
        </w:rPr>
      </w:pPr>
    </w:p>
    <w:p w14:paraId="24C4ECBB">
      <w:pPr>
        <w:rPr>
          <w:rFonts w:ascii="Arial" w:hAnsi="Arial" w:eastAsia="Arial" w:cs="Arial"/>
          <w:sz w:val="21"/>
          <w:szCs w:val="21"/>
        </w:rPr>
        <w:sectPr>
          <w:footerReference r:id="rId19" w:type="default"/>
          <w:pgSz w:w="11907" w:h="16841"/>
          <w:pgMar w:top="400" w:right="1413" w:bottom="1126" w:left="1414" w:header="0" w:footer="925" w:gutter="0"/>
          <w:cols w:space="720" w:num="1"/>
        </w:sectPr>
      </w:pPr>
    </w:p>
    <w:p w14:paraId="1BF42088">
      <w:pPr>
        <w:spacing w:before="2"/>
      </w:pPr>
    </w:p>
    <w:p w14:paraId="5E9511C6">
      <w:pPr>
        <w:spacing w:before="2"/>
      </w:pPr>
    </w:p>
    <w:p w14:paraId="196DD040">
      <w:pPr>
        <w:spacing w:before="1"/>
      </w:pPr>
    </w:p>
    <w:p w14:paraId="2DD66BC2">
      <w:pPr>
        <w:spacing w:before="1"/>
      </w:pPr>
    </w:p>
    <w:p w14:paraId="2A41CEFF">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03"/>
        <w:gridCol w:w="739"/>
        <w:gridCol w:w="3546"/>
        <w:gridCol w:w="3263"/>
        <w:gridCol w:w="748"/>
        <w:gridCol w:w="103"/>
      </w:tblGrid>
      <w:tr w14:paraId="1D2B3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571" w:type="dxa"/>
            <w:vMerge w:val="restart"/>
            <w:tcBorders>
              <w:bottom w:val="nil"/>
            </w:tcBorders>
            <w:vAlign w:val="top"/>
          </w:tcPr>
          <w:p w14:paraId="7910AD9E">
            <w:pPr>
              <w:rPr>
                <w:rFonts w:ascii="Arial"/>
                <w:sz w:val="21"/>
              </w:rPr>
            </w:pPr>
          </w:p>
        </w:tc>
        <w:tc>
          <w:tcPr>
            <w:tcW w:w="103" w:type="dxa"/>
            <w:tcBorders>
              <w:bottom w:val="nil"/>
            </w:tcBorders>
            <w:vAlign w:val="top"/>
          </w:tcPr>
          <w:p w14:paraId="5BFA2227">
            <w:pPr>
              <w:rPr>
                <w:rFonts w:ascii="Arial"/>
                <w:sz w:val="21"/>
              </w:rPr>
            </w:pPr>
          </w:p>
        </w:tc>
        <w:tc>
          <w:tcPr>
            <w:tcW w:w="739" w:type="dxa"/>
            <w:vAlign w:val="top"/>
          </w:tcPr>
          <w:p w14:paraId="0218BD5D">
            <w:pPr>
              <w:rPr>
                <w:rFonts w:ascii="Arial"/>
                <w:sz w:val="21"/>
              </w:rPr>
            </w:pPr>
          </w:p>
        </w:tc>
        <w:tc>
          <w:tcPr>
            <w:tcW w:w="3546" w:type="dxa"/>
            <w:vAlign w:val="top"/>
          </w:tcPr>
          <w:p w14:paraId="1BDC85BD">
            <w:pPr>
              <w:pStyle w:val="6"/>
              <w:spacing w:before="69" w:line="252" w:lineRule="auto"/>
              <w:ind w:left="124" w:right="45" w:hanging="13"/>
            </w:pPr>
            <w:r>
              <w:rPr>
                <w:spacing w:val="-11"/>
              </w:rPr>
              <w:t>应采取措施防止油料跑、冒、滴、漏，</w:t>
            </w:r>
            <w:r>
              <w:rPr>
                <w:spacing w:val="-3"/>
              </w:rPr>
              <w:t>防止对土壤和水体造成污染。</w:t>
            </w:r>
          </w:p>
        </w:tc>
        <w:tc>
          <w:tcPr>
            <w:tcW w:w="3263" w:type="dxa"/>
            <w:vAlign w:val="top"/>
          </w:tcPr>
          <w:p w14:paraId="4D676D56">
            <w:pPr>
              <w:rPr>
                <w:rFonts w:ascii="Arial"/>
                <w:sz w:val="21"/>
              </w:rPr>
            </w:pPr>
          </w:p>
        </w:tc>
        <w:tc>
          <w:tcPr>
            <w:tcW w:w="748" w:type="dxa"/>
            <w:vAlign w:val="top"/>
          </w:tcPr>
          <w:p w14:paraId="49DE1794">
            <w:pPr>
              <w:rPr>
                <w:rFonts w:ascii="Arial"/>
                <w:sz w:val="21"/>
              </w:rPr>
            </w:pPr>
          </w:p>
        </w:tc>
        <w:tc>
          <w:tcPr>
            <w:tcW w:w="103" w:type="dxa"/>
            <w:tcBorders>
              <w:bottom w:val="nil"/>
            </w:tcBorders>
            <w:vAlign w:val="top"/>
          </w:tcPr>
          <w:p w14:paraId="62C3DE2E">
            <w:pPr>
              <w:rPr>
                <w:rFonts w:ascii="Arial"/>
                <w:sz w:val="21"/>
              </w:rPr>
            </w:pPr>
          </w:p>
        </w:tc>
      </w:tr>
      <w:tr w14:paraId="750F3E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6" w:hRule="atLeast"/>
        </w:trPr>
        <w:tc>
          <w:tcPr>
            <w:tcW w:w="571" w:type="dxa"/>
            <w:vMerge w:val="continue"/>
            <w:tcBorders>
              <w:top w:val="nil"/>
              <w:bottom w:val="nil"/>
            </w:tcBorders>
            <w:vAlign w:val="top"/>
          </w:tcPr>
          <w:p w14:paraId="3873AC06">
            <w:pPr>
              <w:rPr>
                <w:rFonts w:ascii="Arial"/>
                <w:sz w:val="21"/>
              </w:rPr>
            </w:pPr>
          </w:p>
        </w:tc>
        <w:tc>
          <w:tcPr>
            <w:tcW w:w="103" w:type="dxa"/>
            <w:tcBorders>
              <w:top w:val="nil"/>
              <w:bottom w:val="nil"/>
            </w:tcBorders>
            <w:vAlign w:val="top"/>
          </w:tcPr>
          <w:p w14:paraId="64989F47">
            <w:pPr>
              <w:rPr>
                <w:rFonts w:ascii="Arial"/>
                <w:sz w:val="21"/>
              </w:rPr>
            </w:pPr>
          </w:p>
        </w:tc>
        <w:tc>
          <w:tcPr>
            <w:tcW w:w="739" w:type="dxa"/>
            <w:vAlign w:val="top"/>
          </w:tcPr>
          <w:p w14:paraId="08EA2320">
            <w:pPr>
              <w:spacing w:line="306" w:lineRule="auto"/>
              <w:rPr>
                <w:rFonts w:ascii="Arial"/>
                <w:sz w:val="21"/>
              </w:rPr>
            </w:pPr>
          </w:p>
          <w:p w14:paraId="4ECD1A29">
            <w:pPr>
              <w:spacing w:line="306" w:lineRule="auto"/>
              <w:rPr>
                <w:rFonts w:ascii="Arial"/>
                <w:sz w:val="21"/>
              </w:rPr>
            </w:pPr>
          </w:p>
          <w:p w14:paraId="01A9EF44">
            <w:pPr>
              <w:pStyle w:val="6"/>
              <w:spacing w:before="69" w:line="280" w:lineRule="auto"/>
              <w:ind w:left="162" w:right="157" w:firstLine="1"/>
              <w:jc w:val="both"/>
            </w:pPr>
            <w:r>
              <w:rPr>
                <w:spacing w:val="-5"/>
              </w:rPr>
              <w:t>水环</w:t>
            </w:r>
            <w:r>
              <w:rPr>
                <w:spacing w:val="-4"/>
              </w:rPr>
              <w:t>境保</w:t>
            </w:r>
            <w:r>
              <w:rPr>
                <w:spacing w:val="36"/>
                <w:w w:val="129"/>
              </w:rPr>
              <w:t>护</w:t>
            </w:r>
          </w:p>
        </w:tc>
        <w:tc>
          <w:tcPr>
            <w:tcW w:w="3546" w:type="dxa"/>
            <w:vAlign w:val="top"/>
          </w:tcPr>
          <w:p w14:paraId="6FCEDBE4">
            <w:pPr>
              <w:pStyle w:val="6"/>
              <w:spacing w:before="53" w:line="278" w:lineRule="auto"/>
              <w:ind w:left="111" w:right="103" w:firstLine="16"/>
            </w:pPr>
            <w:r>
              <w:rPr>
                <w:rFonts w:ascii="Times New Roman" w:hAnsi="Times New Roman" w:eastAsia="Times New Roman" w:cs="Times New Roman"/>
              </w:rPr>
              <w:t>1.</w:t>
            </w:r>
            <w:r>
              <w:t>在饮用水水源保护区和其他水体保</w:t>
            </w:r>
            <w:r>
              <w:rPr>
                <w:spacing w:val="-3"/>
              </w:rPr>
              <w:t>护区内或附近施工时，应加强管理，做好污水防治措施，确保水环境不受</w:t>
            </w:r>
            <w:r>
              <w:rPr>
                <w:spacing w:val="-8"/>
              </w:rPr>
              <w:t>影响。</w:t>
            </w:r>
          </w:p>
          <w:p w14:paraId="4D833C95">
            <w:pPr>
              <w:pStyle w:val="6"/>
              <w:spacing w:line="260" w:lineRule="auto"/>
              <w:ind w:left="111" w:right="103" w:hanging="4"/>
            </w:pPr>
            <w:r>
              <w:rPr>
                <w:rFonts w:ascii="Times New Roman" w:hAnsi="Times New Roman" w:eastAsia="Times New Roman" w:cs="Times New Roman"/>
                <w:spacing w:val="1"/>
              </w:rPr>
              <w:t>2.</w:t>
            </w:r>
            <w:r>
              <w:rPr>
                <w:spacing w:val="1"/>
              </w:rPr>
              <w:t>施工期间禁止向水体排放、倾倒垃</w:t>
            </w:r>
            <w:r>
              <w:rPr>
                <w:spacing w:val="-3"/>
              </w:rPr>
              <w:t>圾、弃土、弃渣，禁止排放未经处理</w:t>
            </w:r>
            <w:r>
              <w:rPr>
                <w:spacing w:val="-1"/>
              </w:rPr>
              <w:t>的钻浆等废弃物。</w:t>
            </w:r>
          </w:p>
        </w:tc>
        <w:tc>
          <w:tcPr>
            <w:tcW w:w="3263" w:type="dxa"/>
            <w:vAlign w:val="top"/>
          </w:tcPr>
          <w:p w14:paraId="301F9D95">
            <w:pPr>
              <w:pStyle w:val="6"/>
              <w:spacing w:before="213" w:line="276" w:lineRule="auto"/>
              <w:ind w:left="113" w:right="101" w:firstLine="16"/>
            </w:pPr>
            <w:r>
              <w:rPr>
                <w:rFonts w:ascii="Times New Roman" w:hAnsi="Times New Roman" w:eastAsia="Times New Roman" w:cs="Times New Roman"/>
                <w:spacing w:val="7"/>
              </w:rPr>
              <w:t>1.</w:t>
            </w:r>
            <w:r>
              <w:rPr>
                <w:rFonts w:ascii="Times New Roman" w:hAnsi="Times New Roman" w:eastAsia="Times New Roman" w:cs="Times New Roman"/>
                <w:spacing w:val="-23"/>
              </w:rPr>
              <w:t xml:space="preserve"> </w:t>
            </w:r>
            <w:r>
              <w:rPr>
                <w:spacing w:val="7"/>
              </w:rPr>
              <w:t>本工程不涉及饮用水水源保护</w:t>
            </w:r>
            <w:r>
              <w:rPr>
                <w:spacing w:val="-8"/>
              </w:rPr>
              <w:t>区，施工期有针对性地提出了相应</w:t>
            </w:r>
            <w:r>
              <w:rPr>
                <w:spacing w:val="-2"/>
              </w:rPr>
              <w:t>措施，确保附近水体不受影响。</w:t>
            </w:r>
          </w:p>
          <w:p w14:paraId="37D465A4">
            <w:pPr>
              <w:pStyle w:val="6"/>
              <w:spacing w:before="6" w:line="276" w:lineRule="auto"/>
              <w:ind w:left="113" w:right="101" w:hanging="3"/>
            </w:pPr>
            <w:r>
              <w:rPr>
                <w:rFonts w:ascii="Times New Roman" w:hAnsi="Times New Roman" w:eastAsia="Times New Roman" w:cs="Times New Roman"/>
                <w:spacing w:val="-4"/>
              </w:rPr>
              <w:t>2.</w:t>
            </w:r>
            <w:r>
              <w:rPr>
                <w:spacing w:val="-4"/>
              </w:rPr>
              <w:t>本工程开挖土石方就地回填，不</w:t>
            </w:r>
            <w:r>
              <w:rPr>
                <w:spacing w:val="-8"/>
              </w:rPr>
              <w:t>产生弃土、弃渣，垃圾收集后运至</w:t>
            </w:r>
            <w:r>
              <w:rPr>
                <w:spacing w:val="-1"/>
              </w:rPr>
              <w:t>附近乡镇垃圾收集点处置。</w:t>
            </w:r>
          </w:p>
        </w:tc>
        <w:tc>
          <w:tcPr>
            <w:tcW w:w="748" w:type="dxa"/>
            <w:vAlign w:val="top"/>
          </w:tcPr>
          <w:p w14:paraId="3F28F7A3">
            <w:pPr>
              <w:spacing w:line="309" w:lineRule="auto"/>
              <w:rPr>
                <w:rFonts w:ascii="Arial"/>
                <w:sz w:val="21"/>
              </w:rPr>
            </w:pPr>
          </w:p>
          <w:p w14:paraId="3A0B59C8">
            <w:pPr>
              <w:spacing w:line="309" w:lineRule="auto"/>
              <w:rPr>
                <w:rFonts w:ascii="Arial"/>
                <w:sz w:val="21"/>
              </w:rPr>
            </w:pPr>
          </w:p>
          <w:p w14:paraId="5386ED1D">
            <w:pPr>
              <w:spacing w:line="309" w:lineRule="auto"/>
              <w:rPr>
                <w:rFonts w:ascii="Arial"/>
                <w:sz w:val="21"/>
              </w:rPr>
            </w:pPr>
          </w:p>
          <w:p w14:paraId="299924B6">
            <w:pPr>
              <w:pStyle w:val="6"/>
              <w:spacing w:before="68" w:line="221" w:lineRule="auto"/>
              <w:ind w:left="168"/>
            </w:pPr>
            <w:r>
              <w:rPr>
                <w:spacing w:val="-2"/>
              </w:rPr>
              <w:t>满足</w:t>
            </w:r>
          </w:p>
        </w:tc>
        <w:tc>
          <w:tcPr>
            <w:tcW w:w="103" w:type="dxa"/>
            <w:tcBorders>
              <w:top w:val="nil"/>
              <w:bottom w:val="nil"/>
            </w:tcBorders>
            <w:vAlign w:val="top"/>
          </w:tcPr>
          <w:p w14:paraId="41985E4A">
            <w:pPr>
              <w:rPr>
                <w:rFonts w:ascii="Arial"/>
                <w:sz w:val="21"/>
              </w:rPr>
            </w:pPr>
          </w:p>
        </w:tc>
      </w:tr>
      <w:tr w14:paraId="4380A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60" w:hRule="atLeast"/>
        </w:trPr>
        <w:tc>
          <w:tcPr>
            <w:tcW w:w="571" w:type="dxa"/>
            <w:vMerge w:val="continue"/>
            <w:tcBorders>
              <w:top w:val="nil"/>
              <w:bottom w:val="nil"/>
            </w:tcBorders>
            <w:vAlign w:val="top"/>
          </w:tcPr>
          <w:p w14:paraId="2AE9CC36">
            <w:pPr>
              <w:rPr>
                <w:rFonts w:ascii="Arial"/>
                <w:sz w:val="21"/>
              </w:rPr>
            </w:pPr>
          </w:p>
        </w:tc>
        <w:tc>
          <w:tcPr>
            <w:tcW w:w="103" w:type="dxa"/>
            <w:tcBorders>
              <w:top w:val="nil"/>
              <w:bottom w:val="nil"/>
            </w:tcBorders>
            <w:vAlign w:val="top"/>
          </w:tcPr>
          <w:p w14:paraId="34A88A85">
            <w:pPr>
              <w:rPr>
                <w:rFonts w:ascii="Arial"/>
                <w:sz w:val="21"/>
              </w:rPr>
            </w:pPr>
          </w:p>
        </w:tc>
        <w:tc>
          <w:tcPr>
            <w:tcW w:w="739" w:type="dxa"/>
            <w:vAlign w:val="top"/>
          </w:tcPr>
          <w:p w14:paraId="1BA89D30">
            <w:pPr>
              <w:spacing w:line="253" w:lineRule="auto"/>
              <w:rPr>
                <w:rFonts w:ascii="Arial"/>
                <w:sz w:val="21"/>
              </w:rPr>
            </w:pPr>
          </w:p>
          <w:p w14:paraId="6EACF485">
            <w:pPr>
              <w:spacing w:line="253" w:lineRule="auto"/>
              <w:rPr>
                <w:rFonts w:ascii="Arial"/>
                <w:sz w:val="21"/>
              </w:rPr>
            </w:pPr>
          </w:p>
          <w:p w14:paraId="4B12B20F">
            <w:pPr>
              <w:spacing w:line="253" w:lineRule="auto"/>
              <w:rPr>
                <w:rFonts w:ascii="Arial"/>
                <w:sz w:val="21"/>
              </w:rPr>
            </w:pPr>
          </w:p>
          <w:p w14:paraId="713796CB">
            <w:pPr>
              <w:spacing w:line="254" w:lineRule="auto"/>
              <w:rPr>
                <w:rFonts w:ascii="Arial"/>
                <w:sz w:val="21"/>
              </w:rPr>
            </w:pPr>
          </w:p>
          <w:p w14:paraId="7CB4D040">
            <w:pPr>
              <w:spacing w:line="254" w:lineRule="auto"/>
              <w:rPr>
                <w:rFonts w:ascii="Arial"/>
                <w:sz w:val="21"/>
              </w:rPr>
            </w:pPr>
          </w:p>
          <w:p w14:paraId="0C5CCE99">
            <w:pPr>
              <w:spacing w:line="254" w:lineRule="auto"/>
              <w:rPr>
                <w:rFonts w:ascii="Arial"/>
                <w:sz w:val="21"/>
              </w:rPr>
            </w:pPr>
          </w:p>
          <w:p w14:paraId="32E7E1D9">
            <w:pPr>
              <w:spacing w:line="254" w:lineRule="auto"/>
              <w:rPr>
                <w:rFonts w:ascii="Arial"/>
                <w:sz w:val="21"/>
              </w:rPr>
            </w:pPr>
          </w:p>
          <w:p w14:paraId="3387BC4F">
            <w:pPr>
              <w:spacing w:line="254" w:lineRule="auto"/>
              <w:rPr>
                <w:rFonts w:ascii="Arial"/>
                <w:sz w:val="21"/>
              </w:rPr>
            </w:pPr>
          </w:p>
          <w:p w14:paraId="368367C6">
            <w:pPr>
              <w:pStyle w:val="6"/>
              <w:spacing w:before="68" w:line="279" w:lineRule="auto"/>
              <w:ind w:left="161" w:right="157" w:firstLine="2"/>
              <w:jc w:val="both"/>
            </w:pPr>
            <w:r>
              <w:rPr>
                <w:spacing w:val="-5"/>
              </w:rPr>
              <w:t>大气</w:t>
            </w:r>
            <w:r>
              <w:rPr>
                <w:spacing w:val="-3"/>
              </w:rPr>
              <w:t>环境保护</w:t>
            </w:r>
          </w:p>
        </w:tc>
        <w:tc>
          <w:tcPr>
            <w:tcW w:w="3546" w:type="dxa"/>
            <w:vAlign w:val="top"/>
          </w:tcPr>
          <w:p w14:paraId="65C7113F">
            <w:pPr>
              <w:pStyle w:val="6"/>
              <w:spacing w:before="55" w:line="278" w:lineRule="auto"/>
              <w:ind w:left="111" w:right="103" w:firstLine="16"/>
            </w:pPr>
            <w:r>
              <w:rPr>
                <w:rFonts w:ascii="Times New Roman" w:hAnsi="Times New Roman" w:eastAsia="Times New Roman" w:cs="Times New Roman"/>
              </w:rPr>
              <w:t>1.</w:t>
            </w:r>
            <w:r>
              <w:t>施工过程中，应当加强对施工现场</w:t>
            </w:r>
            <w:r>
              <w:rPr>
                <w:spacing w:val="-3"/>
              </w:rPr>
              <w:t>和物料运输的管理，在施工工地设置硬质围挡，保持道路清洁，管控料堆</w:t>
            </w:r>
            <w:r>
              <w:rPr>
                <w:spacing w:val="-2"/>
              </w:rPr>
              <w:t>和渣土堆放，防治扬尘污染。</w:t>
            </w:r>
          </w:p>
          <w:p w14:paraId="4D91335D">
            <w:pPr>
              <w:pStyle w:val="6"/>
              <w:spacing w:before="5" w:line="277" w:lineRule="auto"/>
              <w:ind w:left="109" w:right="29" w:hanging="2"/>
            </w:pPr>
            <w:r>
              <w:rPr>
                <w:rFonts w:ascii="Times New Roman" w:hAnsi="Times New Roman" w:eastAsia="Times New Roman" w:cs="Times New Roman"/>
                <w:spacing w:val="-7"/>
              </w:rPr>
              <w:t>2.</w:t>
            </w:r>
            <w:r>
              <w:rPr>
                <w:spacing w:val="-7"/>
              </w:rPr>
              <w:t>施工过程中，对易起尘的临时堆土、</w:t>
            </w:r>
            <w:r>
              <w:rPr>
                <w:spacing w:val="11"/>
              </w:rPr>
              <w:t>运输过程中的土石方等应采用密闭</w:t>
            </w:r>
            <w:r>
              <w:rPr>
                <w:spacing w:val="-2"/>
              </w:rPr>
              <w:t>式防尘布（网）进行苫盖，施工面集</w:t>
            </w:r>
            <w:r>
              <w:rPr>
                <w:spacing w:val="11"/>
              </w:rPr>
              <w:t>中且有条件的地方宜采取洒水降尘</w:t>
            </w:r>
            <w:r>
              <w:rPr>
                <w:spacing w:val="-3"/>
              </w:rPr>
              <w:t>等有效措施，减少易造成大气污染的</w:t>
            </w:r>
            <w:r>
              <w:rPr>
                <w:spacing w:val="-4"/>
              </w:rPr>
              <w:t>施工作业。</w:t>
            </w:r>
          </w:p>
          <w:p w14:paraId="61E0611F">
            <w:pPr>
              <w:pStyle w:val="6"/>
              <w:spacing w:before="2" w:line="277" w:lineRule="auto"/>
              <w:ind w:left="110" w:right="103" w:firstLine="1"/>
            </w:pPr>
            <w:r>
              <w:rPr>
                <w:rFonts w:ascii="Times New Roman" w:hAnsi="Times New Roman" w:eastAsia="Times New Roman" w:cs="Times New Roman"/>
              </w:rPr>
              <w:t>3.</w:t>
            </w:r>
            <w:r>
              <w:t>施工过程中，建设单位应当对裸露</w:t>
            </w:r>
            <w:r>
              <w:rPr>
                <w:spacing w:val="-3"/>
              </w:rPr>
              <w:t>地面进行覆盖；暂时不能开工的建设用地超过三个月的，应当进行绿化、铺装或者遮盖。</w:t>
            </w:r>
          </w:p>
          <w:p w14:paraId="595E9F4D">
            <w:pPr>
              <w:pStyle w:val="6"/>
              <w:spacing w:before="2" w:line="250" w:lineRule="auto"/>
              <w:ind w:left="112" w:right="104" w:hanging="6"/>
            </w:pPr>
            <w:r>
              <w:rPr>
                <w:rFonts w:ascii="Times New Roman" w:hAnsi="Times New Roman" w:eastAsia="Times New Roman" w:cs="Times New Roman"/>
                <w:spacing w:val="1"/>
              </w:rPr>
              <w:t>4.</w:t>
            </w:r>
            <w:r>
              <w:rPr>
                <w:spacing w:val="1"/>
              </w:rPr>
              <w:t>施工现场禁止将包装物、可燃垃圾</w:t>
            </w:r>
            <w:r>
              <w:rPr>
                <w:spacing w:val="-2"/>
              </w:rPr>
              <w:t>等固体废弃物就地焚烧。</w:t>
            </w:r>
          </w:p>
        </w:tc>
        <w:tc>
          <w:tcPr>
            <w:tcW w:w="3263" w:type="dxa"/>
            <w:vAlign w:val="top"/>
          </w:tcPr>
          <w:p w14:paraId="67F0183F">
            <w:pPr>
              <w:spacing w:line="243" w:lineRule="auto"/>
              <w:rPr>
                <w:rFonts w:ascii="Arial"/>
                <w:sz w:val="21"/>
              </w:rPr>
            </w:pPr>
          </w:p>
          <w:p w14:paraId="61273799">
            <w:pPr>
              <w:spacing w:line="243" w:lineRule="auto"/>
              <w:rPr>
                <w:rFonts w:ascii="Arial"/>
                <w:sz w:val="21"/>
              </w:rPr>
            </w:pPr>
          </w:p>
          <w:p w14:paraId="50FCC001">
            <w:pPr>
              <w:spacing w:line="243" w:lineRule="auto"/>
              <w:rPr>
                <w:rFonts w:ascii="Arial"/>
                <w:sz w:val="21"/>
              </w:rPr>
            </w:pPr>
          </w:p>
          <w:p w14:paraId="228729D4">
            <w:pPr>
              <w:spacing w:line="243" w:lineRule="auto"/>
              <w:rPr>
                <w:rFonts w:ascii="Arial"/>
                <w:sz w:val="21"/>
              </w:rPr>
            </w:pPr>
          </w:p>
          <w:p w14:paraId="1F5C3EE6">
            <w:pPr>
              <w:spacing w:line="243" w:lineRule="auto"/>
              <w:rPr>
                <w:rFonts w:ascii="Arial"/>
                <w:sz w:val="21"/>
              </w:rPr>
            </w:pPr>
          </w:p>
          <w:p w14:paraId="4CB74C18">
            <w:pPr>
              <w:spacing w:line="243" w:lineRule="auto"/>
              <w:rPr>
                <w:rFonts w:ascii="Arial"/>
                <w:sz w:val="21"/>
              </w:rPr>
            </w:pPr>
          </w:p>
          <w:p w14:paraId="00C9E3EB">
            <w:pPr>
              <w:spacing w:line="243" w:lineRule="auto"/>
              <w:rPr>
                <w:rFonts w:ascii="Arial"/>
                <w:sz w:val="21"/>
              </w:rPr>
            </w:pPr>
          </w:p>
          <w:p w14:paraId="5DD5A3FA">
            <w:pPr>
              <w:spacing w:line="243" w:lineRule="auto"/>
              <w:rPr>
                <w:rFonts w:ascii="Arial"/>
                <w:sz w:val="21"/>
              </w:rPr>
            </w:pPr>
          </w:p>
          <w:p w14:paraId="744849E2">
            <w:pPr>
              <w:spacing w:line="243" w:lineRule="auto"/>
              <w:rPr>
                <w:rFonts w:ascii="Arial"/>
                <w:sz w:val="21"/>
              </w:rPr>
            </w:pPr>
          </w:p>
          <w:p w14:paraId="78F69EB6">
            <w:pPr>
              <w:pStyle w:val="6"/>
              <w:spacing w:before="68" w:line="278" w:lineRule="auto"/>
              <w:ind w:left="113" w:right="101"/>
            </w:pPr>
            <w:r>
              <w:rPr>
                <w:spacing w:val="-8"/>
              </w:rPr>
              <w:t>本次环评已提出相应要求，建设单</w:t>
            </w:r>
            <w:r>
              <w:rPr>
                <w:spacing w:val="-2"/>
              </w:rPr>
              <w:t>位应监督施工单位严格落实。</w:t>
            </w:r>
          </w:p>
        </w:tc>
        <w:tc>
          <w:tcPr>
            <w:tcW w:w="748" w:type="dxa"/>
            <w:vAlign w:val="top"/>
          </w:tcPr>
          <w:p w14:paraId="7106C836">
            <w:pPr>
              <w:spacing w:line="260" w:lineRule="auto"/>
              <w:rPr>
                <w:rFonts w:ascii="Arial"/>
                <w:sz w:val="21"/>
              </w:rPr>
            </w:pPr>
          </w:p>
          <w:p w14:paraId="7C82CC2C">
            <w:pPr>
              <w:spacing w:line="260" w:lineRule="auto"/>
              <w:rPr>
                <w:rFonts w:ascii="Arial"/>
                <w:sz w:val="21"/>
              </w:rPr>
            </w:pPr>
          </w:p>
          <w:p w14:paraId="5AA3B126">
            <w:pPr>
              <w:spacing w:line="260" w:lineRule="auto"/>
              <w:rPr>
                <w:rFonts w:ascii="Arial"/>
                <w:sz w:val="21"/>
              </w:rPr>
            </w:pPr>
          </w:p>
          <w:p w14:paraId="618A5A43">
            <w:pPr>
              <w:spacing w:line="260" w:lineRule="auto"/>
              <w:rPr>
                <w:rFonts w:ascii="Arial"/>
                <w:sz w:val="21"/>
              </w:rPr>
            </w:pPr>
          </w:p>
          <w:p w14:paraId="267D1489">
            <w:pPr>
              <w:spacing w:line="260" w:lineRule="auto"/>
              <w:rPr>
                <w:rFonts w:ascii="Arial"/>
                <w:sz w:val="21"/>
              </w:rPr>
            </w:pPr>
          </w:p>
          <w:p w14:paraId="308B2276">
            <w:pPr>
              <w:spacing w:line="260" w:lineRule="auto"/>
              <w:rPr>
                <w:rFonts w:ascii="Arial"/>
                <w:sz w:val="21"/>
              </w:rPr>
            </w:pPr>
          </w:p>
          <w:p w14:paraId="6FEFF905">
            <w:pPr>
              <w:spacing w:line="260" w:lineRule="auto"/>
              <w:rPr>
                <w:rFonts w:ascii="Arial"/>
                <w:sz w:val="21"/>
              </w:rPr>
            </w:pPr>
          </w:p>
          <w:p w14:paraId="58788E4D">
            <w:pPr>
              <w:spacing w:line="260" w:lineRule="auto"/>
              <w:rPr>
                <w:rFonts w:ascii="Arial"/>
                <w:sz w:val="21"/>
              </w:rPr>
            </w:pPr>
          </w:p>
          <w:p w14:paraId="34E95E82">
            <w:pPr>
              <w:spacing w:line="261" w:lineRule="auto"/>
              <w:rPr>
                <w:rFonts w:ascii="Arial"/>
                <w:sz w:val="21"/>
              </w:rPr>
            </w:pPr>
          </w:p>
          <w:p w14:paraId="1ADB40AD">
            <w:pPr>
              <w:pStyle w:val="6"/>
              <w:spacing w:before="68" w:line="221" w:lineRule="auto"/>
              <w:ind w:left="168"/>
            </w:pPr>
            <w:r>
              <w:rPr>
                <w:spacing w:val="-2"/>
              </w:rPr>
              <w:t>满足</w:t>
            </w:r>
          </w:p>
        </w:tc>
        <w:tc>
          <w:tcPr>
            <w:tcW w:w="103" w:type="dxa"/>
            <w:tcBorders>
              <w:top w:val="nil"/>
              <w:bottom w:val="nil"/>
            </w:tcBorders>
            <w:vAlign w:val="top"/>
          </w:tcPr>
          <w:p w14:paraId="6369052E">
            <w:pPr>
              <w:rPr>
                <w:rFonts w:ascii="Arial"/>
                <w:sz w:val="21"/>
              </w:rPr>
            </w:pPr>
          </w:p>
        </w:tc>
      </w:tr>
      <w:tr w14:paraId="4CFF48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2" w:hRule="atLeast"/>
        </w:trPr>
        <w:tc>
          <w:tcPr>
            <w:tcW w:w="571" w:type="dxa"/>
            <w:vMerge w:val="continue"/>
            <w:tcBorders>
              <w:top w:val="nil"/>
              <w:bottom w:val="nil"/>
            </w:tcBorders>
            <w:vAlign w:val="top"/>
          </w:tcPr>
          <w:p w14:paraId="6A96E324">
            <w:pPr>
              <w:rPr>
                <w:rFonts w:ascii="Arial"/>
                <w:sz w:val="21"/>
              </w:rPr>
            </w:pPr>
          </w:p>
        </w:tc>
        <w:tc>
          <w:tcPr>
            <w:tcW w:w="103" w:type="dxa"/>
            <w:tcBorders>
              <w:top w:val="nil"/>
              <w:bottom w:val="nil"/>
            </w:tcBorders>
            <w:vAlign w:val="top"/>
          </w:tcPr>
          <w:p w14:paraId="713E284E">
            <w:pPr>
              <w:rPr>
                <w:rFonts w:ascii="Arial"/>
                <w:sz w:val="21"/>
              </w:rPr>
            </w:pPr>
          </w:p>
        </w:tc>
        <w:tc>
          <w:tcPr>
            <w:tcW w:w="739" w:type="dxa"/>
            <w:vAlign w:val="top"/>
          </w:tcPr>
          <w:p w14:paraId="1EDB9301">
            <w:pPr>
              <w:spacing w:line="272" w:lineRule="auto"/>
              <w:rPr>
                <w:rFonts w:ascii="Arial"/>
                <w:sz w:val="21"/>
              </w:rPr>
            </w:pPr>
          </w:p>
          <w:p w14:paraId="4CB290EB">
            <w:pPr>
              <w:spacing w:line="272" w:lineRule="auto"/>
              <w:rPr>
                <w:rFonts w:ascii="Arial"/>
                <w:sz w:val="21"/>
              </w:rPr>
            </w:pPr>
          </w:p>
          <w:p w14:paraId="47FF7CA6">
            <w:pPr>
              <w:spacing w:line="272" w:lineRule="auto"/>
              <w:rPr>
                <w:rFonts w:ascii="Arial"/>
                <w:sz w:val="21"/>
              </w:rPr>
            </w:pPr>
          </w:p>
          <w:p w14:paraId="47A751C2">
            <w:pPr>
              <w:spacing w:line="273" w:lineRule="auto"/>
              <w:rPr>
                <w:rFonts w:ascii="Arial"/>
                <w:sz w:val="21"/>
              </w:rPr>
            </w:pPr>
          </w:p>
          <w:p w14:paraId="3CB2189B">
            <w:pPr>
              <w:pStyle w:val="6"/>
              <w:spacing w:before="68" w:line="280" w:lineRule="auto"/>
              <w:ind w:left="161" w:right="157" w:firstLine="19"/>
              <w:jc w:val="both"/>
            </w:pPr>
            <w:r>
              <w:rPr>
                <w:spacing w:val="-12"/>
              </w:rPr>
              <w:t>固体</w:t>
            </w:r>
            <w:r>
              <w:rPr>
                <w:spacing w:val="-3"/>
              </w:rPr>
              <w:t>废物处置</w:t>
            </w:r>
          </w:p>
        </w:tc>
        <w:tc>
          <w:tcPr>
            <w:tcW w:w="3546" w:type="dxa"/>
            <w:vAlign w:val="top"/>
          </w:tcPr>
          <w:p w14:paraId="4F260BBE">
            <w:pPr>
              <w:pStyle w:val="6"/>
              <w:spacing w:before="55" w:line="278" w:lineRule="auto"/>
              <w:ind w:left="112" w:right="103" w:firstLine="15"/>
            </w:pPr>
            <w:r>
              <w:rPr>
                <w:rFonts w:ascii="Times New Roman" w:hAnsi="Times New Roman" w:eastAsia="Times New Roman" w:cs="Times New Roman"/>
              </w:rPr>
              <w:t>1.</w:t>
            </w:r>
            <w:r>
              <w:t>施工过程中产生的土石方、建筑垃</w:t>
            </w:r>
            <w:r>
              <w:rPr>
                <w:spacing w:val="-3"/>
              </w:rPr>
              <w:t>圾、生活垃圾应分类集中收集，并按</w:t>
            </w:r>
            <w:r>
              <w:rPr>
                <w:spacing w:val="11"/>
              </w:rPr>
              <w:t>国家和地方有关规定定期进行清运</w:t>
            </w:r>
            <w:r>
              <w:rPr>
                <w:spacing w:val="-3"/>
              </w:rPr>
              <w:t>处置，施工完成后及时做好迹地清理</w:t>
            </w:r>
            <w:r>
              <w:rPr>
                <w:spacing w:val="-9"/>
              </w:rPr>
              <w:t>工作。</w:t>
            </w:r>
          </w:p>
          <w:p w14:paraId="1F21B3B9">
            <w:pPr>
              <w:pStyle w:val="6"/>
              <w:spacing w:before="2" w:line="266" w:lineRule="auto"/>
              <w:ind w:left="110" w:right="103" w:hanging="3"/>
            </w:pPr>
            <w:r>
              <w:rPr>
                <w:rFonts w:ascii="Times New Roman" w:hAnsi="Times New Roman" w:eastAsia="Times New Roman" w:cs="Times New Roman"/>
                <w:spacing w:val="1"/>
              </w:rPr>
              <w:t>2.</w:t>
            </w:r>
            <w:r>
              <w:rPr>
                <w:spacing w:val="1"/>
              </w:rPr>
              <w:t>在农田和经济作物区施工时，施工</w:t>
            </w:r>
            <w:r>
              <w:rPr>
                <w:spacing w:val="-3"/>
              </w:rPr>
              <w:t>临时占地宜采取隔离保护措施，施工</w:t>
            </w:r>
            <w:r>
              <w:rPr>
                <w:spacing w:val="11"/>
              </w:rPr>
              <w:t>结束后应将混凝土余料和残渣及时清除，以免影响后期土地功能的恢</w:t>
            </w:r>
            <w:r>
              <w:rPr>
                <w:spacing w:val="-10"/>
              </w:rPr>
              <w:t>复。</w:t>
            </w:r>
          </w:p>
        </w:tc>
        <w:tc>
          <w:tcPr>
            <w:tcW w:w="3263" w:type="dxa"/>
            <w:vAlign w:val="top"/>
          </w:tcPr>
          <w:p w14:paraId="57CFFD15">
            <w:pPr>
              <w:spacing w:line="248" w:lineRule="auto"/>
              <w:rPr>
                <w:rFonts w:ascii="Arial"/>
                <w:sz w:val="21"/>
              </w:rPr>
            </w:pPr>
          </w:p>
          <w:p w14:paraId="7C93C7A0">
            <w:pPr>
              <w:spacing w:line="249" w:lineRule="auto"/>
              <w:rPr>
                <w:rFonts w:ascii="Arial"/>
                <w:sz w:val="21"/>
              </w:rPr>
            </w:pPr>
          </w:p>
          <w:p w14:paraId="51803D63">
            <w:pPr>
              <w:spacing w:line="249" w:lineRule="auto"/>
              <w:rPr>
                <w:rFonts w:ascii="Arial"/>
                <w:sz w:val="21"/>
              </w:rPr>
            </w:pPr>
          </w:p>
          <w:p w14:paraId="595D0877">
            <w:pPr>
              <w:spacing w:line="249" w:lineRule="auto"/>
              <w:rPr>
                <w:rFonts w:ascii="Arial"/>
                <w:sz w:val="21"/>
              </w:rPr>
            </w:pPr>
          </w:p>
          <w:p w14:paraId="08A2C799">
            <w:pPr>
              <w:spacing w:line="249" w:lineRule="auto"/>
              <w:rPr>
                <w:rFonts w:ascii="Arial"/>
                <w:sz w:val="21"/>
              </w:rPr>
            </w:pPr>
          </w:p>
          <w:p w14:paraId="753DCC82">
            <w:pPr>
              <w:pStyle w:val="6"/>
              <w:spacing w:before="69" w:line="280" w:lineRule="auto"/>
              <w:ind w:left="113" w:right="101"/>
            </w:pPr>
            <w:r>
              <w:rPr>
                <w:spacing w:val="-8"/>
              </w:rPr>
              <w:t>本次环评已提出相应要求，建设单</w:t>
            </w:r>
            <w:r>
              <w:rPr>
                <w:spacing w:val="-2"/>
              </w:rPr>
              <w:t>位应监督施工单位严格落实。</w:t>
            </w:r>
          </w:p>
        </w:tc>
        <w:tc>
          <w:tcPr>
            <w:tcW w:w="748" w:type="dxa"/>
            <w:vAlign w:val="top"/>
          </w:tcPr>
          <w:p w14:paraId="309A78F7">
            <w:pPr>
              <w:spacing w:line="280" w:lineRule="auto"/>
              <w:rPr>
                <w:rFonts w:ascii="Arial"/>
                <w:sz w:val="21"/>
              </w:rPr>
            </w:pPr>
          </w:p>
          <w:p w14:paraId="3608E2E2">
            <w:pPr>
              <w:spacing w:line="280" w:lineRule="auto"/>
              <w:rPr>
                <w:rFonts w:ascii="Arial"/>
                <w:sz w:val="21"/>
              </w:rPr>
            </w:pPr>
          </w:p>
          <w:p w14:paraId="2C24DD4E">
            <w:pPr>
              <w:spacing w:line="280" w:lineRule="auto"/>
              <w:rPr>
                <w:rFonts w:ascii="Arial"/>
                <w:sz w:val="21"/>
              </w:rPr>
            </w:pPr>
          </w:p>
          <w:p w14:paraId="412B6ACB">
            <w:pPr>
              <w:spacing w:line="280" w:lineRule="auto"/>
              <w:rPr>
                <w:rFonts w:ascii="Arial"/>
                <w:sz w:val="21"/>
              </w:rPr>
            </w:pPr>
          </w:p>
          <w:p w14:paraId="18D6ABE3">
            <w:pPr>
              <w:spacing w:line="280" w:lineRule="auto"/>
              <w:rPr>
                <w:rFonts w:ascii="Arial"/>
                <w:sz w:val="21"/>
              </w:rPr>
            </w:pPr>
          </w:p>
          <w:p w14:paraId="545D7908">
            <w:pPr>
              <w:pStyle w:val="6"/>
              <w:spacing w:before="69" w:line="221" w:lineRule="auto"/>
              <w:ind w:left="168"/>
            </w:pPr>
            <w:r>
              <w:rPr>
                <w:spacing w:val="-2"/>
              </w:rPr>
              <w:t>满足</w:t>
            </w:r>
          </w:p>
        </w:tc>
        <w:tc>
          <w:tcPr>
            <w:tcW w:w="103" w:type="dxa"/>
            <w:tcBorders>
              <w:top w:val="nil"/>
              <w:bottom w:val="nil"/>
            </w:tcBorders>
            <w:vAlign w:val="top"/>
          </w:tcPr>
          <w:p w14:paraId="0F4FEB84">
            <w:pPr>
              <w:rPr>
                <w:rFonts w:ascii="Arial"/>
                <w:sz w:val="21"/>
              </w:rPr>
            </w:pPr>
          </w:p>
        </w:tc>
      </w:tr>
      <w:tr w14:paraId="05A82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4" w:hRule="atLeast"/>
        </w:trPr>
        <w:tc>
          <w:tcPr>
            <w:tcW w:w="571" w:type="dxa"/>
            <w:vMerge w:val="continue"/>
            <w:tcBorders>
              <w:top w:val="nil"/>
            </w:tcBorders>
            <w:vAlign w:val="top"/>
          </w:tcPr>
          <w:p w14:paraId="3FEED1D9">
            <w:pPr>
              <w:rPr>
                <w:rFonts w:ascii="Arial"/>
                <w:sz w:val="21"/>
              </w:rPr>
            </w:pPr>
          </w:p>
        </w:tc>
        <w:tc>
          <w:tcPr>
            <w:tcW w:w="103" w:type="dxa"/>
            <w:tcBorders>
              <w:top w:val="nil"/>
            </w:tcBorders>
            <w:vAlign w:val="top"/>
          </w:tcPr>
          <w:p w14:paraId="712E7953">
            <w:pPr>
              <w:rPr>
                <w:rFonts w:ascii="Arial"/>
                <w:sz w:val="21"/>
              </w:rPr>
            </w:pPr>
          </w:p>
        </w:tc>
        <w:tc>
          <w:tcPr>
            <w:tcW w:w="739" w:type="dxa"/>
            <w:vAlign w:val="top"/>
          </w:tcPr>
          <w:p w14:paraId="122DFE05">
            <w:pPr>
              <w:spacing w:line="311" w:lineRule="auto"/>
              <w:rPr>
                <w:rFonts w:ascii="Arial"/>
                <w:sz w:val="21"/>
              </w:rPr>
            </w:pPr>
          </w:p>
          <w:p w14:paraId="2A0BB31E">
            <w:pPr>
              <w:spacing w:line="312" w:lineRule="auto"/>
              <w:rPr>
                <w:rFonts w:ascii="Arial"/>
                <w:sz w:val="21"/>
              </w:rPr>
            </w:pPr>
          </w:p>
          <w:p w14:paraId="77117811">
            <w:pPr>
              <w:spacing w:line="312" w:lineRule="auto"/>
              <w:rPr>
                <w:rFonts w:ascii="Arial"/>
                <w:sz w:val="21"/>
              </w:rPr>
            </w:pPr>
          </w:p>
          <w:p w14:paraId="6FBE77AA">
            <w:pPr>
              <w:pStyle w:val="6"/>
              <w:spacing w:before="68" w:line="221" w:lineRule="auto"/>
              <w:ind w:left="161"/>
            </w:pPr>
            <w:r>
              <w:rPr>
                <w:spacing w:val="-2"/>
              </w:rPr>
              <w:t>运行</w:t>
            </w:r>
          </w:p>
        </w:tc>
        <w:tc>
          <w:tcPr>
            <w:tcW w:w="3546" w:type="dxa"/>
            <w:vAlign w:val="top"/>
          </w:tcPr>
          <w:p w14:paraId="00EBE55D">
            <w:pPr>
              <w:pStyle w:val="6"/>
              <w:spacing w:before="58" w:line="272" w:lineRule="auto"/>
              <w:ind w:left="110" w:right="102"/>
              <w:jc w:val="both"/>
            </w:pPr>
            <w:r>
              <w:rPr>
                <w:spacing w:val="11"/>
              </w:rPr>
              <w:t>运行期做好环境保护设施的维护和</w:t>
            </w:r>
            <w:r>
              <w:rPr>
                <w:spacing w:val="-3"/>
              </w:rPr>
              <w:t>运行管理，加强巡查和检查，保障发</w:t>
            </w:r>
            <w:r>
              <w:rPr>
                <w:spacing w:val="11"/>
              </w:rPr>
              <w:t>挥环境保护作用。定期开展环境监</w:t>
            </w:r>
            <w:r>
              <w:rPr>
                <w:spacing w:val="-3"/>
              </w:rPr>
              <w:t>测，确保电磁、噪声、废水排放符合</w:t>
            </w:r>
            <w:r>
              <w:rPr>
                <w:rFonts w:ascii="Times New Roman" w:hAnsi="Times New Roman" w:eastAsia="Times New Roman" w:cs="Times New Roman"/>
                <w:spacing w:val="-2"/>
              </w:rPr>
              <w:t>GB8702</w:t>
            </w:r>
            <w:r>
              <w:rPr>
                <w:rFonts w:ascii="Times New Roman" w:hAnsi="Times New Roman" w:eastAsia="Times New Roman" w:cs="Times New Roman"/>
                <w:spacing w:val="-19"/>
              </w:rPr>
              <w:t xml:space="preserve"> </w:t>
            </w:r>
            <w:r>
              <w:rPr>
                <w:spacing w:val="-2"/>
              </w:rPr>
              <w:t>、</w:t>
            </w:r>
            <w:r>
              <w:rPr>
                <w:rFonts w:ascii="Times New Roman" w:hAnsi="Times New Roman" w:eastAsia="Times New Roman" w:cs="Times New Roman"/>
                <w:spacing w:val="-2"/>
              </w:rPr>
              <w:t>GB12348</w:t>
            </w:r>
            <w:r>
              <w:rPr>
                <w:spacing w:val="-2"/>
              </w:rPr>
              <w:t>、</w:t>
            </w:r>
            <w:r>
              <w:rPr>
                <w:rFonts w:ascii="Times New Roman" w:hAnsi="Times New Roman" w:eastAsia="Times New Roman" w:cs="Times New Roman"/>
                <w:spacing w:val="-2"/>
              </w:rPr>
              <w:t xml:space="preserve">GB8978 </w:t>
            </w:r>
            <w:r>
              <w:rPr>
                <w:spacing w:val="-2"/>
              </w:rPr>
              <w:t>等国家</w:t>
            </w:r>
            <w:r>
              <w:rPr>
                <w:spacing w:val="-3"/>
              </w:rPr>
              <w:t>标准要求，并及时解决公众合理的环</w:t>
            </w:r>
            <w:r>
              <w:rPr>
                <w:spacing w:val="-1"/>
              </w:rPr>
              <w:t>境保护诉求。</w:t>
            </w:r>
          </w:p>
        </w:tc>
        <w:tc>
          <w:tcPr>
            <w:tcW w:w="3263" w:type="dxa"/>
            <w:vAlign w:val="top"/>
          </w:tcPr>
          <w:p w14:paraId="34DB76D2">
            <w:pPr>
              <w:pStyle w:val="6"/>
              <w:spacing w:before="58" w:line="272" w:lineRule="auto"/>
              <w:ind w:left="113" w:right="45" w:firstLine="1"/>
              <w:jc w:val="both"/>
            </w:pPr>
            <w:r>
              <w:rPr>
                <w:spacing w:val="7"/>
              </w:rPr>
              <w:t>本环评已要求建设单位运行期做好环境保护设施的维护和运行管</w:t>
            </w:r>
            <w:r>
              <w:rPr>
                <w:spacing w:val="-8"/>
              </w:rPr>
              <w:t>理，加强巡查和检查，保障发挥环</w:t>
            </w:r>
            <w:r>
              <w:rPr>
                <w:spacing w:val="-4"/>
              </w:rPr>
              <w:t>境保护作用。定期开展环境监测，</w:t>
            </w:r>
            <w:r>
              <w:rPr>
                <w:spacing w:val="7"/>
              </w:rPr>
              <w:t>确保电磁、噪声、废水排放符合</w:t>
            </w:r>
            <w:r>
              <w:rPr>
                <w:rFonts w:ascii="Times New Roman" w:hAnsi="Times New Roman" w:eastAsia="Times New Roman" w:cs="Times New Roman"/>
                <w:spacing w:val="-4"/>
              </w:rPr>
              <w:t>GB8702</w:t>
            </w:r>
            <w:r>
              <w:rPr>
                <w:spacing w:val="-4"/>
              </w:rPr>
              <w:t>、</w:t>
            </w:r>
            <w:r>
              <w:rPr>
                <w:rFonts w:ascii="Times New Roman" w:hAnsi="Times New Roman" w:eastAsia="Times New Roman" w:cs="Times New Roman"/>
                <w:spacing w:val="-4"/>
              </w:rPr>
              <w:t>GB12348</w:t>
            </w:r>
            <w:r>
              <w:rPr>
                <w:spacing w:val="-4"/>
              </w:rPr>
              <w:t>、</w:t>
            </w:r>
            <w:r>
              <w:rPr>
                <w:rFonts w:ascii="Times New Roman" w:hAnsi="Times New Roman" w:eastAsia="Times New Roman" w:cs="Times New Roman"/>
                <w:spacing w:val="-4"/>
              </w:rPr>
              <w:t xml:space="preserve">GB8978 </w:t>
            </w:r>
            <w:r>
              <w:rPr>
                <w:spacing w:val="-4"/>
              </w:rPr>
              <w:t>等国</w:t>
            </w:r>
            <w:r>
              <w:rPr>
                <w:spacing w:val="-8"/>
              </w:rPr>
              <w:t>家标准要求，并及时解决公众合理</w:t>
            </w:r>
          </w:p>
        </w:tc>
        <w:tc>
          <w:tcPr>
            <w:tcW w:w="748" w:type="dxa"/>
            <w:vAlign w:val="top"/>
          </w:tcPr>
          <w:p w14:paraId="546CD1E2">
            <w:pPr>
              <w:spacing w:line="311" w:lineRule="auto"/>
              <w:rPr>
                <w:rFonts w:ascii="Arial"/>
                <w:sz w:val="21"/>
              </w:rPr>
            </w:pPr>
          </w:p>
          <w:p w14:paraId="7EA9EE6E">
            <w:pPr>
              <w:spacing w:line="311" w:lineRule="auto"/>
              <w:rPr>
                <w:rFonts w:ascii="Arial"/>
                <w:sz w:val="21"/>
              </w:rPr>
            </w:pPr>
          </w:p>
          <w:p w14:paraId="001834C2">
            <w:pPr>
              <w:spacing w:line="312" w:lineRule="auto"/>
              <w:rPr>
                <w:rFonts w:ascii="Arial"/>
                <w:sz w:val="21"/>
              </w:rPr>
            </w:pPr>
          </w:p>
          <w:p w14:paraId="186B742D">
            <w:pPr>
              <w:pStyle w:val="6"/>
              <w:spacing w:before="69" w:line="221" w:lineRule="auto"/>
              <w:ind w:left="168"/>
            </w:pPr>
            <w:r>
              <w:rPr>
                <w:spacing w:val="-2"/>
              </w:rPr>
              <w:t>满足</w:t>
            </w:r>
          </w:p>
        </w:tc>
        <w:tc>
          <w:tcPr>
            <w:tcW w:w="103" w:type="dxa"/>
            <w:tcBorders>
              <w:top w:val="nil"/>
            </w:tcBorders>
            <w:vAlign w:val="top"/>
          </w:tcPr>
          <w:p w14:paraId="789817BC">
            <w:pPr>
              <w:rPr>
                <w:rFonts w:ascii="Arial"/>
                <w:sz w:val="21"/>
              </w:rPr>
            </w:pPr>
          </w:p>
        </w:tc>
      </w:tr>
    </w:tbl>
    <w:p w14:paraId="271E4B47">
      <w:pPr>
        <w:rPr>
          <w:rFonts w:ascii="Arial"/>
          <w:sz w:val="21"/>
        </w:rPr>
      </w:pPr>
    </w:p>
    <w:p w14:paraId="0F7F320F">
      <w:pPr>
        <w:rPr>
          <w:rFonts w:ascii="Arial" w:hAnsi="Arial" w:eastAsia="Arial" w:cs="Arial"/>
          <w:sz w:val="21"/>
          <w:szCs w:val="21"/>
        </w:rPr>
        <w:sectPr>
          <w:footerReference r:id="rId20" w:type="default"/>
          <w:pgSz w:w="11907" w:h="16841"/>
          <w:pgMar w:top="400" w:right="1413" w:bottom="1126" w:left="1414" w:header="0" w:footer="923" w:gutter="0"/>
          <w:cols w:space="720" w:num="1"/>
        </w:sectPr>
      </w:pPr>
    </w:p>
    <w:p w14:paraId="59BF9BF3">
      <w:pPr>
        <w:spacing w:before="2"/>
      </w:pPr>
    </w:p>
    <w:p w14:paraId="76C09A7F">
      <w:pPr>
        <w:spacing w:before="2"/>
      </w:pPr>
    </w:p>
    <w:p w14:paraId="4E96ED16">
      <w:pPr>
        <w:spacing w:before="1"/>
      </w:pPr>
    </w:p>
    <w:p w14:paraId="144194D2">
      <w:pPr>
        <w:spacing w:before="1"/>
      </w:pPr>
    </w:p>
    <w:p w14:paraId="6C1384A7">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42"/>
        <w:gridCol w:w="3546"/>
        <w:gridCol w:w="3262"/>
        <w:gridCol w:w="852"/>
      </w:tblGrid>
      <w:tr w14:paraId="4337D7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36" w:hRule="atLeast"/>
        </w:trPr>
        <w:tc>
          <w:tcPr>
            <w:tcW w:w="571" w:type="dxa"/>
            <w:vMerge w:val="restart"/>
            <w:tcBorders>
              <w:bottom w:val="nil"/>
            </w:tcBorders>
            <w:vAlign w:val="top"/>
          </w:tcPr>
          <w:p w14:paraId="2FE79D63">
            <w:pPr>
              <w:rPr>
                <w:rFonts w:ascii="Arial"/>
                <w:sz w:val="21"/>
              </w:rPr>
            </w:pPr>
          </w:p>
        </w:tc>
        <w:tc>
          <w:tcPr>
            <w:tcW w:w="842" w:type="dxa"/>
            <w:vAlign w:val="top"/>
          </w:tcPr>
          <w:p w14:paraId="21DD6FCE">
            <w:pPr>
              <w:rPr>
                <w:rFonts w:ascii="Arial"/>
                <w:sz w:val="21"/>
              </w:rPr>
            </w:pPr>
            <w:r>
              <w:pict>
                <v:shape id="_x0000_s1026" o:spid="_x0000_s1026" style="position:absolute;left:0pt;margin-left:4.85pt;margin-top:1.05pt;height:15.75pt;width:0.5pt;mso-position-horizontal-relative:page;mso-position-vertical-relative:page;z-index:251661312;mso-width-relative:page;mso-height-relative:page;" fillcolor="#000000" filled="t" stroked="f" coordsize="10,315" path="m0,314l9,314,9,0,0,0,0,314xe">
                  <v:path/>
                  <v:fill on="t" focussize="0,0"/>
                  <v:stroke on="f"/>
                  <v:imagedata o:title=""/>
                  <o:lock v:ext="edit"/>
                </v:shape>
              </w:pict>
            </w:r>
          </w:p>
        </w:tc>
        <w:tc>
          <w:tcPr>
            <w:tcW w:w="3546" w:type="dxa"/>
            <w:vAlign w:val="top"/>
          </w:tcPr>
          <w:p w14:paraId="566D462F">
            <w:pPr>
              <w:rPr>
                <w:rFonts w:ascii="Arial"/>
                <w:sz w:val="21"/>
              </w:rPr>
            </w:pPr>
          </w:p>
        </w:tc>
        <w:tc>
          <w:tcPr>
            <w:tcW w:w="3262" w:type="dxa"/>
            <w:vAlign w:val="top"/>
          </w:tcPr>
          <w:p w14:paraId="0068221C">
            <w:pPr>
              <w:pStyle w:val="6"/>
              <w:spacing w:before="71" w:line="221" w:lineRule="auto"/>
              <w:ind w:left="131"/>
            </w:pPr>
            <w:r>
              <w:rPr>
                <w:spacing w:val="-3"/>
              </w:rPr>
              <w:t>的环境保护诉求。</w:t>
            </w:r>
          </w:p>
        </w:tc>
        <w:tc>
          <w:tcPr>
            <w:tcW w:w="852" w:type="dxa"/>
            <w:vAlign w:val="top"/>
          </w:tcPr>
          <w:p w14:paraId="65CB8699">
            <w:pPr>
              <w:rPr>
                <w:rFonts w:ascii="Arial"/>
                <w:sz w:val="21"/>
              </w:rPr>
            </w:pPr>
            <w:r>
              <w:pict>
                <v:shape id="_x0000_s1027" o:spid="_x0000_s1027" style="position:absolute;left:0pt;margin-left:37.4pt;margin-top:1.05pt;height:15.75pt;width:0.5pt;mso-position-horizontal-relative:page;mso-position-vertical-relative:page;z-index:251660288;mso-width-relative:page;mso-height-relative:page;" fillcolor="#000000" filled="t" stroked="f" coordsize="10,315" path="m0,314l9,314,9,0,0,0,0,314xe">
                  <v:path/>
                  <v:fill on="t" focussize="0,0"/>
                  <v:stroke on="f"/>
                  <v:imagedata o:title=""/>
                  <o:lock v:ext="edit"/>
                </v:shape>
              </w:pict>
            </w:r>
          </w:p>
        </w:tc>
      </w:tr>
      <w:tr w14:paraId="5A6E4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35" w:hRule="atLeast"/>
        </w:trPr>
        <w:tc>
          <w:tcPr>
            <w:tcW w:w="571" w:type="dxa"/>
            <w:vMerge w:val="continue"/>
            <w:tcBorders>
              <w:top w:val="nil"/>
            </w:tcBorders>
            <w:vAlign w:val="top"/>
          </w:tcPr>
          <w:p w14:paraId="4CC9C36F">
            <w:pPr>
              <w:rPr>
                <w:rFonts w:ascii="Arial"/>
                <w:sz w:val="21"/>
              </w:rPr>
            </w:pPr>
          </w:p>
        </w:tc>
        <w:tc>
          <w:tcPr>
            <w:tcW w:w="8502" w:type="dxa"/>
            <w:gridSpan w:val="4"/>
            <w:vAlign w:val="top"/>
          </w:tcPr>
          <w:p w14:paraId="632326DA">
            <w:pPr>
              <w:pStyle w:val="6"/>
              <w:spacing w:before="116" w:line="365" w:lineRule="auto"/>
              <w:ind w:left="116" w:right="106" w:firstLine="480"/>
              <w:rPr>
                <w:sz w:val="24"/>
                <w:szCs w:val="24"/>
              </w:rPr>
            </w:pPr>
            <w:r>
              <w:rPr>
                <w:spacing w:val="-4"/>
                <w:sz w:val="24"/>
                <w:szCs w:val="24"/>
              </w:rPr>
              <w:t>综上所述，本工程建设满足《输变电建设项目环境保护技术要求》等相关要</w:t>
            </w:r>
            <w:r>
              <w:rPr>
                <w:spacing w:val="-12"/>
                <w:sz w:val="24"/>
                <w:szCs w:val="24"/>
              </w:rPr>
              <w:t>求。</w:t>
            </w:r>
          </w:p>
          <w:p w14:paraId="2A1F60BA">
            <w:pPr>
              <w:pStyle w:val="6"/>
              <w:spacing w:line="233" w:lineRule="auto"/>
              <w:ind w:left="109"/>
              <w:rPr>
                <w:sz w:val="24"/>
                <w:szCs w:val="24"/>
              </w:rPr>
            </w:pPr>
            <w:r>
              <w:rPr>
                <w:rFonts w:ascii="Times New Roman" w:hAnsi="Times New Roman" w:eastAsia="Times New Roman" w:cs="Times New Roman"/>
                <w:b/>
                <w:bCs/>
                <w:spacing w:val="-3"/>
                <w:sz w:val="24"/>
                <w:szCs w:val="24"/>
              </w:rPr>
              <w:t>3</w:t>
            </w:r>
            <w:r>
              <w:rPr>
                <w:b/>
                <w:bCs/>
                <w:spacing w:val="-3"/>
                <w:sz w:val="24"/>
                <w:szCs w:val="24"/>
              </w:rPr>
              <w:t>、产业政策相符性</w:t>
            </w:r>
          </w:p>
          <w:p w14:paraId="5D823164">
            <w:pPr>
              <w:pStyle w:val="6"/>
              <w:spacing w:before="170" w:line="365" w:lineRule="auto"/>
              <w:ind w:left="98" w:right="66" w:firstLine="497"/>
              <w:jc w:val="both"/>
              <w:rPr>
                <w:sz w:val="24"/>
                <w:szCs w:val="24"/>
              </w:rPr>
            </w:pPr>
            <w:r>
              <w:rPr>
                <w:spacing w:val="-1"/>
                <w:sz w:val="24"/>
                <w:szCs w:val="24"/>
              </w:rPr>
              <w:t>本工程为</w:t>
            </w:r>
            <w:r>
              <w:rPr>
                <w:rFonts w:ascii="Times New Roman" w:hAnsi="Times New Roman" w:eastAsia="Times New Roman" w:cs="Times New Roman"/>
                <w:spacing w:val="-1"/>
                <w:sz w:val="24"/>
                <w:szCs w:val="24"/>
              </w:rPr>
              <w:t>220kV</w:t>
            </w:r>
            <w:r>
              <w:rPr>
                <w:spacing w:val="-1"/>
                <w:sz w:val="24"/>
                <w:szCs w:val="24"/>
              </w:rPr>
              <w:t>输变电工程，属于《产业结构调整指导目录（</w:t>
            </w:r>
            <w:r>
              <w:rPr>
                <w:rFonts w:ascii="Times New Roman" w:hAnsi="Times New Roman" w:eastAsia="Times New Roman" w:cs="Times New Roman"/>
                <w:spacing w:val="-1"/>
                <w:sz w:val="24"/>
                <w:szCs w:val="24"/>
              </w:rPr>
              <w:t>2024</w:t>
            </w:r>
            <w:r>
              <w:rPr>
                <w:spacing w:val="-1"/>
                <w:sz w:val="24"/>
                <w:szCs w:val="24"/>
              </w:rPr>
              <w:t>年本）》</w:t>
            </w:r>
            <w:r>
              <w:rPr>
                <w:spacing w:val="17"/>
                <w:sz w:val="24"/>
                <w:szCs w:val="24"/>
              </w:rPr>
              <w:t xml:space="preserve"> </w:t>
            </w:r>
            <w:r>
              <w:rPr>
                <w:spacing w:val="-3"/>
                <w:sz w:val="24"/>
                <w:szCs w:val="24"/>
              </w:rPr>
              <w:t>“第一类 鼓励类”中的“电力基础设施建设”项目。于</w:t>
            </w:r>
            <w:r>
              <w:rPr>
                <w:rFonts w:ascii="Times New Roman" w:hAnsi="Times New Roman" w:eastAsia="Times New Roman" w:cs="Times New Roman"/>
                <w:spacing w:val="-3"/>
                <w:sz w:val="24"/>
                <w:szCs w:val="24"/>
              </w:rPr>
              <w:t>2025</w:t>
            </w:r>
            <w:r>
              <w:rPr>
                <w:spacing w:val="-3"/>
                <w:sz w:val="24"/>
                <w:szCs w:val="24"/>
              </w:rPr>
              <w:t>年</w:t>
            </w:r>
            <w:r>
              <w:rPr>
                <w:rFonts w:ascii="Times New Roman" w:hAnsi="Times New Roman" w:eastAsia="Times New Roman" w:cs="Times New Roman"/>
                <w:spacing w:val="-3"/>
                <w:sz w:val="24"/>
                <w:szCs w:val="24"/>
              </w:rPr>
              <w:t>3</w:t>
            </w:r>
            <w:r>
              <w:rPr>
                <w:spacing w:val="-3"/>
                <w:sz w:val="24"/>
                <w:szCs w:val="24"/>
              </w:rPr>
              <w:t>月</w:t>
            </w:r>
            <w:r>
              <w:rPr>
                <w:rFonts w:ascii="Times New Roman" w:hAnsi="Times New Roman" w:eastAsia="Times New Roman" w:cs="Times New Roman"/>
                <w:spacing w:val="-3"/>
                <w:sz w:val="24"/>
                <w:szCs w:val="24"/>
              </w:rPr>
              <w:t>19</w:t>
            </w:r>
            <w:r>
              <w:rPr>
                <w:spacing w:val="-3"/>
                <w:sz w:val="24"/>
                <w:szCs w:val="24"/>
              </w:rPr>
              <w:t>日取得了曲</w:t>
            </w:r>
            <w:r>
              <w:rPr>
                <w:spacing w:val="-2"/>
                <w:sz w:val="24"/>
                <w:szCs w:val="24"/>
              </w:rPr>
              <w:t>靖市发展和改革委员会关于本工程核准的批复（曲发改基础〔</w:t>
            </w:r>
            <w:r>
              <w:rPr>
                <w:rFonts w:ascii="Times New Roman" w:hAnsi="Times New Roman" w:eastAsia="Times New Roman" w:cs="Times New Roman"/>
                <w:spacing w:val="-2"/>
                <w:sz w:val="24"/>
                <w:szCs w:val="24"/>
              </w:rPr>
              <w:t>2025</w:t>
            </w:r>
            <w:r>
              <w:rPr>
                <w:spacing w:val="-2"/>
                <w:sz w:val="24"/>
                <w:szCs w:val="24"/>
              </w:rPr>
              <w:t>〕</w:t>
            </w:r>
            <w:r>
              <w:rPr>
                <w:rFonts w:ascii="Times New Roman" w:hAnsi="Times New Roman" w:eastAsia="Times New Roman" w:cs="Times New Roman"/>
                <w:spacing w:val="-2"/>
                <w:sz w:val="24"/>
                <w:szCs w:val="24"/>
              </w:rPr>
              <w:t>23</w:t>
            </w:r>
            <w:r>
              <w:rPr>
                <w:spacing w:val="-2"/>
                <w:sz w:val="24"/>
                <w:szCs w:val="24"/>
              </w:rPr>
              <w:t>号</w:t>
            </w:r>
            <w:r>
              <w:rPr>
                <w:spacing w:val="-19"/>
                <w:sz w:val="24"/>
                <w:szCs w:val="24"/>
              </w:rPr>
              <w:t>），</w:t>
            </w:r>
            <w:r>
              <w:rPr>
                <w:spacing w:val="-2"/>
                <w:sz w:val="24"/>
                <w:szCs w:val="24"/>
              </w:rPr>
              <w:t>项</w:t>
            </w:r>
            <w:r>
              <w:rPr>
                <w:sz w:val="24"/>
                <w:szCs w:val="24"/>
              </w:rPr>
              <w:t>目代码：</w:t>
            </w:r>
            <w:r>
              <w:rPr>
                <w:rFonts w:ascii="Times New Roman" w:hAnsi="Times New Roman" w:eastAsia="Times New Roman" w:cs="Times New Roman"/>
                <w:sz w:val="24"/>
                <w:szCs w:val="24"/>
              </w:rPr>
              <w:t>2501-530326-04-01-670656</w:t>
            </w:r>
            <w:r>
              <w:rPr>
                <w:sz w:val="24"/>
                <w:szCs w:val="24"/>
              </w:rPr>
              <w:t>。项目符合国家及地方产业政策要求。</w:t>
            </w:r>
          </w:p>
          <w:p w14:paraId="46AE82AF">
            <w:pPr>
              <w:pStyle w:val="6"/>
              <w:spacing w:line="233" w:lineRule="auto"/>
              <w:ind w:left="111"/>
              <w:rPr>
                <w:sz w:val="24"/>
                <w:szCs w:val="24"/>
              </w:rPr>
            </w:pPr>
            <w:r>
              <w:rPr>
                <w:rFonts w:ascii="Times New Roman" w:hAnsi="Times New Roman" w:eastAsia="Times New Roman" w:cs="Times New Roman"/>
                <w:b/>
                <w:bCs/>
                <w:spacing w:val="-4"/>
                <w:sz w:val="24"/>
                <w:szCs w:val="24"/>
              </w:rPr>
              <w:t>4</w:t>
            </w:r>
            <w:r>
              <w:rPr>
                <w:rFonts w:ascii="Times New Roman" w:hAnsi="Times New Roman" w:eastAsia="Times New Roman" w:cs="Times New Roman"/>
                <w:b/>
                <w:bCs/>
                <w:spacing w:val="-16"/>
                <w:sz w:val="24"/>
                <w:szCs w:val="24"/>
              </w:rPr>
              <w:t xml:space="preserve"> </w:t>
            </w:r>
            <w:r>
              <w:rPr>
                <w:b/>
                <w:bCs/>
                <w:spacing w:val="-4"/>
                <w:sz w:val="24"/>
                <w:szCs w:val="24"/>
              </w:rPr>
              <w:t>、与《云南省主体功能区规划》的符合性分析</w:t>
            </w:r>
          </w:p>
          <w:p w14:paraId="0B97D776">
            <w:pPr>
              <w:pStyle w:val="6"/>
              <w:spacing w:before="168" w:line="359" w:lineRule="auto"/>
              <w:ind w:left="118" w:right="108" w:firstLine="482"/>
              <w:jc w:val="both"/>
              <w:rPr>
                <w:sz w:val="24"/>
                <w:szCs w:val="24"/>
              </w:rPr>
            </w:pPr>
            <w:r>
              <w:rPr>
                <w:spacing w:val="-10"/>
                <w:sz w:val="24"/>
                <w:szCs w:val="24"/>
              </w:rPr>
              <w:t>云南省人民政府于</w:t>
            </w:r>
            <w:r>
              <w:rPr>
                <w:spacing w:val="-55"/>
                <w:sz w:val="24"/>
                <w:szCs w:val="24"/>
              </w:rPr>
              <w:t xml:space="preserve"> </w:t>
            </w:r>
            <w:r>
              <w:rPr>
                <w:rFonts w:ascii="Times New Roman" w:hAnsi="Times New Roman" w:eastAsia="Times New Roman" w:cs="Times New Roman"/>
                <w:spacing w:val="-10"/>
                <w:sz w:val="24"/>
                <w:szCs w:val="24"/>
              </w:rPr>
              <w:t xml:space="preserve">2014 </w:t>
            </w:r>
            <w:r>
              <w:rPr>
                <w:spacing w:val="-10"/>
                <w:sz w:val="24"/>
                <w:szCs w:val="24"/>
              </w:rPr>
              <w:t>年</w:t>
            </w:r>
            <w:r>
              <w:rPr>
                <w:spacing w:val="-32"/>
                <w:sz w:val="24"/>
                <w:szCs w:val="24"/>
              </w:rPr>
              <w:t xml:space="preserve"> </w:t>
            </w:r>
            <w:r>
              <w:rPr>
                <w:rFonts w:ascii="Times New Roman" w:hAnsi="Times New Roman" w:eastAsia="Times New Roman" w:cs="Times New Roman"/>
                <w:spacing w:val="-10"/>
                <w:sz w:val="24"/>
                <w:szCs w:val="24"/>
              </w:rPr>
              <w:t>1</w:t>
            </w:r>
            <w:r>
              <w:rPr>
                <w:rFonts w:ascii="Times New Roman" w:hAnsi="Times New Roman" w:eastAsia="Times New Roman" w:cs="Times New Roman"/>
                <w:spacing w:val="15"/>
                <w:sz w:val="24"/>
                <w:szCs w:val="24"/>
              </w:rPr>
              <w:t xml:space="preserve"> </w:t>
            </w:r>
            <w:r>
              <w:rPr>
                <w:spacing w:val="-10"/>
                <w:sz w:val="24"/>
                <w:szCs w:val="24"/>
              </w:rPr>
              <w:t>月</w:t>
            </w:r>
            <w:r>
              <w:rPr>
                <w:spacing w:val="-50"/>
                <w:sz w:val="24"/>
                <w:szCs w:val="24"/>
              </w:rPr>
              <w:t xml:space="preserve"> </w:t>
            </w:r>
            <w:r>
              <w:rPr>
                <w:rFonts w:ascii="Times New Roman" w:hAnsi="Times New Roman" w:eastAsia="Times New Roman" w:cs="Times New Roman"/>
                <w:spacing w:val="-10"/>
                <w:sz w:val="24"/>
                <w:szCs w:val="24"/>
              </w:rPr>
              <w:t xml:space="preserve">6  </w:t>
            </w:r>
            <w:r>
              <w:rPr>
                <w:spacing w:val="-10"/>
                <w:sz w:val="24"/>
                <w:szCs w:val="24"/>
              </w:rPr>
              <w:t>日印发了《云南省主体功能区规划》（云政</w:t>
            </w:r>
            <w:r>
              <w:rPr>
                <w:spacing w:val="-7"/>
                <w:sz w:val="24"/>
                <w:szCs w:val="24"/>
              </w:rPr>
              <w:t>发〔</w:t>
            </w:r>
            <w:r>
              <w:rPr>
                <w:rFonts w:ascii="Times New Roman" w:hAnsi="Times New Roman" w:eastAsia="Times New Roman" w:cs="Times New Roman"/>
                <w:spacing w:val="-7"/>
                <w:sz w:val="24"/>
                <w:szCs w:val="24"/>
              </w:rPr>
              <w:t>2014</w:t>
            </w:r>
            <w:r>
              <w:rPr>
                <w:spacing w:val="-7"/>
                <w:sz w:val="24"/>
                <w:szCs w:val="24"/>
              </w:rPr>
              <w:t>〕</w:t>
            </w:r>
            <w:r>
              <w:rPr>
                <w:rFonts w:ascii="Times New Roman" w:hAnsi="Times New Roman" w:eastAsia="Times New Roman" w:cs="Times New Roman"/>
                <w:spacing w:val="-7"/>
                <w:sz w:val="24"/>
                <w:szCs w:val="24"/>
              </w:rPr>
              <w:t>1</w:t>
            </w:r>
            <w:r>
              <w:rPr>
                <w:rFonts w:ascii="Times New Roman" w:hAnsi="Times New Roman" w:eastAsia="Times New Roman" w:cs="Times New Roman"/>
                <w:spacing w:val="17"/>
                <w:sz w:val="24"/>
                <w:szCs w:val="24"/>
              </w:rPr>
              <w:t xml:space="preserve"> </w:t>
            </w:r>
            <w:r>
              <w:rPr>
                <w:spacing w:val="-7"/>
                <w:sz w:val="24"/>
                <w:szCs w:val="24"/>
              </w:rPr>
              <w:t>号文</w:t>
            </w:r>
            <w:r>
              <w:rPr>
                <w:spacing w:val="-31"/>
                <w:sz w:val="24"/>
                <w:szCs w:val="24"/>
              </w:rPr>
              <w:t>），</w:t>
            </w:r>
            <w:r>
              <w:rPr>
                <w:spacing w:val="-7"/>
                <w:sz w:val="24"/>
                <w:szCs w:val="24"/>
              </w:rPr>
              <w:t>根据规划，将云南省国土</w:t>
            </w:r>
            <w:r>
              <w:rPr>
                <w:spacing w:val="-8"/>
                <w:sz w:val="24"/>
                <w:szCs w:val="24"/>
              </w:rPr>
              <w:t>空间分为重点开发区域、限制开发</w:t>
            </w:r>
            <w:r>
              <w:rPr>
                <w:spacing w:val="-4"/>
                <w:sz w:val="24"/>
                <w:szCs w:val="24"/>
              </w:rPr>
              <w:t>区域和禁止开发区域三种区域。</w:t>
            </w:r>
          </w:p>
          <w:p w14:paraId="62FB601B">
            <w:pPr>
              <w:pStyle w:val="6"/>
              <w:spacing w:before="20" w:line="365" w:lineRule="auto"/>
              <w:ind w:left="114" w:right="45" w:firstLine="480"/>
              <w:jc w:val="both"/>
              <w:rPr>
                <w:sz w:val="24"/>
                <w:szCs w:val="24"/>
              </w:rPr>
            </w:pPr>
            <w:r>
              <w:rPr>
                <w:spacing w:val="-4"/>
                <w:sz w:val="24"/>
                <w:szCs w:val="24"/>
              </w:rPr>
              <w:t>拟建项目位于会泽县，根据《云南省主体功能区规划》，会泽县大部分被划定为国家农产品主产区，少部分被划定为禁止开发区。国家农产品主产区功能定</w:t>
            </w:r>
            <w:r>
              <w:rPr>
                <w:spacing w:val="-2"/>
                <w:sz w:val="24"/>
                <w:szCs w:val="24"/>
              </w:rPr>
              <w:t>位是保障粮食产品和主要农产品供给安全的基地，全省农业产业化的重要地区，</w:t>
            </w:r>
            <w:r>
              <w:rPr>
                <w:spacing w:val="-4"/>
                <w:sz w:val="24"/>
                <w:szCs w:val="24"/>
              </w:rPr>
              <w:t>现代农业的示范基地，农村居民安居乐业的美好家园，社会主义新农村建设的示</w:t>
            </w:r>
            <w:r>
              <w:rPr>
                <w:spacing w:val="-6"/>
                <w:sz w:val="24"/>
                <w:szCs w:val="24"/>
              </w:rPr>
              <w:t>范区。农产品主产区要以大力发展高原特色农业为重点，</w:t>
            </w:r>
            <w:r>
              <w:rPr>
                <w:spacing w:val="-34"/>
                <w:sz w:val="24"/>
                <w:szCs w:val="24"/>
              </w:rPr>
              <w:t xml:space="preserve"> </w:t>
            </w:r>
            <w:r>
              <w:rPr>
                <w:spacing w:val="-6"/>
                <w:sz w:val="24"/>
                <w:szCs w:val="24"/>
              </w:rPr>
              <w:t>切实保护耕地，稳</w:t>
            </w:r>
            <w:r>
              <w:rPr>
                <w:spacing w:val="-7"/>
                <w:sz w:val="24"/>
                <w:szCs w:val="24"/>
              </w:rPr>
              <w:t>定粮</w:t>
            </w:r>
            <w:r>
              <w:rPr>
                <w:spacing w:val="-4"/>
                <w:sz w:val="24"/>
                <w:szCs w:val="24"/>
              </w:rPr>
              <w:t>食生产，发展现代农业，增强农业综合生产能力，增加农民收入，加快建设社会</w:t>
            </w:r>
            <w:r>
              <w:rPr>
                <w:spacing w:val="-1"/>
                <w:sz w:val="24"/>
                <w:szCs w:val="24"/>
              </w:rPr>
              <w:t>主义新农村，有效增强农产品供给保障能力，确保国家</w:t>
            </w:r>
            <w:r>
              <w:rPr>
                <w:spacing w:val="-2"/>
                <w:sz w:val="24"/>
                <w:szCs w:val="24"/>
              </w:rPr>
              <w:t>粮食安全和食品安全。</w:t>
            </w:r>
          </w:p>
          <w:p w14:paraId="06C30989">
            <w:pPr>
              <w:pStyle w:val="6"/>
              <w:spacing w:before="1" w:line="341" w:lineRule="auto"/>
              <w:ind w:left="113" w:right="106" w:firstLine="484"/>
              <w:jc w:val="both"/>
              <w:rPr>
                <w:sz w:val="24"/>
                <w:szCs w:val="24"/>
              </w:rPr>
            </w:pPr>
            <w:r>
              <w:rPr>
                <w:spacing w:val="-7"/>
                <w:sz w:val="24"/>
                <w:szCs w:val="24"/>
              </w:rPr>
              <w:t>项目位于国家农产品主产区，不涉及禁止开发区。根据调查，</w:t>
            </w:r>
            <w:r>
              <w:rPr>
                <w:spacing w:val="-19"/>
                <w:sz w:val="24"/>
                <w:szCs w:val="24"/>
              </w:rPr>
              <w:t xml:space="preserve"> </w:t>
            </w:r>
            <w:r>
              <w:rPr>
                <w:spacing w:val="-7"/>
                <w:sz w:val="24"/>
                <w:szCs w:val="24"/>
              </w:rPr>
              <w:t>本项目线路塔</w:t>
            </w:r>
            <w:r>
              <w:rPr>
                <w:spacing w:val="-6"/>
                <w:sz w:val="24"/>
                <w:szCs w:val="24"/>
              </w:rPr>
              <w:t>基涉及占用部分耕地。项目施工期短，</w:t>
            </w:r>
            <w:r>
              <w:rPr>
                <w:spacing w:val="-29"/>
                <w:sz w:val="24"/>
                <w:szCs w:val="24"/>
              </w:rPr>
              <w:t xml:space="preserve"> </w:t>
            </w:r>
            <w:r>
              <w:rPr>
                <w:spacing w:val="-6"/>
                <w:sz w:val="24"/>
                <w:szCs w:val="24"/>
              </w:rPr>
              <w:t>不会长期占用耕地，除线路</w:t>
            </w:r>
            <w:r>
              <w:rPr>
                <w:spacing w:val="-7"/>
                <w:sz w:val="24"/>
                <w:szCs w:val="24"/>
              </w:rPr>
              <w:t>铁塔四个支撑</w:t>
            </w:r>
            <w:r>
              <w:rPr>
                <w:spacing w:val="-4"/>
                <w:sz w:val="24"/>
                <w:szCs w:val="24"/>
              </w:rPr>
              <w:t>脚外，其余临时占用的耕地施工结束后进行复耕，恢复其原有功能，不影响农产</w:t>
            </w:r>
            <w:r>
              <w:rPr>
                <w:spacing w:val="-1"/>
                <w:sz w:val="24"/>
                <w:szCs w:val="24"/>
              </w:rPr>
              <w:t>品主产区功能定位。因此项目与《云南省主体功能区</w:t>
            </w:r>
            <w:r>
              <w:rPr>
                <w:spacing w:val="-2"/>
                <w:sz w:val="24"/>
                <w:szCs w:val="24"/>
              </w:rPr>
              <w:t>规划》的要求不冲突。</w:t>
            </w:r>
          </w:p>
        </w:tc>
      </w:tr>
    </w:tbl>
    <w:p w14:paraId="5CFBC9C1">
      <w:pPr>
        <w:rPr>
          <w:rFonts w:ascii="Arial"/>
          <w:sz w:val="21"/>
        </w:rPr>
      </w:pPr>
    </w:p>
    <w:p w14:paraId="70153884">
      <w:pPr>
        <w:rPr>
          <w:rFonts w:ascii="Arial" w:hAnsi="Arial" w:eastAsia="Arial" w:cs="Arial"/>
          <w:sz w:val="21"/>
          <w:szCs w:val="21"/>
        </w:rPr>
        <w:sectPr>
          <w:footerReference r:id="rId21" w:type="default"/>
          <w:pgSz w:w="11907" w:h="16841"/>
          <w:pgMar w:top="400" w:right="1413" w:bottom="1126" w:left="1414" w:header="0" w:footer="925" w:gutter="0"/>
          <w:cols w:space="720" w:num="1"/>
        </w:sectPr>
      </w:pPr>
    </w:p>
    <w:p w14:paraId="2BC39236">
      <w:pPr>
        <w:spacing w:before="2"/>
      </w:pPr>
    </w:p>
    <w:p w14:paraId="2117563F">
      <w:pPr>
        <w:spacing w:before="2"/>
      </w:pPr>
    </w:p>
    <w:p w14:paraId="0422547C">
      <w:pPr>
        <w:spacing w:before="1"/>
      </w:pPr>
    </w:p>
    <w:p w14:paraId="35CD1C99">
      <w:pPr>
        <w:spacing w:before="1"/>
      </w:pPr>
    </w:p>
    <w:p w14:paraId="29D6EE2B">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0"/>
        <w:gridCol w:w="739"/>
        <w:gridCol w:w="849"/>
        <w:gridCol w:w="849"/>
        <w:gridCol w:w="2267"/>
        <w:gridCol w:w="710"/>
        <w:gridCol w:w="708"/>
        <w:gridCol w:w="993"/>
        <w:gridCol w:w="1164"/>
        <w:gridCol w:w="113"/>
      </w:tblGrid>
      <w:tr w14:paraId="71EBD0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646" w:hRule="atLeast"/>
        </w:trPr>
        <w:tc>
          <w:tcPr>
            <w:tcW w:w="571" w:type="dxa"/>
            <w:vMerge w:val="restart"/>
            <w:tcBorders>
              <w:bottom w:val="nil"/>
            </w:tcBorders>
            <w:vAlign w:val="top"/>
          </w:tcPr>
          <w:p w14:paraId="453136DF">
            <w:pPr>
              <w:rPr>
                <w:rFonts w:ascii="Arial"/>
                <w:sz w:val="21"/>
              </w:rPr>
            </w:pPr>
          </w:p>
        </w:tc>
        <w:tc>
          <w:tcPr>
            <w:tcW w:w="8502" w:type="dxa"/>
            <w:gridSpan w:val="10"/>
            <w:vAlign w:val="top"/>
          </w:tcPr>
          <w:p w14:paraId="1436708C">
            <w:pPr>
              <w:spacing w:before="112" w:line="5779" w:lineRule="exact"/>
              <w:ind w:firstLine="106"/>
            </w:pPr>
            <w:r>
              <w:rPr>
                <w:position w:val="-115"/>
              </w:rPr>
              <w:drawing>
                <wp:inline distT="0" distB="0" distL="0" distR="0">
                  <wp:extent cx="5255260" cy="3669665"/>
                  <wp:effectExtent l="0" t="0" r="0" b="0"/>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206"/>
                          <a:stretch>
                            <a:fillRect/>
                          </a:stretch>
                        </pic:blipFill>
                        <pic:spPr>
                          <a:xfrm>
                            <a:off x="0" y="0"/>
                            <a:ext cx="5255894" cy="3669665"/>
                          </a:xfrm>
                          <a:prstGeom prst="rect">
                            <a:avLst/>
                          </a:prstGeom>
                        </pic:spPr>
                      </pic:pic>
                    </a:graphicData>
                  </a:graphic>
                </wp:inline>
              </w:drawing>
            </w:r>
          </w:p>
          <w:p w14:paraId="27755013">
            <w:pPr>
              <w:pStyle w:val="6"/>
              <w:spacing w:before="249" w:line="234" w:lineRule="auto"/>
              <w:ind w:left="2239"/>
            </w:pPr>
            <w:r>
              <w:rPr>
                <w:b/>
                <w:bCs/>
                <w:spacing w:val="-2"/>
              </w:rPr>
              <w:t>图</w:t>
            </w:r>
            <w:r>
              <w:rPr>
                <w:rFonts w:ascii="Times New Roman" w:hAnsi="Times New Roman" w:eastAsia="Times New Roman" w:cs="Times New Roman"/>
                <w:b/>
                <w:bCs/>
                <w:spacing w:val="-2"/>
              </w:rPr>
              <w:t xml:space="preserve">1-1    </w:t>
            </w:r>
            <w:r>
              <w:rPr>
                <w:b/>
                <w:bCs/>
                <w:spacing w:val="-2"/>
              </w:rPr>
              <w:t>项目与云南省主体功能区的位置</w:t>
            </w:r>
            <w:r>
              <w:rPr>
                <w:b/>
                <w:bCs/>
                <w:spacing w:val="-3"/>
              </w:rPr>
              <w:t>关系</w:t>
            </w:r>
          </w:p>
          <w:p w14:paraId="33336975">
            <w:pPr>
              <w:pStyle w:val="6"/>
              <w:spacing w:before="196" w:line="233" w:lineRule="auto"/>
              <w:ind w:left="113"/>
              <w:rPr>
                <w:sz w:val="24"/>
                <w:szCs w:val="24"/>
              </w:rPr>
            </w:pPr>
            <w:r>
              <w:rPr>
                <w:rFonts w:ascii="Times New Roman" w:hAnsi="Times New Roman" w:eastAsia="Times New Roman" w:cs="Times New Roman"/>
                <w:b/>
                <w:bCs/>
                <w:spacing w:val="-3"/>
                <w:sz w:val="24"/>
                <w:szCs w:val="24"/>
              </w:rPr>
              <w:t>5</w:t>
            </w:r>
            <w:r>
              <w:rPr>
                <w:b/>
                <w:bCs/>
                <w:spacing w:val="-3"/>
                <w:sz w:val="24"/>
                <w:szCs w:val="24"/>
              </w:rPr>
              <w:t>、与《云南省生态功能区划》的符合性分析</w:t>
            </w:r>
          </w:p>
          <w:p w14:paraId="12CD0C2D">
            <w:pPr>
              <w:pStyle w:val="6"/>
              <w:spacing w:before="169" w:line="355" w:lineRule="auto"/>
              <w:ind w:left="114" w:right="105" w:firstLine="480"/>
              <w:jc w:val="both"/>
              <w:rPr>
                <w:sz w:val="24"/>
                <w:szCs w:val="24"/>
              </w:rPr>
            </w:pPr>
            <w:r>
              <w:rPr>
                <w:spacing w:val="-4"/>
                <w:sz w:val="24"/>
                <w:szCs w:val="24"/>
              </w:rPr>
              <w:t>根据云南省的生态环境敏感性、生态系统服务功能分异规律及存在的主要生</w:t>
            </w:r>
            <w:r>
              <w:rPr>
                <w:spacing w:val="-6"/>
                <w:sz w:val="24"/>
                <w:szCs w:val="24"/>
              </w:rPr>
              <w:t>态问题，</w:t>
            </w:r>
            <w:r>
              <w:rPr>
                <w:rFonts w:ascii="Times New Roman" w:hAnsi="Times New Roman" w:eastAsia="Times New Roman" w:cs="Times New Roman"/>
                <w:spacing w:val="-6"/>
                <w:sz w:val="24"/>
                <w:szCs w:val="24"/>
              </w:rPr>
              <w:t xml:space="preserve">2009 </w:t>
            </w:r>
            <w:r>
              <w:rPr>
                <w:spacing w:val="-6"/>
                <w:sz w:val="24"/>
                <w:szCs w:val="24"/>
              </w:rPr>
              <w:t>年</w:t>
            </w:r>
            <w:r>
              <w:rPr>
                <w:spacing w:val="-35"/>
                <w:sz w:val="24"/>
                <w:szCs w:val="24"/>
              </w:rPr>
              <w:t xml:space="preserve"> </w:t>
            </w:r>
            <w:r>
              <w:rPr>
                <w:rFonts w:ascii="Times New Roman" w:hAnsi="Times New Roman" w:eastAsia="Times New Roman" w:cs="Times New Roman"/>
                <w:spacing w:val="-6"/>
                <w:sz w:val="24"/>
                <w:szCs w:val="24"/>
              </w:rPr>
              <w:t>9</w:t>
            </w:r>
            <w:r>
              <w:rPr>
                <w:rFonts w:ascii="Times New Roman" w:hAnsi="Times New Roman" w:eastAsia="Times New Roman" w:cs="Times New Roman"/>
                <w:spacing w:val="15"/>
                <w:w w:val="101"/>
                <w:sz w:val="24"/>
                <w:szCs w:val="24"/>
              </w:rPr>
              <w:t xml:space="preserve"> </w:t>
            </w:r>
            <w:r>
              <w:rPr>
                <w:spacing w:val="-6"/>
                <w:sz w:val="24"/>
                <w:szCs w:val="24"/>
              </w:rPr>
              <w:t>月云南省人民政府批复的《云南省生态功能区划》，将云南生</w:t>
            </w:r>
            <w:r>
              <w:rPr>
                <w:spacing w:val="-7"/>
                <w:sz w:val="24"/>
                <w:szCs w:val="24"/>
              </w:rPr>
              <w:t>态功能分为</w:t>
            </w:r>
            <w:r>
              <w:rPr>
                <w:spacing w:val="-36"/>
                <w:sz w:val="24"/>
                <w:szCs w:val="24"/>
              </w:rPr>
              <w:t xml:space="preserve"> </w:t>
            </w:r>
            <w:r>
              <w:rPr>
                <w:rFonts w:ascii="Times New Roman" w:hAnsi="Times New Roman" w:eastAsia="Times New Roman" w:cs="Times New Roman"/>
                <w:spacing w:val="-7"/>
                <w:sz w:val="24"/>
                <w:szCs w:val="24"/>
              </w:rPr>
              <w:t xml:space="preserve">5 </w:t>
            </w:r>
            <w:r>
              <w:rPr>
                <w:spacing w:val="-7"/>
                <w:sz w:val="24"/>
                <w:szCs w:val="24"/>
              </w:rPr>
              <w:t>个一级区（生态区）、</w:t>
            </w:r>
            <w:r>
              <w:rPr>
                <w:rFonts w:ascii="Times New Roman" w:hAnsi="Times New Roman" w:eastAsia="Times New Roman" w:cs="Times New Roman"/>
                <w:spacing w:val="-7"/>
                <w:sz w:val="24"/>
                <w:szCs w:val="24"/>
              </w:rPr>
              <w:t xml:space="preserve">19 </w:t>
            </w:r>
            <w:r>
              <w:rPr>
                <w:spacing w:val="-7"/>
                <w:sz w:val="24"/>
                <w:szCs w:val="24"/>
              </w:rPr>
              <w:t>个二级区（生态亚区）和</w:t>
            </w:r>
            <w:r>
              <w:rPr>
                <w:rFonts w:ascii="Times New Roman" w:hAnsi="Times New Roman" w:eastAsia="Times New Roman" w:cs="Times New Roman"/>
                <w:spacing w:val="-7"/>
                <w:sz w:val="24"/>
                <w:szCs w:val="24"/>
              </w:rPr>
              <w:t xml:space="preserve">65 </w:t>
            </w:r>
            <w:r>
              <w:rPr>
                <w:spacing w:val="-7"/>
                <w:sz w:val="24"/>
                <w:szCs w:val="24"/>
              </w:rPr>
              <w:t>个三级区（生</w:t>
            </w:r>
            <w:r>
              <w:rPr>
                <w:spacing w:val="-10"/>
                <w:sz w:val="24"/>
                <w:szCs w:val="24"/>
              </w:rPr>
              <w:t>态功能区）。经叠图分析，</w:t>
            </w:r>
            <w:r>
              <w:rPr>
                <w:spacing w:val="-43"/>
                <w:sz w:val="24"/>
                <w:szCs w:val="24"/>
              </w:rPr>
              <w:t xml:space="preserve"> </w:t>
            </w:r>
            <w:r>
              <w:rPr>
                <w:spacing w:val="-10"/>
                <w:sz w:val="24"/>
                <w:szCs w:val="24"/>
              </w:rPr>
              <w:t>项目区位于Ⅲ</w:t>
            </w:r>
            <w:r>
              <w:rPr>
                <w:rFonts w:ascii="Times New Roman" w:hAnsi="Times New Roman" w:eastAsia="Times New Roman" w:cs="Times New Roman"/>
                <w:spacing w:val="-10"/>
                <w:sz w:val="24"/>
                <w:szCs w:val="24"/>
              </w:rPr>
              <w:t>4-3</w:t>
            </w:r>
            <w:r>
              <w:rPr>
                <w:rFonts w:ascii="Times New Roman" w:hAnsi="Times New Roman" w:eastAsia="Times New Roman" w:cs="Times New Roman"/>
                <w:spacing w:val="39"/>
                <w:sz w:val="24"/>
                <w:szCs w:val="24"/>
              </w:rPr>
              <w:t xml:space="preserve"> </w:t>
            </w:r>
            <w:r>
              <w:rPr>
                <w:spacing w:val="-10"/>
                <w:sz w:val="24"/>
                <w:szCs w:val="24"/>
              </w:rPr>
              <w:t>以礼河、硝</w:t>
            </w:r>
            <w:r>
              <w:rPr>
                <w:spacing w:val="-11"/>
                <w:sz w:val="24"/>
                <w:szCs w:val="24"/>
              </w:rPr>
              <w:t>厂河高山深谷水土保持生</w:t>
            </w:r>
            <w:r>
              <w:rPr>
                <w:spacing w:val="-2"/>
                <w:sz w:val="24"/>
                <w:szCs w:val="24"/>
              </w:rPr>
              <w:t>态功能区，项目在云南省生态功能区划情况见下表。</w:t>
            </w:r>
          </w:p>
          <w:p w14:paraId="3AB186C4">
            <w:pPr>
              <w:pStyle w:val="6"/>
              <w:spacing w:before="1" w:line="221" w:lineRule="auto"/>
              <w:ind w:left="2508"/>
            </w:pPr>
            <w:r>
              <w:rPr>
                <w:b/>
                <w:bCs/>
                <w:spacing w:val="-2"/>
              </w:rPr>
              <w:t>表</w:t>
            </w:r>
            <w:r>
              <w:rPr>
                <w:spacing w:val="-36"/>
              </w:rPr>
              <w:t xml:space="preserve"> </w:t>
            </w:r>
            <w:r>
              <w:rPr>
                <w:rFonts w:ascii="Times New Roman" w:hAnsi="Times New Roman" w:eastAsia="Times New Roman" w:cs="Times New Roman"/>
                <w:b/>
                <w:bCs/>
                <w:spacing w:val="-2"/>
              </w:rPr>
              <w:t xml:space="preserve">1-4    </w:t>
            </w:r>
            <w:r>
              <w:rPr>
                <w:b/>
                <w:bCs/>
                <w:spacing w:val="-2"/>
              </w:rPr>
              <w:t>本项目所在地的生态功能区划</w:t>
            </w:r>
          </w:p>
        </w:tc>
      </w:tr>
      <w:tr w14:paraId="2BB9A4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571" w:type="dxa"/>
            <w:vMerge w:val="continue"/>
            <w:tcBorders>
              <w:top w:val="nil"/>
              <w:bottom w:val="nil"/>
            </w:tcBorders>
            <w:vAlign w:val="top"/>
          </w:tcPr>
          <w:p w14:paraId="067815EE">
            <w:pPr>
              <w:rPr>
                <w:rFonts w:ascii="Arial"/>
                <w:sz w:val="21"/>
              </w:rPr>
            </w:pPr>
          </w:p>
        </w:tc>
        <w:tc>
          <w:tcPr>
            <w:tcW w:w="110" w:type="dxa"/>
            <w:tcBorders>
              <w:top w:val="nil"/>
              <w:bottom w:val="nil"/>
            </w:tcBorders>
            <w:vAlign w:val="top"/>
          </w:tcPr>
          <w:p w14:paraId="46E3FA12">
            <w:pPr>
              <w:rPr>
                <w:rFonts w:ascii="Arial"/>
                <w:sz w:val="21"/>
              </w:rPr>
            </w:pPr>
          </w:p>
        </w:tc>
        <w:tc>
          <w:tcPr>
            <w:tcW w:w="2437" w:type="dxa"/>
            <w:gridSpan w:val="3"/>
            <w:vAlign w:val="top"/>
          </w:tcPr>
          <w:p w14:paraId="1162E41F">
            <w:pPr>
              <w:pStyle w:val="6"/>
              <w:spacing w:before="57" w:line="218" w:lineRule="auto"/>
              <w:ind w:left="382"/>
            </w:pPr>
            <w:r>
              <w:rPr>
                <w:b/>
                <w:bCs/>
                <w:spacing w:val="-3"/>
              </w:rPr>
              <w:t>生态功能分区单元</w:t>
            </w:r>
          </w:p>
        </w:tc>
        <w:tc>
          <w:tcPr>
            <w:tcW w:w="2267" w:type="dxa"/>
            <w:vMerge w:val="restart"/>
            <w:tcBorders>
              <w:bottom w:val="nil"/>
            </w:tcBorders>
            <w:vAlign w:val="top"/>
          </w:tcPr>
          <w:p w14:paraId="34C01430">
            <w:pPr>
              <w:spacing w:line="307" w:lineRule="auto"/>
              <w:rPr>
                <w:rFonts w:ascii="Arial"/>
                <w:sz w:val="21"/>
              </w:rPr>
            </w:pPr>
          </w:p>
          <w:p w14:paraId="127AE1E1">
            <w:pPr>
              <w:pStyle w:val="6"/>
              <w:spacing w:before="69" w:line="221" w:lineRule="auto"/>
              <w:ind w:left="509"/>
            </w:pPr>
            <w:r>
              <w:rPr>
                <w:b/>
                <w:bCs/>
                <w:spacing w:val="-3"/>
              </w:rPr>
              <w:t>主要生态特征</w:t>
            </w:r>
          </w:p>
        </w:tc>
        <w:tc>
          <w:tcPr>
            <w:tcW w:w="710" w:type="dxa"/>
            <w:vMerge w:val="restart"/>
            <w:tcBorders>
              <w:bottom w:val="nil"/>
            </w:tcBorders>
            <w:vAlign w:val="top"/>
          </w:tcPr>
          <w:p w14:paraId="6FC2ECB7">
            <w:pPr>
              <w:pStyle w:val="6"/>
              <w:spacing w:before="64" w:line="223" w:lineRule="auto"/>
              <w:ind w:left="47"/>
            </w:pPr>
            <w:r>
              <w:rPr>
                <w:b/>
                <w:bCs/>
                <w:spacing w:val="-4"/>
              </w:rPr>
              <w:t>主要生</w:t>
            </w:r>
          </w:p>
          <w:p w14:paraId="7BA4E575">
            <w:pPr>
              <w:pStyle w:val="6"/>
              <w:spacing w:before="60" w:line="253" w:lineRule="auto"/>
              <w:ind w:left="174" w:right="34" w:hanging="129"/>
            </w:pPr>
            <w:r>
              <w:rPr>
                <w:b/>
                <w:bCs/>
                <w:spacing w:val="-4"/>
              </w:rPr>
              <w:t>态环境</w:t>
            </w:r>
            <w:r>
              <w:rPr>
                <w:b/>
                <w:bCs/>
                <w:spacing w:val="-10"/>
              </w:rPr>
              <w:t>问题</w:t>
            </w:r>
          </w:p>
        </w:tc>
        <w:tc>
          <w:tcPr>
            <w:tcW w:w="708" w:type="dxa"/>
            <w:vMerge w:val="restart"/>
            <w:tcBorders>
              <w:bottom w:val="nil"/>
            </w:tcBorders>
            <w:vAlign w:val="top"/>
          </w:tcPr>
          <w:p w14:paraId="5561AB6D">
            <w:pPr>
              <w:pStyle w:val="6"/>
              <w:spacing w:before="63" w:line="223" w:lineRule="auto"/>
              <w:ind w:left="47"/>
            </w:pPr>
            <w:r>
              <w:rPr>
                <w:b/>
                <w:bCs/>
                <w:spacing w:val="-4"/>
              </w:rPr>
              <w:t>生态环</w:t>
            </w:r>
          </w:p>
          <w:p w14:paraId="0F5145B8">
            <w:pPr>
              <w:pStyle w:val="6"/>
              <w:spacing w:before="61" w:line="253" w:lineRule="auto"/>
              <w:ind w:left="259" w:right="31" w:hanging="213"/>
            </w:pPr>
            <w:r>
              <w:rPr>
                <w:b/>
                <w:bCs/>
                <w:spacing w:val="-5"/>
              </w:rPr>
              <w:t>境敏感</w:t>
            </w:r>
            <w:r>
              <w:rPr>
                <w:b/>
                <w:bCs/>
                <w:spacing w:val="-3"/>
              </w:rPr>
              <w:t>性</w:t>
            </w:r>
          </w:p>
        </w:tc>
        <w:tc>
          <w:tcPr>
            <w:tcW w:w="993" w:type="dxa"/>
            <w:vMerge w:val="restart"/>
            <w:tcBorders>
              <w:bottom w:val="nil"/>
            </w:tcBorders>
            <w:vAlign w:val="top"/>
          </w:tcPr>
          <w:p w14:paraId="5644044E">
            <w:pPr>
              <w:pStyle w:val="6"/>
              <w:spacing w:before="64" w:line="223" w:lineRule="auto"/>
              <w:ind w:left="84"/>
            </w:pPr>
            <w:r>
              <w:rPr>
                <w:b/>
                <w:bCs/>
                <w:spacing w:val="-4"/>
              </w:rPr>
              <w:t>主要生态</w:t>
            </w:r>
          </w:p>
          <w:p w14:paraId="7316834E">
            <w:pPr>
              <w:pStyle w:val="6"/>
              <w:spacing w:before="60" w:line="253" w:lineRule="auto"/>
              <w:ind w:left="296" w:right="68" w:hanging="210"/>
            </w:pPr>
            <w:r>
              <w:rPr>
                <w:b/>
                <w:bCs/>
                <w:spacing w:val="-5"/>
              </w:rPr>
              <w:t>系统服务功能</w:t>
            </w:r>
          </w:p>
        </w:tc>
        <w:tc>
          <w:tcPr>
            <w:tcW w:w="1164" w:type="dxa"/>
            <w:vMerge w:val="restart"/>
            <w:tcBorders>
              <w:bottom w:val="nil"/>
            </w:tcBorders>
            <w:vAlign w:val="top"/>
          </w:tcPr>
          <w:p w14:paraId="611CDCB9">
            <w:pPr>
              <w:pStyle w:val="6"/>
              <w:spacing w:before="219" w:line="281" w:lineRule="auto"/>
              <w:ind w:left="172" w:right="47" w:hanging="108"/>
            </w:pPr>
            <w:r>
              <w:rPr>
                <w:b/>
                <w:bCs/>
                <w:spacing w:val="-3"/>
              </w:rPr>
              <w:t>保护措施与</w:t>
            </w:r>
            <w:r>
              <w:rPr>
                <w:b/>
                <w:bCs/>
                <w:spacing w:val="-4"/>
              </w:rPr>
              <w:t>发展方向</w:t>
            </w:r>
          </w:p>
        </w:tc>
        <w:tc>
          <w:tcPr>
            <w:tcW w:w="113" w:type="dxa"/>
            <w:tcBorders>
              <w:top w:val="nil"/>
              <w:bottom w:val="nil"/>
            </w:tcBorders>
            <w:vAlign w:val="top"/>
          </w:tcPr>
          <w:p w14:paraId="449374EB">
            <w:pPr>
              <w:rPr>
                <w:rFonts w:ascii="Arial"/>
                <w:sz w:val="21"/>
              </w:rPr>
            </w:pPr>
          </w:p>
        </w:tc>
      </w:tr>
      <w:tr w14:paraId="6E1B3E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4" w:hRule="atLeast"/>
        </w:trPr>
        <w:tc>
          <w:tcPr>
            <w:tcW w:w="571" w:type="dxa"/>
            <w:vMerge w:val="continue"/>
            <w:tcBorders>
              <w:top w:val="nil"/>
              <w:bottom w:val="nil"/>
            </w:tcBorders>
            <w:vAlign w:val="top"/>
          </w:tcPr>
          <w:p w14:paraId="28C614FE">
            <w:pPr>
              <w:rPr>
                <w:rFonts w:ascii="Arial"/>
                <w:sz w:val="21"/>
              </w:rPr>
            </w:pPr>
          </w:p>
        </w:tc>
        <w:tc>
          <w:tcPr>
            <w:tcW w:w="110" w:type="dxa"/>
            <w:tcBorders>
              <w:top w:val="nil"/>
              <w:bottom w:val="nil"/>
            </w:tcBorders>
            <w:vAlign w:val="top"/>
          </w:tcPr>
          <w:p w14:paraId="1CF1EDAB">
            <w:pPr>
              <w:rPr>
                <w:rFonts w:ascii="Arial"/>
                <w:sz w:val="21"/>
              </w:rPr>
            </w:pPr>
          </w:p>
        </w:tc>
        <w:tc>
          <w:tcPr>
            <w:tcW w:w="739" w:type="dxa"/>
            <w:vAlign w:val="top"/>
          </w:tcPr>
          <w:p w14:paraId="4E6C2726">
            <w:pPr>
              <w:pStyle w:val="6"/>
              <w:spacing w:before="221" w:line="226" w:lineRule="auto"/>
              <w:ind w:left="58"/>
            </w:pPr>
            <w:r>
              <w:rPr>
                <w:b/>
                <w:bCs/>
                <w:spacing w:val="-4"/>
              </w:rPr>
              <w:t>生态区</w:t>
            </w:r>
          </w:p>
        </w:tc>
        <w:tc>
          <w:tcPr>
            <w:tcW w:w="849" w:type="dxa"/>
            <w:vAlign w:val="top"/>
          </w:tcPr>
          <w:p w14:paraId="01DECDDE">
            <w:pPr>
              <w:pStyle w:val="6"/>
              <w:spacing w:before="62" w:line="251" w:lineRule="auto"/>
              <w:ind w:left="338" w:right="106" w:hanging="225"/>
            </w:pPr>
            <w:r>
              <w:rPr>
                <w:b/>
                <w:bCs/>
                <w:spacing w:val="-5"/>
              </w:rPr>
              <w:t>生态亚</w:t>
            </w:r>
            <w:r>
              <w:rPr>
                <w:b/>
                <w:bCs/>
                <w:spacing w:val="-3"/>
              </w:rPr>
              <w:t>区</w:t>
            </w:r>
          </w:p>
        </w:tc>
        <w:tc>
          <w:tcPr>
            <w:tcW w:w="849" w:type="dxa"/>
            <w:vAlign w:val="top"/>
          </w:tcPr>
          <w:p w14:paraId="6397565D">
            <w:pPr>
              <w:pStyle w:val="6"/>
              <w:spacing w:before="62" w:line="251" w:lineRule="auto"/>
              <w:ind w:left="226" w:right="105" w:hanging="112"/>
            </w:pPr>
            <w:r>
              <w:rPr>
                <w:b/>
                <w:bCs/>
                <w:spacing w:val="-5"/>
              </w:rPr>
              <w:t>生态功</w:t>
            </w:r>
            <w:r>
              <w:rPr>
                <w:b/>
                <w:bCs/>
                <w:spacing w:val="-6"/>
              </w:rPr>
              <w:t>能区</w:t>
            </w:r>
          </w:p>
        </w:tc>
        <w:tc>
          <w:tcPr>
            <w:tcW w:w="2267" w:type="dxa"/>
            <w:vMerge w:val="continue"/>
            <w:tcBorders>
              <w:top w:val="nil"/>
            </w:tcBorders>
            <w:vAlign w:val="top"/>
          </w:tcPr>
          <w:p w14:paraId="73E0CB92">
            <w:pPr>
              <w:rPr>
                <w:rFonts w:ascii="Arial"/>
                <w:sz w:val="21"/>
              </w:rPr>
            </w:pPr>
          </w:p>
        </w:tc>
        <w:tc>
          <w:tcPr>
            <w:tcW w:w="710" w:type="dxa"/>
            <w:vMerge w:val="continue"/>
            <w:tcBorders>
              <w:top w:val="nil"/>
            </w:tcBorders>
            <w:vAlign w:val="top"/>
          </w:tcPr>
          <w:p w14:paraId="278D9554">
            <w:pPr>
              <w:rPr>
                <w:rFonts w:ascii="Arial"/>
                <w:sz w:val="21"/>
              </w:rPr>
            </w:pPr>
          </w:p>
        </w:tc>
        <w:tc>
          <w:tcPr>
            <w:tcW w:w="708" w:type="dxa"/>
            <w:vMerge w:val="continue"/>
            <w:tcBorders>
              <w:top w:val="nil"/>
            </w:tcBorders>
            <w:vAlign w:val="top"/>
          </w:tcPr>
          <w:p w14:paraId="4809BB62">
            <w:pPr>
              <w:rPr>
                <w:rFonts w:ascii="Arial"/>
                <w:sz w:val="21"/>
              </w:rPr>
            </w:pPr>
          </w:p>
        </w:tc>
        <w:tc>
          <w:tcPr>
            <w:tcW w:w="993" w:type="dxa"/>
            <w:vMerge w:val="continue"/>
            <w:tcBorders>
              <w:top w:val="nil"/>
            </w:tcBorders>
            <w:vAlign w:val="top"/>
          </w:tcPr>
          <w:p w14:paraId="7F3C296C">
            <w:pPr>
              <w:rPr>
                <w:rFonts w:ascii="Arial"/>
                <w:sz w:val="21"/>
              </w:rPr>
            </w:pPr>
          </w:p>
        </w:tc>
        <w:tc>
          <w:tcPr>
            <w:tcW w:w="1164" w:type="dxa"/>
            <w:vMerge w:val="continue"/>
            <w:tcBorders>
              <w:top w:val="nil"/>
            </w:tcBorders>
            <w:vAlign w:val="top"/>
          </w:tcPr>
          <w:p w14:paraId="511F0F2E">
            <w:pPr>
              <w:rPr>
                <w:rFonts w:ascii="Arial"/>
                <w:sz w:val="21"/>
              </w:rPr>
            </w:pPr>
          </w:p>
        </w:tc>
        <w:tc>
          <w:tcPr>
            <w:tcW w:w="113" w:type="dxa"/>
            <w:tcBorders>
              <w:top w:val="nil"/>
              <w:bottom w:val="nil"/>
            </w:tcBorders>
            <w:vAlign w:val="top"/>
          </w:tcPr>
          <w:p w14:paraId="698C678C">
            <w:pPr>
              <w:rPr>
                <w:rFonts w:ascii="Arial"/>
                <w:sz w:val="21"/>
              </w:rPr>
            </w:pPr>
          </w:p>
        </w:tc>
      </w:tr>
      <w:tr w14:paraId="5B8C7C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62" w:hRule="atLeast"/>
        </w:trPr>
        <w:tc>
          <w:tcPr>
            <w:tcW w:w="571" w:type="dxa"/>
            <w:vMerge w:val="continue"/>
            <w:tcBorders>
              <w:top w:val="nil"/>
            </w:tcBorders>
            <w:vAlign w:val="top"/>
          </w:tcPr>
          <w:p w14:paraId="784329C5">
            <w:pPr>
              <w:rPr>
                <w:rFonts w:ascii="Arial"/>
                <w:sz w:val="21"/>
              </w:rPr>
            </w:pPr>
          </w:p>
        </w:tc>
        <w:tc>
          <w:tcPr>
            <w:tcW w:w="110" w:type="dxa"/>
            <w:tcBorders>
              <w:top w:val="nil"/>
            </w:tcBorders>
            <w:vAlign w:val="top"/>
          </w:tcPr>
          <w:p w14:paraId="60E51E7A">
            <w:pPr>
              <w:rPr>
                <w:rFonts w:ascii="Arial"/>
                <w:sz w:val="21"/>
              </w:rPr>
            </w:pPr>
          </w:p>
        </w:tc>
        <w:tc>
          <w:tcPr>
            <w:tcW w:w="739" w:type="dxa"/>
            <w:vAlign w:val="top"/>
          </w:tcPr>
          <w:p w14:paraId="25608B1F">
            <w:pPr>
              <w:spacing w:line="459" w:lineRule="auto"/>
              <w:rPr>
                <w:rFonts w:ascii="Arial"/>
                <w:sz w:val="21"/>
              </w:rPr>
            </w:pPr>
          </w:p>
          <w:p w14:paraId="13E4C8E5">
            <w:pPr>
              <w:pStyle w:val="6"/>
              <w:spacing w:before="68" w:line="221" w:lineRule="auto"/>
              <w:ind w:left="55"/>
            </w:pPr>
            <w:r>
              <w:rPr>
                <w:spacing w:val="-1"/>
              </w:rPr>
              <w:t>Ⅲ高原</w:t>
            </w:r>
          </w:p>
          <w:p w14:paraId="13FFE15D">
            <w:pPr>
              <w:pStyle w:val="6"/>
              <w:spacing w:before="65" w:line="221" w:lineRule="auto"/>
              <w:ind w:left="58"/>
            </w:pPr>
            <w:r>
              <w:rPr>
                <w:spacing w:val="-2"/>
              </w:rPr>
              <w:t>亚热带</w:t>
            </w:r>
          </w:p>
          <w:p w14:paraId="54DC18D9">
            <w:pPr>
              <w:pStyle w:val="6"/>
              <w:spacing w:before="65" w:line="221" w:lineRule="auto"/>
              <w:ind w:left="59"/>
            </w:pPr>
            <w:r>
              <w:rPr>
                <w:spacing w:val="-2"/>
              </w:rPr>
              <w:t>北部常</w:t>
            </w:r>
          </w:p>
          <w:p w14:paraId="3E6F9B64">
            <w:pPr>
              <w:pStyle w:val="6"/>
              <w:spacing w:before="63" w:line="221" w:lineRule="auto"/>
              <w:ind w:left="58"/>
            </w:pPr>
            <w:r>
              <w:rPr>
                <w:spacing w:val="-2"/>
              </w:rPr>
              <w:t>绿阔叶</w:t>
            </w:r>
          </w:p>
          <w:p w14:paraId="59B4CEC9">
            <w:pPr>
              <w:pStyle w:val="6"/>
              <w:spacing w:before="65" w:line="221" w:lineRule="auto"/>
              <w:ind w:left="57"/>
            </w:pPr>
            <w:r>
              <w:rPr>
                <w:spacing w:val="-2"/>
              </w:rPr>
              <w:t>林生态</w:t>
            </w:r>
          </w:p>
          <w:p w14:paraId="01385167">
            <w:pPr>
              <w:pStyle w:val="6"/>
              <w:spacing w:before="65" w:line="226" w:lineRule="auto"/>
              <w:ind w:left="283"/>
            </w:pPr>
            <w:r>
              <w:t>区</w:t>
            </w:r>
          </w:p>
        </w:tc>
        <w:tc>
          <w:tcPr>
            <w:tcW w:w="849" w:type="dxa"/>
            <w:vAlign w:val="top"/>
          </w:tcPr>
          <w:p w14:paraId="07C775B3">
            <w:pPr>
              <w:spacing w:line="302" w:lineRule="auto"/>
              <w:rPr>
                <w:rFonts w:ascii="Arial"/>
                <w:sz w:val="21"/>
              </w:rPr>
            </w:pPr>
          </w:p>
          <w:p w14:paraId="40E04327">
            <w:pPr>
              <w:pStyle w:val="6"/>
              <w:spacing w:before="68" w:line="273" w:lineRule="auto"/>
              <w:ind w:left="35" w:right="22" w:hanging="4"/>
            </w:pPr>
            <w:r>
              <w:rPr>
                <w:spacing w:val="-3"/>
              </w:rPr>
              <w:t>Ⅲ</w:t>
            </w:r>
            <w:r>
              <w:rPr>
                <w:rFonts w:ascii="Times New Roman" w:hAnsi="Times New Roman" w:eastAsia="Times New Roman" w:cs="Times New Roman"/>
                <w:spacing w:val="-3"/>
              </w:rPr>
              <w:t>4</w:t>
            </w:r>
            <w:r>
              <w:rPr>
                <w:rFonts w:ascii="Times New Roman" w:hAnsi="Times New Roman" w:eastAsia="Times New Roman" w:cs="Times New Roman"/>
                <w:spacing w:val="13"/>
                <w:w w:val="101"/>
              </w:rPr>
              <w:t xml:space="preserve"> </w:t>
            </w:r>
            <w:r>
              <w:rPr>
                <w:spacing w:val="-3"/>
              </w:rPr>
              <w:t>滇东</w:t>
            </w:r>
            <w:r>
              <w:rPr>
                <w:spacing w:val="-15"/>
              </w:rPr>
              <w:t>北 高</w:t>
            </w:r>
            <w:r>
              <w:rPr>
                <w:spacing w:val="4"/>
              </w:rPr>
              <w:t xml:space="preserve"> </w:t>
            </w:r>
            <w:r>
              <w:rPr>
                <w:spacing w:val="-15"/>
              </w:rPr>
              <w:t>中</w:t>
            </w:r>
          </w:p>
          <w:p w14:paraId="4C433441">
            <w:pPr>
              <w:pStyle w:val="6"/>
              <w:spacing w:before="11" w:line="278" w:lineRule="auto"/>
              <w:ind w:left="32" w:right="8" w:firstLine="19"/>
              <w:jc w:val="both"/>
            </w:pPr>
            <w:r>
              <w:rPr>
                <w:spacing w:val="-15"/>
              </w:rPr>
              <w:t>山 暖 性</w:t>
            </w:r>
            <w:r>
              <w:rPr>
                <w:spacing w:val="-10"/>
              </w:rPr>
              <w:t>针叶林、</w:t>
            </w:r>
            <w:r>
              <w:rPr>
                <w:spacing w:val="-14"/>
              </w:rPr>
              <w:t>亚 高</w:t>
            </w:r>
            <w:r>
              <w:rPr>
                <w:spacing w:val="3"/>
              </w:rPr>
              <w:t xml:space="preserve"> </w:t>
            </w:r>
            <w:r>
              <w:rPr>
                <w:spacing w:val="-14"/>
              </w:rPr>
              <w:t>山</w:t>
            </w:r>
          </w:p>
          <w:p w14:paraId="6C6C8892">
            <w:pPr>
              <w:pStyle w:val="6"/>
              <w:spacing w:before="2" w:line="280" w:lineRule="auto"/>
              <w:ind w:left="32" w:right="22" w:firstLine="1"/>
            </w:pPr>
            <w:r>
              <w:rPr>
                <w:spacing w:val="-10"/>
              </w:rPr>
              <w:t>草</w:t>
            </w:r>
            <w:r>
              <w:rPr>
                <w:spacing w:val="-11"/>
              </w:rPr>
              <w:t xml:space="preserve"> </w:t>
            </w:r>
            <w:r>
              <w:rPr>
                <w:spacing w:val="-10"/>
              </w:rPr>
              <w:t>甸</w:t>
            </w:r>
            <w:r>
              <w:rPr>
                <w:spacing w:val="-14"/>
              </w:rPr>
              <w:t xml:space="preserve"> </w:t>
            </w:r>
            <w:r>
              <w:rPr>
                <w:spacing w:val="-10"/>
              </w:rPr>
              <w:t>生</w:t>
            </w:r>
            <w:r>
              <w:rPr>
                <w:spacing w:val="-2"/>
              </w:rPr>
              <w:t>态亚区</w:t>
            </w:r>
          </w:p>
        </w:tc>
        <w:tc>
          <w:tcPr>
            <w:tcW w:w="849" w:type="dxa"/>
            <w:vAlign w:val="top"/>
          </w:tcPr>
          <w:p w14:paraId="25224F7E">
            <w:pPr>
              <w:pStyle w:val="6"/>
              <w:spacing w:before="216" w:line="272" w:lineRule="auto"/>
              <w:ind w:left="118" w:right="43" w:hanging="66"/>
            </w:pPr>
            <w:r>
              <w:rPr>
                <w:spacing w:val="-8"/>
              </w:rPr>
              <w:t>Ⅲ</w:t>
            </w:r>
            <w:r>
              <w:rPr>
                <w:rFonts w:ascii="Times New Roman" w:hAnsi="Times New Roman" w:eastAsia="Times New Roman" w:cs="Times New Roman"/>
                <w:spacing w:val="-8"/>
              </w:rPr>
              <w:t>4-3</w:t>
            </w:r>
            <w:r>
              <w:rPr>
                <w:rFonts w:ascii="Times New Roman" w:hAnsi="Times New Roman" w:eastAsia="Times New Roman" w:cs="Times New Roman"/>
                <w:spacing w:val="35"/>
              </w:rPr>
              <w:t xml:space="preserve"> </w:t>
            </w:r>
            <w:r>
              <w:rPr>
                <w:spacing w:val="-8"/>
              </w:rPr>
              <w:t>以</w:t>
            </w:r>
            <w:r>
              <w:rPr>
                <w:spacing w:val="-9"/>
              </w:rPr>
              <w:t>礼河、</w:t>
            </w:r>
          </w:p>
          <w:p w14:paraId="53D95A2F">
            <w:pPr>
              <w:pStyle w:val="6"/>
              <w:spacing w:before="12" w:line="221" w:lineRule="auto"/>
              <w:ind w:left="117"/>
            </w:pPr>
            <w:r>
              <w:rPr>
                <w:spacing w:val="-2"/>
              </w:rPr>
              <w:t>硝厂河</w:t>
            </w:r>
          </w:p>
          <w:p w14:paraId="4281A4D9">
            <w:pPr>
              <w:pStyle w:val="6"/>
              <w:spacing w:before="64" w:line="221" w:lineRule="auto"/>
              <w:ind w:left="121"/>
            </w:pPr>
            <w:r>
              <w:rPr>
                <w:spacing w:val="-3"/>
              </w:rPr>
              <w:t>高山深</w:t>
            </w:r>
          </w:p>
          <w:p w14:paraId="65A9D945">
            <w:pPr>
              <w:pStyle w:val="6"/>
              <w:spacing w:before="63" w:line="221" w:lineRule="auto"/>
              <w:ind w:left="117"/>
            </w:pPr>
            <w:r>
              <w:rPr>
                <w:spacing w:val="-2"/>
              </w:rPr>
              <w:t>谷水土</w:t>
            </w:r>
          </w:p>
          <w:p w14:paraId="78D130E1">
            <w:pPr>
              <w:pStyle w:val="6"/>
              <w:spacing w:before="65" w:line="221" w:lineRule="auto"/>
              <w:ind w:left="116"/>
            </w:pPr>
            <w:r>
              <w:rPr>
                <w:spacing w:val="-2"/>
              </w:rPr>
              <w:t>保持生</w:t>
            </w:r>
          </w:p>
          <w:p w14:paraId="1D7A289A">
            <w:pPr>
              <w:pStyle w:val="6"/>
              <w:spacing w:before="65" w:line="281" w:lineRule="auto"/>
              <w:ind w:left="339" w:right="103" w:hanging="224"/>
            </w:pPr>
            <w:r>
              <w:rPr>
                <w:spacing w:val="-2"/>
              </w:rPr>
              <w:t>态功能</w:t>
            </w:r>
            <w:r>
              <w:t>区</w:t>
            </w:r>
          </w:p>
        </w:tc>
        <w:tc>
          <w:tcPr>
            <w:tcW w:w="2267" w:type="dxa"/>
            <w:vAlign w:val="top"/>
          </w:tcPr>
          <w:p w14:paraId="1E3DECC1">
            <w:pPr>
              <w:spacing w:line="302" w:lineRule="auto"/>
              <w:rPr>
                <w:rFonts w:ascii="Arial"/>
                <w:sz w:val="21"/>
              </w:rPr>
            </w:pPr>
          </w:p>
          <w:p w14:paraId="00F0AEA0">
            <w:pPr>
              <w:pStyle w:val="6"/>
              <w:spacing w:before="68" w:line="220" w:lineRule="auto"/>
              <w:ind w:left="113"/>
            </w:pPr>
            <w:r>
              <w:rPr>
                <w:spacing w:val="-3"/>
              </w:rPr>
              <w:t>以石灰岩高山深谷地貌</w:t>
            </w:r>
          </w:p>
          <w:p w14:paraId="0FEE61FA">
            <w:pPr>
              <w:pStyle w:val="6"/>
              <w:spacing w:before="66" w:line="221" w:lineRule="auto"/>
              <w:ind w:left="197"/>
            </w:pPr>
            <w:r>
              <w:rPr>
                <w:spacing w:val="-1"/>
              </w:rPr>
              <w:t>为主，年降雨量北部</w:t>
            </w:r>
          </w:p>
          <w:p w14:paraId="26824915">
            <w:pPr>
              <w:pStyle w:val="6"/>
              <w:spacing w:before="66" w:line="234" w:lineRule="auto"/>
              <w:ind w:left="137"/>
            </w:pPr>
            <w:r>
              <w:rPr>
                <w:rFonts w:ascii="Times New Roman" w:hAnsi="Times New Roman" w:eastAsia="Times New Roman" w:cs="Times New Roman"/>
                <w:spacing w:val="-1"/>
              </w:rPr>
              <w:t xml:space="preserve">800-900 </w:t>
            </w:r>
            <w:r>
              <w:rPr>
                <w:spacing w:val="-1"/>
              </w:rPr>
              <w:t>毫米，南部地</w:t>
            </w:r>
          </w:p>
          <w:p w14:paraId="579C8E0A">
            <w:pPr>
              <w:pStyle w:val="6"/>
              <w:spacing w:before="48" w:line="234" w:lineRule="auto"/>
              <w:ind w:left="124"/>
            </w:pPr>
            <w:r>
              <w:rPr>
                <w:spacing w:val="-3"/>
              </w:rPr>
              <w:t>区</w:t>
            </w:r>
            <w:r>
              <w:rPr>
                <w:spacing w:val="-23"/>
              </w:rPr>
              <w:t xml:space="preserve"> </w:t>
            </w:r>
            <w:r>
              <w:rPr>
                <w:rFonts w:ascii="Times New Roman" w:hAnsi="Times New Roman" w:eastAsia="Times New Roman" w:cs="Times New Roman"/>
                <w:spacing w:val="-3"/>
              </w:rPr>
              <w:t xml:space="preserve">1000-1200 </w:t>
            </w:r>
            <w:r>
              <w:rPr>
                <w:spacing w:val="-3"/>
              </w:rPr>
              <w:t>毫米，植</w:t>
            </w:r>
          </w:p>
          <w:p w14:paraId="2E6366FD">
            <w:pPr>
              <w:pStyle w:val="6"/>
              <w:spacing w:before="49" w:line="221" w:lineRule="auto"/>
              <w:ind w:left="89"/>
            </w:pPr>
            <w:r>
              <w:t>被主要为云南松林，土</w:t>
            </w:r>
          </w:p>
          <w:p w14:paraId="59569809">
            <w:pPr>
              <w:pStyle w:val="6"/>
              <w:spacing w:before="65" w:line="221" w:lineRule="auto"/>
              <w:ind w:left="89"/>
            </w:pPr>
            <w:r>
              <w:rPr>
                <w:spacing w:val="-1"/>
              </w:rPr>
              <w:t>壤类型主要是红壤和棕</w:t>
            </w:r>
          </w:p>
          <w:p w14:paraId="2E7B41DE">
            <w:pPr>
              <w:pStyle w:val="6"/>
              <w:spacing w:before="63" w:line="222" w:lineRule="auto"/>
              <w:ind w:left="1035"/>
            </w:pPr>
            <w:r>
              <w:t>壤</w:t>
            </w:r>
          </w:p>
        </w:tc>
        <w:tc>
          <w:tcPr>
            <w:tcW w:w="710" w:type="dxa"/>
            <w:vAlign w:val="top"/>
          </w:tcPr>
          <w:p w14:paraId="64019876">
            <w:pPr>
              <w:pStyle w:val="6"/>
              <w:spacing w:before="215" w:line="278" w:lineRule="auto"/>
              <w:ind w:left="44" w:right="34"/>
              <w:jc w:val="both"/>
            </w:pPr>
            <w:r>
              <w:rPr>
                <w:spacing w:val="-2"/>
              </w:rPr>
              <w:t>森林覆</w:t>
            </w:r>
            <w:r>
              <w:rPr>
                <w:spacing w:val="50"/>
              </w:rPr>
              <w:t>盖率</w:t>
            </w:r>
            <w:r>
              <w:rPr>
                <w:spacing w:val="-2"/>
              </w:rPr>
              <w:t>低、质</w:t>
            </w:r>
          </w:p>
          <w:p w14:paraId="2FC315C5">
            <w:pPr>
              <w:pStyle w:val="6"/>
              <w:spacing w:line="226" w:lineRule="auto"/>
              <w:ind w:left="45"/>
            </w:pPr>
            <w:r>
              <w:rPr>
                <w:spacing w:val="-12"/>
              </w:rPr>
              <w:t>量差，</w:t>
            </w:r>
          </w:p>
          <w:p w14:paraId="5C4AF23C">
            <w:pPr>
              <w:pStyle w:val="6"/>
              <w:spacing w:before="56" w:line="228" w:lineRule="auto"/>
              <w:ind w:left="46"/>
            </w:pPr>
            <w:r>
              <w:rPr>
                <w:spacing w:val="-2"/>
              </w:rPr>
              <w:t>土地退</w:t>
            </w:r>
          </w:p>
          <w:p w14:paraId="1A9882C0">
            <w:pPr>
              <w:pStyle w:val="6"/>
              <w:spacing w:before="57" w:line="221" w:lineRule="auto"/>
              <w:ind w:left="46"/>
            </w:pPr>
            <w:r>
              <w:rPr>
                <w:spacing w:val="-2"/>
              </w:rPr>
              <w:t>化和水</w:t>
            </w:r>
          </w:p>
          <w:p w14:paraId="5BD57407">
            <w:pPr>
              <w:pStyle w:val="6"/>
              <w:spacing w:before="65" w:line="279" w:lineRule="auto"/>
              <w:ind w:left="151" w:right="34" w:hanging="105"/>
            </w:pPr>
            <w:r>
              <w:rPr>
                <w:spacing w:val="-2"/>
              </w:rPr>
              <w:t>土流失严重</w:t>
            </w:r>
          </w:p>
        </w:tc>
        <w:tc>
          <w:tcPr>
            <w:tcW w:w="708" w:type="dxa"/>
            <w:vAlign w:val="top"/>
          </w:tcPr>
          <w:p w14:paraId="6DF223EC">
            <w:pPr>
              <w:spacing w:line="310" w:lineRule="auto"/>
              <w:rPr>
                <w:rFonts w:ascii="Arial"/>
                <w:sz w:val="21"/>
              </w:rPr>
            </w:pPr>
          </w:p>
          <w:p w14:paraId="1174AAD8">
            <w:pPr>
              <w:spacing w:line="310" w:lineRule="auto"/>
              <w:rPr>
                <w:rFonts w:ascii="Arial"/>
                <w:sz w:val="21"/>
              </w:rPr>
            </w:pPr>
          </w:p>
          <w:p w14:paraId="09B1D0DC">
            <w:pPr>
              <w:spacing w:line="311" w:lineRule="auto"/>
              <w:rPr>
                <w:rFonts w:ascii="Arial"/>
                <w:sz w:val="21"/>
              </w:rPr>
            </w:pPr>
          </w:p>
          <w:p w14:paraId="6D97A511">
            <w:pPr>
              <w:pStyle w:val="6"/>
              <w:spacing w:before="68" w:line="279" w:lineRule="auto"/>
              <w:ind w:left="45" w:right="31" w:firstLine="1"/>
              <w:jc w:val="both"/>
            </w:pPr>
            <w:r>
              <w:rPr>
                <w:spacing w:val="-2"/>
              </w:rPr>
              <w:t>土壤侵蚀中高度敏感</w:t>
            </w:r>
          </w:p>
        </w:tc>
        <w:tc>
          <w:tcPr>
            <w:tcW w:w="993" w:type="dxa"/>
            <w:vAlign w:val="top"/>
          </w:tcPr>
          <w:p w14:paraId="5354F0D3">
            <w:pPr>
              <w:spacing w:line="310" w:lineRule="auto"/>
              <w:rPr>
                <w:rFonts w:ascii="Arial"/>
                <w:sz w:val="21"/>
              </w:rPr>
            </w:pPr>
          </w:p>
          <w:p w14:paraId="40289090">
            <w:pPr>
              <w:spacing w:line="310" w:lineRule="auto"/>
              <w:rPr>
                <w:rFonts w:ascii="Arial"/>
                <w:sz w:val="21"/>
              </w:rPr>
            </w:pPr>
          </w:p>
          <w:p w14:paraId="7993415D">
            <w:pPr>
              <w:spacing w:line="311" w:lineRule="auto"/>
              <w:rPr>
                <w:rFonts w:ascii="Arial"/>
                <w:sz w:val="21"/>
              </w:rPr>
            </w:pPr>
          </w:p>
          <w:p w14:paraId="7DF899D7">
            <w:pPr>
              <w:pStyle w:val="6"/>
              <w:spacing w:before="68" w:line="279" w:lineRule="auto"/>
              <w:ind w:left="84" w:right="68" w:firstLine="1"/>
              <w:jc w:val="both"/>
            </w:pPr>
            <w:r>
              <w:rPr>
                <w:spacing w:val="-2"/>
              </w:rPr>
              <w:t>金沙江下游地带的水土保持</w:t>
            </w:r>
          </w:p>
        </w:tc>
        <w:tc>
          <w:tcPr>
            <w:tcW w:w="1164" w:type="dxa"/>
            <w:vAlign w:val="top"/>
          </w:tcPr>
          <w:p w14:paraId="10DEC5D4">
            <w:pPr>
              <w:pStyle w:val="6"/>
              <w:spacing w:before="56" w:line="221" w:lineRule="auto"/>
              <w:ind w:left="68"/>
            </w:pPr>
            <w:r>
              <w:rPr>
                <w:spacing w:val="-2"/>
              </w:rPr>
              <w:t>调整产业结</w:t>
            </w:r>
          </w:p>
          <w:p w14:paraId="02991A1B">
            <w:pPr>
              <w:pStyle w:val="6"/>
              <w:spacing w:before="63" w:line="221" w:lineRule="auto"/>
              <w:ind w:left="68"/>
            </w:pPr>
            <w:r>
              <w:rPr>
                <w:spacing w:val="-2"/>
              </w:rPr>
              <w:t>构，严格退</w:t>
            </w:r>
          </w:p>
          <w:p w14:paraId="17352A61">
            <w:pPr>
              <w:pStyle w:val="6"/>
              <w:spacing w:before="65" w:line="220" w:lineRule="auto"/>
              <w:ind w:left="66"/>
            </w:pPr>
            <w:r>
              <w:rPr>
                <w:spacing w:val="-2"/>
              </w:rPr>
              <w:t>耕还林，注</w:t>
            </w:r>
          </w:p>
          <w:p w14:paraId="063E2594">
            <w:pPr>
              <w:pStyle w:val="6"/>
              <w:spacing w:before="66" w:line="221" w:lineRule="auto"/>
              <w:ind w:left="72"/>
            </w:pPr>
            <w:r>
              <w:rPr>
                <w:spacing w:val="-3"/>
              </w:rPr>
              <w:t>意矿产资源</w:t>
            </w:r>
          </w:p>
          <w:p w14:paraId="020EDE2D">
            <w:pPr>
              <w:pStyle w:val="6"/>
              <w:spacing w:before="64" w:line="221" w:lineRule="auto"/>
              <w:ind w:left="67"/>
            </w:pPr>
            <w:r>
              <w:rPr>
                <w:spacing w:val="-2"/>
              </w:rPr>
              <w:t>开发后的生</w:t>
            </w:r>
          </w:p>
          <w:p w14:paraId="14E42A63">
            <w:pPr>
              <w:pStyle w:val="6"/>
              <w:spacing w:before="65" w:line="221" w:lineRule="auto"/>
              <w:ind w:left="66"/>
            </w:pPr>
            <w:r>
              <w:rPr>
                <w:spacing w:val="-2"/>
              </w:rPr>
              <w:t>态保护，生</w:t>
            </w:r>
          </w:p>
          <w:p w14:paraId="0D52CA0F">
            <w:pPr>
              <w:pStyle w:val="6"/>
              <w:spacing w:before="66" w:line="221" w:lineRule="auto"/>
              <w:ind w:left="66"/>
            </w:pPr>
            <w:r>
              <w:rPr>
                <w:spacing w:val="-1"/>
              </w:rPr>
              <w:t>态环境严重</w:t>
            </w:r>
          </w:p>
          <w:p w14:paraId="23A893C8">
            <w:pPr>
              <w:pStyle w:val="6"/>
              <w:spacing w:before="63" w:line="221" w:lineRule="auto"/>
              <w:ind w:left="67"/>
            </w:pPr>
            <w:r>
              <w:rPr>
                <w:spacing w:val="-2"/>
              </w:rPr>
              <w:t>恶化地区实</w:t>
            </w:r>
          </w:p>
          <w:p w14:paraId="6269D43A">
            <w:pPr>
              <w:pStyle w:val="6"/>
              <w:spacing w:before="65" w:line="222" w:lineRule="auto"/>
              <w:ind w:left="65"/>
            </w:pPr>
            <w:r>
              <w:rPr>
                <w:spacing w:val="-1"/>
              </w:rPr>
              <w:t>施生态移民</w:t>
            </w:r>
          </w:p>
        </w:tc>
        <w:tc>
          <w:tcPr>
            <w:tcW w:w="113" w:type="dxa"/>
            <w:tcBorders>
              <w:top w:val="nil"/>
            </w:tcBorders>
            <w:vAlign w:val="top"/>
          </w:tcPr>
          <w:p w14:paraId="5F3DF442">
            <w:pPr>
              <w:rPr>
                <w:rFonts w:ascii="Arial"/>
                <w:sz w:val="21"/>
              </w:rPr>
            </w:pPr>
          </w:p>
        </w:tc>
      </w:tr>
    </w:tbl>
    <w:p w14:paraId="0907AA04">
      <w:pPr>
        <w:rPr>
          <w:rFonts w:ascii="Arial"/>
          <w:sz w:val="21"/>
        </w:rPr>
      </w:pPr>
    </w:p>
    <w:p w14:paraId="487A7C11">
      <w:pPr>
        <w:rPr>
          <w:rFonts w:ascii="Arial" w:hAnsi="Arial" w:eastAsia="Arial" w:cs="Arial"/>
          <w:sz w:val="21"/>
          <w:szCs w:val="21"/>
        </w:rPr>
        <w:sectPr>
          <w:footerReference r:id="rId22" w:type="default"/>
          <w:pgSz w:w="11907" w:h="16841"/>
          <w:pgMar w:top="400" w:right="1413" w:bottom="1126" w:left="1414" w:header="0" w:footer="925" w:gutter="0"/>
          <w:cols w:space="720" w:num="1"/>
        </w:sectPr>
      </w:pPr>
    </w:p>
    <w:p w14:paraId="27E2A053">
      <w:pPr>
        <w:spacing w:before="2"/>
      </w:pPr>
    </w:p>
    <w:p w14:paraId="78AE87B7">
      <w:pPr>
        <w:spacing w:before="2"/>
      </w:pPr>
    </w:p>
    <w:p w14:paraId="2F1BFBBC">
      <w:pPr>
        <w:spacing w:before="1"/>
      </w:pPr>
    </w:p>
    <w:p w14:paraId="65FBA393">
      <w:pPr>
        <w:spacing w:before="1"/>
      </w:pPr>
    </w:p>
    <w:p w14:paraId="427A4593">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5"/>
        <w:gridCol w:w="5268"/>
        <w:gridCol w:w="2109"/>
        <w:gridCol w:w="895"/>
        <w:gridCol w:w="115"/>
      </w:tblGrid>
      <w:tr w14:paraId="0B43C6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489" w:hRule="atLeast"/>
        </w:trPr>
        <w:tc>
          <w:tcPr>
            <w:tcW w:w="571" w:type="dxa"/>
            <w:vMerge w:val="restart"/>
            <w:tcBorders>
              <w:bottom w:val="nil"/>
            </w:tcBorders>
            <w:vAlign w:val="top"/>
          </w:tcPr>
          <w:p w14:paraId="5968A6B5">
            <w:pPr>
              <w:rPr>
                <w:rFonts w:ascii="Arial"/>
                <w:sz w:val="21"/>
              </w:rPr>
            </w:pPr>
          </w:p>
        </w:tc>
        <w:tc>
          <w:tcPr>
            <w:tcW w:w="8502" w:type="dxa"/>
            <w:gridSpan w:val="5"/>
            <w:vAlign w:val="top"/>
          </w:tcPr>
          <w:p w14:paraId="009F864B">
            <w:pPr>
              <w:spacing w:before="93" w:line="5829" w:lineRule="exact"/>
              <w:ind w:firstLine="106"/>
            </w:pPr>
            <w:r>
              <w:rPr>
                <w:position w:val="-116"/>
              </w:rPr>
              <w:drawing>
                <wp:inline distT="0" distB="0" distL="0" distR="0">
                  <wp:extent cx="5255260" cy="3701415"/>
                  <wp:effectExtent l="0" t="0" r="0" b="0"/>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207"/>
                          <a:stretch>
                            <a:fillRect/>
                          </a:stretch>
                        </pic:blipFill>
                        <pic:spPr>
                          <a:xfrm>
                            <a:off x="0" y="0"/>
                            <a:ext cx="5255260" cy="3701415"/>
                          </a:xfrm>
                          <a:prstGeom prst="rect">
                            <a:avLst/>
                          </a:prstGeom>
                        </pic:spPr>
                      </pic:pic>
                    </a:graphicData>
                  </a:graphic>
                </wp:inline>
              </w:drawing>
            </w:r>
          </w:p>
          <w:p w14:paraId="08B168BA">
            <w:pPr>
              <w:pStyle w:val="6"/>
              <w:spacing w:before="219" w:line="234" w:lineRule="auto"/>
              <w:ind w:left="2239"/>
            </w:pPr>
            <w:r>
              <w:rPr>
                <w:b/>
                <w:bCs/>
                <w:spacing w:val="-2"/>
              </w:rPr>
              <w:t>图</w:t>
            </w:r>
            <w:r>
              <w:rPr>
                <w:rFonts w:ascii="Times New Roman" w:hAnsi="Times New Roman" w:eastAsia="Times New Roman" w:cs="Times New Roman"/>
                <w:b/>
                <w:bCs/>
                <w:spacing w:val="-2"/>
              </w:rPr>
              <w:t xml:space="preserve">1-2    </w:t>
            </w:r>
            <w:r>
              <w:rPr>
                <w:b/>
                <w:bCs/>
                <w:spacing w:val="-2"/>
              </w:rPr>
              <w:t>项目与云南省生态功能区的位置</w:t>
            </w:r>
            <w:r>
              <w:rPr>
                <w:b/>
                <w:bCs/>
                <w:spacing w:val="-3"/>
              </w:rPr>
              <w:t>关系</w:t>
            </w:r>
          </w:p>
          <w:p w14:paraId="255DE718">
            <w:pPr>
              <w:pStyle w:val="6"/>
              <w:spacing w:before="198" w:line="364" w:lineRule="auto"/>
              <w:ind w:left="113" w:right="106" w:firstLine="481"/>
              <w:jc w:val="both"/>
              <w:rPr>
                <w:sz w:val="24"/>
                <w:szCs w:val="24"/>
              </w:rPr>
            </w:pPr>
            <w:r>
              <w:rPr>
                <w:spacing w:val="-4"/>
                <w:sz w:val="24"/>
                <w:szCs w:val="24"/>
              </w:rPr>
              <w:t>本项目为电力供应工程，为线性工程，占地面积较小，沿线植被均为当地常见物种，分布广泛，项目占地范围较小且属于间隔式占地，所以项目的建设不会对沿线植被类型及分布造成大的影响。项目建设过程中将严格落实各项环境保护和水土保持措施，及时恢复施工迹地植被，最大程度降低对生态环境的影响。因</w:t>
            </w:r>
            <w:r>
              <w:rPr>
                <w:spacing w:val="-2"/>
                <w:sz w:val="24"/>
                <w:szCs w:val="24"/>
              </w:rPr>
              <w:t>此，本工程与《云南省生态功能区划》不冲突。</w:t>
            </w:r>
          </w:p>
          <w:p w14:paraId="0B57B697">
            <w:pPr>
              <w:pStyle w:val="6"/>
              <w:spacing w:line="233" w:lineRule="auto"/>
              <w:ind w:left="114"/>
              <w:rPr>
                <w:sz w:val="24"/>
                <w:szCs w:val="24"/>
              </w:rPr>
            </w:pPr>
            <w:r>
              <w:rPr>
                <w:rFonts w:ascii="Times New Roman" w:hAnsi="Times New Roman" w:eastAsia="Times New Roman" w:cs="Times New Roman"/>
                <w:b/>
                <w:bCs/>
                <w:spacing w:val="-4"/>
                <w:sz w:val="24"/>
                <w:szCs w:val="24"/>
              </w:rPr>
              <w:t>6</w:t>
            </w:r>
            <w:r>
              <w:rPr>
                <w:rFonts w:ascii="Times New Roman" w:hAnsi="Times New Roman" w:eastAsia="Times New Roman" w:cs="Times New Roman"/>
                <w:b/>
                <w:bCs/>
                <w:spacing w:val="-22"/>
                <w:sz w:val="24"/>
                <w:szCs w:val="24"/>
              </w:rPr>
              <w:t xml:space="preserve"> </w:t>
            </w:r>
            <w:r>
              <w:rPr>
                <w:b/>
                <w:bCs/>
                <w:spacing w:val="-4"/>
                <w:sz w:val="24"/>
                <w:szCs w:val="24"/>
              </w:rPr>
              <w:t>、与长江经济带发展负面清单符合性分析</w:t>
            </w:r>
          </w:p>
          <w:p w14:paraId="5356BE45">
            <w:pPr>
              <w:pStyle w:val="6"/>
              <w:spacing w:before="173" w:line="361" w:lineRule="auto"/>
              <w:ind w:left="116" w:right="102" w:firstLine="479"/>
              <w:jc w:val="both"/>
              <w:rPr>
                <w:sz w:val="24"/>
                <w:szCs w:val="24"/>
              </w:rPr>
            </w:pPr>
            <w:r>
              <w:rPr>
                <w:spacing w:val="-4"/>
                <w:sz w:val="24"/>
                <w:szCs w:val="24"/>
              </w:rPr>
              <w:t>本项目与长江经济带发展负面清单符合性分析根据《长江经</w:t>
            </w:r>
            <w:r>
              <w:rPr>
                <w:spacing w:val="-5"/>
                <w:sz w:val="24"/>
                <w:szCs w:val="24"/>
              </w:rPr>
              <w:t>济带发展负面清</w:t>
            </w:r>
            <w:r>
              <w:rPr>
                <w:spacing w:val="-4"/>
                <w:sz w:val="24"/>
                <w:szCs w:val="24"/>
              </w:rPr>
              <w:t>单指南（试行，</w:t>
            </w:r>
            <w:r>
              <w:rPr>
                <w:rFonts w:ascii="Times New Roman" w:hAnsi="Times New Roman" w:eastAsia="Times New Roman" w:cs="Times New Roman"/>
                <w:spacing w:val="-4"/>
                <w:sz w:val="24"/>
                <w:szCs w:val="24"/>
              </w:rPr>
              <w:t xml:space="preserve">2022 </w:t>
            </w:r>
            <w:r>
              <w:rPr>
                <w:spacing w:val="-4"/>
                <w:sz w:val="24"/>
                <w:szCs w:val="24"/>
              </w:rPr>
              <w:t>年版）》（长江办〔</w:t>
            </w:r>
            <w:r>
              <w:rPr>
                <w:rFonts w:ascii="Times New Roman" w:hAnsi="Times New Roman" w:eastAsia="Times New Roman" w:cs="Times New Roman"/>
                <w:spacing w:val="-4"/>
                <w:sz w:val="24"/>
                <w:szCs w:val="24"/>
              </w:rPr>
              <w:t>2022</w:t>
            </w:r>
            <w:r>
              <w:rPr>
                <w:spacing w:val="-4"/>
                <w:sz w:val="24"/>
                <w:szCs w:val="24"/>
              </w:rPr>
              <w:t>〕</w:t>
            </w:r>
            <w:r>
              <w:rPr>
                <w:rFonts w:ascii="Times New Roman" w:hAnsi="Times New Roman" w:eastAsia="Times New Roman" w:cs="Times New Roman"/>
                <w:spacing w:val="-4"/>
                <w:sz w:val="24"/>
                <w:szCs w:val="24"/>
              </w:rPr>
              <w:t>7</w:t>
            </w:r>
            <w:r>
              <w:rPr>
                <w:rFonts w:ascii="Times New Roman" w:hAnsi="Times New Roman" w:eastAsia="Times New Roman" w:cs="Times New Roman"/>
                <w:spacing w:val="33"/>
                <w:sz w:val="24"/>
                <w:szCs w:val="24"/>
              </w:rPr>
              <w:t xml:space="preserve"> </w:t>
            </w:r>
            <w:r>
              <w:rPr>
                <w:spacing w:val="-4"/>
                <w:sz w:val="24"/>
                <w:szCs w:val="24"/>
              </w:rPr>
              <w:t>号）要求和《云南省长江经济</w:t>
            </w:r>
            <w:r>
              <w:rPr>
                <w:spacing w:val="-2"/>
                <w:sz w:val="24"/>
                <w:szCs w:val="24"/>
              </w:rPr>
              <w:t>带发展负面清单指南实施细则（试行）》（云发改基础〔</w:t>
            </w:r>
            <w:r>
              <w:rPr>
                <w:rFonts w:ascii="Times New Roman" w:hAnsi="Times New Roman" w:eastAsia="Times New Roman" w:cs="Times New Roman"/>
                <w:spacing w:val="-2"/>
                <w:sz w:val="24"/>
                <w:szCs w:val="24"/>
              </w:rPr>
              <w:t>2022</w:t>
            </w:r>
            <w:r>
              <w:rPr>
                <w:spacing w:val="-2"/>
                <w:sz w:val="24"/>
                <w:szCs w:val="24"/>
              </w:rPr>
              <w:t>〕</w:t>
            </w:r>
            <w:r>
              <w:rPr>
                <w:rFonts w:ascii="Times New Roman" w:hAnsi="Times New Roman" w:eastAsia="Times New Roman" w:cs="Times New Roman"/>
                <w:spacing w:val="-2"/>
                <w:sz w:val="24"/>
                <w:szCs w:val="24"/>
              </w:rPr>
              <w:t>894</w:t>
            </w:r>
            <w:r>
              <w:rPr>
                <w:rFonts w:ascii="Times New Roman" w:hAnsi="Times New Roman" w:eastAsia="Times New Roman" w:cs="Times New Roman"/>
                <w:spacing w:val="15"/>
                <w:sz w:val="24"/>
                <w:szCs w:val="24"/>
              </w:rPr>
              <w:t xml:space="preserve"> </w:t>
            </w:r>
            <w:r>
              <w:rPr>
                <w:spacing w:val="-2"/>
                <w:sz w:val="24"/>
                <w:szCs w:val="24"/>
              </w:rPr>
              <w:t>号）</w:t>
            </w:r>
            <w:r>
              <w:rPr>
                <w:spacing w:val="-3"/>
                <w:sz w:val="24"/>
                <w:szCs w:val="24"/>
              </w:rPr>
              <w:t>要求进</w:t>
            </w:r>
            <w:r>
              <w:rPr>
                <w:spacing w:val="-9"/>
                <w:sz w:val="24"/>
                <w:szCs w:val="24"/>
              </w:rPr>
              <w:t>行分析。</w:t>
            </w:r>
          </w:p>
          <w:p w14:paraId="454C8EA9">
            <w:pPr>
              <w:pStyle w:val="6"/>
              <w:spacing w:before="18" w:line="340" w:lineRule="auto"/>
              <w:ind w:left="113" w:right="21" w:firstLine="490"/>
              <w:rPr>
                <w:sz w:val="24"/>
                <w:szCs w:val="24"/>
              </w:rPr>
            </w:pPr>
            <w:r>
              <w:rPr>
                <w:b/>
                <w:bCs/>
                <w:spacing w:val="-20"/>
                <w:sz w:val="24"/>
                <w:szCs w:val="24"/>
              </w:rPr>
              <w:t>（</w:t>
            </w:r>
            <w:r>
              <w:rPr>
                <w:rFonts w:ascii="Times New Roman" w:hAnsi="Times New Roman" w:eastAsia="Times New Roman" w:cs="Times New Roman"/>
                <w:b/>
                <w:bCs/>
                <w:spacing w:val="-20"/>
                <w:sz w:val="24"/>
                <w:szCs w:val="24"/>
              </w:rPr>
              <w:t>1</w:t>
            </w:r>
            <w:r>
              <w:rPr>
                <w:b/>
                <w:bCs/>
                <w:spacing w:val="-20"/>
                <w:sz w:val="24"/>
                <w:szCs w:val="24"/>
              </w:rPr>
              <w:t>）与《长江经济带发展负面清单指南（试行，</w:t>
            </w:r>
            <w:r>
              <w:rPr>
                <w:rFonts w:ascii="Times New Roman" w:hAnsi="Times New Roman" w:eastAsia="Times New Roman" w:cs="Times New Roman"/>
                <w:b/>
                <w:bCs/>
                <w:spacing w:val="-20"/>
                <w:sz w:val="24"/>
                <w:szCs w:val="24"/>
              </w:rPr>
              <w:t>2022</w:t>
            </w:r>
            <w:r>
              <w:rPr>
                <w:rFonts w:ascii="Times New Roman" w:hAnsi="Times New Roman" w:eastAsia="Times New Roman" w:cs="Times New Roman"/>
                <w:b/>
                <w:bCs/>
                <w:spacing w:val="12"/>
                <w:sz w:val="24"/>
                <w:szCs w:val="24"/>
              </w:rPr>
              <w:t xml:space="preserve"> </w:t>
            </w:r>
            <w:r>
              <w:rPr>
                <w:b/>
                <w:bCs/>
                <w:spacing w:val="-20"/>
                <w:sz w:val="24"/>
                <w:szCs w:val="24"/>
              </w:rPr>
              <w:t>年版）》（长江办〔</w:t>
            </w:r>
            <w:r>
              <w:rPr>
                <w:rFonts w:ascii="Times New Roman" w:hAnsi="Times New Roman" w:eastAsia="Times New Roman" w:cs="Times New Roman"/>
                <w:b/>
                <w:bCs/>
                <w:spacing w:val="-20"/>
                <w:sz w:val="24"/>
                <w:szCs w:val="24"/>
              </w:rPr>
              <w:t>2022</w:t>
            </w:r>
            <w:r>
              <w:rPr>
                <w:b/>
                <w:bCs/>
                <w:spacing w:val="-20"/>
                <w:sz w:val="24"/>
                <w:szCs w:val="24"/>
              </w:rPr>
              <w:t>〕</w:t>
            </w:r>
            <w:r>
              <w:rPr>
                <w:sz w:val="24"/>
                <w:szCs w:val="24"/>
              </w:rPr>
              <w:t xml:space="preserve"> </w:t>
            </w:r>
            <w:r>
              <w:rPr>
                <w:rFonts w:ascii="Times New Roman" w:hAnsi="Times New Roman" w:eastAsia="Times New Roman" w:cs="Times New Roman"/>
                <w:b/>
                <w:bCs/>
                <w:spacing w:val="-5"/>
                <w:sz w:val="24"/>
                <w:szCs w:val="24"/>
              </w:rPr>
              <w:t>7</w:t>
            </w:r>
            <w:r>
              <w:rPr>
                <w:rFonts w:ascii="Times New Roman" w:hAnsi="Times New Roman" w:eastAsia="Times New Roman" w:cs="Times New Roman"/>
                <w:b/>
                <w:bCs/>
                <w:spacing w:val="19"/>
                <w:w w:val="101"/>
                <w:sz w:val="24"/>
                <w:szCs w:val="24"/>
              </w:rPr>
              <w:t xml:space="preserve"> </w:t>
            </w:r>
            <w:r>
              <w:rPr>
                <w:b/>
                <w:bCs/>
                <w:spacing w:val="-5"/>
                <w:sz w:val="24"/>
                <w:szCs w:val="24"/>
              </w:rPr>
              <w:t>号）符合性分析</w:t>
            </w:r>
          </w:p>
          <w:p w14:paraId="3B9F043A">
            <w:pPr>
              <w:pStyle w:val="6"/>
              <w:spacing w:line="220" w:lineRule="auto"/>
              <w:ind w:left="2112"/>
            </w:pPr>
            <w:r>
              <w:rPr>
                <w:b/>
                <w:bCs/>
                <w:spacing w:val="-3"/>
              </w:rPr>
              <w:t>表</w:t>
            </w:r>
            <w:r>
              <w:rPr>
                <w:spacing w:val="-22"/>
              </w:rPr>
              <w:t xml:space="preserve"> </w:t>
            </w:r>
            <w:r>
              <w:rPr>
                <w:rFonts w:ascii="Times New Roman" w:hAnsi="Times New Roman" w:eastAsia="Times New Roman" w:cs="Times New Roman"/>
                <w:b/>
                <w:bCs/>
                <w:spacing w:val="-3"/>
              </w:rPr>
              <w:t xml:space="preserve">1-5    </w:t>
            </w:r>
            <w:r>
              <w:rPr>
                <w:b/>
                <w:bCs/>
                <w:spacing w:val="-3"/>
              </w:rPr>
              <w:t>与“长江办〔</w:t>
            </w:r>
            <w:r>
              <w:rPr>
                <w:rFonts w:ascii="Times New Roman" w:hAnsi="Times New Roman" w:eastAsia="Times New Roman" w:cs="Times New Roman"/>
                <w:b/>
                <w:bCs/>
                <w:spacing w:val="-3"/>
              </w:rPr>
              <w:t>2022</w:t>
            </w:r>
            <w:r>
              <w:rPr>
                <w:b/>
                <w:bCs/>
                <w:spacing w:val="-3"/>
              </w:rPr>
              <w:t>〕</w:t>
            </w:r>
            <w:r>
              <w:rPr>
                <w:rFonts w:ascii="Times New Roman" w:hAnsi="Times New Roman" w:eastAsia="Times New Roman" w:cs="Times New Roman"/>
                <w:b/>
                <w:bCs/>
                <w:spacing w:val="-3"/>
              </w:rPr>
              <w:t xml:space="preserve">7 </w:t>
            </w:r>
            <w:r>
              <w:rPr>
                <w:b/>
                <w:bCs/>
                <w:spacing w:val="-3"/>
              </w:rPr>
              <w:t>号</w:t>
            </w:r>
            <w:r>
              <w:rPr>
                <w:spacing w:val="-77"/>
              </w:rPr>
              <w:t xml:space="preserve"> </w:t>
            </w:r>
            <w:r>
              <w:rPr>
                <w:b/>
                <w:bCs/>
                <w:spacing w:val="-3"/>
              </w:rPr>
              <w:t>”符合性分析</w:t>
            </w:r>
          </w:p>
        </w:tc>
      </w:tr>
      <w:tr w14:paraId="4FF8AD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2B969D26">
            <w:pPr>
              <w:rPr>
                <w:rFonts w:ascii="Arial"/>
                <w:sz w:val="21"/>
              </w:rPr>
            </w:pPr>
          </w:p>
        </w:tc>
        <w:tc>
          <w:tcPr>
            <w:tcW w:w="115" w:type="dxa"/>
            <w:tcBorders>
              <w:right w:val="single" w:color="000000" w:sz="8" w:space="0"/>
            </w:tcBorders>
            <w:vAlign w:val="top"/>
          </w:tcPr>
          <w:p w14:paraId="0A3DCF0D">
            <w:pPr>
              <w:rPr>
                <w:rFonts w:ascii="Arial"/>
                <w:sz w:val="21"/>
              </w:rPr>
            </w:pPr>
          </w:p>
        </w:tc>
        <w:tc>
          <w:tcPr>
            <w:tcW w:w="5268" w:type="dxa"/>
            <w:tcBorders>
              <w:left w:val="single" w:color="000000" w:sz="8" w:space="0"/>
            </w:tcBorders>
            <w:vAlign w:val="top"/>
          </w:tcPr>
          <w:p w14:paraId="26187057">
            <w:pPr>
              <w:pStyle w:val="6"/>
              <w:spacing w:before="58" w:line="222" w:lineRule="auto"/>
              <w:ind w:left="1061"/>
            </w:pPr>
            <w:r>
              <w:rPr>
                <w:b/>
                <w:bCs/>
                <w:spacing w:val="-2"/>
              </w:rPr>
              <w:t>“长江办〔</w:t>
            </w:r>
            <w:r>
              <w:rPr>
                <w:rFonts w:ascii="Times New Roman" w:hAnsi="Times New Roman" w:eastAsia="Times New Roman" w:cs="Times New Roman"/>
                <w:b/>
                <w:bCs/>
                <w:spacing w:val="-2"/>
              </w:rPr>
              <w:t>2022</w:t>
            </w:r>
            <w:r>
              <w:rPr>
                <w:b/>
                <w:bCs/>
                <w:spacing w:val="-2"/>
              </w:rPr>
              <w:t>〕</w:t>
            </w:r>
            <w:r>
              <w:rPr>
                <w:rFonts w:ascii="Times New Roman" w:hAnsi="Times New Roman" w:eastAsia="Times New Roman" w:cs="Times New Roman"/>
                <w:b/>
                <w:bCs/>
                <w:spacing w:val="-2"/>
              </w:rPr>
              <w:t xml:space="preserve">7 </w:t>
            </w:r>
            <w:r>
              <w:rPr>
                <w:b/>
                <w:bCs/>
                <w:spacing w:val="-2"/>
              </w:rPr>
              <w:t>号</w:t>
            </w:r>
            <w:r>
              <w:rPr>
                <w:spacing w:val="-77"/>
              </w:rPr>
              <w:t xml:space="preserve"> </w:t>
            </w:r>
            <w:r>
              <w:rPr>
                <w:b/>
                <w:bCs/>
                <w:spacing w:val="-2"/>
              </w:rPr>
              <w:t>”相关内容</w:t>
            </w:r>
          </w:p>
        </w:tc>
        <w:tc>
          <w:tcPr>
            <w:tcW w:w="2109" w:type="dxa"/>
            <w:vAlign w:val="top"/>
          </w:tcPr>
          <w:p w14:paraId="7FA6239E">
            <w:pPr>
              <w:pStyle w:val="6"/>
              <w:spacing w:before="58" w:line="220" w:lineRule="auto"/>
              <w:ind w:left="536"/>
            </w:pPr>
            <w:r>
              <w:rPr>
                <w:b/>
                <w:bCs/>
                <w:spacing w:val="-3"/>
              </w:rPr>
              <w:t>本项目内容</w:t>
            </w:r>
          </w:p>
        </w:tc>
        <w:tc>
          <w:tcPr>
            <w:tcW w:w="1010" w:type="dxa"/>
            <w:gridSpan w:val="2"/>
            <w:vAlign w:val="top"/>
          </w:tcPr>
          <w:p w14:paraId="3175D179">
            <w:pPr>
              <w:pStyle w:val="6"/>
              <w:spacing w:before="4"/>
              <w:ind w:left="137"/>
            </w:pPr>
            <w:r>
              <w:rPr>
                <w:b/>
                <w:bCs/>
                <w:spacing w:val="-4"/>
              </w:rPr>
              <w:t>相符性</w:t>
            </w:r>
            <w:r>
              <w:rPr>
                <w:spacing w:val="22"/>
              </w:rPr>
              <w:t xml:space="preserve"> </w:t>
            </w:r>
            <w:r>
              <w:rPr>
                <w:position w:val="-7"/>
              </w:rPr>
              <w:drawing>
                <wp:inline distT="0" distB="0" distL="0" distR="0">
                  <wp:extent cx="5715" cy="194310"/>
                  <wp:effectExtent l="0" t="0" r="0" b="0"/>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208"/>
                          <a:stretch>
                            <a:fillRect/>
                          </a:stretch>
                        </pic:blipFill>
                        <pic:spPr>
                          <a:xfrm>
                            <a:off x="0" y="0"/>
                            <a:ext cx="6095" cy="194564"/>
                          </a:xfrm>
                          <a:prstGeom prst="rect">
                            <a:avLst/>
                          </a:prstGeom>
                        </pic:spPr>
                      </pic:pic>
                    </a:graphicData>
                  </a:graphic>
                </wp:inline>
              </w:drawing>
            </w:r>
          </w:p>
        </w:tc>
      </w:tr>
      <w:tr w14:paraId="45B70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571" w:type="dxa"/>
            <w:vMerge w:val="continue"/>
            <w:tcBorders>
              <w:top w:val="nil"/>
            </w:tcBorders>
            <w:vAlign w:val="top"/>
          </w:tcPr>
          <w:p w14:paraId="58E9E4A7">
            <w:pPr>
              <w:rPr>
                <w:rFonts w:ascii="Arial"/>
                <w:sz w:val="21"/>
              </w:rPr>
            </w:pPr>
          </w:p>
        </w:tc>
        <w:tc>
          <w:tcPr>
            <w:tcW w:w="115" w:type="dxa"/>
            <w:tcBorders>
              <w:right w:val="single" w:color="000000" w:sz="8" w:space="0"/>
            </w:tcBorders>
            <w:vAlign w:val="top"/>
          </w:tcPr>
          <w:p w14:paraId="28489FDA">
            <w:pPr>
              <w:rPr>
                <w:rFonts w:ascii="Arial"/>
                <w:sz w:val="21"/>
              </w:rPr>
            </w:pPr>
          </w:p>
        </w:tc>
        <w:tc>
          <w:tcPr>
            <w:tcW w:w="5268" w:type="dxa"/>
            <w:tcBorders>
              <w:left w:val="single" w:color="000000" w:sz="8" w:space="0"/>
            </w:tcBorders>
            <w:vAlign w:val="top"/>
          </w:tcPr>
          <w:p w14:paraId="4F21B88F">
            <w:pPr>
              <w:pStyle w:val="6"/>
              <w:spacing w:before="59" w:line="256" w:lineRule="auto"/>
              <w:ind w:left="106" w:right="104" w:hanging="2"/>
            </w:pPr>
            <w:r>
              <w:t>禁止在自然保护区核心区、缓冲区的岸线和河段范围内投资建设旅游和生产经营项目。禁止在风景名胜区核心</w:t>
            </w:r>
          </w:p>
        </w:tc>
        <w:tc>
          <w:tcPr>
            <w:tcW w:w="2109" w:type="dxa"/>
            <w:vAlign w:val="top"/>
          </w:tcPr>
          <w:p w14:paraId="53FEB0FE">
            <w:pPr>
              <w:pStyle w:val="6"/>
              <w:spacing w:before="59" w:line="256" w:lineRule="auto"/>
              <w:ind w:left="115" w:right="100"/>
            </w:pPr>
            <w:r>
              <w:rPr>
                <w:spacing w:val="-1"/>
              </w:rPr>
              <w:t>本项目不涉及自然保</w:t>
            </w:r>
            <w:r>
              <w:rPr>
                <w:spacing w:val="-3"/>
              </w:rPr>
              <w:t>护区、风景名胜区。</w:t>
            </w:r>
          </w:p>
        </w:tc>
        <w:tc>
          <w:tcPr>
            <w:tcW w:w="895" w:type="dxa"/>
            <w:tcBorders>
              <w:right w:val="single" w:color="000000" w:sz="8" w:space="0"/>
            </w:tcBorders>
            <w:vAlign w:val="top"/>
          </w:tcPr>
          <w:p w14:paraId="30A68CF6">
            <w:pPr>
              <w:pStyle w:val="6"/>
              <w:spacing w:before="216" w:line="221" w:lineRule="auto"/>
              <w:ind w:left="247"/>
            </w:pPr>
            <w:r>
              <w:rPr>
                <w:spacing w:val="-2"/>
              </w:rPr>
              <w:t>符合</w:t>
            </w:r>
          </w:p>
        </w:tc>
        <w:tc>
          <w:tcPr>
            <w:tcW w:w="115" w:type="dxa"/>
            <w:tcBorders>
              <w:left w:val="single" w:color="000000" w:sz="8" w:space="0"/>
            </w:tcBorders>
            <w:vAlign w:val="top"/>
          </w:tcPr>
          <w:p w14:paraId="6E0EB52D">
            <w:pPr>
              <w:rPr>
                <w:rFonts w:ascii="Arial"/>
                <w:sz w:val="21"/>
              </w:rPr>
            </w:pPr>
          </w:p>
        </w:tc>
      </w:tr>
    </w:tbl>
    <w:p w14:paraId="7880DE61">
      <w:pPr>
        <w:rPr>
          <w:rFonts w:ascii="Arial"/>
          <w:sz w:val="21"/>
        </w:rPr>
      </w:pPr>
    </w:p>
    <w:p w14:paraId="6D93895A">
      <w:pPr>
        <w:rPr>
          <w:rFonts w:ascii="Arial" w:hAnsi="Arial" w:eastAsia="Arial" w:cs="Arial"/>
          <w:sz w:val="21"/>
          <w:szCs w:val="21"/>
        </w:rPr>
        <w:sectPr>
          <w:footerReference r:id="rId23" w:type="default"/>
          <w:pgSz w:w="11907" w:h="16841"/>
          <w:pgMar w:top="400" w:right="1413" w:bottom="1126" w:left="1414" w:header="0" w:footer="925" w:gutter="0"/>
          <w:cols w:space="720" w:num="1"/>
        </w:sectPr>
      </w:pPr>
    </w:p>
    <w:p w14:paraId="4653D7AA">
      <w:pPr>
        <w:spacing w:before="2"/>
      </w:pPr>
    </w:p>
    <w:p w14:paraId="79DEEECA">
      <w:pPr>
        <w:spacing w:before="2"/>
      </w:pPr>
    </w:p>
    <w:p w14:paraId="70812D5F">
      <w:pPr>
        <w:spacing w:before="1"/>
      </w:pPr>
    </w:p>
    <w:p w14:paraId="1C3D09B2">
      <w:pPr>
        <w:spacing w:before="1"/>
      </w:pPr>
    </w:p>
    <w:p w14:paraId="0469F402">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5"/>
        <w:gridCol w:w="5134"/>
        <w:gridCol w:w="134"/>
        <w:gridCol w:w="2122"/>
        <w:gridCol w:w="882"/>
        <w:gridCol w:w="115"/>
      </w:tblGrid>
      <w:tr w14:paraId="4C503F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571" w:type="dxa"/>
            <w:vMerge w:val="restart"/>
            <w:tcBorders>
              <w:bottom w:val="nil"/>
            </w:tcBorders>
            <w:vAlign w:val="top"/>
          </w:tcPr>
          <w:p w14:paraId="7C64E1C3">
            <w:pPr>
              <w:rPr>
                <w:rFonts w:ascii="Arial"/>
                <w:sz w:val="21"/>
              </w:rPr>
            </w:pPr>
          </w:p>
        </w:tc>
        <w:tc>
          <w:tcPr>
            <w:tcW w:w="115" w:type="dxa"/>
            <w:tcBorders>
              <w:bottom w:val="nil"/>
            </w:tcBorders>
            <w:vAlign w:val="top"/>
          </w:tcPr>
          <w:p w14:paraId="6840E4F0">
            <w:pPr>
              <w:rPr>
                <w:rFonts w:ascii="Arial"/>
                <w:sz w:val="21"/>
              </w:rPr>
            </w:pPr>
          </w:p>
        </w:tc>
        <w:tc>
          <w:tcPr>
            <w:tcW w:w="5268" w:type="dxa"/>
            <w:gridSpan w:val="2"/>
            <w:vAlign w:val="top"/>
          </w:tcPr>
          <w:p w14:paraId="6AF9956C">
            <w:pPr>
              <w:pStyle w:val="6"/>
              <w:spacing w:before="70" w:line="251" w:lineRule="auto"/>
              <w:ind w:left="113" w:right="104" w:firstLine="1"/>
            </w:pPr>
            <w:r>
              <w:t>景区的岸线和河段范围内投资建设与风景名胜资源保护</w:t>
            </w:r>
            <w:r>
              <w:rPr>
                <w:spacing w:val="-2"/>
              </w:rPr>
              <w:t>无关的项目。</w:t>
            </w:r>
          </w:p>
        </w:tc>
        <w:tc>
          <w:tcPr>
            <w:tcW w:w="2122" w:type="dxa"/>
            <w:vAlign w:val="top"/>
          </w:tcPr>
          <w:p w14:paraId="6E446165">
            <w:pPr>
              <w:rPr>
                <w:rFonts w:ascii="Arial"/>
                <w:sz w:val="21"/>
              </w:rPr>
            </w:pPr>
          </w:p>
        </w:tc>
        <w:tc>
          <w:tcPr>
            <w:tcW w:w="882" w:type="dxa"/>
            <w:vAlign w:val="top"/>
          </w:tcPr>
          <w:p w14:paraId="5FDB5DFF">
            <w:pPr>
              <w:rPr>
                <w:rFonts w:ascii="Arial"/>
                <w:sz w:val="21"/>
              </w:rPr>
            </w:pPr>
          </w:p>
        </w:tc>
        <w:tc>
          <w:tcPr>
            <w:tcW w:w="115" w:type="dxa"/>
            <w:tcBorders>
              <w:bottom w:val="nil"/>
            </w:tcBorders>
            <w:vAlign w:val="top"/>
          </w:tcPr>
          <w:p w14:paraId="2457551A">
            <w:pPr>
              <w:rPr>
                <w:rFonts w:ascii="Arial"/>
                <w:sz w:val="21"/>
              </w:rPr>
            </w:pPr>
          </w:p>
        </w:tc>
      </w:tr>
      <w:tr w14:paraId="6EEEB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0" w:hRule="atLeast"/>
        </w:trPr>
        <w:tc>
          <w:tcPr>
            <w:tcW w:w="571" w:type="dxa"/>
            <w:vMerge w:val="continue"/>
            <w:tcBorders>
              <w:top w:val="nil"/>
              <w:bottom w:val="nil"/>
            </w:tcBorders>
            <w:vAlign w:val="top"/>
          </w:tcPr>
          <w:p w14:paraId="54837714">
            <w:pPr>
              <w:rPr>
                <w:rFonts w:ascii="Arial"/>
                <w:sz w:val="21"/>
              </w:rPr>
            </w:pPr>
          </w:p>
        </w:tc>
        <w:tc>
          <w:tcPr>
            <w:tcW w:w="115" w:type="dxa"/>
            <w:tcBorders>
              <w:top w:val="nil"/>
              <w:bottom w:val="nil"/>
            </w:tcBorders>
            <w:vAlign w:val="top"/>
          </w:tcPr>
          <w:p w14:paraId="1822E289">
            <w:pPr>
              <w:rPr>
                <w:rFonts w:ascii="Arial"/>
                <w:sz w:val="21"/>
              </w:rPr>
            </w:pPr>
          </w:p>
        </w:tc>
        <w:tc>
          <w:tcPr>
            <w:tcW w:w="5268" w:type="dxa"/>
            <w:gridSpan w:val="2"/>
            <w:vAlign w:val="top"/>
          </w:tcPr>
          <w:p w14:paraId="31D992D6">
            <w:pPr>
              <w:pStyle w:val="6"/>
              <w:spacing w:before="54" w:line="269" w:lineRule="auto"/>
              <w:ind w:left="110" w:right="104"/>
              <w:jc w:val="both"/>
            </w:pPr>
            <w:r>
              <w:rPr>
                <w:spacing w:val="9"/>
              </w:rPr>
              <w:t>禁止在饮用水水源一级保护区的岸线和河段范围内新</w:t>
            </w:r>
            <w:r>
              <w:rPr>
                <w:spacing w:val="-1"/>
              </w:rPr>
              <w:t>建、改建、扩建与供水设施和保护水源无关的项目，以</w:t>
            </w:r>
            <w:r>
              <w:t>及网箱养殖、畜禽养殖、旅游等可能污染饮用水水体的投资建设项目。禁止在饮用水水源二级保护区的岸线和河段范围内新建、改建、扩建排放污染物的投资建设项</w:t>
            </w:r>
            <w:r>
              <w:rPr>
                <w:spacing w:val="-10"/>
              </w:rPr>
              <w:t>目。</w:t>
            </w:r>
          </w:p>
        </w:tc>
        <w:tc>
          <w:tcPr>
            <w:tcW w:w="2122" w:type="dxa"/>
            <w:vAlign w:val="top"/>
          </w:tcPr>
          <w:p w14:paraId="6B4126B2">
            <w:pPr>
              <w:spacing w:line="307" w:lineRule="auto"/>
              <w:rPr>
                <w:rFonts w:ascii="Arial"/>
                <w:sz w:val="21"/>
              </w:rPr>
            </w:pPr>
          </w:p>
          <w:p w14:paraId="6DC49889">
            <w:pPr>
              <w:spacing w:line="307" w:lineRule="auto"/>
              <w:rPr>
                <w:rFonts w:ascii="Arial"/>
                <w:sz w:val="21"/>
              </w:rPr>
            </w:pPr>
          </w:p>
          <w:p w14:paraId="6589C54F">
            <w:pPr>
              <w:pStyle w:val="6"/>
              <w:spacing w:before="69" w:line="280" w:lineRule="auto"/>
              <w:ind w:left="115" w:right="114"/>
            </w:pPr>
            <w:r>
              <w:rPr>
                <w:spacing w:val="-1"/>
              </w:rPr>
              <w:t>本项目用地不涉及饮</w:t>
            </w:r>
            <w:r>
              <w:rPr>
                <w:spacing w:val="-2"/>
              </w:rPr>
              <w:t>用水源保护区</w:t>
            </w:r>
          </w:p>
        </w:tc>
        <w:tc>
          <w:tcPr>
            <w:tcW w:w="882" w:type="dxa"/>
            <w:vAlign w:val="top"/>
          </w:tcPr>
          <w:p w14:paraId="4F56A7B9">
            <w:pPr>
              <w:spacing w:line="256" w:lineRule="auto"/>
              <w:rPr>
                <w:rFonts w:ascii="Arial"/>
                <w:sz w:val="21"/>
              </w:rPr>
            </w:pPr>
          </w:p>
          <w:p w14:paraId="7458D8AC">
            <w:pPr>
              <w:spacing w:line="257" w:lineRule="auto"/>
              <w:rPr>
                <w:rFonts w:ascii="Arial"/>
                <w:sz w:val="21"/>
              </w:rPr>
            </w:pPr>
          </w:p>
          <w:p w14:paraId="6FCBE8C0">
            <w:pPr>
              <w:spacing w:line="257" w:lineRule="auto"/>
              <w:rPr>
                <w:rFonts w:ascii="Arial"/>
                <w:sz w:val="21"/>
              </w:rPr>
            </w:pPr>
          </w:p>
          <w:p w14:paraId="1FCF0C9A">
            <w:pPr>
              <w:pStyle w:val="6"/>
              <w:spacing w:before="68" w:line="221" w:lineRule="auto"/>
              <w:ind w:left="234"/>
            </w:pPr>
            <w:r>
              <w:rPr>
                <w:spacing w:val="-2"/>
              </w:rPr>
              <w:t>符合</w:t>
            </w:r>
          </w:p>
        </w:tc>
        <w:tc>
          <w:tcPr>
            <w:tcW w:w="115" w:type="dxa"/>
            <w:tcBorders>
              <w:top w:val="nil"/>
              <w:bottom w:val="nil"/>
            </w:tcBorders>
            <w:vAlign w:val="top"/>
          </w:tcPr>
          <w:p w14:paraId="128AA1BB">
            <w:pPr>
              <w:rPr>
                <w:rFonts w:ascii="Arial"/>
                <w:sz w:val="21"/>
              </w:rPr>
            </w:pPr>
          </w:p>
        </w:tc>
      </w:tr>
      <w:tr w14:paraId="512DB2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9" w:hRule="atLeast"/>
        </w:trPr>
        <w:tc>
          <w:tcPr>
            <w:tcW w:w="571" w:type="dxa"/>
            <w:vMerge w:val="continue"/>
            <w:tcBorders>
              <w:top w:val="nil"/>
              <w:bottom w:val="nil"/>
            </w:tcBorders>
            <w:vAlign w:val="top"/>
          </w:tcPr>
          <w:p w14:paraId="43A2EEA3">
            <w:pPr>
              <w:rPr>
                <w:rFonts w:ascii="Arial"/>
                <w:sz w:val="21"/>
              </w:rPr>
            </w:pPr>
          </w:p>
        </w:tc>
        <w:tc>
          <w:tcPr>
            <w:tcW w:w="115" w:type="dxa"/>
            <w:tcBorders>
              <w:top w:val="nil"/>
              <w:bottom w:val="nil"/>
            </w:tcBorders>
            <w:vAlign w:val="top"/>
          </w:tcPr>
          <w:p w14:paraId="4FE4A955">
            <w:pPr>
              <w:rPr>
                <w:rFonts w:ascii="Arial"/>
                <w:sz w:val="21"/>
              </w:rPr>
            </w:pPr>
          </w:p>
        </w:tc>
        <w:tc>
          <w:tcPr>
            <w:tcW w:w="5268" w:type="dxa"/>
            <w:gridSpan w:val="2"/>
            <w:vAlign w:val="top"/>
          </w:tcPr>
          <w:p w14:paraId="01830430">
            <w:pPr>
              <w:pStyle w:val="6"/>
              <w:spacing w:before="53" w:line="265" w:lineRule="auto"/>
              <w:ind w:left="110" w:right="104"/>
              <w:jc w:val="both"/>
            </w:pPr>
            <w:r>
              <w:t>禁止在水产种质资源保护区的岸线和河段范围内新建围湖造田、围海造地或围填海等投资建设项目。禁止在国家湿地公园的岸线和河段范围内挖沙、采矿，以及任何</w:t>
            </w:r>
            <w:r>
              <w:rPr>
                <w:spacing w:val="-1"/>
              </w:rPr>
              <w:t>不符合主体功能定位的投资建设项目。</w:t>
            </w:r>
          </w:p>
        </w:tc>
        <w:tc>
          <w:tcPr>
            <w:tcW w:w="2122" w:type="dxa"/>
            <w:vAlign w:val="top"/>
          </w:tcPr>
          <w:p w14:paraId="68CC0E8C">
            <w:pPr>
              <w:pStyle w:val="6"/>
              <w:spacing w:before="213" w:line="279" w:lineRule="auto"/>
              <w:ind w:left="114" w:right="114"/>
              <w:jc w:val="both"/>
            </w:pPr>
            <w:r>
              <w:rPr>
                <w:spacing w:val="-1"/>
              </w:rPr>
              <w:t>本项目用地不涉及水产种质资源保护区和国家湿地公园</w:t>
            </w:r>
          </w:p>
        </w:tc>
        <w:tc>
          <w:tcPr>
            <w:tcW w:w="882" w:type="dxa"/>
            <w:vAlign w:val="top"/>
          </w:tcPr>
          <w:p w14:paraId="04EAB432">
            <w:pPr>
              <w:spacing w:line="458" w:lineRule="auto"/>
              <w:rPr>
                <w:rFonts w:ascii="Arial"/>
                <w:sz w:val="21"/>
              </w:rPr>
            </w:pPr>
          </w:p>
          <w:p w14:paraId="061FC337">
            <w:pPr>
              <w:pStyle w:val="6"/>
              <w:spacing w:before="69" w:line="221" w:lineRule="auto"/>
              <w:ind w:left="234"/>
            </w:pPr>
            <w:r>
              <w:rPr>
                <w:spacing w:val="-2"/>
              </w:rPr>
              <w:t>符合</w:t>
            </w:r>
          </w:p>
        </w:tc>
        <w:tc>
          <w:tcPr>
            <w:tcW w:w="115" w:type="dxa"/>
            <w:tcBorders>
              <w:top w:val="nil"/>
              <w:bottom w:val="nil"/>
            </w:tcBorders>
            <w:vAlign w:val="top"/>
          </w:tcPr>
          <w:p w14:paraId="1C24951B">
            <w:pPr>
              <w:rPr>
                <w:rFonts w:ascii="Arial"/>
                <w:sz w:val="21"/>
              </w:rPr>
            </w:pPr>
          </w:p>
        </w:tc>
      </w:tr>
      <w:tr w14:paraId="2590C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1" w:hRule="atLeast"/>
        </w:trPr>
        <w:tc>
          <w:tcPr>
            <w:tcW w:w="571" w:type="dxa"/>
            <w:vMerge w:val="continue"/>
            <w:tcBorders>
              <w:top w:val="nil"/>
              <w:bottom w:val="nil"/>
            </w:tcBorders>
            <w:vAlign w:val="top"/>
          </w:tcPr>
          <w:p w14:paraId="76FB5127">
            <w:pPr>
              <w:rPr>
                <w:rFonts w:ascii="Arial"/>
                <w:sz w:val="21"/>
              </w:rPr>
            </w:pPr>
          </w:p>
        </w:tc>
        <w:tc>
          <w:tcPr>
            <w:tcW w:w="115" w:type="dxa"/>
            <w:tcBorders>
              <w:top w:val="nil"/>
              <w:bottom w:val="nil"/>
            </w:tcBorders>
            <w:vAlign w:val="top"/>
          </w:tcPr>
          <w:p w14:paraId="30C970EA">
            <w:pPr>
              <w:rPr>
                <w:rFonts w:ascii="Arial"/>
                <w:sz w:val="21"/>
              </w:rPr>
            </w:pPr>
          </w:p>
        </w:tc>
        <w:tc>
          <w:tcPr>
            <w:tcW w:w="5268" w:type="dxa"/>
            <w:gridSpan w:val="2"/>
            <w:vAlign w:val="top"/>
          </w:tcPr>
          <w:p w14:paraId="3B8A3761">
            <w:pPr>
              <w:pStyle w:val="6"/>
              <w:spacing w:before="217" w:line="278" w:lineRule="auto"/>
              <w:ind w:left="111" w:right="104"/>
              <w:jc w:val="both"/>
            </w:pPr>
            <w:r>
              <w:t>禁止违法利用、占用长江流域河湖岸线。禁止在《长江岸线保护和开发利用总体规划》划定的岸线保护区和保</w:t>
            </w:r>
            <w:r>
              <w:rPr>
                <w:spacing w:val="9"/>
              </w:rPr>
              <w:t>留区内投资建设除事关公共安全及公众利益的防洪护</w:t>
            </w:r>
            <w:r>
              <w:t>岸、河道治理、供水、生态环境保护、航道整治、国家重要基础设施以外的项目。禁止在《全国重要江河湖泊水功能区划》划定的河段及湖泊保护区、保留区内投资</w:t>
            </w:r>
            <w:r>
              <w:rPr>
                <w:spacing w:val="-1"/>
              </w:rPr>
              <w:t>建设不利于水资源及自然生态保护的项目。</w:t>
            </w:r>
          </w:p>
        </w:tc>
        <w:tc>
          <w:tcPr>
            <w:tcW w:w="2122" w:type="dxa"/>
            <w:vAlign w:val="top"/>
          </w:tcPr>
          <w:p w14:paraId="3E903D04">
            <w:pPr>
              <w:pStyle w:val="6"/>
              <w:spacing w:before="54" w:line="271" w:lineRule="auto"/>
              <w:ind w:left="114" w:right="114" w:firstLine="1"/>
              <w:jc w:val="both"/>
            </w:pPr>
            <w:r>
              <w:rPr>
                <w:spacing w:val="15"/>
              </w:rPr>
              <w:t>本项</w:t>
            </w:r>
            <w:r>
              <w:rPr>
                <w:spacing w:val="-21"/>
              </w:rPr>
              <w:t xml:space="preserve"> </w:t>
            </w:r>
            <w:r>
              <w:rPr>
                <w:spacing w:val="15"/>
              </w:rPr>
              <w:t>目用地不属于</w:t>
            </w:r>
            <w:r>
              <w:rPr>
                <w:spacing w:val="-1"/>
              </w:rPr>
              <w:t>《长江岸线保护和开发利用总体规划》划定的岸线保护区和保</w:t>
            </w:r>
            <w:r>
              <w:rPr>
                <w:spacing w:val="-22"/>
              </w:rPr>
              <w:t>留区、《全国重要江河</w:t>
            </w:r>
            <w:r>
              <w:rPr>
                <w:spacing w:val="-1"/>
              </w:rPr>
              <w:t>湖泊水功能区划》划定的河段及湖泊保护区、保留区</w:t>
            </w:r>
          </w:p>
        </w:tc>
        <w:tc>
          <w:tcPr>
            <w:tcW w:w="882" w:type="dxa"/>
            <w:vAlign w:val="top"/>
          </w:tcPr>
          <w:p w14:paraId="360E7653">
            <w:pPr>
              <w:spacing w:line="271" w:lineRule="auto"/>
              <w:rPr>
                <w:rFonts w:ascii="Arial"/>
                <w:sz w:val="21"/>
              </w:rPr>
            </w:pPr>
          </w:p>
          <w:p w14:paraId="1B2AB5B5">
            <w:pPr>
              <w:spacing w:line="272" w:lineRule="auto"/>
              <w:rPr>
                <w:rFonts w:ascii="Arial"/>
                <w:sz w:val="21"/>
              </w:rPr>
            </w:pPr>
          </w:p>
          <w:p w14:paraId="73E6C85C">
            <w:pPr>
              <w:spacing w:line="272" w:lineRule="auto"/>
              <w:rPr>
                <w:rFonts w:ascii="Arial"/>
                <w:sz w:val="21"/>
              </w:rPr>
            </w:pPr>
          </w:p>
          <w:p w14:paraId="746A9C4E">
            <w:pPr>
              <w:spacing w:line="272" w:lineRule="auto"/>
              <w:rPr>
                <w:rFonts w:ascii="Arial"/>
                <w:sz w:val="21"/>
              </w:rPr>
            </w:pPr>
          </w:p>
          <w:p w14:paraId="65B5CB10">
            <w:pPr>
              <w:pStyle w:val="6"/>
              <w:spacing w:before="68" w:line="221" w:lineRule="auto"/>
              <w:ind w:left="234"/>
            </w:pPr>
            <w:r>
              <w:rPr>
                <w:spacing w:val="-2"/>
              </w:rPr>
              <w:t>符合</w:t>
            </w:r>
          </w:p>
        </w:tc>
        <w:tc>
          <w:tcPr>
            <w:tcW w:w="115" w:type="dxa"/>
            <w:tcBorders>
              <w:top w:val="nil"/>
              <w:bottom w:val="nil"/>
            </w:tcBorders>
            <w:vAlign w:val="top"/>
          </w:tcPr>
          <w:p w14:paraId="422F9E19">
            <w:pPr>
              <w:rPr>
                <w:rFonts w:ascii="Arial"/>
                <w:sz w:val="21"/>
              </w:rPr>
            </w:pPr>
          </w:p>
        </w:tc>
      </w:tr>
      <w:tr w14:paraId="45082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6" w:hRule="atLeast"/>
        </w:trPr>
        <w:tc>
          <w:tcPr>
            <w:tcW w:w="571" w:type="dxa"/>
            <w:vMerge w:val="continue"/>
            <w:tcBorders>
              <w:top w:val="nil"/>
              <w:bottom w:val="nil"/>
            </w:tcBorders>
            <w:vAlign w:val="top"/>
          </w:tcPr>
          <w:p w14:paraId="69440E95">
            <w:pPr>
              <w:rPr>
                <w:rFonts w:ascii="Arial"/>
                <w:sz w:val="21"/>
              </w:rPr>
            </w:pPr>
          </w:p>
        </w:tc>
        <w:tc>
          <w:tcPr>
            <w:tcW w:w="115" w:type="dxa"/>
            <w:tcBorders>
              <w:top w:val="nil"/>
              <w:bottom w:val="nil"/>
            </w:tcBorders>
            <w:vAlign w:val="top"/>
          </w:tcPr>
          <w:p w14:paraId="116C9C4D">
            <w:pPr>
              <w:rPr>
                <w:rFonts w:ascii="Arial"/>
                <w:sz w:val="21"/>
              </w:rPr>
            </w:pPr>
          </w:p>
        </w:tc>
        <w:tc>
          <w:tcPr>
            <w:tcW w:w="5268" w:type="dxa"/>
            <w:gridSpan w:val="2"/>
            <w:vAlign w:val="top"/>
          </w:tcPr>
          <w:p w14:paraId="5F5DC756">
            <w:pPr>
              <w:pStyle w:val="6"/>
              <w:spacing w:before="57" w:line="267" w:lineRule="auto"/>
              <w:ind w:left="111" w:right="104"/>
            </w:pPr>
            <w:r>
              <w:rPr>
                <w:spacing w:val="-1"/>
              </w:rPr>
              <w:t>禁止在长江干支流、重要湖泊岸线一公里范围内新</w:t>
            </w:r>
            <w:r>
              <w:rPr>
                <w:spacing w:val="-2"/>
              </w:rPr>
              <w:t>建、</w:t>
            </w:r>
            <w:r>
              <w:t>扩建化工园区和化工项目。禁止在长江干流岸线三公里范围内和重要支流岸线一公里范围内新建、改建、扩建尾矿库、冶炼渣库和磷石膏库，以提升安全、生态环境</w:t>
            </w:r>
            <w:r>
              <w:rPr>
                <w:spacing w:val="-2"/>
              </w:rPr>
              <w:t>保护水平为目的的改建除外。</w:t>
            </w:r>
          </w:p>
        </w:tc>
        <w:tc>
          <w:tcPr>
            <w:tcW w:w="2122" w:type="dxa"/>
            <w:vAlign w:val="top"/>
          </w:tcPr>
          <w:p w14:paraId="1F70F1CB">
            <w:pPr>
              <w:spacing w:line="304" w:lineRule="auto"/>
              <w:rPr>
                <w:rFonts w:ascii="Arial"/>
                <w:sz w:val="21"/>
              </w:rPr>
            </w:pPr>
          </w:p>
          <w:p w14:paraId="61290242">
            <w:pPr>
              <w:pStyle w:val="6"/>
              <w:spacing w:before="68" w:line="280" w:lineRule="auto"/>
              <w:ind w:left="114" w:right="114" w:firstLine="1"/>
              <w:jc w:val="both"/>
            </w:pPr>
            <w:r>
              <w:rPr>
                <w:spacing w:val="7"/>
              </w:rPr>
              <w:t>本项</w:t>
            </w:r>
            <w:r>
              <w:rPr>
                <w:spacing w:val="-20"/>
              </w:rPr>
              <w:t xml:space="preserve"> </w:t>
            </w:r>
            <w:r>
              <w:rPr>
                <w:spacing w:val="7"/>
              </w:rPr>
              <w:t>目为输变</w:t>
            </w:r>
            <w:r>
              <w:rPr>
                <w:spacing w:val="-41"/>
              </w:rPr>
              <w:t xml:space="preserve"> </w:t>
            </w:r>
            <w:r>
              <w:rPr>
                <w:spacing w:val="7"/>
              </w:rPr>
              <w:t>电工</w:t>
            </w:r>
            <w:r>
              <w:rPr>
                <w:spacing w:val="-1"/>
              </w:rPr>
              <w:t>程，不属于该条所列</w:t>
            </w:r>
            <w:r>
              <w:rPr>
                <w:spacing w:val="-8"/>
              </w:rPr>
              <w:t>项目。</w:t>
            </w:r>
          </w:p>
        </w:tc>
        <w:tc>
          <w:tcPr>
            <w:tcW w:w="882" w:type="dxa"/>
            <w:vAlign w:val="top"/>
          </w:tcPr>
          <w:p w14:paraId="54281AFA">
            <w:pPr>
              <w:spacing w:line="309" w:lineRule="auto"/>
              <w:rPr>
                <w:rFonts w:ascii="Arial"/>
                <w:sz w:val="21"/>
              </w:rPr>
            </w:pPr>
          </w:p>
          <w:p w14:paraId="712F8175">
            <w:pPr>
              <w:spacing w:line="309" w:lineRule="auto"/>
              <w:rPr>
                <w:rFonts w:ascii="Arial"/>
                <w:sz w:val="21"/>
              </w:rPr>
            </w:pPr>
          </w:p>
          <w:p w14:paraId="184E068D">
            <w:pPr>
              <w:pStyle w:val="6"/>
              <w:spacing w:before="68" w:line="221" w:lineRule="auto"/>
              <w:ind w:left="234"/>
            </w:pPr>
            <w:r>
              <w:rPr>
                <w:spacing w:val="-2"/>
              </w:rPr>
              <w:t>符合</w:t>
            </w:r>
          </w:p>
        </w:tc>
        <w:tc>
          <w:tcPr>
            <w:tcW w:w="115" w:type="dxa"/>
            <w:tcBorders>
              <w:top w:val="nil"/>
              <w:bottom w:val="nil"/>
            </w:tcBorders>
            <w:vAlign w:val="top"/>
          </w:tcPr>
          <w:p w14:paraId="1B0AB253">
            <w:pPr>
              <w:rPr>
                <w:rFonts w:ascii="Arial"/>
                <w:sz w:val="21"/>
              </w:rPr>
            </w:pPr>
          </w:p>
        </w:tc>
      </w:tr>
      <w:tr w14:paraId="0E08A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9" w:hRule="atLeast"/>
        </w:trPr>
        <w:tc>
          <w:tcPr>
            <w:tcW w:w="571" w:type="dxa"/>
            <w:vMerge w:val="continue"/>
            <w:tcBorders>
              <w:top w:val="nil"/>
              <w:bottom w:val="nil"/>
            </w:tcBorders>
            <w:vAlign w:val="top"/>
          </w:tcPr>
          <w:p w14:paraId="2DBDDD3B">
            <w:pPr>
              <w:rPr>
                <w:rFonts w:ascii="Arial"/>
                <w:sz w:val="21"/>
              </w:rPr>
            </w:pPr>
          </w:p>
        </w:tc>
        <w:tc>
          <w:tcPr>
            <w:tcW w:w="8502" w:type="dxa"/>
            <w:gridSpan w:val="6"/>
            <w:vAlign w:val="top"/>
          </w:tcPr>
          <w:p w14:paraId="5036E8F3">
            <w:pPr>
              <w:pStyle w:val="6"/>
              <w:spacing w:before="121" w:line="340" w:lineRule="auto"/>
              <w:ind w:left="123" w:right="119" w:firstLine="480"/>
              <w:rPr>
                <w:sz w:val="24"/>
                <w:szCs w:val="24"/>
              </w:rPr>
            </w:pPr>
            <w:r>
              <w:rPr>
                <w:b/>
                <w:bCs/>
                <w:spacing w:val="-3"/>
                <w:sz w:val="24"/>
                <w:szCs w:val="24"/>
              </w:rPr>
              <w:t>（</w:t>
            </w:r>
            <w:r>
              <w:rPr>
                <w:rFonts w:ascii="Times New Roman" w:hAnsi="Times New Roman" w:eastAsia="Times New Roman" w:cs="Times New Roman"/>
                <w:b/>
                <w:bCs/>
                <w:spacing w:val="-3"/>
                <w:sz w:val="24"/>
                <w:szCs w:val="24"/>
              </w:rPr>
              <w:t>2</w:t>
            </w:r>
            <w:r>
              <w:rPr>
                <w:b/>
                <w:bCs/>
                <w:spacing w:val="-3"/>
                <w:sz w:val="24"/>
                <w:szCs w:val="24"/>
              </w:rPr>
              <w:t>）与《云南省长江经济带发展负面清单指南实施细</w:t>
            </w:r>
            <w:r>
              <w:rPr>
                <w:b/>
                <w:bCs/>
                <w:spacing w:val="-4"/>
                <w:sz w:val="24"/>
                <w:szCs w:val="24"/>
              </w:rPr>
              <w:t>则（试行）》（云发</w:t>
            </w:r>
            <w:r>
              <w:rPr>
                <w:b/>
                <w:bCs/>
                <w:spacing w:val="-3"/>
                <w:sz w:val="24"/>
                <w:szCs w:val="24"/>
              </w:rPr>
              <w:t>改基础〔</w:t>
            </w:r>
            <w:r>
              <w:rPr>
                <w:rFonts w:ascii="Times New Roman" w:hAnsi="Times New Roman" w:eastAsia="Times New Roman" w:cs="Times New Roman"/>
                <w:b/>
                <w:bCs/>
                <w:spacing w:val="-3"/>
                <w:sz w:val="24"/>
                <w:szCs w:val="24"/>
              </w:rPr>
              <w:t>2022</w:t>
            </w:r>
            <w:r>
              <w:rPr>
                <w:b/>
                <w:bCs/>
                <w:spacing w:val="-3"/>
                <w:sz w:val="24"/>
                <w:szCs w:val="24"/>
              </w:rPr>
              <w:t>〕</w:t>
            </w:r>
            <w:r>
              <w:rPr>
                <w:rFonts w:ascii="Times New Roman" w:hAnsi="Times New Roman" w:eastAsia="Times New Roman" w:cs="Times New Roman"/>
                <w:b/>
                <w:bCs/>
                <w:spacing w:val="-3"/>
                <w:sz w:val="24"/>
                <w:szCs w:val="24"/>
              </w:rPr>
              <w:t>894</w:t>
            </w:r>
            <w:r>
              <w:rPr>
                <w:rFonts w:ascii="Times New Roman" w:hAnsi="Times New Roman" w:eastAsia="Times New Roman" w:cs="Times New Roman"/>
                <w:b/>
                <w:bCs/>
                <w:spacing w:val="22"/>
                <w:w w:val="101"/>
                <w:sz w:val="24"/>
                <w:szCs w:val="24"/>
              </w:rPr>
              <w:t xml:space="preserve"> </w:t>
            </w:r>
            <w:r>
              <w:rPr>
                <w:b/>
                <w:bCs/>
                <w:spacing w:val="-3"/>
                <w:sz w:val="24"/>
                <w:szCs w:val="24"/>
              </w:rPr>
              <w:t>号）的符合性分析</w:t>
            </w:r>
          </w:p>
          <w:p w14:paraId="43996ED3">
            <w:pPr>
              <w:pStyle w:val="6"/>
              <w:spacing w:line="222" w:lineRule="auto"/>
              <w:ind w:left="1798"/>
            </w:pPr>
            <w:r>
              <w:rPr>
                <w:b/>
                <w:bCs/>
                <w:spacing w:val="-2"/>
              </w:rPr>
              <w:t>表</w:t>
            </w:r>
            <w:r>
              <w:rPr>
                <w:spacing w:val="-35"/>
              </w:rPr>
              <w:t xml:space="preserve"> </w:t>
            </w:r>
            <w:r>
              <w:rPr>
                <w:rFonts w:ascii="Times New Roman" w:hAnsi="Times New Roman" w:eastAsia="Times New Roman" w:cs="Times New Roman"/>
                <w:b/>
                <w:bCs/>
                <w:spacing w:val="-2"/>
              </w:rPr>
              <w:t xml:space="preserve">1-6    </w:t>
            </w:r>
            <w:r>
              <w:rPr>
                <w:b/>
                <w:bCs/>
                <w:spacing w:val="-2"/>
              </w:rPr>
              <w:t>与“云发改基础〔</w:t>
            </w:r>
            <w:r>
              <w:rPr>
                <w:rFonts w:ascii="Times New Roman" w:hAnsi="Times New Roman" w:eastAsia="Times New Roman" w:cs="Times New Roman"/>
                <w:b/>
                <w:bCs/>
                <w:spacing w:val="-2"/>
              </w:rPr>
              <w:t>2022</w:t>
            </w:r>
            <w:r>
              <w:rPr>
                <w:b/>
                <w:bCs/>
                <w:spacing w:val="-2"/>
              </w:rPr>
              <w:t>〕</w:t>
            </w:r>
            <w:r>
              <w:rPr>
                <w:rFonts w:ascii="Times New Roman" w:hAnsi="Times New Roman" w:eastAsia="Times New Roman" w:cs="Times New Roman"/>
                <w:b/>
                <w:bCs/>
                <w:spacing w:val="-2"/>
              </w:rPr>
              <w:t>8</w:t>
            </w:r>
            <w:r>
              <w:rPr>
                <w:rFonts w:ascii="Times New Roman" w:hAnsi="Times New Roman" w:eastAsia="Times New Roman" w:cs="Times New Roman"/>
                <w:b/>
                <w:bCs/>
                <w:spacing w:val="-3"/>
              </w:rPr>
              <w:t xml:space="preserve">94 </w:t>
            </w:r>
            <w:r>
              <w:rPr>
                <w:b/>
                <w:bCs/>
                <w:spacing w:val="-3"/>
              </w:rPr>
              <w:t>号</w:t>
            </w:r>
            <w:r>
              <w:rPr>
                <w:spacing w:val="-77"/>
              </w:rPr>
              <w:t xml:space="preserve"> </w:t>
            </w:r>
            <w:r>
              <w:rPr>
                <w:b/>
                <w:bCs/>
                <w:spacing w:val="-3"/>
              </w:rPr>
              <w:t>”符合性分析</w:t>
            </w:r>
          </w:p>
        </w:tc>
      </w:tr>
      <w:tr w14:paraId="434D7B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21710342">
            <w:pPr>
              <w:rPr>
                <w:rFonts w:ascii="Arial"/>
                <w:sz w:val="21"/>
              </w:rPr>
            </w:pPr>
          </w:p>
        </w:tc>
        <w:tc>
          <w:tcPr>
            <w:tcW w:w="115" w:type="dxa"/>
            <w:tcBorders>
              <w:top w:val="nil"/>
              <w:bottom w:val="nil"/>
            </w:tcBorders>
            <w:vAlign w:val="top"/>
          </w:tcPr>
          <w:p w14:paraId="3CC1F880">
            <w:pPr>
              <w:rPr>
                <w:rFonts w:ascii="Arial"/>
                <w:sz w:val="21"/>
              </w:rPr>
            </w:pPr>
          </w:p>
        </w:tc>
        <w:tc>
          <w:tcPr>
            <w:tcW w:w="5134" w:type="dxa"/>
            <w:vAlign w:val="top"/>
          </w:tcPr>
          <w:p w14:paraId="62469CD8">
            <w:pPr>
              <w:pStyle w:val="6"/>
              <w:spacing w:before="58" w:line="222" w:lineRule="auto"/>
              <w:ind w:left="687"/>
            </w:pPr>
            <w:r>
              <w:rPr>
                <w:b/>
                <w:bCs/>
                <w:spacing w:val="-3"/>
              </w:rPr>
              <w:t>“云发改基础〔</w:t>
            </w:r>
            <w:r>
              <w:rPr>
                <w:rFonts w:ascii="Times New Roman" w:hAnsi="Times New Roman" w:eastAsia="Times New Roman" w:cs="Times New Roman"/>
                <w:b/>
                <w:bCs/>
                <w:spacing w:val="-3"/>
              </w:rPr>
              <w:t>2022</w:t>
            </w:r>
            <w:r>
              <w:rPr>
                <w:b/>
                <w:bCs/>
                <w:spacing w:val="-3"/>
              </w:rPr>
              <w:t>〕</w:t>
            </w:r>
            <w:r>
              <w:rPr>
                <w:rFonts w:ascii="Times New Roman" w:hAnsi="Times New Roman" w:eastAsia="Times New Roman" w:cs="Times New Roman"/>
                <w:b/>
                <w:bCs/>
                <w:spacing w:val="-3"/>
              </w:rPr>
              <w:t>894</w:t>
            </w:r>
            <w:r>
              <w:rPr>
                <w:rFonts w:ascii="Times New Roman" w:hAnsi="Times New Roman" w:eastAsia="Times New Roman" w:cs="Times New Roman"/>
                <w:b/>
                <w:bCs/>
                <w:spacing w:val="23"/>
                <w:w w:val="101"/>
              </w:rPr>
              <w:t xml:space="preserve"> </w:t>
            </w:r>
            <w:r>
              <w:rPr>
                <w:b/>
                <w:bCs/>
                <w:spacing w:val="-3"/>
              </w:rPr>
              <w:t>号</w:t>
            </w:r>
            <w:r>
              <w:rPr>
                <w:spacing w:val="-77"/>
              </w:rPr>
              <w:t xml:space="preserve"> </w:t>
            </w:r>
            <w:r>
              <w:rPr>
                <w:b/>
                <w:bCs/>
                <w:spacing w:val="-3"/>
              </w:rPr>
              <w:t>”相关内容</w:t>
            </w:r>
          </w:p>
        </w:tc>
        <w:tc>
          <w:tcPr>
            <w:tcW w:w="2256" w:type="dxa"/>
            <w:gridSpan w:val="2"/>
            <w:vAlign w:val="top"/>
          </w:tcPr>
          <w:p w14:paraId="324EBDD3">
            <w:pPr>
              <w:pStyle w:val="6"/>
              <w:spacing w:before="57" w:line="220" w:lineRule="auto"/>
              <w:ind w:left="617"/>
            </w:pPr>
            <w:r>
              <w:rPr>
                <w:b/>
                <w:bCs/>
                <w:spacing w:val="-3"/>
              </w:rPr>
              <w:t>本项目内容</w:t>
            </w:r>
          </w:p>
        </w:tc>
        <w:tc>
          <w:tcPr>
            <w:tcW w:w="882" w:type="dxa"/>
            <w:vAlign w:val="top"/>
          </w:tcPr>
          <w:p w14:paraId="34EFFE07">
            <w:pPr>
              <w:pStyle w:val="6"/>
              <w:spacing w:before="57" w:line="221" w:lineRule="auto"/>
              <w:ind w:left="141"/>
            </w:pPr>
            <w:r>
              <w:rPr>
                <w:b/>
                <w:bCs/>
                <w:spacing w:val="-4"/>
              </w:rPr>
              <w:t>相符性</w:t>
            </w:r>
          </w:p>
        </w:tc>
        <w:tc>
          <w:tcPr>
            <w:tcW w:w="115" w:type="dxa"/>
            <w:tcBorders>
              <w:top w:val="nil"/>
              <w:bottom w:val="nil"/>
            </w:tcBorders>
            <w:vAlign w:val="top"/>
          </w:tcPr>
          <w:p w14:paraId="6E9B942D">
            <w:pPr>
              <w:rPr>
                <w:rFonts w:ascii="Arial"/>
                <w:sz w:val="21"/>
              </w:rPr>
            </w:pPr>
          </w:p>
        </w:tc>
      </w:tr>
      <w:tr w14:paraId="589A8D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4" w:hRule="atLeast"/>
        </w:trPr>
        <w:tc>
          <w:tcPr>
            <w:tcW w:w="571" w:type="dxa"/>
            <w:vMerge w:val="continue"/>
            <w:tcBorders>
              <w:top w:val="nil"/>
              <w:bottom w:val="nil"/>
            </w:tcBorders>
            <w:vAlign w:val="top"/>
          </w:tcPr>
          <w:p w14:paraId="4AB58711">
            <w:pPr>
              <w:rPr>
                <w:rFonts w:ascii="Arial"/>
                <w:sz w:val="21"/>
              </w:rPr>
            </w:pPr>
          </w:p>
        </w:tc>
        <w:tc>
          <w:tcPr>
            <w:tcW w:w="115" w:type="dxa"/>
            <w:tcBorders>
              <w:top w:val="nil"/>
              <w:bottom w:val="nil"/>
            </w:tcBorders>
            <w:vAlign w:val="top"/>
          </w:tcPr>
          <w:p w14:paraId="00CC6792">
            <w:pPr>
              <w:rPr>
                <w:rFonts w:ascii="Arial"/>
                <w:sz w:val="21"/>
              </w:rPr>
            </w:pPr>
          </w:p>
        </w:tc>
        <w:tc>
          <w:tcPr>
            <w:tcW w:w="5134" w:type="dxa"/>
            <w:vAlign w:val="top"/>
          </w:tcPr>
          <w:p w14:paraId="5122CB38">
            <w:pPr>
              <w:pStyle w:val="6"/>
              <w:spacing w:before="61" w:line="266" w:lineRule="auto"/>
              <w:ind w:left="111" w:right="140"/>
              <w:jc w:val="both"/>
            </w:pPr>
            <w:r>
              <w:rPr>
                <w:spacing w:val="-1"/>
              </w:rPr>
              <w:t>禁止新建、改建和扩建不符合《全国内河航道与港口布局规划》等全国港口规划和《昭通市港口码头岸线规划（金沙江段</w:t>
            </w:r>
            <w:r>
              <w:rPr>
                <w:spacing w:val="-32"/>
              </w:rPr>
              <w:t xml:space="preserve"> </w:t>
            </w:r>
            <w:r>
              <w:rPr>
                <w:rFonts w:ascii="Times New Roman" w:hAnsi="Times New Roman" w:eastAsia="Times New Roman" w:cs="Times New Roman"/>
                <w:spacing w:val="-1"/>
              </w:rPr>
              <w:t xml:space="preserve">2019 </w:t>
            </w:r>
            <w:r>
              <w:rPr>
                <w:spacing w:val="-1"/>
              </w:rPr>
              <w:t>年</w:t>
            </w:r>
            <w:r>
              <w:rPr>
                <w:rFonts w:ascii="Times New Roman" w:hAnsi="Times New Roman" w:eastAsia="Times New Roman" w:cs="Times New Roman"/>
                <w:spacing w:val="-1"/>
              </w:rPr>
              <w:t xml:space="preserve">—2035 </w:t>
            </w:r>
            <w:r>
              <w:rPr>
                <w:spacing w:val="-1"/>
              </w:rPr>
              <w:t>年）》《景洪港总体</w:t>
            </w:r>
            <w:r>
              <w:t>规划（</w:t>
            </w:r>
            <w:r>
              <w:rPr>
                <w:rFonts w:ascii="Times New Roman" w:hAnsi="Times New Roman" w:eastAsia="Times New Roman" w:cs="Times New Roman"/>
              </w:rPr>
              <w:t xml:space="preserve">2019—2035 </w:t>
            </w:r>
            <w:r>
              <w:t>年）》等州（市）</w:t>
            </w:r>
            <w:r>
              <w:rPr>
                <w:spacing w:val="-1"/>
              </w:rPr>
              <w:t>级以上港口布局</w:t>
            </w:r>
            <w:r>
              <w:rPr>
                <w:spacing w:val="-2"/>
              </w:rPr>
              <w:t>规划以及港口总体规划的码头项目。</w:t>
            </w:r>
          </w:p>
        </w:tc>
        <w:tc>
          <w:tcPr>
            <w:tcW w:w="2256" w:type="dxa"/>
            <w:gridSpan w:val="2"/>
            <w:vAlign w:val="top"/>
          </w:tcPr>
          <w:p w14:paraId="1A7760C7">
            <w:pPr>
              <w:spacing w:line="459" w:lineRule="auto"/>
              <w:rPr>
                <w:rFonts w:ascii="Arial"/>
                <w:sz w:val="21"/>
              </w:rPr>
            </w:pPr>
          </w:p>
          <w:p w14:paraId="269D5CDF">
            <w:pPr>
              <w:pStyle w:val="6"/>
              <w:spacing w:before="69" w:line="220" w:lineRule="auto"/>
              <w:ind w:left="199"/>
            </w:pPr>
            <w:r>
              <w:rPr>
                <w:spacing w:val="-1"/>
              </w:rPr>
              <w:t>本项目属于输变电工</w:t>
            </w:r>
          </w:p>
          <w:p w14:paraId="69F80DCF">
            <w:pPr>
              <w:pStyle w:val="6"/>
              <w:spacing w:before="67" w:line="221" w:lineRule="auto"/>
              <w:ind w:left="1038"/>
            </w:pPr>
            <w:r>
              <w:t>程</w:t>
            </w:r>
          </w:p>
        </w:tc>
        <w:tc>
          <w:tcPr>
            <w:tcW w:w="882" w:type="dxa"/>
            <w:vAlign w:val="top"/>
          </w:tcPr>
          <w:p w14:paraId="03B1FBD0">
            <w:pPr>
              <w:spacing w:line="308" w:lineRule="auto"/>
              <w:rPr>
                <w:rFonts w:ascii="Arial"/>
                <w:sz w:val="21"/>
              </w:rPr>
            </w:pPr>
          </w:p>
          <w:p w14:paraId="224A1D61">
            <w:pPr>
              <w:spacing w:line="309" w:lineRule="auto"/>
              <w:rPr>
                <w:rFonts w:ascii="Arial"/>
                <w:sz w:val="21"/>
              </w:rPr>
            </w:pPr>
          </w:p>
          <w:p w14:paraId="3C0E6266">
            <w:pPr>
              <w:pStyle w:val="6"/>
              <w:spacing w:before="68" w:line="221" w:lineRule="auto"/>
              <w:ind w:left="251"/>
            </w:pPr>
            <w:r>
              <w:rPr>
                <w:spacing w:val="-2"/>
              </w:rPr>
              <w:t>符合</w:t>
            </w:r>
          </w:p>
        </w:tc>
        <w:tc>
          <w:tcPr>
            <w:tcW w:w="115" w:type="dxa"/>
            <w:tcBorders>
              <w:top w:val="nil"/>
              <w:bottom w:val="nil"/>
            </w:tcBorders>
            <w:vAlign w:val="top"/>
          </w:tcPr>
          <w:p w14:paraId="2849F3A4">
            <w:pPr>
              <w:rPr>
                <w:rFonts w:ascii="Arial"/>
                <w:sz w:val="21"/>
              </w:rPr>
            </w:pPr>
          </w:p>
        </w:tc>
      </w:tr>
      <w:tr w14:paraId="428F16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31" w:hRule="atLeast"/>
        </w:trPr>
        <w:tc>
          <w:tcPr>
            <w:tcW w:w="571" w:type="dxa"/>
            <w:vMerge w:val="continue"/>
            <w:tcBorders>
              <w:top w:val="nil"/>
            </w:tcBorders>
            <w:vAlign w:val="top"/>
          </w:tcPr>
          <w:p w14:paraId="0B7EEA59">
            <w:pPr>
              <w:rPr>
                <w:rFonts w:ascii="Arial"/>
                <w:sz w:val="21"/>
              </w:rPr>
            </w:pPr>
          </w:p>
        </w:tc>
        <w:tc>
          <w:tcPr>
            <w:tcW w:w="115" w:type="dxa"/>
            <w:tcBorders>
              <w:top w:val="nil"/>
            </w:tcBorders>
            <w:vAlign w:val="top"/>
          </w:tcPr>
          <w:p w14:paraId="753E7266">
            <w:pPr>
              <w:rPr>
                <w:rFonts w:ascii="Arial"/>
                <w:sz w:val="21"/>
              </w:rPr>
            </w:pPr>
          </w:p>
        </w:tc>
        <w:tc>
          <w:tcPr>
            <w:tcW w:w="5134" w:type="dxa"/>
            <w:vAlign w:val="top"/>
          </w:tcPr>
          <w:p w14:paraId="2D7E3448">
            <w:pPr>
              <w:pStyle w:val="6"/>
              <w:spacing w:before="55" w:line="272" w:lineRule="auto"/>
              <w:ind w:left="111" w:right="191"/>
              <w:jc w:val="both"/>
            </w:pPr>
            <w:r>
              <w:rPr>
                <w:spacing w:val="-1"/>
              </w:rPr>
              <w:t>禁止在自然保护区核心区、缓冲区的岸线和河段范围内投资建设旅游和生产经营项目。禁止建设与自然保护区保护方向不一致的旅游项目。禁止在自然保护区内进行开矿、采石、挖沙等活动。禁止在自然保护区的核心区和缓冲区内建设任何生产设施，禁止在自然保护区的实验区内建设污染环境、破坏资源或者景观的生产设施。</w:t>
            </w:r>
          </w:p>
        </w:tc>
        <w:tc>
          <w:tcPr>
            <w:tcW w:w="2256" w:type="dxa"/>
            <w:gridSpan w:val="2"/>
            <w:vAlign w:val="top"/>
          </w:tcPr>
          <w:p w14:paraId="5EE5FA49">
            <w:pPr>
              <w:spacing w:line="258" w:lineRule="auto"/>
              <w:rPr>
                <w:rFonts w:ascii="Arial"/>
                <w:sz w:val="21"/>
              </w:rPr>
            </w:pPr>
          </w:p>
          <w:p w14:paraId="6F0BB8AC">
            <w:pPr>
              <w:spacing w:line="258" w:lineRule="auto"/>
              <w:rPr>
                <w:rFonts w:ascii="Arial"/>
                <w:sz w:val="21"/>
              </w:rPr>
            </w:pPr>
          </w:p>
          <w:p w14:paraId="25747DA1">
            <w:pPr>
              <w:spacing w:line="258" w:lineRule="auto"/>
              <w:rPr>
                <w:rFonts w:ascii="Arial"/>
                <w:sz w:val="21"/>
              </w:rPr>
            </w:pPr>
          </w:p>
          <w:p w14:paraId="52C5D026">
            <w:pPr>
              <w:pStyle w:val="6"/>
              <w:spacing w:before="69" w:line="281" w:lineRule="auto"/>
              <w:ind w:left="934" w:right="166" w:hanging="735"/>
            </w:pPr>
            <w:r>
              <w:rPr>
                <w:spacing w:val="-1"/>
              </w:rPr>
              <w:t>本项目不涉及自然保</w:t>
            </w:r>
            <w:r>
              <w:rPr>
                <w:spacing w:val="-2"/>
              </w:rPr>
              <w:t>护区</w:t>
            </w:r>
          </w:p>
        </w:tc>
        <w:tc>
          <w:tcPr>
            <w:tcW w:w="882" w:type="dxa"/>
            <w:vAlign w:val="top"/>
          </w:tcPr>
          <w:p w14:paraId="25D93CC1">
            <w:pPr>
              <w:spacing w:line="310" w:lineRule="auto"/>
              <w:rPr>
                <w:rFonts w:ascii="Arial"/>
                <w:sz w:val="21"/>
              </w:rPr>
            </w:pPr>
          </w:p>
          <w:p w14:paraId="297C1F4F">
            <w:pPr>
              <w:spacing w:line="311" w:lineRule="auto"/>
              <w:rPr>
                <w:rFonts w:ascii="Arial"/>
                <w:sz w:val="21"/>
              </w:rPr>
            </w:pPr>
          </w:p>
          <w:p w14:paraId="2384B5AB">
            <w:pPr>
              <w:spacing w:line="311" w:lineRule="auto"/>
              <w:rPr>
                <w:rFonts w:ascii="Arial"/>
                <w:sz w:val="21"/>
              </w:rPr>
            </w:pPr>
          </w:p>
          <w:p w14:paraId="33F1E0C9">
            <w:pPr>
              <w:pStyle w:val="6"/>
              <w:spacing w:before="68" w:line="221" w:lineRule="auto"/>
              <w:ind w:left="251"/>
            </w:pPr>
            <w:r>
              <w:rPr>
                <w:spacing w:val="-2"/>
              </w:rPr>
              <w:t>符合</w:t>
            </w:r>
          </w:p>
        </w:tc>
        <w:tc>
          <w:tcPr>
            <w:tcW w:w="115" w:type="dxa"/>
            <w:tcBorders>
              <w:top w:val="nil"/>
            </w:tcBorders>
            <w:vAlign w:val="top"/>
          </w:tcPr>
          <w:p w14:paraId="2E22BD2C">
            <w:pPr>
              <w:rPr>
                <w:rFonts w:ascii="Arial"/>
                <w:sz w:val="21"/>
              </w:rPr>
            </w:pPr>
          </w:p>
        </w:tc>
      </w:tr>
    </w:tbl>
    <w:p w14:paraId="7017B5C1">
      <w:pPr>
        <w:rPr>
          <w:rFonts w:ascii="Arial"/>
          <w:sz w:val="21"/>
        </w:rPr>
      </w:pPr>
    </w:p>
    <w:p w14:paraId="5B541EF1">
      <w:pPr>
        <w:rPr>
          <w:rFonts w:ascii="Arial" w:hAnsi="Arial" w:eastAsia="Arial" w:cs="Arial"/>
          <w:sz w:val="21"/>
          <w:szCs w:val="21"/>
        </w:rPr>
        <w:sectPr>
          <w:footerReference r:id="rId24" w:type="default"/>
          <w:pgSz w:w="11907" w:h="16841"/>
          <w:pgMar w:top="400" w:right="1413" w:bottom="1126" w:left="1414" w:header="0" w:footer="925" w:gutter="0"/>
          <w:cols w:space="720" w:num="1"/>
        </w:sectPr>
      </w:pPr>
    </w:p>
    <w:p w14:paraId="53EC6394">
      <w:pPr>
        <w:spacing w:before="2"/>
      </w:pPr>
    </w:p>
    <w:p w14:paraId="71AF9D8B">
      <w:pPr>
        <w:spacing w:before="2"/>
      </w:pPr>
    </w:p>
    <w:p w14:paraId="76AC225B">
      <w:pPr>
        <w:spacing w:before="1"/>
      </w:pPr>
    </w:p>
    <w:p w14:paraId="39D7EE2F">
      <w:pPr>
        <w:spacing w:before="1"/>
      </w:pPr>
    </w:p>
    <w:p w14:paraId="7518E924">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5"/>
        <w:gridCol w:w="5134"/>
        <w:gridCol w:w="2277"/>
        <w:gridCol w:w="861"/>
        <w:gridCol w:w="115"/>
      </w:tblGrid>
      <w:tr w14:paraId="770431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48" w:hRule="atLeast"/>
        </w:trPr>
        <w:tc>
          <w:tcPr>
            <w:tcW w:w="571" w:type="dxa"/>
            <w:vMerge w:val="restart"/>
            <w:tcBorders>
              <w:bottom w:val="nil"/>
            </w:tcBorders>
            <w:vAlign w:val="top"/>
          </w:tcPr>
          <w:p w14:paraId="44F2B270">
            <w:pPr>
              <w:rPr>
                <w:rFonts w:ascii="Arial"/>
                <w:sz w:val="21"/>
              </w:rPr>
            </w:pPr>
          </w:p>
        </w:tc>
        <w:tc>
          <w:tcPr>
            <w:tcW w:w="115" w:type="dxa"/>
            <w:tcBorders>
              <w:bottom w:val="nil"/>
            </w:tcBorders>
            <w:vAlign w:val="top"/>
          </w:tcPr>
          <w:p w14:paraId="71716C9E">
            <w:pPr>
              <w:rPr>
                <w:rFonts w:ascii="Arial"/>
                <w:sz w:val="21"/>
              </w:rPr>
            </w:pPr>
          </w:p>
        </w:tc>
        <w:tc>
          <w:tcPr>
            <w:tcW w:w="5134" w:type="dxa"/>
            <w:vAlign w:val="top"/>
          </w:tcPr>
          <w:p w14:paraId="744C2B41">
            <w:pPr>
              <w:pStyle w:val="6"/>
              <w:spacing w:before="72" w:line="277" w:lineRule="auto"/>
              <w:ind w:left="111" w:right="191"/>
            </w:pPr>
            <w:r>
              <w:rPr>
                <w:spacing w:val="-1"/>
              </w:rPr>
              <w:t>禁止在风景名胜区核心景区的岸线和河段范围内投资建设与风景名胜资源保护无关的项目。禁止在风景名胜区内进行开山、采石、开矿、开荒、修坟立碑等破坏景观、植被和地形地貌的活动以及修建储存爆炸</w:t>
            </w:r>
          </w:p>
          <w:p w14:paraId="245FD7BD">
            <w:pPr>
              <w:pStyle w:val="6"/>
              <w:spacing w:before="3" w:line="264" w:lineRule="auto"/>
              <w:ind w:left="111" w:right="191" w:firstLine="2"/>
            </w:pPr>
            <w:r>
              <w:rPr>
                <w:spacing w:val="-1"/>
              </w:rPr>
              <w:t>性、易燃性、放射性、毒害性、腐蚀性物品的设施；禁止在风景名胜区内设立开发区和在核心景区内建设宾馆、会所、培训中心、疗养院以及与风景名胜资源保护无关的投资建设项目。</w:t>
            </w:r>
          </w:p>
        </w:tc>
        <w:tc>
          <w:tcPr>
            <w:tcW w:w="2277" w:type="dxa"/>
            <w:vAlign w:val="top"/>
          </w:tcPr>
          <w:p w14:paraId="057FA474">
            <w:pPr>
              <w:spacing w:line="314" w:lineRule="auto"/>
              <w:rPr>
                <w:rFonts w:ascii="Arial"/>
                <w:sz w:val="21"/>
              </w:rPr>
            </w:pPr>
          </w:p>
          <w:p w14:paraId="3E47DFAC">
            <w:pPr>
              <w:spacing w:line="315" w:lineRule="auto"/>
              <w:rPr>
                <w:rFonts w:ascii="Arial"/>
                <w:sz w:val="21"/>
              </w:rPr>
            </w:pPr>
          </w:p>
          <w:p w14:paraId="7B972EA1">
            <w:pPr>
              <w:spacing w:line="315" w:lineRule="auto"/>
              <w:rPr>
                <w:rFonts w:ascii="Arial"/>
                <w:sz w:val="21"/>
              </w:rPr>
            </w:pPr>
          </w:p>
          <w:p w14:paraId="4FA60D6D">
            <w:pPr>
              <w:pStyle w:val="6"/>
              <w:spacing w:before="69" w:line="279" w:lineRule="auto"/>
              <w:ind w:left="829" w:right="187" w:hanging="628"/>
            </w:pPr>
            <w:r>
              <w:rPr>
                <w:spacing w:val="-1"/>
              </w:rPr>
              <w:t>项目用地不涉及风景</w:t>
            </w:r>
            <w:r>
              <w:rPr>
                <w:spacing w:val="-2"/>
              </w:rPr>
              <w:t>名胜区</w:t>
            </w:r>
          </w:p>
        </w:tc>
        <w:tc>
          <w:tcPr>
            <w:tcW w:w="861" w:type="dxa"/>
            <w:vAlign w:val="top"/>
          </w:tcPr>
          <w:p w14:paraId="4D14F115">
            <w:pPr>
              <w:spacing w:line="274" w:lineRule="auto"/>
              <w:rPr>
                <w:rFonts w:ascii="Arial"/>
                <w:sz w:val="21"/>
              </w:rPr>
            </w:pPr>
          </w:p>
          <w:p w14:paraId="1E3A2AC7">
            <w:pPr>
              <w:spacing w:line="275" w:lineRule="auto"/>
              <w:rPr>
                <w:rFonts w:ascii="Arial"/>
                <w:sz w:val="21"/>
              </w:rPr>
            </w:pPr>
          </w:p>
          <w:p w14:paraId="7BC34A0D">
            <w:pPr>
              <w:spacing w:line="275" w:lineRule="auto"/>
              <w:rPr>
                <w:rFonts w:ascii="Arial"/>
                <w:sz w:val="21"/>
              </w:rPr>
            </w:pPr>
          </w:p>
          <w:p w14:paraId="290F5704">
            <w:pPr>
              <w:spacing w:line="275" w:lineRule="auto"/>
              <w:rPr>
                <w:rFonts w:ascii="Arial"/>
                <w:sz w:val="21"/>
              </w:rPr>
            </w:pPr>
          </w:p>
          <w:p w14:paraId="43F5CBF3">
            <w:pPr>
              <w:pStyle w:val="6"/>
              <w:spacing w:before="68" w:line="221" w:lineRule="auto"/>
              <w:ind w:left="230"/>
            </w:pPr>
            <w:r>
              <w:rPr>
                <w:spacing w:val="-2"/>
              </w:rPr>
              <w:t>符合</w:t>
            </w:r>
          </w:p>
        </w:tc>
        <w:tc>
          <w:tcPr>
            <w:tcW w:w="115" w:type="dxa"/>
            <w:tcBorders>
              <w:bottom w:val="nil"/>
            </w:tcBorders>
            <w:vAlign w:val="top"/>
          </w:tcPr>
          <w:p w14:paraId="5146BE3F">
            <w:pPr>
              <w:rPr>
                <w:rFonts w:ascii="Arial"/>
                <w:sz w:val="21"/>
              </w:rPr>
            </w:pPr>
          </w:p>
        </w:tc>
      </w:tr>
      <w:tr w14:paraId="5D7D9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0" w:hRule="atLeast"/>
        </w:trPr>
        <w:tc>
          <w:tcPr>
            <w:tcW w:w="571" w:type="dxa"/>
            <w:vMerge w:val="continue"/>
            <w:tcBorders>
              <w:top w:val="nil"/>
              <w:bottom w:val="nil"/>
            </w:tcBorders>
            <w:vAlign w:val="top"/>
          </w:tcPr>
          <w:p w14:paraId="7E69A17E">
            <w:pPr>
              <w:rPr>
                <w:rFonts w:ascii="Arial"/>
                <w:sz w:val="21"/>
              </w:rPr>
            </w:pPr>
          </w:p>
        </w:tc>
        <w:tc>
          <w:tcPr>
            <w:tcW w:w="115" w:type="dxa"/>
            <w:tcBorders>
              <w:top w:val="nil"/>
              <w:bottom w:val="nil"/>
            </w:tcBorders>
            <w:vAlign w:val="top"/>
          </w:tcPr>
          <w:p w14:paraId="599885DA">
            <w:pPr>
              <w:rPr>
                <w:rFonts w:ascii="Arial"/>
                <w:sz w:val="21"/>
              </w:rPr>
            </w:pPr>
          </w:p>
        </w:tc>
        <w:tc>
          <w:tcPr>
            <w:tcW w:w="5134" w:type="dxa"/>
            <w:vAlign w:val="top"/>
          </w:tcPr>
          <w:p w14:paraId="02EB4F27">
            <w:pPr>
              <w:pStyle w:val="6"/>
              <w:spacing w:before="54" w:line="269" w:lineRule="auto"/>
              <w:ind w:left="111" w:right="191"/>
              <w:jc w:val="both"/>
            </w:pPr>
            <w:r>
              <w:rPr>
                <w:spacing w:val="-1"/>
              </w:rPr>
              <w:t>禁止在饮用水水源一级保护区的岸线和河段范围内新建、改建、扩建与供水设施和保护水源无关的投资建设项目，以及网箱养殖、畜禽养殖、旅游等可能污染饮用水水体的投资建设项目。禁止在饮用水水源二级保护区的岸线和河段范围内新建、改建、扩建排放污染物的投资建设项目。</w:t>
            </w:r>
          </w:p>
        </w:tc>
        <w:tc>
          <w:tcPr>
            <w:tcW w:w="2277" w:type="dxa"/>
            <w:vAlign w:val="top"/>
          </w:tcPr>
          <w:p w14:paraId="326032D4">
            <w:pPr>
              <w:spacing w:line="307" w:lineRule="auto"/>
              <w:rPr>
                <w:rFonts w:ascii="Arial"/>
                <w:sz w:val="21"/>
              </w:rPr>
            </w:pPr>
          </w:p>
          <w:p w14:paraId="71B970D4">
            <w:pPr>
              <w:spacing w:line="307" w:lineRule="auto"/>
              <w:rPr>
                <w:rFonts w:ascii="Arial"/>
                <w:sz w:val="21"/>
              </w:rPr>
            </w:pPr>
          </w:p>
          <w:p w14:paraId="7576159A">
            <w:pPr>
              <w:pStyle w:val="6"/>
              <w:spacing w:before="69" w:line="280" w:lineRule="auto"/>
              <w:ind w:left="515" w:right="187" w:hanging="314"/>
            </w:pPr>
            <w:r>
              <w:rPr>
                <w:spacing w:val="-1"/>
              </w:rPr>
              <w:t>项目用地不涉及饮用</w:t>
            </w:r>
            <w:r>
              <w:rPr>
                <w:spacing w:val="-2"/>
              </w:rPr>
              <w:t>水水源保护区</w:t>
            </w:r>
          </w:p>
        </w:tc>
        <w:tc>
          <w:tcPr>
            <w:tcW w:w="861" w:type="dxa"/>
            <w:vAlign w:val="top"/>
          </w:tcPr>
          <w:p w14:paraId="44C94379">
            <w:pPr>
              <w:spacing w:line="256" w:lineRule="auto"/>
              <w:rPr>
                <w:rFonts w:ascii="Arial"/>
                <w:sz w:val="21"/>
              </w:rPr>
            </w:pPr>
          </w:p>
          <w:p w14:paraId="083DB1D2">
            <w:pPr>
              <w:spacing w:line="257" w:lineRule="auto"/>
              <w:rPr>
                <w:rFonts w:ascii="Arial"/>
                <w:sz w:val="21"/>
              </w:rPr>
            </w:pPr>
          </w:p>
          <w:p w14:paraId="4CFF8E35">
            <w:pPr>
              <w:spacing w:line="257" w:lineRule="auto"/>
              <w:rPr>
                <w:rFonts w:ascii="Arial"/>
                <w:sz w:val="21"/>
              </w:rPr>
            </w:pPr>
          </w:p>
          <w:p w14:paraId="4E523019">
            <w:pPr>
              <w:pStyle w:val="6"/>
              <w:spacing w:before="68" w:line="221" w:lineRule="auto"/>
              <w:ind w:left="230"/>
            </w:pPr>
            <w:r>
              <w:rPr>
                <w:spacing w:val="-2"/>
              </w:rPr>
              <w:t>符合</w:t>
            </w:r>
          </w:p>
        </w:tc>
        <w:tc>
          <w:tcPr>
            <w:tcW w:w="115" w:type="dxa"/>
            <w:tcBorders>
              <w:top w:val="nil"/>
              <w:bottom w:val="nil"/>
            </w:tcBorders>
            <w:vAlign w:val="top"/>
          </w:tcPr>
          <w:p w14:paraId="03F464C5">
            <w:pPr>
              <w:rPr>
                <w:rFonts w:ascii="Arial"/>
                <w:sz w:val="21"/>
              </w:rPr>
            </w:pPr>
          </w:p>
        </w:tc>
      </w:tr>
      <w:tr w14:paraId="327BD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6" w:hRule="atLeast"/>
        </w:trPr>
        <w:tc>
          <w:tcPr>
            <w:tcW w:w="571" w:type="dxa"/>
            <w:vMerge w:val="continue"/>
            <w:tcBorders>
              <w:top w:val="nil"/>
              <w:bottom w:val="nil"/>
            </w:tcBorders>
            <w:vAlign w:val="top"/>
          </w:tcPr>
          <w:p w14:paraId="7F86C100">
            <w:pPr>
              <w:rPr>
                <w:rFonts w:ascii="Arial"/>
                <w:sz w:val="21"/>
              </w:rPr>
            </w:pPr>
          </w:p>
        </w:tc>
        <w:tc>
          <w:tcPr>
            <w:tcW w:w="115" w:type="dxa"/>
            <w:tcBorders>
              <w:top w:val="nil"/>
              <w:bottom w:val="nil"/>
            </w:tcBorders>
            <w:vAlign w:val="top"/>
          </w:tcPr>
          <w:p w14:paraId="4C93FDD4">
            <w:pPr>
              <w:rPr>
                <w:rFonts w:ascii="Arial"/>
                <w:sz w:val="21"/>
              </w:rPr>
            </w:pPr>
          </w:p>
        </w:tc>
        <w:tc>
          <w:tcPr>
            <w:tcW w:w="5134" w:type="dxa"/>
            <w:vAlign w:val="top"/>
          </w:tcPr>
          <w:p w14:paraId="70222AC7">
            <w:pPr>
              <w:pStyle w:val="6"/>
              <w:spacing w:before="57" w:line="267" w:lineRule="auto"/>
              <w:ind w:left="114" w:right="104" w:hanging="3"/>
              <w:jc w:val="both"/>
            </w:pPr>
            <w:r>
              <w:rPr>
                <w:spacing w:val="3"/>
              </w:rPr>
              <w:t>禁止在水产种质资源保护区的岸线和河段范围内新建</w:t>
            </w:r>
            <w:r>
              <w:rPr>
                <w:spacing w:val="-6"/>
              </w:rPr>
              <w:t>围湖造田、围湖造地或围填海等投资建设项目。禁止擅自征收、占用国家湿地公园的土地；禁止在国家湿地公园内挖沙、采矿，以及建设度假村、高尔夫球场等任何</w:t>
            </w:r>
            <w:r>
              <w:rPr>
                <w:spacing w:val="-1"/>
              </w:rPr>
              <w:t>不符合主体功能定位的投资建设项目。</w:t>
            </w:r>
          </w:p>
        </w:tc>
        <w:tc>
          <w:tcPr>
            <w:tcW w:w="2277" w:type="dxa"/>
            <w:vAlign w:val="top"/>
          </w:tcPr>
          <w:p w14:paraId="723D25BF">
            <w:pPr>
              <w:spacing w:line="301" w:lineRule="auto"/>
              <w:rPr>
                <w:rFonts w:ascii="Arial"/>
                <w:sz w:val="21"/>
              </w:rPr>
            </w:pPr>
          </w:p>
          <w:p w14:paraId="3C3AD19C">
            <w:pPr>
              <w:pStyle w:val="6"/>
              <w:spacing w:before="69" w:line="221" w:lineRule="auto"/>
              <w:ind w:left="201"/>
            </w:pPr>
            <w:r>
              <w:rPr>
                <w:spacing w:val="-1"/>
              </w:rPr>
              <w:t>项目不涉及水产种质</w:t>
            </w:r>
          </w:p>
          <w:p w14:paraId="56D14E81">
            <w:pPr>
              <w:pStyle w:val="6"/>
              <w:spacing w:before="66" w:line="221" w:lineRule="auto"/>
              <w:ind w:left="207"/>
            </w:pPr>
            <w:r>
              <w:rPr>
                <w:spacing w:val="-2"/>
              </w:rPr>
              <w:t>资源保护区、国家湿</w:t>
            </w:r>
          </w:p>
          <w:p w14:paraId="5F396B71">
            <w:pPr>
              <w:pStyle w:val="6"/>
              <w:spacing w:before="62" w:line="222" w:lineRule="auto"/>
              <w:ind w:left="827"/>
            </w:pPr>
            <w:r>
              <w:rPr>
                <w:spacing w:val="-2"/>
              </w:rPr>
              <w:t>地公园</w:t>
            </w:r>
          </w:p>
        </w:tc>
        <w:tc>
          <w:tcPr>
            <w:tcW w:w="861" w:type="dxa"/>
            <w:vAlign w:val="top"/>
          </w:tcPr>
          <w:p w14:paraId="7F89F56E">
            <w:pPr>
              <w:spacing w:line="308" w:lineRule="auto"/>
              <w:rPr>
                <w:rFonts w:ascii="Arial"/>
                <w:sz w:val="21"/>
              </w:rPr>
            </w:pPr>
          </w:p>
          <w:p w14:paraId="2EE325C2">
            <w:pPr>
              <w:spacing w:line="308" w:lineRule="auto"/>
              <w:rPr>
                <w:rFonts w:ascii="Arial"/>
                <w:sz w:val="21"/>
              </w:rPr>
            </w:pPr>
          </w:p>
          <w:p w14:paraId="7CC73B0F">
            <w:pPr>
              <w:pStyle w:val="6"/>
              <w:spacing w:before="69" w:line="221" w:lineRule="auto"/>
              <w:ind w:left="230"/>
            </w:pPr>
            <w:r>
              <w:rPr>
                <w:spacing w:val="-2"/>
              </w:rPr>
              <w:t>符合</w:t>
            </w:r>
          </w:p>
        </w:tc>
        <w:tc>
          <w:tcPr>
            <w:tcW w:w="115" w:type="dxa"/>
            <w:tcBorders>
              <w:top w:val="nil"/>
              <w:bottom w:val="nil"/>
            </w:tcBorders>
            <w:vAlign w:val="top"/>
          </w:tcPr>
          <w:p w14:paraId="1F5BE16B">
            <w:pPr>
              <w:rPr>
                <w:rFonts w:ascii="Arial"/>
                <w:sz w:val="21"/>
              </w:rPr>
            </w:pPr>
          </w:p>
        </w:tc>
      </w:tr>
      <w:tr w14:paraId="144CD7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0" w:hRule="atLeast"/>
        </w:trPr>
        <w:tc>
          <w:tcPr>
            <w:tcW w:w="571" w:type="dxa"/>
            <w:vMerge w:val="continue"/>
            <w:tcBorders>
              <w:top w:val="nil"/>
              <w:bottom w:val="nil"/>
            </w:tcBorders>
            <w:vAlign w:val="top"/>
          </w:tcPr>
          <w:p w14:paraId="63DF4B45">
            <w:pPr>
              <w:rPr>
                <w:rFonts w:ascii="Arial"/>
                <w:sz w:val="21"/>
              </w:rPr>
            </w:pPr>
          </w:p>
        </w:tc>
        <w:tc>
          <w:tcPr>
            <w:tcW w:w="115" w:type="dxa"/>
            <w:tcBorders>
              <w:top w:val="nil"/>
              <w:bottom w:val="nil"/>
            </w:tcBorders>
            <w:vAlign w:val="top"/>
          </w:tcPr>
          <w:p w14:paraId="3492B98B">
            <w:pPr>
              <w:rPr>
                <w:rFonts w:ascii="Arial"/>
                <w:sz w:val="21"/>
              </w:rPr>
            </w:pPr>
          </w:p>
        </w:tc>
        <w:tc>
          <w:tcPr>
            <w:tcW w:w="5134" w:type="dxa"/>
            <w:vAlign w:val="top"/>
          </w:tcPr>
          <w:p w14:paraId="7D2F635F">
            <w:pPr>
              <w:pStyle w:val="6"/>
              <w:spacing w:before="54" w:line="269" w:lineRule="auto"/>
              <w:ind w:left="111" w:right="30"/>
              <w:jc w:val="both"/>
            </w:pPr>
            <w:r>
              <w:rPr>
                <w:spacing w:val="-6"/>
              </w:rPr>
              <w:t>禁止违法利用、占用长江流域河湖岸线。禁止在金沙江</w:t>
            </w:r>
            <w:r>
              <w:rPr>
                <w:spacing w:val="3"/>
              </w:rPr>
              <w:t>岸线保护区和保留区内投资建设除事关公共安全及公</w:t>
            </w:r>
            <w:r>
              <w:rPr>
                <w:spacing w:val="-3"/>
              </w:rPr>
              <w:t>众利益的防洪护岸、河道治理、供水、生态环境保护、</w:t>
            </w:r>
            <w:r>
              <w:rPr>
                <w:spacing w:val="-6"/>
              </w:rPr>
              <w:t>航道整治、国家重要基础设施以外的项目。禁止在金沙江干流、九大高原湖泊保护区、保留区内投资建设不利</w:t>
            </w:r>
            <w:r>
              <w:rPr>
                <w:spacing w:val="-1"/>
              </w:rPr>
              <w:t>于水资源及自然生态保护的项目。</w:t>
            </w:r>
          </w:p>
        </w:tc>
        <w:tc>
          <w:tcPr>
            <w:tcW w:w="2277" w:type="dxa"/>
            <w:vAlign w:val="top"/>
          </w:tcPr>
          <w:p w14:paraId="1B9F00E6">
            <w:pPr>
              <w:pStyle w:val="6"/>
              <w:spacing w:before="213" w:line="221" w:lineRule="auto"/>
              <w:ind w:left="201"/>
            </w:pPr>
            <w:r>
              <w:rPr>
                <w:spacing w:val="-1"/>
              </w:rPr>
              <w:t>项目为输变电工程，</w:t>
            </w:r>
          </w:p>
          <w:p w14:paraId="3891CF31">
            <w:pPr>
              <w:pStyle w:val="6"/>
              <w:spacing w:before="63" w:line="221" w:lineRule="auto"/>
              <w:ind w:left="201"/>
            </w:pPr>
            <w:r>
              <w:rPr>
                <w:spacing w:val="-1"/>
              </w:rPr>
              <w:t>不涉及金沙江岸线保</w:t>
            </w:r>
          </w:p>
          <w:p w14:paraId="5293D9BA">
            <w:pPr>
              <w:pStyle w:val="6"/>
              <w:spacing w:before="65" w:line="221" w:lineRule="auto"/>
              <w:ind w:left="199"/>
            </w:pPr>
            <w:r>
              <w:rPr>
                <w:spacing w:val="-1"/>
              </w:rPr>
              <w:t>护区和保留区，不涉</w:t>
            </w:r>
          </w:p>
          <w:p w14:paraId="7F306029">
            <w:pPr>
              <w:pStyle w:val="6"/>
              <w:spacing w:before="64" w:line="221" w:lineRule="auto"/>
              <w:ind w:left="197"/>
            </w:pPr>
            <w:r>
              <w:rPr>
                <w:spacing w:val="-1"/>
              </w:rPr>
              <w:t>及九大高原湖泊保护</w:t>
            </w:r>
          </w:p>
          <w:p w14:paraId="532FCBAD">
            <w:pPr>
              <w:pStyle w:val="6"/>
              <w:spacing w:before="64" w:line="221" w:lineRule="auto"/>
              <w:ind w:left="634"/>
            </w:pPr>
            <w:r>
              <w:rPr>
                <w:spacing w:val="-5"/>
              </w:rPr>
              <w:t>区和保留区</w:t>
            </w:r>
          </w:p>
        </w:tc>
        <w:tc>
          <w:tcPr>
            <w:tcW w:w="861" w:type="dxa"/>
            <w:vAlign w:val="top"/>
          </w:tcPr>
          <w:p w14:paraId="3668D455">
            <w:pPr>
              <w:spacing w:line="257" w:lineRule="auto"/>
              <w:rPr>
                <w:rFonts w:ascii="Arial"/>
                <w:sz w:val="21"/>
              </w:rPr>
            </w:pPr>
          </w:p>
          <w:p w14:paraId="7C585B3E">
            <w:pPr>
              <w:spacing w:line="257" w:lineRule="auto"/>
              <w:rPr>
                <w:rFonts w:ascii="Arial"/>
                <w:sz w:val="21"/>
              </w:rPr>
            </w:pPr>
          </w:p>
          <w:p w14:paraId="7370C78D">
            <w:pPr>
              <w:spacing w:line="258" w:lineRule="auto"/>
              <w:rPr>
                <w:rFonts w:ascii="Arial"/>
                <w:sz w:val="21"/>
              </w:rPr>
            </w:pPr>
          </w:p>
          <w:p w14:paraId="28B990DF">
            <w:pPr>
              <w:pStyle w:val="6"/>
              <w:spacing w:before="68" w:line="221" w:lineRule="auto"/>
              <w:ind w:left="230"/>
            </w:pPr>
            <w:r>
              <w:rPr>
                <w:spacing w:val="-2"/>
              </w:rPr>
              <w:t>符合</w:t>
            </w:r>
          </w:p>
        </w:tc>
        <w:tc>
          <w:tcPr>
            <w:tcW w:w="115" w:type="dxa"/>
            <w:tcBorders>
              <w:top w:val="nil"/>
              <w:bottom w:val="nil"/>
            </w:tcBorders>
            <w:vAlign w:val="top"/>
          </w:tcPr>
          <w:p w14:paraId="358187BE">
            <w:pPr>
              <w:rPr>
                <w:rFonts w:ascii="Arial"/>
                <w:sz w:val="21"/>
              </w:rPr>
            </w:pPr>
          </w:p>
        </w:tc>
      </w:tr>
      <w:tr w14:paraId="6CD0A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3" w:hRule="atLeast"/>
        </w:trPr>
        <w:tc>
          <w:tcPr>
            <w:tcW w:w="571" w:type="dxa"/>
            <w:vMerge w:val="continue"/>
            <w:tcBorders>
              <w:top w:val="nil"/>
              <w:bottom w:val="nil"/>
            </w:tcBorders>
            <w:vAlign w:val="top"/>
          </w:tcPr>
          <w:p w14:paraId="1BC05E36">
            <w:pPr>
              <w:rPr>
                <w:rFonts w:ascii="Arial"/>
                <w:sz w:val="21"/>
              </w:rPr>
            </w:pPr>
          </w:p>
        </w:tc>
        <w:tc>
          <w:tcPr>
            <w:tcW w:w="115" w:type="dxa"/>
            <w:tcBorders>
              <w:top w:val="nil"/>
              <w:bottom w:val="nil"/>
            </w:tcBorders>
            <w:vAlign w:val="top"/>
          </w:tcPr>
          <w:p w14:paraId="4D387B5E">
            <w:pPr>
              <w:rPr>
                <w:rFonts w:ascii="Arial"/>
                <w:sz w:val="21"/>
              </w:rPr>
            </w:pPr>
          </w:p>
        </w:tc>
        <w:tc>
          <w:tcPr>
            <w:tcW w:w="5134" w:type="dxa"/>
            <w:vAlign w:val="top"/>
          </w:tcPr>
          <w:p w14:paraId="1F518793">
            <w:pPr>
              <w:pStyle w:val="6"/>
              <w:spacing w:before="54" w:line="267" w:lineRule="auto"/>
              <w:ind w:left="111" w:right="102"/>
              <w:jc w:val="both"/>
            </w:pPr>
            <w:r>
              <w:rPr>
                <w:spacing w:val="-6"/>
              </w:rPr>
              <w:t>禁止在金沙江干流、长江一级支流建设除党中央、国务院、国家投资主管部门、省级有关部门批复同意以外的过江基础设施项目；禁止未经许可在金沙江干流、长江</w:t>
            </w:r>
            <w:r>
              <w:rPr>
                <w:spacing w:val="3"/>
              </w:rPr>
              <w:t>一级支流、九大高原湖泊流域新设、改设或扩大排污</w:t>
            </w:r>
            <w:r>
              <w:rPr>
                <w:spacing w:val="-10"/>
              </w:rPr>
              <w:t>口。</w:t>
            </w:r>
          </w:p>
        </w:tc>
        <w:tc>
          <w:tcPr>
            <w:tcW w:w="2277" w:type="dxa"/>
            <w:vAlign w:val="top"/>
          </w:tcPr>
          <w:p w14:paraId="4EC972DC">
            <w:pPr>
              <w:spacing w:line="304" w:lineRule="auto"/>
              <w:rPr>
                <w:rFonts w:ascii="Arial"/>
                <w:sz w:val="21"/>
              </w:rPr>
            </w:pPr>
          </w:p>
          <w:p w14:paraId="140666A5">
            <w:pPr>
              <w:pStyle w:val="6"/>
              <w:spacing w:before="68" w:line="277" w:lineRule="auto"/>
              <w:ind w:left="201" w:right="235"/>
            </w:pPr>
            <w:r>
              <w:rPr>
                <w:spacing w:val="-7"/>
              </w:rPr>
              <w:t>项目为输变电工程，不涉及金沙江干流，</w:t>
            </w:r>
          </w:p>
          <w:p w14:paraId="03D1DA92">
            <w:pPr>
              <w:pStyle w:val="6"/>
              <w:spacing w:line="222" w:lineRule="auto"/>
              <w:ind w:left="622"/>
            </w:pPr>
            <w:r>
              <w:rPr>
                <w:spacing w:val="-2"/>
              </w:rPr>
              <w:t>不设排污口</w:t>
            </w:r>
          </w:p>
        </w:tc>
        <w:tc>
          <w:tcPr>
            <w:tcW w:w="861" w:type="dxa"/>
            <w:vAlign w:val="top"/>
          </w:tcPr>
          <w:p w14:paraId="0AB0711C">
            <w:pPr>
              <w:spacing w:line="307" w:lineRule="auto"/>
              <w:rPr>
                <w:rFonts w:ascii="Arial"/>
                <w:sz w:val="21"/>
              </w:rPr>
            </w:pPr>
          </w:p>
          <w:p w14:paraId="2A125C82">
            <w:pPr>
              <w:spacing w:line="308" w:lineRule="auto"/>
              <w:rPr>
                <w:rFonts w:ascii="Arial"/>
                <w:sz w:val="21"/>
              </w:rPr>
            </w:pPr>
          </w:p>
          <w:p w14:paraId="4B99789A">
            <w:pPr>
              <w:pStyle w:val="6"/>
              <w:spacing w:before="68" w:line="221" w:lineRule="auto"/>
              <w:ind w:left="230"/>
            </w:pPr>
            <w:r>
              <w:rPr>
                <w:spacing w:val="-2"/>
              </w:rPr>
              <w:t>符合</w:t>
            </w:r>
          </w:p>
        </w:tc>
        <w:tc>
          <w:tcPr>
            <w:tcW w:w="115" w:type="dxa"/>
            <w:tcBorders>
              <w:top w:val="nil"/>
              <w:bottom w:val="nil"/>
            </w:tcBorders>
            <w:vAlign w:val="top"/>
          </w:tcPr>
          <w:p w14:paraId="16891D29">
            <w:pPr>
              <w:rPr>
                <w:rFonts w:ascii="Arial"/>
                <w:sz w:val="21"/>
              </w:rPr>
            </w:pPr>
          </w:p>
        </w:tc>
      </w:tr>
      <w:tr w14:paraId="4C892D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1" w:type="dxa"/>
            <w:vMerge w:val="continue"/>
            <w:tcBorders>
              <w:top w:val="nil"/>
              <w:bottom w:val="nil"/>
            </w:tcBorders>
            <w:vAlign w:val="top"/>
          </w:tcPr>
          <w:p w14:paraId="49EB3EE6">
            <w:pPr>
              <w:rPr>
                <w:rFonts w:ascii="Arial"/>
                <w:sz w:val="21"/>
              </w:rPr>
            </w:pPr>
          </w:p>
        </w:tc>
        <w:tc>
          <w:tcPr>
            <w:tcW w:w="115" w:type="dxa"/>
            <w:tcBorders>
              <w:top w:val="nil"/>
              <w:bottom w:val="nil"/>
            </w:tcBorders>
            <w:vAlign w:val="top"/>
          </w:tcPr>
          <w:p w14:paraId="0ABCE721">
            <w:pPr>
              <w:rPr>
                <w:rFonts w:ascii="Arial"/>
                <w:sz w:val="21"/>
              </w:rPr>
            </w:pPr>
          </w:p>
        </w:tc>
        <w:tc>
          <w:tcPr>
            <w:tcW w:w="5134" w:type="dxa"/>
            <w:vAlign w:val="top"/>
          </w:tcPr>
          <w:p w14:paraId="4E79FF77">
            <w:pPr>
              <w:pStyle w:val="6"/>
              <w:spacing w:before="56" w:line="251" w:lineRule="auto"/>
              <w:ind w:left="111" w:right="104"/>
            </w:pPr>
            <w:r>
              <w:rPr>
                <w:spacing w:val="-6"/>
              </w:rPr>
              <w:t>禁止在金沙江干流、长江一级支流、水生生物保护区和</w:t>
            </w:r>
            <w:r>
              <w:rPr>
                <w:spacing w:val="-1"/>
              </w:rPr>
              <w:t>长江流域禁捕水域开展天然渔业资源生产性捕捞。</w:t>
            </w:r>
          </w:p>
        </w:tc>
        <w:tc>
          <w:tcPr>
            <w:tcW w:w="2277" w:type="dxa"/>
            <w:vAlign w:val="top"/>
          </w:tcPr>
          <w:p w14:paraId="7786102A">
            <w:pPr>
              <w:pStyle w:val="6"/>
              <w:spacing w:before="56" w:line="251" w:lineRule="auto"/>
              <w:ind w:left="619" w:right="187" w:hanging="418"/>
            </w:pPr>
            <w:r>
              <w:rPr>
                <w:spacing w:val="-1"/>
              </w:rPr>
              <w:t>项目不涉及渔业资源</w:t>
            </w:r>
            <w:r>
              <w:rPr>
                <w:spacing w:val="-2"/>
              </w:rPr>
              <w:t>生产性捕捞</w:t>
            </w:r>
          </w:p>
        </w:tc>
        <w:tc>
          <w:tcPr>
            <w:tcW w:w="861" w:type="dxa"/>
            <w:vAlign w:val="top"/>
          </w:tcPr>
          <w:p w14:paraId="1BF26E3B">
            <w:pPr>
              <w:pStyle w:val="6"/>
              <w:spacing w:before="215" w:line="221" w:lineRule="auto"/>
              <w:ind w:left="230"/>
            </w:pPr>
            <w:r>
              <w:rPr>
                <w:spacing w:val="-2"/>
              </w:rPr>
              <w:t>符合</w:t>
            </w:r>
          </w:p>
        </w:tc>
        <w:tc>
          <w:tcPr>
            <w:tcW w:w="115" w:type="dxa"/>
            <w:tcBorders>
              <w:top w:val="nil"/>
              <w:bottom w:val="nil"/>
            </w:tcBorders>
            <w:vAlign w:val="top"/>
          </w:tcPr>
          <w:p w14:paraId="7CF1209A">
            <w:pPr>
              <w:rPr>
                <w:rFonts w:ascii="Arial"/>
                <w:sz w:val="21"/>
              </w:rPr>
            </w:pPr>
          </w:p>
        </w:tc>
      </w:tr>
      <w:tr w14:paraId="28BEA3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0" w:hRule="atLeast"/>
        </w:trPr>
        <w:tc>
          <w:tcPr>
            <w:tcW w:w="571" w:type="dxa"/>
            <w:vMerge w:val="continue"/>
            <w:tcBorders>
              <w:top w:val="nil"/>
              <w:bottom w:val="nil"/>
            </w:tcBorders>
            <w:vAlign w:val="top"/>
          </w:tcPr>
          <w:p w14:paraId="40E398BA">
            <w:pPr>
              <w:rPr>
                <w:rFonts w:ascii="Arial"/>
                <w:sz w:val="21"/>
              </w:rPr>
            </w:pPr>
          </w:p>
        </w:tc>
        <w:tc>
          <w:tcPr>
            <w:tcW w:w="115" w:type="dxa"/>
            <w:tcBorders>
              <w:top w:val="nil"/>
              <w:bottom w:val="nil"/>
            </w:tcBorders>
            <w:vAlign w:val="top"/>
          </w:tcPr>
          <w:p w14:paraId="16D11E2A">
            <w:pPr>
              <w:rPr>
                <w:rFonts w:ascii="Arial"/>
                <w:sz w:val="21"/>
              </w:rPr>
            </w:pPr>
          </w:p>
        </w:tc>
        <w:tc>
          <w:tcPr>
            <w:tcW w:w="5134" w:type="dxa"/>
            <w:vAlign w:val="top"/>
          </w:tcPr>
          <w:p w14:paraId="3C10D0DD">
            <w:pPr>
              <w:pStyle w:val="6"/>
              <w:spacing w:before="60" w:line="268" w:lineRule="auto"/>
              <w:ind w:left="110" w:right="102"/>
              <w:jc w:val="both"/>
            </w:pPr>
            <w:r>
              <w:rPr>
                <w:spacing w:val="3"/>
              </w:rPr>
              <w:t>禁止在金沙江干流，长江一级支流和九大高原湖泊岸</w:t>
            </w:r>
            <w:r>
              <w:rPr>
                <w:spacing w:val="-6"/>
              </w:rPr>
              <w:t>线一公里范围内新建、扩建化工园区和化工项目。禁止</w:t>
            </w:r>
            <w:r>
              <w:rPr>
                <w:spacing w:val="3"/>
              </w:rPr>
              <w:t>在金沙江干流岸线三公里范围内和长江一级支流岸线</w:t>
            </w:r>
            <w:r>
              <w:rPr>
                <w:spacing w:val="-6"/>
              </w:rPr>
              <w:t>一公里范围内新建、改建、扩建尾矿库、冶炼渣库和磷石膏库，以提升安全、生态环境保护水平为目的的改建</w:t>
            </w:r>
            <w:r>
              <w:rPr>
                <w:spacing w:val="-8"/>
              </w:rPr>
              <w:t>除外。</w:t>
            </w:r>
          </w:p>
        </w:tc>
        <w:tc>
          <w:tcPr>
            <w:tcW w:w="2277" w:type="dxa"/>
            <w:vAlign w:val="top"/>
          </w:tcPr>
          <w:p w14:paraId="479AFA47">
            <w:pPr>
              <w:spacing w:line="308" w:lineRule="auto"/>
              <w:rPr>
                <w:rFonts w:ascii="Arial"/>
                <w:sz w:val="21"/>
              </w:rPr>
            </w:pPr>
          </w:p>
          <w:p w14:paraId="70E6DB6D">
            <w:pPr>
              <w:spacing w:line="309" w:lineRule="auto"/>
              <w:rPr>
                <w:rFonts w:ascii="Arial"/>
                <w:sz w:val="21"/>
              </w:rPr>
            </w:pPr>
          </w:p>
          <w:p w14:paraId="7F371EBF">
            <w:pPr>
              <w:pStyle w:val="6"/>
              <w:spacing w:before="69" w:line="281" w:lineRule="auto"/>
              <w:ind w:left="409" w:right="235" w:hanging="208"/>
            </w:pPr>
            <w:r>
              <w:rPr>
                <w:spacing w:val="-7"/>
              </w:rPr>
              <w:t>项目为输变电工程，</w:t>
            </w:r>
            <w:r>
              <w:rPr>
                <w:spacing w:val="-2"/>
              </w:rPr>
              <w:t>不属于所列项目</w:t>
            </w:r>
          </w:p>
        </w:tc>
        <w:tc>
          <w:tcPr>
            <w:tcW w:w="861" w:type="dxa"/>
            <w:vAlign w:val="top"/>
          </w:tcPr>
          <w:p w14:paraId="7A5227DA">
            <w:pPr>
              <w:spacing w:line="258" w:lineRule="auto"/>
              <w:rPr>
                <w:rFonts w:ascii="Arial"/>
                <w:sz w:val="21"/>
              </w:rPr>
            </w:pPr>
          </w:p>
          <w:p w14:paraId="1A686EEF">
            <w:pPr>
              <w:spacing w:line="258" w:lineRule="auto"/>
              <w:rPr>
                <w:rFonts w:ascii="Arial"/>
                <w:sz w:val="21"/>
              </w:rPr>
            </w:pPr>
          </w:p>
          <w:p w14:paraId="4ADE664A">
            <w:pPr>
              <w:spacing w:line="258" w:lineRule="auto"/>
              <w:rPr>
                <w:rFonts w:ascii="Arial"/>
                <w:sz w:val="21"/>
              </w:rPr>
            </w:pPr>
          </w:p>
          <w:p w14:paraId="7641667B">
            <w:pPr>
              <w:pStyle w:val="6"/>
              <w:spacing w:before="68" w:line="221" w:lineRule="auto"/>
              <w:ind w:left="230"/>
            </w:pPr>
            <w:r>
              <w:rPr>
                <w:spacing w:val="-2"/>
              </w:rPr>
              <w:t>符合</w:t>
            </w:r>
          </w:p>
        </w:tc>
        <w:tc>
          <w:tcPr>
            <w:tcW w:w="115" w:type="dxa"/>
            <w:tcBorders>
              <w:top w:val="nil"/>
              <w:bottom w:val="nil"/>
            </w:tcBorders>
            <w:vAlign w:val="top"/>
          </w:tcPr>
          <w:p w14:paraId="42E0B631">
            <w:pPr>
              <w:rPr>
                <w:rFonts w:ascii="Arial"/>
                <w:sz w:val="21"/>
              </w:rPr>
            </w:pPr>
          </w:p>
        </w:tc>
      </w:tr>
      <w:tr w14:paraId="5230C0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71" w:type="dxa"/>
            <w:vMerge w:val="continue"/>
            <w:tcBorders>
              <w:top w:val="nil"/>
              <w:bottom w:val="nil"/>
            </w:tcBorders>
            <w:vAlign w:val="top"/>
          </w:tcPr>
          <w:p w14:paraId="1C1F7898">
            <w:pPr>
              <w:rPr>
                <w:rFonts w:ascii="Arial"/>
                <w:sz w:val="21"/>
              </w:rPr>
            </w:pPr>
          </w:p>
        </w:tc>
        <w:tc>
          <w:tcPr>
            <w:tcW w:w="115" w:type="dxa"/>
            <w:tcBorders>
              <w:top w:val="nil"/>
              <w:bottom w:val="nil"/>
            </w:tcBorders>
            <w:vAlign w:val="top"/>
          </w:tcPr>
          <w:p w14:paraId="21907C10">
            <w:pPr>
              <w:rPr>
                <w:rFonts w:ascii="Arial"/>
                <w:sz w:val="21"/>
              </w:rPr>
            </w:pPr>
          </w:p>
        </w:tc>
        <w:tc>
          <w:tcPr>
            <w:tcW w:w="5134" w:type="dxa"/>
            <w:vAlign w:val="top"/>
          </w:tcPr>
          <w:p w14:paraId="4CB00496">
            <w:pPr>
              <w:pStyle w:val="6"/>
              <w:spacing w:before="59" w:line="249" w:lineRule="auto"/>
              <w:ind w:left="113" w:right="30" w:hanging="2"/>
            </w:pPr>
            <w:r>
              <w:rPr>
                <w:spacing w:val="-11"/>
              </w:rPr>
              <w:t>禁止在合规园区外新建、扩建钢铁、石化、化工、焦化、</w:t>
            </w:r>
            <w:r>
              <w:rPr>
                <w:spacing w:val="-2"/>
              </w:rPr>
              <w:t>建材、有色、制浆造纸行业中的高污染项目。</w:t>
            </w:r>
          </w:p>
        </w:tc>
        <w:tc>
          <w:tcPr>
            <w:tcW w:w="2277" w:type="dxa"/>
            <w:vAlign w:val="top"/>
          </w:tcPr>
          <w:p w14:paraId="40D55ACA">
            <w:pPr>
              <w:pStyle w:val="6"/>
              <w:spacing w:before="59" w:line="249" w:lineRule="auto"/>
              <w:ind w:left="306" w:right="235" w:hanging="105"/>
            </w:pPr>
            <w:r>
              <w:rPr>
                <w:spacing w:val="-7"/>
              </w:rPr>
              <w:t>项目为输变电工程，</w:t>
            </w:r>
            <w:r>
              <w:rPr>
                <w:spacing w:val="-2"/>
              </w:rPr>
              <w:t>不属于高污染项目</w:t>
            </w:r>
          </w:p>
        </w:tc>
        <w:tc>
          <w:tcPr>
            <w:tcW w:w="861" w:type="dxa"/>
            <w:vAlign w:val="top"/>
          </w:tcPr>
          <w:p w14:paraId="48D6EA9E">
            <w:pPr>
              <w:pStyle w:val="6"/>
              <w:spacing w:before="217" w:line="221" w:lineRule="auto"/>
              <w:ind w:left="230"/>
            </w:pPr>
            <w:r>
              <w:rPr>
                <w:spacing w:val="-2"/>
              </w:rPr>
              <w:t>符合</w:t>
            </w:r>
          </w:p>
        </w:tc>
        <w:tc>
          <w:tcPr>
            <w:tcW w:w="115" w:type="dxa"/>
            <w:tcBorders>
              <w:top w:val="nil"/>
              <w:bottom w:val="nil"/>
            </w:tcBorders>
            <w:vAlign w:val="top"/>
          </w:tcPr>
          <w:p w14:paraId="19FC6979">
            <w:pPr>
              <w:rPr>
                <w:rFonts w:ascii="Arial"/>
                <w:sz w:val="21"/>
              </w:rPr>
            </w:pPr>
          </w:p>
        </w:tc>
      </w:tr>
      <w:tr w14:paraId="12854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571" w:type="dxa"/>
            <w:vMerge w:val="continue"/>
            <w:tcBorders>
              <w:top w:val="nil"/>
            </w:tcBorders>
            <w:vAlign w:val="top"/>
          </w:tcPr>
          <w:p w14:paraId="0B54C7D6">
            <w:pPr>
              <w:rPr>
                <w:rFonts w:ascii="Arial"/>
                <w:sz w:val="21"/>
              </w:rPr>
            </w:pPr>
          </w:p>
        </w:tc>
        <w:tc>
          <w:tcPr>
            <w:tcW w:w="115" w:type="dxa"/>
            <w:tcBorders>
              <w:top w:val="nil"/>
            </w:tcBorders>
            <w:vAlign w:val="top"/>
          </w:tcPr>
          <w:p w14:paraId="34768BAC">
            <w:pPr>
              <w:rPr>
                <w:rFonts w:ascii="Arial"/>
                <w:sz w:val="21"/>
              </w:rPr>
            </w:pPr>
          </w:p>
        </w:tc>
        <w:tc>
          <w:tcPr>
            <w:tcW w:w="5134" w:type="dxa"/>
            <w:vAlign w:val="top"/>
          </w:tcPr>
          <w:p w14:paraId="6D39916E">
            <w:pPr>
              <w:pStyle w:val="6"/>
              <w:spacing w:before="61" w:line="255" w:lineRule="auto"/>
              <w:ind w:left="113" w:right="102" w:hanging="2"/>
            </w:pPr>
            <w:r>
              <w:rPr>
                <w:spacing w:val="-6"/>
              </w:rPr>
              <w:t>禁止新建、扩建不符合国家石化、现代煤化工等产业布局规划的项目。禁止列入《云南省城镇人口密集区危险</w:t>
            </w:r>
          </w:p>
        </w:tc>
        <w:tc>
          <w:tcPr>
            <w:tcW w:w="2277" w:type="dxa"/>
            <w:vAlign w:val="top"/>
          </w:tcPr>
          <w:p w14:paraId="1E32816C">
            <w:pPr>
              <w:pStyle w:val="6"/>
              <w:spacing w:before="61" w:line="255" w:lineRule="auto"/>
              <w:ind w:left="201" w:right="187"/>
            </w:pPr>
            <w:r>
              <w:rPr>
                <w:spacing w:val="-1"/>
              </w:rPr>
              <w:t>项目为输变电工程，不属于该条款所列的</w:t>
            </w:r>
          </w:p>
        </w:tc>
        <w:tc>
          <w:tcPr>
            <w:tcW w:w="861" w:type="dxa"/>
            <w:vAlign w:val="top"/>
          </w:tcPr>
          <w:p w14:paraId="66E0C279">
            <w:pPr>
              <w:pStyle w:val="6"/>
              <w:spacing w:before="216" w:line="221" w:lineRule="auto"/>
              <w:ind w:left="230"/>
            </w:pPr>
            <w:r>
              <w:rPr>
                <w:spacing w:val="-2"/>
              </w:rPr>
              <w:t>符合</w:t>
            </w:r>
          </w:p>
        </w:tc>
        <w:tc>
          <w:tcPr>
            <w:tcW w:w="115" w:type="dxa"/>
            <w:tcBorders>
              <w:top w:val="nil"/>
            </w:tcBorders>
            <w:vAlign w:val="top"/>
          </w:tcPr>
          <w:p w14:paraId="5246BF57">
            <w:pPr>
              <w:rPr>
                <w:rFonts w:ascii="Arial"/>
                <w:sz w:val="21"/>
              </w:rPr>
            </w:pPr>
          </w:p>
        </w:tc>
      </w:tr>
    </w:tbl>
    <w:p w14:paraId="5447C630">
      <w:pPr>
        <w:rPr>
          <w:rFonts w:ascii="Arial"/>
          <w:sz w:val="21"/>
        </w:rPr>
      </w:pPr>
    </w:p>
    <w:p w14:paraId="2C969181">
      <w:pPr>
        <w:rPr>
          <w:rFonts w:ascii="Arial" w:hAnsi="Arial" w:eastAsia="Arial" w:cs="Arial"/>
          <w:sz w:val="21"/>
          <w:szCs w:val="21"/>
        </w:rPr>
        <w:sectPr>
          <w:footerReference r:id="rId25" w:type="default"/>
          <w:pgSz w:w="11907" w:h="16841"/>
          <w:pgMar w:top="400" w:right="1413" w:bottom="1126" w:left="1414" w:header="0" w:footer="925" w:gutter="0"/>
          <w:cols w:space="720" w:num="1"/>
        </w:sectPr>
      </w:pPr>
    </w:p>
    <w:p w14:paraId="17845FB8">
      <w:pPr>
        <w:spacing w:before="2"/>
      </w:pPr>
    </w:p>
    <w:p w14:paraId="6963FF68">
      <w:pPr>
        <w:spacing w:before="2"/>
      </w:pPr>
    </w:p>
    <w:p w14:paraId="11A385E5">
      <w:pPr>
        <w:spacing w:before="1"/>
      </w:pPr>
    </w:p>
    <w:p w14:paraId="738267C0">
      <w:pPr>
        <w:spacing w:before="1"/>
      </w:pPr>
    </w:p>
    <w:p w14:paraId="56FB8DFC">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5"/>
        <w:gridCol w:w="5134"/>
        <w:gridCol w:w="2277"/>
        <w:gridCol w:w="861"/>
        <w:gridCol w:w="115"/>
      </w:tblGrid>
      <w:tr w14:paraId="3452D7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571" w:type="dxa"/>
            <w:vMerge w:val="restart"/>
            <w:tcBorders>
              <w:bottom w:val="nil"/>
            </w:tcBorders>
            <w:vAlign w:val="top"/>
          </w:tcPr>
          <w:p w14:paraId="3DF250DC">
            <w:pPr>
              <w:rPr>
                <w:rFonts w:ascii="Arial"/>
                <w:sz w:val="21"/>
              </w:rPr>
            </w:pPr>
          </w:p>
        </w:tc>
        <w:tc>
          <w:tcPr>
            <w:tcW w:w="115" w:type="dxa"/>
            <w:tcBorders>
              <w:bottom w:val="nil"/>
            </w:tcBorders>
            <w:vAlign w:val="top"/>
          </w:tcPr>
          <w:p w14:paraId="31DE2A47">
            <w:pPr>
              <w:rPr>
                <w:rFonts w:ascii="Arial"/>
                <w:sz w:val="21"/>
              </w:rPr>
            </w:pPr>
          </w:p>
        </w:tc>
        <w:tc>
          <w:tcPr>
            <w:tcW w:w="5134" w:type="dxa"/>
            <w:vAlign w:val="top"/>
          </w:tcPr>
          <w:p w14:paraId="221E29FA">
            <w:pPr>
              <w:pStyle w:val="6"/>
              <w:spacing w:before="69" w:line="252" w:lineRule="auto"/>
              <w:ind w:left="112" w:right="111"/>
            </w:pPr>
            <w:r>
              <w:rPr>
                <w:spacing w:val="3"/>
              </w:rPr>
              <w:t>化学品生产企业搬迁改造名单》的搬迁改造企业在原</w:t>
            </w:r>
            <w:r>
              <w:rPr>
                <w:spacing w:val="-2"/>
              </w:rPr>
              <w:t>址新建、扩建危险化学品生产项目。</w:t>
            </w:r>
          </w:p>
        </w:tc>
        <w:tc>
          <w:tcPr>
            <w:tcW w:w="2277" w:type="dxa"/>
            <w:vAlign w:val="top"/>
          </w:tcPr>
          <w:p w14:paraId="6C71E4A7">
            <w:pPr>
              <w:pStyle w:val="6"/>
              <w:spacing w:before="71" w:line="221" w:lineRule="auto"/>
              <w:ind w:left="936"/>
            </w:pPr>
            <w:r>
              <w:rPr>
                <w:spacing w:val="-3"/>
              </w:rPr>
              <w:t>项目</w:t>
            </w:r>
          </w:p>
        </w:tc>
        <w:tc>
          <w:tcPr>
            <w:tcW w:w="861" w:type="dxa"/>
            <w:vAlign w:val="top"/>
          </w:tcPr>
          <w:p w14:paraId="7ECD6F7E">
            <w:pPr>
              <w:rPr>
                <w:rFonts w:ascii="Arial"/>
                <w:sz w:val="21"/>
              </w:rPr>
            </w:pPr>
          </w:p>
        </w:tc>
        <w:tc>
          <w:tcPr>
            <w:tcW w:w="115" w:type="dxa"/>
            <w:tcBorders>
              <w:bottom w:val="nil"/>
            </w:tcBorders>
            <w:vAlign w:val="top"/>
          </w:tcPr>
          <w:p w14:paraId="3EFFF5D9">
            <w:pPr>
              <w:rPr>
                <w:rFonts w:ascii="Arial"/>
                <w:sz w:val="21"/>
              </w:rPr>
            </w:pPr>
          </w:p>
        </w:tc>
      </w:tr>
      <w:tr w14:paraId="740969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47" w:hRule="atLeast"/>
        </w:trPr>
        <w:tc>
          <w:tcPr>
            <w:tcW w:w="571" w:type="dxa"/>
            <w:vMerge w:val="continue"/>
            <w:tcBorders>
              <w:top w:val="nil"/>
              <w:bottom w:val="nil"/>
            </w:tcBorders>
            <w:vAlign w:val="top"/>
          </w:tcPr>
          <w:p w14:paraId="3924CD96">
            <w:pPr>
              <w:rPr>
                <w:rFonts w:ascii="Arial"/>
                <w:sz w:val="21"/>
              </w:rPr>
            </w:pPr>
          </w:p>
        </w:tc>
        <w:tc>
          <w:tcPr>
            <w:tcW w:w="115" w:type="dxa"/>
            <w:tcBorders>
              <w:top w:val="nil"/>
              <w:bottom w:val="nil"/>
            </w:tcBorders>
            <w:vAlign w:val="top"/>
          </w:tcPr>
          <w:p w14:paraId="2E7720B2">
            <w:pPr>
              <w:rPr>
                <w:rFonts w:ascii="Arial"/>
                <w:sz w:val="21"/>
              </w:rPr>
            </w:pPr>
          </w:p>
        </w:tc>
        <w:tc>
          <w:tcPr>
            <w:tcW w:w="5134" w:type="dxa"/>
            <w:vAlign w:val="top"/>
          </w:tcPr>
          <w:p w14:paraId="2FE9AEC0">
            <w:pPr>
              <w:pStyle w:val="6"/>
              <w:spacing w:before="52" w:line="272" w:lineRule="auto"/>
              <w:ind w:left="110" w:right="28"/>
              <w:jc w:val="both"/>
            </w:pPr>
            <w:r>
              <w:rPr>
                <w:spacing w:val="3"/>
              </w:rPr>
              <w:t>禁止新建、扩建法律法规和相关政策明令禁止的落后</w:t>
            </w:r>
            <w:r>
              <w:rPr>
                <w:spacing w:val="-6"/>
              </w:rPr>
              <w:t>产能项目，依法依规关停退出能耗、环保、质量、安全不达标产能和技术落后产能。禁止新建、扩建不符合国家产能置换要求的过剩产能行业的项目。禁止新建、扩建不符合要求的高耗能、高排放项目，推动退出重点高</w:t>
            </w:r>
            <w:r>
              <w:rPr>
                <w:spacing w:val="1"/>
              </w:rPr>
              <w:t>耗能行业“</w:t>
            </w:r>
            <w:r>
              <w:rPr>
                <w:spacing w:val="-79"/>
              </w:rPr>
              <w:t xml:space="preserve"> </w:t>
            </w:r>
            <w:r>
              <w:rPr>
                <w:spacing w:val="1"/>
              </w:rPr>
              <w:t>限制类</w:t>
            </w:r>
            <w:r>
              <w:rPr>
                <w:spacing w:val="-74"/>
              </w:rPr>
              <w:t xml:space="preserve"> </w:t>
            </w:r>
            <w:r>
              <w:rPr>
                <w:spacing w:val="1"/>
              </w:rPr>
              <w:t>”产能。禁止建设高毒高残留</w:t>
            </w:r>
            <w:r>
              <w:t>以及</w:t>
            </w:r>
            <w:r>
              <w:rPr>
                <w:spacing w:val="-2"/>
              </w:rPr>
              <w:t>对环境影响大的农药原药生产装置，严控尿素、</w:t>
            </w:r>
            <w:r>
              <w:rPr>
                <w:spacing w:val="-3"/>
              </w:rPr>
              <w:t>磷铵、</w:t>
            </w:r>
            <w:r>
              <w:rPr>
                <w:spacing w:val="-6"/>
              </w:rPr>
              <w:t>电石、焦炭、黄磷、烧碱、纯碱、聚氯乙烯等行业新增</w:t>
            </w:r>
            <w:r>
              <w:rPr>
                <w:spacing w:val="-8"/>
              </w:rPr>
              <w:t>产能。</w:t>
            </w:r>
          </w:p>
        </w:tc>
        <w:tc>
          <w:tcPr>
            <w:tcW w:w="2277" w:type="dxa"/>
            <w:vAlign w:val="top"/>
          </w:tcPr>
          <w:p w14:paraId="4614526F">
            <w:pPr>
              <w:spacing w:line="256" w:lineRule="auto"/>
              <w:rPr>
                <w:rFonts w:ascii="Arial"/>
                <w:sz w:val="21"/>
              </w:rPr>
            </w:pPr>
          </w:p>
          <w:p w14:paraId="364805A9">
            <w:pPr>
              <w:spacing w:line="256" w:lineRule="auto"/>
              <w:rPr>
                <w:rFonts w:ascii="Arial"/>
                <w:sz w:val="21"/>
              </w:rPr>
            </w:pPr>
          </w:p>
          <w:p w14:paraId="54005CE2">
            <w:pPr>
              <w:spacing w:line="257" w:lineRule="auto"/>
              <w:rPr>
                <w:rFonts w:ascii="Arial"/>
                <w:sz w:val="21"/>
              </w:rPr>
            </w:pPr>
          </w:p>
          <w:p w14:paraId="31070254">
            <w:pPr>
              <w:pStyle w:val="6"/>
              <w:spacing w:before="68" w:line="221" w:lineRule="auto"/>
              <w:ind w:left="197"/>
            </w:pPr>
            <w:r>
              <w:rPr>
                <w:spacing w:val="-1"/>
              </w:rPr>
              <w:t>对照《产业结构调整</w:t>
            </w:r>
          </w:p>
          <w:p w14:paraId="065F560F">
            <w:pPr>
              <w:pStyle w:val="6"/>
              <w:spacing w:before="66" w:line="234" w:lineRule="auto"/>
              <w:ind w:left="174"/>
            </w:pPr>
            <w:r>
              <w:rPr>
                <w:spacing w:val="-1"/>
              </w:rPr>
              <w:t>指导目录》（</w:t>
            </w:r>
            <w:r>
              <w:rPr>
                <w:rFonts w:ascii="Times New Roman" w:hAnsi="Times New Roman" w:eastAsia="Times New Roman" w:cs="Times New Roman"/>
                <w:spacing w:val="-1"/>
              </w:rPr>
              <w:t xml:space="preserve">2024 </w:t>
            </w:r>
            <w:r>
              <w:rPr>
                <w:spacing w:val="-1"/>
              </w:rPr>
              <w:t>年</w:t>
            </w:r>
          </w:p>
          <w:p w14:paraId="55CEA2D5">
            <w:pPr>
              <w:pStyle w:val="6"/>
              <w:spacing w:before="49" w:line="220" w:lineRule="auto"/>
              <w:ind w:left="199"/>
            </w:pPr>
            <w:r>
              <w:rPr>
                <w:spacing w:val="-1"/>
              </w:rPr>
              <w:t>本</w:t>
            </w:r>
            <w:r>
              <w:t>），</w:t>
            </w:r>
            <w:r>
              <w:rPr>
                <w:spacing w:val="-1"/>
              </w:rPr>
              <w:t>本项目属于鼓</w:t>
            </w:r>
          </w:p>
          <w:p w14:paraId="6B96D1DC">
            <w:pPr>
              <w:pStyle w:val="6"/>
              <w:spacing w:before="64" w:line="221" w:lineRule="auto"/>
              <w:ind w:left="932"/>
            </w:pPr>
            <w:r>
              <w:rPr>
                <w:spacing w:val="-2"/>
              </w:rPr>
              <w:t>励类</w:t>
            </w:r>
          </w:p>
        </w:tc>
        <w:tc>
          <w:tcPr>
            <w:tcW w:w="861" w:type="dxa"/>
            <w:vAlign w:val="top"/>
          </w:tcPr>
          <w:p w14:paraId="37E88255">
            <w:pPr>
              <w:spacing w:line="248" w:lineRule="auto"/>
              <w:rPr>
                <w:rFonts w:ascii="Arial"/>
                <w:sz w:val="21"/>
              </w:rPr>
            </w:pPr>
          </w:p>
          <w:p w14:paraId="59588EDD">
            <w:pPr>
              <w:spacing w:line="248" w:lineRule="auto"/>
              <w:rPr>
                <w:rFonts w:ascii="Arial"/>
                <w:sz w:val="21"/>
              </w:rPr>
            </w:pPr>
          </w:p>
          <w:p w14:paraId="56E9F55F">
            <w:pPr>
              <w:spacing w:line="248" w:lineRule="auto"/>
              <w:rPr>
                <w:rFonts w:ascii="Arial"/>
                <w:sz w:val="21"/>
              </w:rPr>
            </w:pPr>
          </w:p>
          <w:p w14:paraId="6FFB210E">
            <w:pPr>
              <w:spacing w:line="248" w:lineRule="auto"/>
              <w:rPr>
                <w:rFonts w:ascii="Arial"/>
                <w:sz w:val="21"/>
              </w:rPr>
            </w:pPr>
          </w:p>
          <w:p w14:paraId="1D4B4B0B">
            <w:pPr>
              <w:spacing w:line="249" w:lineRule="auto"/>
              <w:rPr>
                <w:rFonts w:ascii="Arial"/>
                <w:sz w:val="21"/>
              </w:rPr>
            </w:pPr>
          </w:p>
          <w:p w14:paraId="4AC64925">
            <w:pPr>
              <w:pStyle w:val="6"/>
              <w:spacing w:before="69" w:line="221" w:lineRule="auto"/>
              <w:ind w:left="230"/>
            </w:pPr>
            <w:r>
              <w:rPr>
                <w:spacing w:val="-2"/>
              </w:rPr>
              <w:t>符合</w:t>
            </w:r>
          </w:p>
        </w:tc>
        <w:tc>
          <w:tcPr>
            <w:tcW w:w="115" w:type="dxa"/>
            <w:tcBorders>
              <w:top w:val="nil"/>
              <w:bottom w:val="nil"/>
            </w:tcBorders>
            <w:vAlign w:val="top"/>
          </w:tcPr>
          <w:p w14:paraId="798F1D05">
            <w:pPr>
              <w:rPr>
                <w:rFonts w:ascii="Arial"/>
                <w:sz w:val="21"/>
              </w:rPr>
            </w:pPr>
          </w:p>
        </w:tc>
      </w:tr>
      <w:tr w14:paraId="0BFE2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962" w:hRule="atLeast"/>
        </w:trPr>
        <w:tc>
          <w:tcPr>
            <w:tcW w:w="571" w:type="dxa"/>
            <w:vMerge w:val="continue"/>
            <w:tcBorders>
              <w:top w:val="nil"/>
            </w:tcBorders>
            <w:vAlign w:val="top"/>
          </w:tcPr>
          <w:p w14:paraId="05E24300">
            <w:pPr>
              <w:rPr>
                <w:rFonts w:ascii="Arial"/>
                <w:sz w:val="21"/>
              </w:rPr>
            </w:pPr>
          </w:p>
        </w:tc>
        <w:tc>
          <w:tcPr>
            <w:tcW w:w="8502" w:type="dxa"/>
            <w:gridSpan w:val="5"/>
            <w:vAlign w:val="top"/>
          </w:tcPr>
          <w:p w14:paraId="024CE33A">
            <w:pPr>
              <w:pStyle w:val="6"/>
              <w:spacing w:before="118" w:line="365" w:lineRule="auto"/>
              <w:ind w:left="120" w:right="88" w:firstLine="477"/>
              <w:rPr>
                <w:sz w:val="24"/>
                <w:szCs w:val="24"/>
              </w:rPr>
            </w:pPr>
            <w:r>
              <w:rPr>
                <w:spacing w:val="-3"/>
                <w:sz w:val="24"/>
                <w:szCs w:val="24"/>
              </w:rPr>
              <w:t>综上，本项目的建设符合“长江办〔</w:t>
            </w:r>
            <w:r>
              <w:rPr>
                <w:rFonts w:ascii="Times New Roman" w:hAnsi="Times New Roman" w:eastAsia="Times New Roman" w:cs="Times New Roman"/>
                <w:spacing w:val="-3"/>
                <w:sz w:val="24"/>
                <w:szCs w:val="24"/>
              </w:rPr>
              <w:t>2022</w:t>
            </w:r>
            <w:r>
              <w:rPr>
                <w:spacing w:val="-3"/>
                <w:sz w:val="24"/>
                <w:szCs w:val="24"/>
              </w:rPr>
              <w:t>〕</w:t>
            </w:r>
            <w:r>
              <w:rPr>
                <w:rFonts w:ascii="Times New Roman" w:hAnsi="Times New Roman" w:eastAsia="Times New Roman" w:cs="Times New Roman"/>
                <w:spacing w:val="-3"/>
                <w:sz w:val="24"/>
                <w:szCs w:val="24"/>
              </w:rPr>
              <w:t>7</w:t>
            </w:r>
            <w:r>
              <w:rPr>
                <w:rFonts w:ascii="Times New Roman" w:hAnsi="Times New Roman" w:eastAsia="Times New Roman" w:cs="Times New Roman"/>
                <w:spacing w:val="28"/>
                <w:sz w:val="24"/>
                <w:szCs w:val="24"/>
              </w:rPr>
              <w:t xml:space="preserve"> </w:t>
            </w:r>
            <w:r>
              <w:rPr>
                <w:spacing w:val="-3"/>
                <w:sz w:val="24"/>
                <w:szCs w:val="24"/>
              </w:rPr>
              <w:t>号</w:t>
            </w:r>
            <w:r>
              <w:rPr>
                <w:spacing w:val="-88"/>
                <w:sz w:val="24"/>
                <w:szCs w:val="24"/>
              </w:rPr>
              <w:t xml:space="preserve"> </w:t>
            </w:r>
            <w:r>
              <w:rPr>
                <w:spacing w:val="-3"/>
                <w:sz w:val="24"/>
                <w:szCs w:val="24"/>
              </w:rPr>
              <w:t>”和“云发改基础〔</w:t>
            </w:r>
            <w:r>
              <w:rPr>
                <w:rFonts w:ascii="Times New Roman" w:hAnsi="Times New Roman" w:eastAsia="Times New Roman" w:cs="Times New Roman"/>
                <w:spacing w:val="-3"/>
                <w:sz w:val="24"/>
                <w:szCs w:val="24"/>
              </w:rPr>
              <w:t>2022</w:t>
            </w:r>
            <w:r>
              <w:rPr>
                <w:spacing w:val="-3"/>
                <w:sz w:val="24"/>
                <w:szCs w:val="24"/>
              </w:rPr>
              <w:t>〕</w:t>
            </w:r>
            <w:r>
              <w:rPr>
                <w:sz w:val="24"/>
                <w:szCs w:val="24"/>
              </w:rPr>
              <w:t xml:space="preserve"> </w:t>
            </w:r>
            <w:r>
              <w:rPr>
                <w:rFonts w:ascii="Times New Roman" w:hAnsi="Times New Roman" w:eastAsia="Times New Roman" w:cs="Times New Roman"/>
                <w:spacing w:val="-9"/>
                <w:sz w:val="24"/>
                <w:szCs w:val="24"/>
              </w:rPr>
              <w:t>894</w:t>
            </w:r>
            <w:r>
              <w:rPr>
                <w:rFonts w:ascii="Times New Roman" w:hAnsi="Times New Roman" w:eastAsia="Times New Roman" w:cs="Times New Roman"/>
                <w:spacing w:val="16"/>
                <w:w w:val="101"/>
                <w:sz w:val="24"/>
                <w:szCs w:val="24"/>
              </w:rPr>
              <w:t xml:space="preserve"> </w:t>
            </w:r>
            <w:r>
              <w:rPr>
                <w:spacing w:val="-9"/>
                <w:sz w:val="24"/>
                <w:szCs w:val="24"/>
              </w:rPr>
              <w:t>号</w:t>
            </w:r>
            <w:r>
              <w:rPr>
                <w:spacing w:val="-88"/>
                <w:sz w:val="24"/>
                <w:szCs w:val="24"/>
              </w:rPr>
              <w:t xml:space="preserve"> </w:t>
            </w:r>
            <w:r>
              <w:rPr>
                <w:spacing w:val="-9"/>
                <w:sz w:val="24"/>
                <w:szCs w:val="24"/>
              </w:rPr>
              <w:t>”相关要求。</w:t>
            </w:r>
          </w:p>
          <w:p w14:paraId="5F0D8EE6">
            <w:pPr>
              <w:pStyle w:val="6"/>
              <w:spacing w:line="233" w:lineRule="auto"/>
              <w:ind w:left="113"/>
              <w:rPr>
                <w:sz w:val="24"/>
                <w:szCs w:val="24"/>
              </w:rPr>
            </w:pPr>
            <w:r>
              <w:rPr>
                <w:rFonts w:ascii="Times New Roman" w:hAnsi="Times New Roman" w:eastAsia="Times New Roman" w:cs="Times New Roman"/>
                <w:b/>
                <w:bCs/>
                <w:spacing w:val="-2"/>
                <w:sz w:val="24"/>
                <w:szCs w:val="24"/>
              </w:rPr>
              <w:t>7</w:t>
            </w:r>
            <w:r>
              <w:rPr>
                <w:b/>
                <w:bCs/>
                <w:spacing w:val="-2"/>
                <w:sz w:val="24"/>
                <w:szCs w:val="24"/>
              </w:rPr>
              <w:t>、与《云南省生物多样性保护条例》的符合</w:t>
            </w:r>
            <w:r>
              <w:rPr>
                <w:b/>
                <w:bCs/>
                <w:spacing w:val="-3"/>
                <w:sz w:val="24"/>
                <w:szCs w:val="24"/>
              </w:rPr>
              <w:t>性分析</w:t>
            </w:r>
          </w:p>
          <w:p w14:paraId="667B5D53">
            <w:pPr>
              <w:pStyle w:val="6"/>
              <w:spacing w:before="164" w:line="365" w:lineRule="auto"/>
              <w:ind w:left="113" w:right="43" w:firstLine="481"/>
              <w:jc w:val="both"/>
              <w:rPr>
                <w:sz w:val="24"/>
                <w:szCs w:val="24"/>
              </w:rPr>
            </w:pPr>
            <w:r>
              <w:rPr>
                <w:spacing w:val="-6"/>
                <w:sz w:val="24"/>
                <w:szCs w:val="24"/>
              </w:rPr>
              <w:t>《云南省生物多样性保护条例》旨在保护生物多样性，</w:t>
            </w:r>
            <w:r>
              <w:rPr>
                <w:spacing w:val="-49"/>
                <w:sz w:val="24"/>
                <w:szCs w:val="24"/>
              </w:rPr>
              <w:t xml:space="preserve"> </w:t>
            </w:r>
            <w:r>
              <w:rPr>
                <w:spacing w:val="-6"/>
                <w:sz w:val="24"/>
                <w:szCs w:val="24"/>
              </w:rPr>
              <w:t>保障生态安全，由云</w:t>
            </w:r>
            <w:r>
              <w:rPr>
                <w:spacing w:val="-4"/>
                <w:sz w:val="24"/>
                <w:szCs w:val="24"/>
              </w:rPr>
              <w:t>南省第十三届人大常务委员会第五次会议于</w:t>
            </w:r>
            <w:r>
              <w:rPr>
                <w:spacing w:val="-52"/>
                <w:sz w:val="24"/>
                <w:szCs w:val="24"/>
              </w:rPr>
              <w:t xml:space="preserve"> </w:t>
            </w:r>
            <w:r>
              <w:rPr>
                <w:rFonts w:ascii="Times New Roman" w:hAnsi="Times New Roman" w:eastAsia="Times New Roman" w:cs="Times New Roman"/>
                <w:spacing w:val="-4"/>
                <w:sz w:val="24"/>
                <w:szCs w:val="24"/>
              </w:rPr>
              <w:t xml:space="preserve">2018 </w:t>
            </w:r>
            <w:r>
              <w:rPr>
                <w:spacing w:val="-4"/>
                <w:sz w:val="24"/>
                <w:szCs w:val="24"/>
              </w:rPr>
              <w:t>年</w:t>
            </w:r>
            <w:r>
              <w:rPr>
                <w:spacing w:val="-51"/>
                <w:sz w:val="24"/>
                <w:szCs w:val="24"/>
              </w:rPr>
              <w:t xml:space="preserve"> </w:t>
            </w:r>
            <w:r>
              <w:rPr>
                <w:rFonts w:ascii="Times New Roman" w:hAnsi="Times New Roman" w:eastAsia="Times New Roman" w:cs="Times New Roman"/>
                <w:spacing w:val="-4"/>
                <w:sz w:val="24"/>
                <w:szCs w:val="24"/>
              </w:rPr>
              <w:t>9</w:t>
            </w:r>
            <w:r>
              <w:rPr>
                <w:rFonts w:ascii="Times New Roman" w:hAnsi="Times New Roman" w:eastAsia="Times New Roman" w:cs="Times New Roman"/>
                <w:spacing w:val="16"/>
                <w:w w:val="101"/>
                <w:sz w:val="24"/>
                <w:szCs w:val="24"/>
              </w:rPr>
              <w:t xml:space="preserve"> </w:t>
            </w:r>
            <w:r>
              <w:rPr>
                <w:spacing w:val="-4"/>
                <w:sz w:val="24"/>
                <w:szCs w:val="24"/>
              </w:rPr>
              <w:t>月</w:t>
            </w:r>
            <w:r>
              <w:rPr>
                <w:spacing w:val="-55"/>
                <w:sz w:val="24"/>
                <w:szCs w:val="24"/>
              </w:rPr>
              <w:t xml:space="preserve"> </w:t>
            </w:r>
            <w:r>
              <w:rPr>
                <w:rFonts w:ascii="Times New Roman" w:hAnsi="Times New Roman" w:eastAsia="Times New Roman" w:cs="Times New Roman"/>
                <w:spacing w:val="-4"/>
                <w:sz w:val="24"/>
                <w:szCs w:val="24"/>
              </w:rPr>
              <w:t xml:space="preserve">21  </w:t>
            </w:r>
            <w:r>
              <w:rPr>
                <w:spacing w:val="-4"/>
                <w:sz w:val="24"/>
                <w:szCs w:val="24"/>
              </w:rPr>
              <w:t>日审议通过并公布，</w:t>
            </w:r>
            <w:r>
              <w:rPr>
                <w:spacing w:val="-6"/>
                <w:sz w:val="24"/>
                <w:szCs w:val="24"/>
              </w:rPr>
              <w:t>自</w:t>
            </w:r>
            <w:r>
              <w:rPr>
                <w:spacing w:val="-55"/>
                <w:sz w:val="24"/>
                <w:szCs w:val="24"/>
              </w:rPr>
              <w:t xml:space="preserve"> </w:t>
            </w:r>
            <w:r>
              <w:rPr>
                <w:rFonts w:ascii="Times New Roman" w:hAnsi="Times New Roman" w:eastAsia="Times New Roman" w:cs="Times New Roman"/>
                <w:spacing w:val="-6"/>
                <w:sz w:val="24"/>
                <w:szCs w:val="24"/>
              </w:rPr>
              <w:t xml:space="preserve">2019 </w:t>
            </w:r>
            <w:r>
              <w:rPr>
                <w:spacing w:val="-6"/>
                <w:sz w:val="24"/>
                <w:szCs w:val="24"/>
              </w:rPr>
              <w:t>年</w:t>
            </w:r>
            <w:r>
              <w:rPr>
                <w:spacing w:val="-31"/>
                <w:sz w:val="24"/>
                <w:szCs w:val="24"/>
              </w:rPr>
              <w:t xml:space="preserve"> </w:t>
            </w:r>
            <w:r>
              <w:rPr>
                <w:rFonts w:ascii="Times New Roman" w:hAnsi="Times New Roman" w:eastAsia="Times New Roman" w:cs="Times New Roman"/>
                <w:spacing w:val="-6"/>
                <w:sz w:val="24"/>
                <w:szCs w:val="24"/>
              </w:rPr>
              <w:t>1</w:t>
            </w:r>
            <w:r>
              <w:rPr>
                <w:rFonts w:ascii="Times New Roman" w:hAnsi="Times New Roman" w:eastAsia="Times New Roman" w:cs="Times New Roman"/>
                <w:spacing w:val="17"/>
                <w:w w:val="101"/>
                <w:sz w:val="24"/>
                <w:szCs w:val="24"/>
              </w:rPr>
              <w:t xml:space="preserve"> </w:t>
            </w:r>
            <w:r>
              <w:rPr>
                <w:spacing w:val="-6"/>
                <w:sz w:val="24"/>
                <w:szCs w:val="24"/>
              </w:rPr>
              <w:t>月</w:t>
            </w:r>
            <w:r>
              <w:rPr>
                <w:spacing w:val="-32"/>
                <w:sz w:val="24"/>
                <w:szCs w:val="24"/>
              </w:rPr>
              <w:t xml:space="preserve"> </w:t>
            </w:r>
            <w:r>
              <w:rPr>
                <w:rFonts w:ascii="Times New Roman" w:hAnsi="Times New Roman" w:eastAsia="Times New Roman" w:cs="Times New Roman"/>
                <w:spacing w:val="-6"/>
                <w:sz w:val="24"/>
                <w:szCs w:val="24"/>
              </w:rPr>
              <w:t xml:space="preserve">1  </w:t>
            </w:r>
            <w:r>
              <w:rPr>
                <w:spacing w:val="-6"/>
                <w:sz w:val="24"/>
                <w:szCs w:val="24"/>
              </w:rPr>
              <w:t>日起施行。相关内容如下：</w:t>
            </w:r>
            <w:r>
              <w:rPr>
                <w:spacing w:val="-7"/>
                <w:sz w:val="24"/>
                <w:szCs w:val="24"/>
              </w:rPr>
              <w:t>“第二十四条   任何单位和个人不</w:t>
            </w:r>
            <w:r>
              <w:rPr>
                <w:spacing w:val="-6"/>
                <w:sz w:val="24"/>
                <w:szCs w:val="24"/>
              </w:rPr>
              <w:t>得擅自向自然保护区引进外来物种。确需引进的，</w:t>
            </w:r>
            <w:r>
              <w:rPr>
                <w:spacing w:val="-33"/>
                <w:sz w:val="24"/>
                <w:szCs w:val="24"/>
              </w:rPr>
              <w:t xml:space="preserve"> </w:t>
            </w:r>
            <w:r>
              <w:rPr>
                <w:spacing w:val="-6"/>
                <w:sz w:val="24"/>
                <w:szCs w:val="24"/>
              </w:rPr>
              <w:t>应当依法办理审批手续，</w:t>
            </w:r>
            <w:r>
              <w:rPr>
                <w:spacing w:val="-7"/>
                <w:sz w:val="24"/>
                <w:szCs w:val="24"/>
              </w:rPr>
              <w:t>并按</w:t>
            </w:r>
            <w:r>
              <w:rPr>
                <w:sz w:val="24"/>
                <w:szCs w:val="24"/>
              </w:rPr>
              <w:t>照有关技术规范进行试验。第二十五条   禁止扩散、放生或者丢弃外来入</w:t>
            </w:r>
            <w:r>
              <w:rPr>
                <w:spacing w:val="-1"/>
                <w:sz w:val="24"/>
                <w:szCs w:val="24"/>
              </w:rPr>
              <w:t>侵物</w:t>
            </w:r>
            <w:r>
              <w:rPr>
                <w:spacing w:val="-4"/>
                <w:sz w:val="24"/>
                <w:szCs w:val="24"/>
              </w:rPr>
              <w:t>种。任何单位和个人发现疑似外来物种的，应当及时向当地环境保护、林业、农</w:t>
            </w:r>
            <w:r>
              <w:rPr>
                <w:sz w:val="24"/>
                <w:szCs w:val="24"/>
              </w:rPr>
              <w:t>业、卫生等行政主管部门或者相关自然保护地管理机构报告。第二十九条   新</w:t>
            </w:r>
            <w:r>
              <w:rPr>
                <w:spacing w:val="-7"/>
                <w:sz w:val="24"/>
                <w:szCs w:val="24"/>
              </w:rPr>
              <w:t>建、改建、扩建建设项目以及开发自然资源， 应当依法开展环境影响评价。对可</w:t>
            </w:r>
            <w:r>
              <w:rPr>
                <w:spacing w:val="-5"/>
                <w:sz w:val="24"/>
                <w:szCs w:val="24"/>
              </w:rPr>
              <w:t>能造成重要生态系统破坏、损害重要物种及其栖息地和生境的，</w:t>
            </w:r>
            <w:r>
              <w:rPr>
                <w:spacing w:val="-70"/>
                <w:sz w:val="24"/>
                <w:szCs w:val="24"/>
              </w:rPr>
              <w:t xml:space="preserve"> </w:t>
            </w:r>
            <w:r>
              <w:rPr>
                <w:spacing w:val="-5"/>
                <w:sz w:val="24"/>
                <w:szCs w:val="24"/>
              </w:rPr>
              <w:t>应当制定专项保</w:t>
            </w:r>
            <w:r>
              <w:rPr>
                <w:spacing w:val="-4"/>
                <w:sz w:val="24"/>
                <w:szCs w:val="24"/>
              </w:rPr>
              <w:t>护恢复和补偿方案，纳入环境影响评价。在生物多样性保护优先区域的建设项目以及自然资源开发，应当评价对生物多样性的影响，并作为环境影响评价的重要</w:t>
            </w:r>
            <w:r>
              <w:rPr>
                <w:spacing w:val="-2"/>
                <w:sz w:val="24"/>
                <w:szCs w:val="24"/>
              </w:rPr>
              <w:t>组成部分。”</w:t>
            </w:r>
          </w:p>
          <w:p w14:paraId="7E09F25E">
            <w:pPr>
              <w:pStyle w:val="6"/>
              <w:spacing w:line="349" w:lineRule="auto"/>
              <w:ind w:left="115" w:right="36" w:firstLine="502"/>
              <w:jc w:val="both"/>
              <w:rPr>
                <w:sz w:val="24"/>
                <w:szCs w:val="24"/>
              </w:rPr>
            </w:pPr>
            <w:r>
              <w:rPr>
                <w:spacing w:val="-9"/>
                <w:sz w:val="24"/>
                <w:szCs w:val="24"/>
              </w:rPr>
              <w:t>同时，根据《云南省生物多样性保护条例》第十</w:t>
            </w:r>
            <w:r>
              <w:rPr>
                <w:spacing w:val="-10"/>
                <w:sz w:val="24"/>
                <w:szCs w:val="24"/>
              </w:rPr>
              <w:t>条，经云南省人民政府同意，</w:t>
            </w:r>
            <w:r>
              <w:rPr>
                <w:spacing w:val="-4"/>
                <w:sz w:val="24"/>
                <w:szCs w:val="24"/>
              </w:rPr>
              <w:t>云南省生态环境厅会同有关部门编制并印发了《云南省生物多样性保护战略与行</w:t>
            </w:r>
            <w:r>
              <w:rPr>
                <w:spacing w:val="-5"/>
                <w:sz w:val="24"/>
                <w:szCs w:val="24"/>
              </w:rPr>
              <w:t>动计划</w:t>
            </w:r>
            <w:r>
              <w:rPr>
                <w:rFonts w:ascii="Times New Roman" w:hAnsi="Times New Roman" w:eastAsia="Times New Roman" w:cs="Times New Roman"/>
                <w:spacing w:val="-5"/>
                <w:sz w:val="24"/>
                <w:szCs w:val="24"/>
              </w:rPr>
              <w:t>2024-2030</w:t>
            </w:r>
            <w:r>
              <w:rPr>
                <w:spacing w:val="-5"/>
                <w:sz w:val="24"/>
                <w:szCs w:val="24"/>
              </w:rPr>
              <w:t>年》，指出生物多样性保护迈入新阶段，以习近平</w:t>
            </w:r>
            <w:r>
              <w:rPr>
                <w:spacing w:val="-6"/>
                <w:sz w:val="24"/>
                <w:szCs w:val="24"/>
              </w:rPr>
              <w:t>新时代中国特</w:t>
            </w:r>
            <w:r>
              <w:rPr>
                <w:spacing w:val="-4"/>
                <w:sz w:val="24"/>
                <w:szCs w:val="24"/>
              </w:rPr>
              <w:t>色社会主义思想为指导制定了生物多样性保护战略，针对重点生态功能区、自然保护地、生物多样性保护优先区域、生态保护红线等生物多样性保护优先领域提</w:t>
            </w:r>
            <w:r>
              <w:rPr>
                <w:spacing w:val="-2"/>
                <w:sz w:val="24"/>
                <w:szCs w:val="24"/>
              </w:rPr>
              <w:t>出优先行动计划。</w:t>
            </w:r>
          </w:p>
        </w:tc>
      </w:tr>
    </w:tbl>
    <w:p w14:paraId="44376733">
      <w:pPr>
        <w:rPr>
          <w:rFonts w:ascii="Arial"/>
          <w:sz w:val="21"/>
        </w:rPr>
      </w:pPr>
    </w:p>
    <w:p w14:paraId="0AAFAAE3">
      <w:pPr>
        <w:rPr>
          <w:rFonts w:ascii="Arial" w:hAnsi="Arial" w:eastAsia="Arial" w:cs="Arial"/>
          <w:sz w:val="21"/>
          <w:szCs w:val="21"/>
        </w:rPr>
        <w:sectPr>
          <w:footerReference r:id="rId26" w:type="default"/>
          <w:pgSz w:w="11907" w:h="16841"/>
          <w:pgMar w:top="400" w:right="1413" w:bottom="1126" w:left="1414" w:header="0" w:footer="925" w:gutter="0"/>
          <w:cols w:space="720" w:num="1"/>
        </w:sectPr>
      </w:pPr>
    </w:p>
    <w:p w14:paraId="42FAC55A">
      <w:pPr>
        <w:spacing w:before="2"/>
      </w:pPr>
    </w:p>
    <w:p w14:paraId="0BC154DE">
      <w:pPr>
        <w:spacing w:before="2"/>
      </w:pPr>
    </w:p>
    <w:p w14:paraId="70911852">
      <w:pPr>
        <w:spacing w:before="1"/>
      </w:pPr>
    </w:p>
    <w:p w14:paraId="73831326">
      <w:pPr>
        <w:spacing w:before="1"/>
      </w:pPr>
    </w:p>
    <w:p w14:paraId="51E65EEA">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2"/>
      </w:tblGrid>
      <w:tr w14:paraId="509F26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99" w:hRule="atLeast"/>
        </w:trPr>
        <w:tc>
          <w:tcPr>
            <w:tcW w:w="571" w:type="dxa"/>
            <w:vAlign w:val="top"/>
          </w:tcPr>
          <w:p w14:paraId="3FF5DB71">
            <w:pPr>
              <w:rPr>
                <w:rFonts w:ascii="Arial"/>
                <w:sz w:val="21"/>
              </w:rPr>
            </w:pPr>
          </w:p>
        </w:tc>
        <w:tc>
          <w:tcPr>
            <w:tcW w:w="8502" w:type="dxa"/>
            <w:vAlign w:val="top"/>
          </w:tcPr>
          <w:p w14:paraId="3C213F8E">
            <w:pPr>
              <w:spacing w:before="145" w:line="4776" w:lineRule="exact"/>
              <w:ind w:firstLine="106"/>
            </w:pPr>
            <w:r>
              <w:rPr>
                <w:position w:val="-95"/>
              </w:rPr>
              <w:drawing>
                <wp:inline distT="0" distB="0" distL="0" distR="0">
                  <wp:extent cx="5255260" cy="3032125"/>
                  <wp:effectExtent l="0" t="0" r="0" b="0"/>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209"/>
                          <a:stretch>
                            <a:fillRect/>
                          </a:stretch>
                        </pic:blipFill>
                        <pic:spPr>
                          <a:xfrm>
                            <a:off x="0" y="0"/>
                            <a:ext cx="5255640" cy="3032759"/>
                          </a:xfrm>
                          <a:prstGeom prst="rect">
                            <a:avLst/>
                          </a:prstGeom>
                        </pic:spPr>
                      </pic:pic>
                    </a:graphicData>
                  </a:graphic>
                </wp:inline>
              </w:drawing>
            </w:r>
          </w:p>
          <w:p w14:paraId="6CF7EE5E">
            <w:pPr>
              <w:pStyle w:val="6"/>
              <w:spacing w:before="271" w:line="234" w:lineRule="auto"/>
              <w:ind w:left="1606"/>
            </w:pPr>
            <w:bookmarkStart w:id="0" w:name="bookmark10"/>
            <w:bookmarkEnd w:id="0"/>
            <w:r>
              <w:rPr>
                <w:b/>
                <w:bCs/>
                <w:spacing w:val="-2"/>
              </w:rPr>
              <w:t>图</w:t>
            </w:r>
            <w:r>
              <w:rPr>
                <w:rFonts w:ascii="Times New Roman" w:hAnsi="Times New Roman" w:eastAsia="Times New Roman" w:cs="Times New Roman"/>
                <w:b/>
                <w:bCs/>
                <w:spacing w:val="-2"/>
              </w:rPr>
              <w:t xml:space="preserve">1-3    </w:t>
            </w:r>
            <w:r>
              <w:rPr>
                <w:b/>
                <w:bCs/>
                <w:spacing w:val="-2"/>
              </w:rPr>
              <w:t>项目与云南省生物多样性保护优先区域的位置关系</w:t>
            </w:r>
          </w:p>
          <w:p w14:paraId="731BE6B1">
            <w:pPr>
              <w:pStyle w:val="6"/>
              <w:spacing w:before="189" w:line="365" w:lineRule="auto"/>
              <w:ind w:left="112" w:right="103" w:firstLine="486"/>
              <w:jc w:val="both"/>
              <w:rPr>
                <w:sz w:val="24"/>
                <w:szCs w:val="24"/>
              </w:rPr>
            </w:pPr>
            <w:r>
              <w:rPr>
                <w:b/>
                <w:bCs/>
                <w:spacing w:val="-4"/>
                <w:sz w:val="24"/>
                <w:szCs w:val="24"/>
              </w:rPr>
              <w:t>符合性：</w:t>
            </w:r>
            <w:r>
              <w:rPr>
                <w:spacing w:val="-4"/>
                <w:sz w:val="24"/>
                <w:szCs w:val="24"/>
              </w:rPr>
              <w:t>项目不涉及生物多样性保护优先区域，根据现场调查，</w:t>
            </w:r>
            <w:r>
              <w:rPr>
                <w:spacing w:val="-5"/>
                <w:sz w:val="24"/>
                <w:szCs w:val="24"/>
              </w:rPr>
              <w:t>项目未占用</w:t>
            </w:r>
            <w:r>
              <w:rPr>
                <w:spacing w:val="-6"/>
                <w:sz w:val="24"/>
                <w:szCs w:val="24"/>
              </w:rPr>
              <w:t>当地原生性较好的植被。区域内人为活动明显，</w:t>
            </w:r>
            <w:r>
              <w:rPr>
                <w:spacing w:val="-27"/>
                <w:sz w:val="24"/>
                <w:szCs w:val="24"/>
              </w:rPr>
              <w:t xml:space="preserve"> </w:t>
            </w:r>
            <w:r>
              <w:rPr>
                <w:spacing w:val="-6"/>
                <w:sz w:val="24"/>
                <w:szCs w:val="24"/>
              </w:rPr>
              <w:t>原生林大多遭受</w:t>
            </w:r>
            <w:r>
              <w:rPr>
                <w:spacing w:val="-7"/>
                <w:sz w:val="24"/>
                <w:szCs w:val="24"/>
              </w:rPr>
              <w:t>一定破坏，林下</w:t>
            </w:r>
            <w:r>
              <w:rPr>
                <w:spacing w:val="-4"/>
                <w:sz w:val="24"/>
                <w:szCs w:val="24"/>
              </w:rPr>
              <w:t>灌木和草本成分较之没有受干扰或干扰较小的原生性林区，已有较大的差别。输电线路的杆塔采用间隔式占地，输电线路采用架空方式高跨树木，施工过程中也仅在塔基处进行开挖，不对输电线路下方的树木进行砍伐。本工程不会对动物的生境和活动造成阻隔，尽量避开植被良好林区，基本不会改变区域的生态系统结</w:t>
            </w:r>
            <w:r>
              <w:rPr>
                <w:spacing w:val="-5"/>
                <w:sz w:val="24"/>
                <w:szCs w:val="24"/>
              </w:rPr>
              <w:t>构和功能。输电线路运行期不产生废水废气和废渣，</w:t>
            </w:r>
            <w:r>
              <w:rPr>
                <w:spacing w:val="-67"/>
                <w:sz w:val="24"/>
                <w:szCs w:val="24"/>
              </w:rPr>
              <w:t xml:space="preserve"> </w:t>
            </w:r>
            <w:r>
              <w:rPr>
                <w:spacing w:val="-5"/>
                <w:sz w:val="24"/>
                <w:szCs w:val="24"/>
              </w:rPr>
              <w:t>不会损害重要物种及其</w:t>
            </w:r>
            <w:r>
              <w:rPr>
                <w:spacing w:val="-6"/>
                <w:sz w:val="24"/>
                <w:szCs w:val="24"/>
              </w:rPr>
              <w:t>栖息</w:t>
            </w:r>
            <w:r>
              <w:rPr>
                <w:spacing w:val="-4"/>
                <w:sz w:val="24"/>
                <w:szCs w:val="24"/>
              </w:rPr>
              <w:t>地和生境，不会对当地生物多样性造成破坏。本项目不属于可能造成重要生态系统破坏、损害重要物种及其栖息地和生境的建设项目。在采取本环评提出的生态</w:t>
            </w:r>
            <w:r>
              <w:rPr>
                <w:spacing w:val="-7"/>
                <w:sz w:val="24"/>
                <w:szCs w:val="24"/>
              </w:rPr>
              <w:t>保护措施后，工程对沿线的生态不利影响有限。</w:t>
            </w:r>
            <w:r>
              <w:rPr>
                <w:spacing w:val="-8"/>
                <w:sz w:val="24"/>
                <w:szCs w:val="24"/>
              </w:rPr>
              <w:t>因此， 本项目与《云南省生物多</w:t>
            </w:r>
            <w:r>
              <w:rPr>
                <w:spacing w:val="-4"/>
                <w:sz w:val="24"/>
                <w:szCs w:val="24"/>
              </w:rPr>
              <w:t>样性保护条例》不冲突。</w:t>
            </w:r>
          </w:p>
          <w:p w14:paraId="6C2F14E9">
            <w:pPr>
              <w:pStyle w:val="6"/>
              <w:spacing w:line="233" w:lineRule="auto"/>
              <w:ind w:left="113"/>
              <w:rPr>
                <w:sz w:val="24"/>
                <w:szCs w:val="24"/>
              </w:rPr>
            </w:pPr>
            <w:r>
              <w:rPr>
                <w:rFonts w:ascii="Times New Roman" w:hAnsi="Times New Roman" w:eastAsia="Times New Roman" w:cs="Times New Roman"/>
                <w:b/>
                <w:bCs/>
                <w:spacing w:val="-4"/>
                <w:sz w:val="24"/>
                <w:szCs w:val="24"/>
              </w:rPr>
              <w:t>8</w:t>
            </w:r>
            <w:r>
              <w:rPr>
                <w:rFonts w:ascii="Times New Roman" w:hAnsi="Times New Roman" w:eastAsia="Times New Roman" w:cs="Times New Roman"/>
                <w:b/>
                <w:bCs/>
                <w:spacing w:val="-19"/>
                <w:sz w:val="24"/>
                <w:szCs w:val="24"/>
              </w:rPr>
              <w:t xml:space="preserve"> </w:t>
            </w:r>
            <w:r>
              <w:rPr>
                <w:b/>
                <w:bCs/>
                <w:spacing w:val="-4"/>
                <w:sz w:val="24"/>
                <w:szCs w:val="24"/>
              </w:rPr>
              <w:t>、与《云南省牛栏江保护条例》的符合性分析</w:t>
            </w:r>
          </w:p>
          <w:p w14:paraId="0AE00EA9">
            <w:pPr>
              <w:pStyle w:val="6"/>
              <w:spacing w:before="174" w:line="345" w:lineRule="auto"/>
              <w:ind w:left="115" w:firstLine="479"/>
              <w:jc w:val="both"/>
              <w:rPr>
                <w:sz w:val="24"/>
                <w:szCs w:val="24"/>
              </w:rPr>
            </w:pPr>
            <w:r>
              <w:rPr>
                <w:spacing w:val="-8"/>
                <w:sz w:val="24"/>
                <w:szCs w:val="24"/>
              </w:rPr>
              <w:t>根据《牛栏江流域（云南部分）水环境保护规划（</w:t>
            </w:r>
            <w:r>
              <w:rPr>
                <w:rFonts w:ascii="Times New Roman" w:hAnsi="Times New Roman" w:eastAsia="Times New Roman" w:cs="Times New Roman"/>
                <w:spacing w:val="-8"/>
                <w:sz w:val="24"/>
                <w:szCs w:val="24"/>
              </w:rPr>
              <w:t>2009-2030</w:t>
            </w:r>
            <w:r>
              <w:rPr>
                <w:spacing w:val="-8"/>
                <w:sz w:val="24"/>
                <w:szCs w:val="24"/>
              </w:rPr>
              <w:t>年）》，</w:t>
            </w:r>
            <w:r>
              <w:rPr>
                <w:spacing w:val="-20"/>
                <w:sz w:val="24"/>
                <w:szCs w:val="24"/>
              </w:rPr>
              <w:t xml:space="preserve"> </w:t>
            </w:r>
            <w:r>
              <w:rPr>
                <w:spacing w:val="-8"/>
                <w:sz w:val="24"/>
                <w:szCs w:val="24"/>
              </w:rPr>
              <w:t>牛栏江</w:t>
            </w:r>
            <w:r>
              <w:rPr>
                <w:spacing w:val="-4"/>
                <w:sz w:val="24"/>
                <w:szCs w:val="24"/>
              </w:rPr>
              <w:t>流域（云南段）划分为牛栏江德泽水库以上水环境重点保护区（调水水源区）和牛栏江德泽水库以下生态环境保护区（下游区）。项目所在区域属于牛栏江流域</w:t>
            </w:r>
            <w:r>
              <w:rPr>
                <w:spacing w:val="-3"/>
                <w:sz w:val="24"/>
                <w:szCs w:val="24"/>
              </w:rPr>
              <w:t>（云南部分）德泽水库以下生态环境保护区（下游区）中的水源涵养区(</w:t>
            </w:r>
            <w:r>
              <w:rPr>
                <w:spacing w:val="-21"/>
                <w:sz w:val="24"/>
                <w:szCs w:val="24"/>
              </w:rPr>
              <w:t xml:space="preserve"> </w:t>
            </w:r>
            <w:r>
              <w:rPr>
                <w:spacing w:val="-3"/>
                <w:sz w:val="24"/>
                <w:szCs w:val="24"/>
              </w:rPr>
              <w:t>Ⅱ</w:t>
            </w:r>
            <w:r>
              <w:rPr>
                <w:rFonts w:ascii="Times New Roman" w:hAnsi="Times New Roman" w:eastAsia="Times New Roman" w:cs="Times New Roman"/>
                <w:spacing w:val="-3"/>
                <w:position w:val="-1"/>
                <w:sz w:val="16"/>
                <w:szCs w:val="16"/>
              </w:rPr>
              <w:t>2</w:t>
            </w:r>
            <w:r>
              <w:rPr>
                <w:rFonts w:ascii="Times New Roman" w:hAnsi="Times New Roman" w:eastAsia="Times New Roman" w:cs="Times New Roman"/>
                <w:spacing w:val="-12"/>
                <w:position w:val="-1"/>
                <w:sz w:val="16"/>
                <w:szCs w:val="16"/>
              </w:rPr>
              <w:t xml:space="preserve"> </w:t>
            </w:r>
            <w:r>
              <w:rPr>
                <w:spacing w:val="-3"/>
                <w:sz w:val="24"/>
                <w:szCs w:val="24"/>
              </w:rPr>
              <w:t>区）</w:t>
            </w:r>
            <w:r>
              <w:rPr>
                <w:spacing w:val="4"/>
                <w:sz w:val="24"/>
                <w:szCs w:val="24"/>
              </w:rPr>
              <w:t>和污染控制区(Ⅱ</w:t>
            </w:r>
            <w:r>
              <w:rPr>
                <w:rFonts w:ascii="Times New Roman" w:hAnsi="Times New Roman" w:eastAsia="Times New Roman" w:cs="Times New Roman"/>
                <w:spacing w:val="4"/>
                <w:position w:val="-1"/>
                <w:sz w:val="16"/>
                <w:szCs w:val="16"/>
              </w:rPr>
              <w:t>1</w:t>
            </w:r>
            <w:r>
              <w:rPr>
                <w:rFonts w:ascii="Times New Roman" w:hAnsi="Times New Roman" w:eastAsia="Times New Roman" w:cs="Times New Roman"/>
                <w:spacing w:val="-10"/>
                <w:position w:val="-1"/>
                <w:sz w:val="16"/>
                <w:szCs w:val="16"/>
              </w:rPr>
              <w:t xml:space="preserve"> </w:t>
            </w:r>
            <w:r>
              <w:rPr>
                <w:spacing w:val="4"/>
                <w:sz w:val="24"/>
                <w:szCs w:val="24"/>
              </w:rPr>
              <w:t>区</w:t>
            </w:r>
            <w:r>
              <w:rPr>
                <w:spacing w:val="1"/>
                <w:sz w:val="24"/>
                <w:szCs w:val="24"/>
              </w:rPr>
              <w:t>），</w:t>
            </w:r>
            <w:r>
              <w:rPr>
                <w:spacing w:val="4"/>
                <w:sz w:val="24"/>
                <w:szCs w:val="24"/>
              </w:rPr>
              <w:t>项目与《云南省牛栏江保护条例</w:t>
            </w:r>
            <w:r>
              <w:rPr>
                <w:spacing w:val="3"/>
                <w:sz w:val="24"/>
                <w:szCs w:val="24"/>
              </w:rPr>
              <w:t>》的符合性分析见下</w:t>
            </w:r>
          </w:p>
        </w:tc>
      </w:tr>
    </w:tbl>
    <w:p w14:paraId="084F0C68">
      <w:pPr>
        <w:rPr>
          <w:rFonts w:ascii="Arial"/>
          <w:sz w:val="21"/>
        </w:rPr>
      </w:pPr>
    </w:p>
    <w:p w14:paraId="0D002016">
      <w:pPr>
        <w:rPr>
          <w:rFonts w:ascii="Arial" w:hAnsi="Arial" w:eastAsia="Arial" w:cs="Arial"/>
          <w:sz w:val="21"/>
          <w:szCs w:val="21"/>
        </w:rPr>
        <w:sectPr>
          <w:footerReference r:id="rId27" w:type="default"/>
          <w:pgSz w:w="11907" w:h="16841"/>
          <w:pgMar w:top="400" w:right="1413" w:bottom="1126" w:left="1414" w:header="0" w:footer="923" w:gutter="0"/>
          <w:cols w:space="720" w:num="1"/>
        </w:sectPr>
      </w:pPr>
    </w:p>
    <w:p w14:paraId="3F7E8793">
      <w:pPr>
        <w:spacing w:before="2"/>
      </w:pPr>
    </w:p>
    <w:p w14:paraId="63AFA9C7">
      <w:pPr>
        <w:spacing w:before="2"/>
      </w:pPr>
    </w:p>
    <w:p w14:paraId="066F944D">
      <w:pPr>
        <w:spacing w:before="1"/>
      </w:pPr>
    </w:p>
    <w:p w14:paraId="1077ABE1">
      <w:pPr>
        <w:spacing w:before="1"/>
      </w:pPr>
    </w:p>
    <w:p w14:paraId="327F89DB">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5"/>
        <w:gridCol w:w="4695"/>
        <w:gridCol w:w="2692"/>
        <w:gridCol w:w="885"/>
        <w:gridCol w:w="115"/>
      </w:tblGrid>
      <w:tr w14:paraId="4A6950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1" w:hRule="atLeast"/>
        </w:trPr>
        <w:tc>
          <w:tcPr>
            <w:tcW w:w="571" w:type="dxa"/>
            <w:vMerge w:val="restart"/>
            <w:tcBorders>
              <w:bottom w:val="nil"/>
            </w:tcBorders>
            <w:vAlign w:val="top"/>
          </w:tcPr>
          <w:p w14:paraId="4DE69198">
            <w:pPr>
              <w:rPr>
                <w:rFonts w:ascii="Arial"/>
                <w:sz w:val="21"/>
              </w:rPr>
            </w:pPr>
          </w:p>
        </w:tc>
        <w:tc>
          <w:tcPr>
            <w:tcW w:w="8502" w:type="dxa"/>
            <w:gridSpan w:val="5"/>
            <w:vAlign w:val="top"/>
          </w:tcPr>
          <w:p w14:paraId="7AEAB9E4">
            <w:pPr>
              <w:pStyle w:val="6"/>
              <w:spacing w:before="125" w:line="221" w:lineRule="auto"/>
              <w:ind w:left="113"/>
              <w:rPr>
                <w:sz w:val="24"/>
                <w:szCs w:val="24"/>
              </w:rPr>
            </w:pPr>
            <w:r>
              <w:rPr>
                <w:spacing w:val="-11"/>
                <w:sz w:val="24"/>
                <w:szCs w:val="24"/>
              </w:rPr>
              <w:t>表。</w:t>
            </w:r>
          </w:p>
          <w:p w14:paraId="052CB096">
            <w:pPr>
              <w:pStyle w:val="6"/>
              <w:spacing w:before="121" w:line="226" w:lineRule="auto"/>
              <w:ind w:left="1690"/>
            </w:pPr>
            <w:r>
              <w:rPr>
                <w:b/>
                <w:bCs/>
                <w:spacing w:val="-1"/>
              </w:rPr>
              <w:t>表</w:t>
            </w:r>
            <w:r>
              <w:rPr>
                <w:rFonts w:ascii="Times New Roman" w:hAnsi="Times New Roman" w:eastAsia="Times New Roman" w:cs="Times New Roman"/>
                <w:b/>
                <w:bCs/>
                <w:spacing w:val="-1"/>
              </w:rPr>
              <w:t xml:space="preserve">1-7    </w:t>
            </w:r>
            <w:r>
              <w:rPr>
                <w:b/>
                <w:bCs/>
                <w:spacing w:val="-1"/>
              </w:rPr>
              <w:t>项目与《云南省牛栏江保护</w:t>
            </w:r>
            <w:r>
              <w:rPr>
                <w:b/>
                <w:bCs/>
                <w:spacing w:val="-2"/>
              </w:rPr>
              <w:t>条例》的符合性分析</w:t>
            </w:r>
          </w:p>
        </w:tc>
      </w:tr>
      <w:tr w14:paraId="69D5DF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1DCDAA01">
            <w:pPr>
              <w:rPr>
                <w:rFonts w:ascii="Arial"/>
                <w:sz w:val="21"/>
              </w:rPr>
            </w:pPr>
          </w:p>
        </w:tc>
        <w:tc>
          <w:tcPr>
            <w:tcW w:w="115" w:type="dxa"/>
            <w:tcBorders>
              <w:top w:val="nil"/>
              <w:bottom w:val="nil"/>
            </w:tcBorders>
            <w:vAlign w:val="top"/>
          </w:tcPr>
          <w:p w14:paraId="55414637">
            <w:pPr>
              <w:rPr>
                <w:rFonts w:ascii="Arial"/>
                <w:sz w:val="21"/>
              </w:rPr>
            </w:pPr>
          </w:p>
        </w:tc>
        <w:tc>
          <w:tcPr>
            <w:tcW w:w="4695" w:type="dxa"/>
            <w:vAlign w:val="top"/>
          </w:tcPr>
          <w:p w14:paraId="51B6888B">
            <w:pPr>
              <w:pStyle w:val="6"/>
              <w:spacing w:before="53" w:line="221" w:lineRule="auto"/>
              <w:ind w:left="1931"/>
            </w:pPr>
            <w:r>
              <w:rPr>
                <w:b/>
                <w:bCs/>
                <w:spacing w:val="-3"/>
              </w:rPr>
              <w:t>相关内容</w:t>
            </w:r>
          </w:p>
        </w:tc>
        <w:tc>
          <w:tcPr>
            <w:tcW w:w="2692" w:type="dxa"/>
            <w:vAlign w:val="top"/>
          </w:tcPr>
          <w:p w14:paraId="50705BDB">
            <w:pPr>
              <w:pStyle w:val="6"/>
              <w:spacing w:before="54" w:line="221" w:lineRule="auto"/>
              <w:ind w:left="931"/>
            </w:pPr>
            <w:r>
              <w:rPr>
                <w:b/>
                <w:bCs/>
                <w:spacing w:val="-4"/>
              </w:rPr>
              <w:t>项目情况</w:t>
            </w:r>
          </w:p>
        </w:tc>
        <w:tc>
          <w:tcPr>
            <w:tcW w:w="885" w:type="dxa"/>
            <w:vAlign w:val="top"/>
          </w:tcPr>
          <w:p w14:paraId="152F168B">
            <w:pPr>
              <w:pStyle w:val="6"/>
              <w:spacing w:before="53" w:line="221" w:lineRule="auto"/>
              <w:ind w:left="134"/>
            </w:pPr>
            <w:r>
              <w:rPr>
                <w:b/>
                <w:bCs/>
                <w:spacing w:val="-4"/>
              </w:rPr>
              <w:t>符合性</w:t>
            </w:r>
          </w:p>
        </w:tc>
        <w:tc>
          <w:tcPr>
            <w:tcW w:w="115" w:type="dxa"/>
            <w:tcBorders>
              <w:top w:val="nil"/>
              <w:bottom w:val="nil"/>
            </w:tcBorders>
            <w:vAlign w:val="top"/>
          </w:tcPr>
          <w:p w14:paraId="19532807">
            <w:pPr>
              <w:rPr>
                <w:rFonts w:ascii="Arial"/>
                <w:sz w:val="21"/>
              </w:rPr>
            </w:pPr>
          </w:p>
        </w:tc>
      </w:tr>
      <w:tr w14:paraId="296E24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796" w:hRule="atLeast"/>
        </w:trPr>
        <w:tc>
          <w:tcPr>
            <w:tcW w:w="571" w:type="dxa"/>
            <w:vMerge w:val="continue"/>
            <w:tcBorders>
              <w:top w:val="nil"/>
              <w:bottom w:val="nil"/>
            </w:tcBorders>
            <w:vAlign w:val="top"/>
          </w:tcPr>
          <w:p w14:paraId="06F7EC54">
            <w:pPr>
              <w:rPr>
                <w:rFonts w:ascii="Arial"/>
                <w:sz w:val="21"/>
              </w:rPr>
            </w:pPr>
          </w:p>
        </w:tc>
        <w:tc>
          <w:tcPr>
            <w:tcW w:w="115" w:type="dxa"/>
            <w:tcBorders>
              <w:top w:val="nil"/>
              <w:bottom w:val="nil"/>
            </w:tcBorders>
            <w:vAlign w:val="top"/>
          </w:tcPr>
          <w:p w14:paraId="3F99ED66">
            <w:pPr>
              <w:rPr>
                <w:rFonts w:ascii="Arial"/>
                <w:sz w:val="21"/>
              </w:rPr>
            </w:pPr>
          </w:p>
        </w:tc>
        <w:tc>
          <w:tcPr>
            <w:tcW w:w="4695" w:type="dxa"/>
            <w:vAlign w:val="top"/>
          </w:tcPr>
          <w:p w14:paraId="619B05B9">
            <w:pPr>
              <w:pStyle w:val="6"/>
              <w:spacing w:before="56" w:line="221" w:lineRule="auto"/>
              <w:ind w:left="111"/>
            </w:pPr>
            <w:r>
              <w:rPr>
                <w:spacing w:val="-2"/>
              </w:rPr>
              <w:t>第三十二条 重点水源涵养区内禁止下列行为：</w:t>
            </w:r>
          </w:p>
          <w:p w14:paraId="7A779017">
            <w:pPr>
              <w:pStyle w:val="6"/>
              <w:spacing w:before="63" w:line="221" w:lineRule="auto"/>
              <w:ind w:left="117"/>
            </w:pPr>
            <w:r>
              <w:rPr>
                <w:spacing w:val="-3"/>
              </w:rPr>
              <w:t>（一）盗伐、滥伐林木和破坏草地；</w:t>
            </w:r>
          </w:p>
          <w:p w14:paraId="4C2428AB">
            <w:pPr>
              <w:pStyle w:val="6"/>
              <w:spacing w:before="65" w:line="221" w:lineRule="auto"/>
              <w:ind w:left="117"/>
            </w:pPr>
            <w:r>
              <w:rPr>
                <w:spacing w:val="-4"/>
              </w:rPr>
              <w:t>（二）使用高毒、高残留农药；</w:t>
            </w:r>
          </w:p>
          <w:p w14:paraId="4F41876B">
            <w:pPr>
              <w:pStyle w:val="6"/>
              <w:spacing w:before="66" w:line="277" w:lineRule="auto"/>
              <w:ind w:left="112" w:right="113" w:firstLine="5"/>
            </w:pPr>
            <w:r>
              <w:rPr>
                <w:spacing w:val="-8"/>
              </w:rPr>
              <w:t>（三）利用溶洞、渗井、渗坑、裂隙排放、倾倒含</w:t>
            </w:r>
            <w:r>
              <w:rPr>
                <w:spacing w:val="-3"/>
              </w:rPr>
              <w:t>有毒有害物质的废水、废渣；</w:t>
            </w:r>
          </w:p>
          <w:p w14:paraId="2489D320">
            <w:pPr>
              <w:pStyle w:val="6"/>
              <w:spacing w:before="1" w:line="277" w:lineRule="auto"/>
              <w:ind w:left="114" w:right="111" w:firstLine="3"/>
            </w:pPr>
            <w:r>
              <w:rPr>
                <w:spacing w:val="-8"/>
              </w:rPr>
              <w:t>（四）向水体排放废水、倾倒工业废渣、城镇垃圾</w:t>
            </w:r>
            <w:r>
              <w:rPr>
                <w:spacing w:val="-1"/>
              </w:rPr>
              <w:t>或者其他废弃物；</w:t>
            </w:r>
          </w:p>
          <w:p w14:paraId="6B05163A">
            <w:pPr>
              <w:pStyle w:val="6"/>
              <w:spacing w:before="1" w:line="278" w:lineRule="auto"/>
              <w:ind w:left="111" w:right="28" w:firstLine="6"/>
            </w:pPr>
            <w:r>
              <w:rPr>
                <w:spacing w:val="-13"/>
              </w:rPr>
              <w:t>（五）在江河、渠道、水库最高水位线以下的滩地、</w:t>
            </w:r>
            <w:r>
              <w:rPr>
                <w:spacing w:val="-2"/>
              </w:rPr>
              <w:t>岸坡堆放、存贮固体废弃物或者其他污染物；</w:t>
            </w:r>
          </w:p>
          <w:p w14:paraId="6FEA7D60">
            <w:pPr>
              <w:pStyle w:val="6"/>
              <w:spacing w:before="1" w:line="259" w:lineRule="auto"/>
              <w:ind w:left="110" w:right="103" w:firstLine="7"/>
            </w:pPr>
            <w:r>
              <w:rPr>
                <w:spacing w:val="-7"/>
              </w:rPr>
              <w:t>（六）利用无防渗漏措施的沟渠、坑塘等输送或者</w:t>
            </w:r>
            <w:r>
              <w:rPr>
                <w:spacing w:val="3"/>
              </w:rPr>
              <w:t>存贮含有毒污染物的废水、含病原体的污水或者</w:t>
            </w:r>
            <w:r>
              <w:rPr>
                <w:spacing w:val="-1"/>
              </w:rPr>
              <w:t>其他废弃物。</w:t>
            </w:r>
          </w:p>
        </w:tc>
        <w:tc>
          <w:tcPr>
            <w:tcW w:w="2692" w:type="dxa"/>
            <w:vAlign w:val="top"/>
          </w:tcPr>
          <w:p w14:paraId="258FD079">
            <w:pPr>
              <w:pStyle w:val="6"/>
              <w:spacing w:before="212" w:line="220" w:lineRule="auto"/>
              <w:ind w:left="194"/>
            </w:pPr>
            <w:r>
              <w:rPr>
                <w:spacing w:val="-1"/>
              </w:rPr>
              <w:t>本项目在施工时仅对塔基</w:t>
            </w:r>
          </w:p>
          <w:p w14:paraId="75EB0052">
            <w:pPr>
              <w:pStyle w:val="6"/>
              <w:spacing w:before="66" w:line="221" w:lineRule="auto"/>
              <w:ind w:left="197"/>
            </w:pPr>
            <w:r>
              <w:rPr>
                <w:spacing w:val="-2"/>
              </w:rPr>
              <w:t>处少量林木进行砍伐、清</w:t>
            </w:r>
          </w:p>
          <w:p w14:paraId="73636F3D">
            <w:pPr>
              <w:pStyle w:val="6"/>
              <w:spacing w:before="65" w:line="222" w:lineRule="auto"/>
              <w:ind w:left="196"/>
            </w:pPr>
            <w:r>
              <w:rPr>
                <w:spacing w:val="-1"/>
              </w:rPr>
              <w:t>理，且塔基呈间隔点位式</w:t>
            </w:r>
          </w:p>
          <w:p w14:paraId="7AC7B837">
            <w:pPr>
              <w:pStyle w:val="6"/>
              <w:spacing w:before="61" w:line="220" w:lineRule="auto"/>
              <w:ind w:left="228"/>
            </w:pPr>
            <w:r>
              <w:rPr>
                <w:spacing w:val="-4"/>
              </w:rPr>
              <w:t>占地，不会造成大面积林</w:t>
            </w:r>
          </w:p>
          <w:p w14:paraId="2BF6BFC8">
            <w:pPr>
              <w:pStyle w:val="6"/>
              <w:spacing w:before="66" w:line="221" w:lineRule="auto"/>
              <w:ind w:left="194"/>
            </w:pPr>
            <w:r>
              <w:rPr>
                <w:spacing w:val="-1"/>
              </w:rPr>
              <w:t>木和草地的破坏，施工期</w:t>
            </w:r>
          </w:p>
          <w:p w14:paraId="4A1A0007">
            <w:pPr>
              <w:pStyle w:val="6"/>
              <w:spacing w:before="66" w:line="221" w:lineRule="auto"/>
              <w:ind w:left="193"/>
            </w:pPr>
            <w:r>
              <w:rPr>
                <w:spacing w:val="-1"/>
              </w:rPr>
              <w:t>产生的少量废水全部回用</w:t>
            </w:r>
          </w:p>
          <w:p w14:paraId="5F8AF0C7">
            <w:pPr>
              <w:pStyle w:val="6"/>
              <w:spacing w:before="63" w:line="221" w:lineRule="auto"/>
              <w:ind w:left="196"/>
            </w:pPr>
            <w:r>
              <w:rPr>
                <w:spacing w:val="-2"/>
              </w:rPr>
              <w:t>于施工场地，不外排。开</w:t>
            </w:r>
          </w:p>
          <w:p w14:paraId="5B0B2B27">
            <w:pPr>
              <w:pStyle w:val="6"/>
              <w:spacing w:before="65" w:line="221" w:lineRule="auto"/>
              <w:ind w:left="192"/>
            </w:pPr>
            <w:r>
              <w:t>挖土石方就地回填，不产</w:t>
            </w:r>
          </w:p>
          <w:p w14:paraId="6AB9CD4A">
            <w:pPr>
              <w:pStyle w:val="6"/>
              <w:spacing w:before="66" w:line="221" w:lineRule="auto"/>
              <w:ind w:left="195"/>
            </w:pPr>
            <w:r>
              <w:rPr>
                <w:spacing w:val="-1"/>
              </w:rPr>
              <w:t>生弃土、弃渣，垃圾收集</w:t>
            </w:r>
          </w:p>
          <w:p w14:paraId="5FC724A1">
            <w:pPr>
              <w:pStyle w:val="6"/>
              <w:spacing w:before="63" w:line="220" w:lineRule="auto"/>
              <w:ind w:left="195"/>
            </w:pPr>
            <w:r>
              <w:rPr>
                <w:spacing w:val="-1"/>
              </w:rPr>
              <w:t>后运至附近乡镇垃圾收集</w:t>
            </w:r>
          </w:p>
          <w:p w14:paraId="05D7968E">
            <w:pPr>
              <w:pStyle w:val="6"/>
              <w:spacing w:before="67" w:line="225" w:lineRule="auto"/>
              <w:ind w:left="941"/>
            </w:pPr>
            <w:r>
              <w:rPr>
                <w:spacing w:val="-4"/>
              </w:rPr>
              <w:t>点处置。</w:t>
            </w:r>
          </w:p>
        </w:tc>
        <w:tc>
          <w:tcPr>
            <w:tcW w:w="885" w:type="dxa"/>
            <w:vAlign w:val="top"/>
          </w:tcPr>
          <w:p w14:paraId="619EA86F">
            <w:pPr>
              <w:spacing w:line="245" w:lineRule="auto"/>
              <w:rPr>
                <w:rFonts w:ascii="Arial"/>
                <w:sz w:val="21"/>
              </w:rPr>
            </w:pPr>
          </w:p>
          <w:p w14:paraId="3110D209">
            <w:pPr>
              <w:spacing w:line="245" w:lineRule="auto"/>
              <w:rPr>
                <w:rFonts w:ascii="Arial"/>
                <w:sz w:val="21"/>
              </w:rPr>
            </w:pPr>
          </w:p>
          <w:p w14:paraId="5D6B83AD">
            <w:pPr>
              <w:spacing w:line="245" w:lineRule="auto"/>
              <w:rPr>
                <w:rFonts w:ascii="Arial"/>
                <w:sz w:val="21"/>
              </w:rPr>
            </w:pPr>
          </w:p>
          <w:p w14:paraId="43CABB27">
            <w:pPr>
              <w:spacing w:line="245" w:lineRule="auto"/>
              <w:rPr>
                <w:rFonts w:ascii="Arial"/>
                <w:sz w:val="21"/>
              </w:rPr>
            </w:pPr>
          </w:p>
          <w:p w14:paraId="184D35AC">
            <w:pPr>
              <w:spacing w:line="245" w:lineRule="auto"/>
              <w:rPr>
                <w:rFonts w:ascii="Arial"/>
                <w:sz w:val="21"/>
              </w:rPr>
            </w:pPr>
          </w:p>
          <w:p w14:paraId="2F282AF4">
            <w:pPr>
              <w:spacing w:line="245" w:lineRule="auto"/>
              <w:rPr>
                <w:rFonts w:ascii="Arial"/>
                <w:sz w:val="21"/>
              </w:rPr>
            </w:pPr>
          </w:p>
          <w:p w14:paraId="04C2916F">
            <w:pPr>
              <w:spacing w:line="245" w:lineRule="auto"/>
              <w:rPr>
                <w:rFonts w:ascii="Arial"/>
                <w:sz w:val="21"/>
              </w:rPr>
            </w:pPr>
          </w:p>
          <w:p w14:paraId="54EEB78D">
            <w:pPr>
              <w:pStyle w:val="6"/>
              <w:spacing w:before="68" w:line="221" w:lineRule="auto"/>
              <w:ind w:left="242"/>
            </w:pPr>
            <w:r>
              <w:rPr>
                <w:spacing w:val="-2"/>
              </w:rPr>
              <w:t>符合</w:t>
            </w:r>
          </w:p>
        </w:tc>
        <w:tc>
          <w:tcPr>
            <w:tcW w:w="115" w:type="dxa"/>
            <w:tcBorders>
              <w:top w:val="nil"/>
              <w:bottom w:val="nil"/>
            </w:tcBorders>
            <w:vAlign w:val="top"/>
          </w:tcPr>
          <w:p w14:paraId="4EED2155">
            <w:pPr>
              <w:rPr>
                <w:rFonts w:ascii="Arial"/>
                <w:sz w:val="21"/>
              </w:rPr>
            </w:pPr>
          </w:p>
        </w:tc>
      </w:tr>
      <w:tr w14:paraId="64017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7" w:hRule="atLeast"/>
        </w:trPr>
        <w:tc>
          <w:tcPr>
            <w:tcW w:w="571" w:type="dxa"/>
            <w:vMerge w:val="continue"/>
            <w:tcBorders>
              <w:top w:val="nil"/>
            </w:tcBorders>
            <w:vAlign w:val="top"/>
          </w:tcPr>
          <w:p w14:paraId="4E946438">
            <w:pPr>
              <w:rPr>
                <w:rFonts w:ascii="Arial"/>
                <w:sz w:val="21"/>
              </w:rPr>
            </w:pPr>
          </w:p>
        </w:tc>
        <w:tc>
          <w:tcPr>
            <w:tcW w:w="115" w:type="dxa"/>
            <w:tcBorders>
              <w:top w:val="nil"/>
            </w:tcBorders>
            <w:vAlign w:val="top"/>
          </w:tcPr>
          <w:p w14:paraId="16FD62DD">
            <w:pPr>
              <w:rPr>
                <w:rFonts w:ascii="Arial"/>
                <w:sz w:val="21"/>
              </w:rPr>
            </w:pPr>
          </w:p>
        </w:tc>
        <w:tc>
          <w:tcPr>
            <w:tcW w:w="4695" w:type="dxa"/>
            <w:vAlign w:val="top"/>
          </w:tcPr>
          <w:p w14:paraId="214CFB7B">
            <w:pPr>
              <w:pStyle w:val="6"/>
              <w:spacing w:before="59" w:line="277" w:lineRule="auto"/>
              <w:ind w:left="126" w:right="106" w:hanging="15"/>
            </w:pPr>
            <w:r>
              <w:rPr>
                <w:spacing w:val="8"/>
              </w:rPr>
              <w:t>第三十三条 重点污染控制区内除重点水源</w:t>
            </w:r>
            <w:r>
              <w:rPr>
                <w:spacing w:val="7"/>
              </w:rPr>
              <w:t>涵养</w:t>
            </w:r>
            <w:r>
              <w:rPr>
                <w:spacing w:val="-3"/>
              </w:rPr>
              <w:t>区禁止的行为外，还禁止下列行为：</w:t>
            </w:r>
          </w:p>
          <w:p w14:paraId="22A718D4">
            <w:pPr>
              <w:pStyle w:val="6"/>
              <w:spacing w:line="221" w:lineRule="auto"/>
              <w:ind w:left="117"/>
            </w:pPr>
            <w:r>
              <w:rPr>
                <w:spacing w:val="-3"/>
              </w:rPr>
              <w:t>（一）新建、扩建工业园区；</w:t>
            </w:r>
          </w:p>
          <w:p w14:paraId="08BD2716">
            <w:pPr>
              <w:pStyle w:val="6"/>
              <w:spacing w:before="64" w:line="221" w:lineRule="auto"/>
              <w:ind w:left="117"/>
            </w:pPr>
            <w:r>
              <w:rPr>
                <w:spacing w:val="-4"/>
              </w:rPr>
              <w:t>（二）新建、扩建重点水污染物排放的工业项目；</w:t>
            </w:r>
          </w:p>
          <w:p w14:paraId="6269F645">
            <w:pPr>
              <w:pStyle w:val="6"/>
              <w:spacing w:before="63" w:line="221" w:lineRule="auto"/>
              <w:ind w:left="117"/>
            </w:pPr>
            <w:r>
              <w:rPr>
                <w:spacing w:val="-2"/>
              </w:rPr>
              <w:t>（三）新建、改建、扩建经营性陵园、公墓。</w:t>
            </w:r>
          </w:p>
        </w:tc>
        <w:tc>
          <w:tcPr>
            <w:tcW w:w="2692" w:type="dxa"/>
            <w:vAlign w:val="top"/>
          </w:tcPr>
          <w:p w14:paraId="523FF8B3">
            <w:pPr>
              <w:spacing w:line="302" w:lineRule="auto"/>
              <w:rPr>
                <w:rFonts w:ascii="Arial"/>
                <w:sz w:val="21"/>
              </w:rPr>
            </w:pPr>
          </w:p>
          <w:p w14:paraId="3609D27E">
            <w:pPr>
              <w:pStyle w:val="6"/>
              <w:spacing w:before="68" w:line="220" w:lineRule="auto"/>
              <w:ind w:left="194"/>
            </w:pPr>
            <w:r>
              <w:rPr>
                <w:spacing w:val="-2"/>
              </w:rPr>
              <w:t>本项目为输变电工程，不</w:t>
            </w:r>
          </w:p>
          <w:p w14:paraId="7D0B3B5F">
            <w:pPr>
              <w:pStyle w:val="6"/>
              <w:spacing w:before="67" w:line="221" w:lineRule="auto"/>
              <w:ind w:left="195"/>
            </w:pPr>
            <w:r>
              <w:rPr>
                <w:spacing w:val="-1"/>
              </w:rPr>
              <w:t>属于前述项目，投运后无</w:t>
            </w:r>
          </w:p>
          <w:p w14:paraId="31E45B19">
            <w:pPr>
              <w:pStyle w:val="6"/>
              <w:spacing w:before="64" w:line="221" w:lineRule="auto"/>
              <w:ind w:left="823"/>
            </w:pPr>
            <w:r>
              <w:rPr>
                <w:spacing w:val="-4"/>
              </w:rPr>
              <w:t>废水产生。</w:t>
            </w:r>
          </w:p>
        </w:tc>
        <w:tc>
          <w:tcPr>
            <w:tcW w:w="885" w:type="dxa"/>
            <w:vAlign w:val="top"/>
          </w:tcPr>
          <w:p w14:paraId="48045550">
            <w:pPr>
              <w:spacing w:line="308" w:lineRule="auto"/>
              <w:rPr>
                <w:rFonts w:ascii="Arial"/>
                <w:sz w:val="21"/>
              </w:rPr>
            </w:pPr>
          </w:p>
          <w:p w14:paraId="0B2668B1">
            <w:pPr>
              <w:spacing w:line="308" w:lineRule="auto"/>
              <w:rPr>
                <w:rFonts w:ascii="Arial"/>
                <w:sz w:val="21"/>
              </w:rPr>
            </w:pPr>
          </w:p>
          <w:p w14:paraId="5E6234F5">
            <w:pPr>
              <w:pStyle w:val="6"/>
              <w:spacing w:before="68" w:line="221" w:lineRule="auto"/>
              <w:ind w:left="242"/>
            </w:pPr>
            <w:r>
              <w:rPr>
                <w:spacing w:val="-2"/>
              </w:rPr>
              <w:t>符合</w:t>
            </w:r>
          </w:p>
        </w:tc>
        <w:tc>
          <w:tcPr>
            <w:tcW w:w="115" w:type="dxa"/>
            <w:tcBorders>
              <w:top w:val="nil"/>
            </w:tcBorders>
            <w:vAlign w:val="top"/>
          </w:tcPr>
          <w:p w14:paraId="3C6C83B1">
            <w:pPr>
              <w:rPr>
                <w:rFonts w:ascii="Arial"/>
                <w:sz w:val="21"/>
              </w:rPr>
            </w:pPr>
          </w:p>
        </w:tc>
      </w:tr>
    </w:tbl>
    <w:p w14:paraId="2EFB1CD5">
      <w:pPr>
        <w:rPr>
          <w:rFonts w:ascii="Arial"/>
          <w:sz w:val="21"/>
        </w:rPr>
      </w:pPr>
    </w:p>
    <w:p w14:paraId="5270B7D9">
      <w:pPr>
        <w:rPr>
          <w:rFonts w:ascii="Arial" w:hAnsi="Arial" w:eastAsia="Arial" w:cs="Arial"/>
          <w:sz w:val="21"/>
          <w:szCs w:val="21"/>
        </w:rPr>
        <w:sectPr>
          <w:footerReference r:id="rId28" w:type="default"/>
          <w:pgSz w:w="11907" w:h="16841"/>
          <w:pgMar w:top="400" w:right="1413" w:bottom="1126" w:left="1414" w:header="0" w:footer="923" w:gutter="0"/>
          <w:cols w:space="720" w:num="1"/>
        </w:sectPr>
      </w:pPr>
    </w:p>
    <w:p w14:paraId="2D89D8C6">
      <w:pPr>
        <w:spacing w:before="2"/>
      </w:pPr>
    </w:p>
    <w:p w14:paraId="128CF505">
      <w:pPr>
        <w:spacing w:before="2"/>
      </w:pPr>
    </w:p>
    <w:p w14:paraId="6E975079">
      <w:pPr>
        <w:spacing w:before="1"/>
      </w:pPr>
    </w:p>
    <w:p w14:paraId="656028E4">
      <w:pPr>
        <w:spacing w:before="1"/>
      </w:pPr>
    </w:p>
    <w:p w14:paraId="7A482C78">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2"/>
      </w:tblGrid>
      <w:tr w14:paraId="01CA71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5CD8C955">
            <w:pPr>
              <w:rPr>
                <w:rFonts w:ascii="Arial"/>
                <w:sz w:val="21"/>
              </w:rPr>
            </w:pPr>
          </w:p>
        </w:tc>
        <w:tc>
          <w:tcPr>
            <w:tcW w:w="8502" w:type="dxa"/>
            <w:vAlign w:val="top"/>
          </w:tcPr>
          <w:p w14:paraId="4C81B81E">
            <w:pPr>
              <w:spacing w:before="54" w:line="7162" w:lineRule="exact"/>
              <w:ind w:firstLine="104"/>
            </w:pPr>
            <w:r>
              <w:rPr>
                <w:position w:val="-143"/>
              </w:rPr>
              <w:drawing>
                <wp:inline distT="0" distB="0" distL="0" distR="0">
                  <wp:extent cx="5260975" cy="4547870"/>
                  <wp:effectExtent l="0" t="0" r="0" b="0"/>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210"/>
                          <a:stretch>
                            <a:fillRect/>
                          </a:stretch>
                        </pic:blipFill>
                        <pic:spPr>
                          <a:xfrm>
                            <a:off x="0" y="0"/>
                            <a:ext cx="5260975" cy="4547870"/>
                          </a:xfrm>
                          <a:prstGeom prst="rect">
                            <a:avLst/>
                          </a:prstGeom>
                        </pic:spPr>
                      </pic:pic>
                    </a:graphicData>
                  </a:graphic>
                </wp:inline>
              </w:drawing>
            </w:r>
          </w:p>
          <w:p w14:paraId="196C8391">
            <w:pPr>
              <w:pStyle w:val="6"/>
              <w:spacing w:before="113" w:line="234" w:lineRule="auto"/>
              <w:ind w:left="1291"/>
            </w:pPr>
            <w:r>
              <w:rPr>
                <w:b/>
                <w:bCs/>
                <w:spacing w:val="-2"/>
              </w:rPr>
              <w:t>图</w:t>
            </w:r>
            <w:r>
              <w:rPr>
                <w:rFonts w:ascii="Times New Roman" w:hAnsi="Times New Roman" w:eastAsia="Times New Roman" w:cs="Times New Roman"/>
                <w:b/>
                <w:bCs/>
                <w:spacing w:val="-2"/>
              </w:rPr>
              <w:t xml:space="preserve">1-4    </w:t>
            </w:r>
            <w:r>
              <w:rPr>
                <w:b/>
                <w:bCs/>
                <w:spacing w:val="-2"/>
              </w:rPr>
              <w:t>项目与牛栏江流域下游区水环境保护规划相对位置关系图</w:t>
            </w:r>
          </w:p>
          <w:p w14:paraId="438EB514">
            <w:pPr>
              <w:pStyle w:val="6"/>
              <w:spacing w:before="109" w:line="365" w:lineRule="auto"/>
              <w:ind w:left="115" w:right="106" w:firstLine="482"/>
              <w:jc w:val="both"/>
              <w:rPr>
                <w:sz w:val="24"/>
                <w:szCs w:val="24"/>
              </w:rPr>
            </w:pPr>
            <w:r>
              <w:rPr>
                <w:spacing w:val="3"/>
                <w:sz w:val="24"/>
                <w:szCs w:val="24"/>
              </w:rPr>
              <w:t>项目不属于排放污染物的建设项目，工程避开了林木集中区和植被茂密区</w:t>
            </w:r>
            <w:r>
              <w:rPr>
                <w:spacing w:val="-4"/>
                <w:sz w:val="24"/>
                <w:szCs w:val="24"/>
              </w:rPr>
              <w:t>域，塔基施工临时占地尽可能选择在植被稀疏或无植被区域，施工对生态环境影响有限，且运行期无“三废”排放，不会对水体造成污染，项目建设符合《云南</w:t>
            </w:r>
            <w:r>
              <w:rPr>
                <w:spacing w:val="-3"/>
                <w:sz w:val="24"/>
                <w:szCs w:val="24"/>
              </w:rPr>
              <w:t>省牛栏江保护条例》相关要求。</w:t>
            </w:r>
          </w:p>
          <w:p w14:paraId="53F7D513">
            <w:pPr>
              <w:pStyle w:val="6"/>
              <w:spacing w:line="232" w:lineRule="auto"/>
              <w:ind w:left="112"/>
              <w:rPr>
                <w:sz w:val="24"/>
                <w:szCs w:val="24"/>
              </w:rPr>
            </w:pPr>
            <w:r>
              <w:rPr>
                <w:rFonts w:ascii="Times New Roman" w:hAnsi="Times New Roman" w:eastAsia="Times New Roman" w:cs="Times New Roman"/>
                <w:b/>
                <w:bCs/>
                <w:spacing w:val="-5"/>
                <w:sz w:val="24"/>
                <w:szCs w:val="24"/>
              </w:rPr>
              <w:t>9</w:t>
            </w:r>
            <w:r>
              <w:rPr>
                <w:b/>
                <w:bCs/>
                <w:spacing w:val="-5"/>
                <w:sz w:val="24"/>
                <w:szCs w:val="24"/>
              </w:rPr>
              <w:t>、与《会泽县国土空间总体规划》（</w:t>
            </w:r>
            <w:r>
              <w:rPr>
                <w:rFonts w:ascii="Times New Roman" w:hAnsi="Times New Roman" w:eastAsia="Times New Roman" w:cs="Times New Roman"/>
                <w:b/>
                <w:bCs/>
                <w:spacing w:val="-5"/>
                <w:sz w:val="24"/>
                <w:szCs w:val="24"/>
              </w:rPr>
              <w:t>2021-2035</w:t>
            </w:r>
            <w:r>
              <w:rPr>
                <w:b/>
                <w:bCs/>
                <w:spacing w:val="-5"/>
                <w:sz w:val="24"/>
                <w:szCs w:val="24"/>
              </w:rPr>
              <w:t>年）的相符性分析</w:t>
            </w:r>
          </w:p>
          <w:p w14:paraId="42E0B15A">
            <w:pPr>
              <w:pStyle w:val="6"/>
              <w:spacing w:before="175" w:line="351" w:lineRule="auto"/>
              <w:ind w:left="114" w:right="36" w:firstLine="480"/>
              <w:jc w:val="both"/>
              <w:rPr>
                <w:sz w:val="24"/>
                <w:szCs w:val="24"/>
              </w:rPr>
            </w:pPr>
            <w:r>
              <w:rPr>
                <w:spacing w:val="-10"/>
                <w:sz w:val="24"/>
                <w:szCs w:val="24"/>
              </w:rPr>
              <w:t>《会泽县国土空间总体规划》（</w:t>
            </w:r>
            <w:r>
              <w:rPr>
                <w:rFonts w:ascii="Times New Roman" w:hAnsi="Times New Roman" w:eastAsia="Times New Roman" w:cs="Times New Roman"/>
                <w:spacing w:val="-10"/>
                <w:sz w:val="24"/>
                <w:szCs w:val="24"/>
              </w:rPr>
              <w:t>2021-2035</w:t>
            </w:r>
            <w:r>
              <w:rPr>
                <w:spacing w:val="-10"/>
                <w:sz w:val="24"/>
                <w:szCs w:val="24"/>
              </w:rPr>
              <w:t>年）提出：“落实主体功能区布局，</w:t>
            </w:r>
            <w:r>
              <w:rPr>
                <w:spacing w:val="-4"/>
                <w:sz w:val="24"/>
                <w:szCs w:val="24"/>
              </w:rPr>
              <w:t>构建“三区一屏、一核两轴”的国土空间开发保护格局。统筹温凉山区、低热河</w:t>
            </w:r>
            <w:r>
              <w:rPr>
                <w:spacing w:val="-6"/>
                <w:sz w:val="24"/>
                <w:szCs w:val="24"/>
              </w:rPr>
              <w:t>谷区、高寒山区，</w:t>
            </w:r>
            <w:r>
              <w:rPr>
                <w:spacing w:val="-34"/>
                <w:sz w:val="24"/>
                <w:szCs w:val="24"/>
              </w:rPr>
              <w:t xml:space="preserve"> </w:t>
            </w:r>
            <w:r>
              <w:rPr>
                <w:spacing w:val="-6"/>
                <w:sz w:val="24"/>
                <w:szCs w:val="24"/>
              </w:rPr>
              <w:t>优化高原特色农业产业空间布局，保障粮食安全和重要农</w:t>
            </w:r>
            <w:r>
              <w:rPr>
                <w:spacing w:val="-7"/>
                <w:sz w:val="24"/>
                <w:szCs w:val="24"/>
              </w:rPr>
              <w:t>产品</w:t>
            </w:r>
            <w:r>
              <w:rPr>
                <w:spacing w:val="-5"/>
                <w:sz w:val="24"/>
                <w:szCs w:val="24"/>
              </w:rPr>
              <w:t>供给。筑牢生态安全格局，</w:t>
            </w:r>
            <w:r>
              <w:rPr>
                <w:spacing w:val="-65"/>
                <w:sz w:val="24"/>
                <w:szCs w:val="24"/>
              </w:rPr>
              <w:t xml:space="preserve"> </w:t>
            </w:r>
            <w:r>
              <w:rPr>
                <w:spacing w:val="-5"/>
                <w:sz w:val="24"/>
                <w:szCs w:val="24"/>
              </w:rPr>
              <w:t>强化会泽黑颈鹤国家级自然保护区等生</w:t>
            </w:r>
            <w:r>
              <w:rPr>
                <w:spacing w:val="-6"/>
                <w:sz w:val="24"/>
                <w:szCs w:val="24"/>
              </w:rPr>
              <w:t>态极重要区的</w:t>
            </w:r>
            <w:r>
              <w:rPr>
                <w:spacing w:val="3"/>
                <w:sz w:val="24"/>
                <w:szCs w:val="24"/>
              </w:rPr>
              <w:t>保护和管控，持续推进山水林田湖草一体化治理和历史遗留废弃矿山等生态修</w:t>
            </w:r>
            <w:r>
              <w:rPr>
                <w:spacing w:val="-4"/>
                <w:sz w:val="24"/>
                <w:szCs w:val="24"/>
              </w:rPr>
              <w:t>复，维护区域生态安全，提升生态服务功能。构建等级合理、协调有序的城镇体</w:t>
            </w:r>
            <w:r>
              <w:rPr>
                <w:spacing w:val="-2"/>
                <w:sz w:val="24"/>
                <w:szCs w:val="24"/>
              </w:rPr>
              <w:t>系，以中心城区为核心，依托纵向的渝昆高铁和银昆高速、横向的宣会巧高速，</w:t>
            </w:r>
          </w:p>
        </w:tc>
      </w:tr>
    </w:tbl>
    <w:p w14:paraId="05953270">
      <w:pPr>
        <w:rPr>
          <w:rFonts w:ascii="Arial"/>
          <w:sz w:val="21"/>
        </w:rPr>
      </w:pPr>
    </w:p>
    <w:p w14:paraId="5C72A9F6">
      <w:pPr>
        <w:rPr>
          <w:rFonts w:ascii="Arial" w:hAnsi="Arial" w:eastAsia="Arial" w:cs="Arial"/>
          <w:sz w:val="21"/>
          <w:szCs w:val="21"/>
        </w:rPr>
        <w:sectPr>
          <w:footerReference r:id="rId29" w:type="default"/>
          <w:pgSz w:w="11907" w:h="16841"/>
          <w:pgMar w:top="400" w:right="1413" w:bottom="1126" w:left="1414" w:header="0" w:footer="925" w:gutter="0"/>
          <w:cols w:space="720" w:num="1"/>
        </w:sectPr>
      </w:pPr>
    </w:p>
    <w:p w14:paraId="7749A36E">
      <w:pPr>
        <w:spacing w:before="2"/>
      </w:pPr>
    </w:p>
    <w:p w14:paraId="77ABD5A0">
      <w:pPr>
        <w:spacing w:before="2"/>
      </w:pPr>
    </w:p>
    <w:p w14:paraId="687B8D32">
      <w:pPr>
        <w:spacing w:before="1"/>
      </w:pPr>
    </w:p>
    <w:p w14:paraId="42A4C480">
      <w:pPr>
        <w:spacing w:before="1"/>
      </w:pPr>
    </w:p>
    <w:p w14:paraId="42D94A41">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2"/>
      </w:tblGrid>
      <w:tr w14:paraId="7699BF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10" w:hRule="atLeast"/>
        </w:trPr>
        <w:tc>
          <w:tcPr>
            <w:tcW w:w="571" w:type="dxa"/>
            <w:vAlign w:val="top"/>
          </w:tcPr>
          <w:p w14:paraId="38CBB529">
            <w:pPr>
              <w:rPr>
                <w:rFonts w:ascii="Arial"/>
                <w:sz w:val="21"/>
              </w:rPr>
            </w:pPr>
          </w:p>
        </w:tc>
        <w:tc>
          <w:tcPr>
            <w:tcW w:w="8502" w:type="dxa"/>
            <w:vAlign w:val="top"/>
          </w:tcPr>
          <w:p w14:paraId="42EB87A5">
            <w:pPr>
              <w:pStyle w:val="6"/>
              <w:spacing w:before="124" w:line="362" w:lineRule="auto"/>
              <w:ind w:left="112" w:right="26" w:firstLine="5"/>
              <w:jc w:val="both"/>
              <w:rPr>
                <w:sz w:val="24"/>
                <w:szCs w:val="24"/>
              </w:rPr>
            </w:pPr>
            <w:r>
              <w:rPr>
                <w:sz w:val="24"/>
                <w:szCs w:val="24"/>
              </w:rPr>
              <w:t>打造两条城镇发展轴，推动者海镇、迤车镇、娜姑镇、待补镇</w:t>
            </w:r>
            <w:r>
              <w:rPr>
                <w:rFonts w:ascii="Times New Roman" w:hAnsi="Times New Roman" w:eastAsia="Times New Roman" w:cs="Times New Roman"/>
                <w:spacing w:val="-1"/>
                <w:sz w:val="24"/>
                <w:szCs w:val="24"/>
              </w:rPr>
              <w:t>4</w:t>
            </w:r>
            <w:r>
              <w:rPr>
                <w:spacing w:val="-1"/>
                <w:sz w:val="24"/>
                <w:szCs w:val="24"/>
              </w:rPr>
              <w:t>个重点镇建设，辐射带动周边一般乡镇发展。引导产业和人口集聚发展，优</w:t>
            </w:r>
            <w:r>
              <w:rPr>
                <w:spacing w:val="-2"/>
                <w:sz w:val="24"/>
                <w:szCs w:val="24"/>
              </w:rPr>
              <w:t>先保障精细磷化工、</w:t>
            </w:r>
            <w:r>
              <w:rPr>
                <w:sz w:val="24"/>
                <w:szCs w:val="24"/>
              </w:rPr>
              <w:t>绿色食品加工、电子信息等重点产业空间，支撑经济</w:t>
            </w:r>
            <w:r>
              <w:rPr>
                <w:spacing w:val="-1"/>
                <w:sz w:val="24"/>
                <w:szCs w:val="24"/>
              </w:rPr>
              <w:t>社会高质量发展。”</w:t>
            </w:r>
          </w:p>
          <w:p w14:paraId="4EC7BD0C">
            <w:pPr>
              <w:pStyle w:val="6"/>
              <w:spacing w:before="7" w:line="365" w:lineRule="auto"/>
              <w:ind w:left="113" w:right="106" w:firstLine="481"/>
              <w:jc w:val="both"/>
              <w:rPr>
                <w:sz w:val="24"/>
                <w:szCs w:val="24"/>
              </w:rPr>
            </w:pPr>
            <w:r>
              <w:rPr>
                <w:spacing w:val="-4"/>
                <w:sz w:val="24"/>
                <w:szCs w:val="24"/>
              </w:rPr>
              <w:t>本项目为电力基础设施建设工程，工程建设能满足渝昆高铁迤车牵引变供电</w:t>
            </w:r>
            <w:r>
              <w:rPr>
                <w:spacing w:val="-6"/>
                <w:sz w:val="24"/>
                <w:szCs w:val="24"/>
              </w:rPr>
              <w:t>需求，确保渝昆高铁按时通车。项目建设不损害生态系统的稳定性和完整性</w:t>
            </w:r>
            <w:r>
              <w:rPr>
                <w:spacing w:val="-7"/>
                <w:sz w:val="24"/>
                <w:szCs w:val="24"/>
              </w:rPr>
              <w:t>，</w:t>
            </w:r>
            <w:r>
              <w:rPr>
                <w:spacing w:val="-33"/>
                <w:sz w:val="24"/>
                <w:szCs w:val="24"/>
              </w:rPr>
              <w:t xml:space="preserve"> </w:t>
            </w:r>
            <w:r>
              <w:rPr>
                <w:spacing w:val="-7"/>
                <w:sz w:val="24"/>
                <w:szCs w:val="24"/>
              </w:rPr>
              <w:t>对</w:t>
            </w:r>
            <w:r>
              <w:rPr>
                <w:spacing w:val="-4"/>
                <w:sz w:val="24"/>
                <w:szCs w:val="24"/>
              </w:rPr>
              <w:t>农业生产的影响很小，不影响会泽县农产品主产区功能定位。项目不涉及会泽黑颈鹤国家级自然保护区等生态敏感区，项目的建设不会对沿线植被类型及分布造成大的影响。项目建设过程中将严格落实各项环境保护和水土保持措施，及时恢复施工迹地植被，最大程度降低对生态环境的影响，确保工程的建设规模和影响程度均不会超出沿线功能区的环境承载能力。项目符合《会泽县国土空间总体规</w:t>
            </w:r>
            <w:r>
              <w:rPr>
                <w:spacing w:val="-2"/>
                <w:sz w:val="24"/>
                <w:szCs w:val="24"/>
              </w:rPr>
              <w:t>划》（</w:t>
            </w:r>
            <w:r>
              <w:rPr>
                <w:rFonts w:ascii="Times New Roman" w:hAnsi="Times New Roman" w:eastAsia="Times New Roman" w:cs="Times New Roman"/>
                <w:spacing w:val="-2"/>
                <w:sz w:val="24"/>
                <w:szCs w:val="24"/>
              </w:rPr>
              <w:t>2021-2035</w:t>
            </w:r>
            <w:r>
              <w:rPr>
                <w:spacing w:val="-2"/>
                <w:sz w:val="24"/>
                <w:szCs w:val="24"/>
              </w:rPr>
              <w:t>年</w:t>
            </w:r>
            <w:r>
              <w:rPr>
                <w:spacing w:val="-62"/>
                <w:w w:val="98"/>
                <w:sz w:val="24"/>
                <w:szCs w:val="24"/>
              </w:rPr>
              <w:t>），</w:t>
            </w:r>
            <w:r>
              <w:rPr>
                <w:spacing w:val="-2"/>
                <w:sz w:val="24"/>
                <w:szCs w:val="24"/>
              </w:rPr>
              <w:t>开工前应按照现行法律法规及主管部门要求完成用地、用</w:t>
            </w:r>
            <w:r>
              <w:rPr>
                <w:spacing w:val="-5"/>
                <w:sz w:val="24"/>
                <w:szCs w:val="24"/>
              </w:rPr>
              <w:t>林等相关手续办理。</w:t>
            </w:r>
          </w:p>
        </w:tc>
      </w:tr>
    </w:tbl>
    <w:p w14:paraId="150CEFBC">
      <w:pPr>
        <w:rPr>
          <w:rFonts w:ascii="Arial"/>
          <w:sz w:val="21"/>
        </w:rPr>
      </w:pPr>
    </w:p>
    <w:p w14:paraId="5DA53B35">
      <w:pPr>
        <w:rPr>
          <w:rFonts w:ascii="Arial" w:hAnsi="Arial" w:eastAsia="Arial" w:cs="Arial"/>
          <w:sz w:val="21"/>
          <w:szCs w:val="21"/>
        </w:rPr>
        <w:sectPr>
          <w:footerReference r:id="rId30" w:type="default"/>
          <w:pgSz w:w="11907" w:h="16841"/>
          <w:pgMar w:top="400" w:right="1413" w:bottom="1126" w:left="1414" w:header="0" w:footer="923" w:gutter="0"/>
          <w:cols w:space="720" w:num="1"/>
        </w:sectPr>
      </w:pPr>
    </w:p>
    <w:p w14:paraId="488CA6BB">
      <w:pPr>
        <w:spacing w:line="255" w:lineRule="auto"/>
        <w:rPr>
          <w:rFonts w:ascii="Arial"/>
          <w:sz w:val="21"/>
        </w:rPr>
      </w:pPr>
    </w:p>
    <w:p w14:paraId="0D46C39B">
      <w:pPr>
        <w:spacing w:line="255" w:lineRule="auto"/>
        <w:rPr>
          <w:rFonts w:ascii="Arial"/>
          <w:sz w:val="21"/>
        </w:rPr>
      </w:pPr>
    </w:p>
    <w:p w14:paraId="532B0569">
      <w:pPr>
        <w:spacing w:line="255" w:lineRule="auto"/>
        <w:rPr>
          <w:rFonts w:ascii="Arial"/>
          <w:sz w:val="21"/>
        </w:rPr>
      </w:pPr>
    </w:p>
    <w:p w14:paraId="529FBC08">
      <w:pPr>
        <w:spacing w:line="255" w:lineRule="auto"/>
        <w:rPr>
          <w:rFonts w:ascii="Arial"/>
          <w:sz w:val="21"/>
        </w:rPr>
      </w:pPr>
    </w:p>
    <w:p w14:paraId="1CC00DBB">
      <w:pPr>
        <w:spacing w:line="256" w:lineRule="auto"/>
        <w:rPr>
          <w:rFonts w:ascii="Arial"/>
          <w:sz w:val="21"/>
        </w:rPr>
      </w:pPr>
    </w:p>
    <w:p w14:paraId="54ECFC0D">
      <w:pPr>
        <w:pStyle w:val="2"/>
        <w:spacing w:before="98" w:line="219" w:lineRule="auto"/>
        <w:ind w:left="3657"/>
        <w:outlineLvl w:val="0"/>
        <w:rPr>
          <w:sz w:val="30"/>
          <w:szCs w:val="30"/>
        </w:rPr>
      </w:pPr>
      <w:bookmarkStart w:id="1" w:name="bookmark2"/>
      <w:bookmarkEnd w:id="1"/>
      <w:r>
        <w:rPr>
          <w:spacing w:val="-3"/>
          <w:sz w:val="30"/>
          <w:szCs w:val="30"/>
        </w:rPr>
        <w:t>二、建设内容</w:t>
      </w:r>
    </w:p>
    <w:p w14:paraId="5228331F">
      <w:pPr>
        <w:spacing w:line="110" w:lineRule="exact"/>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03"/>
        <w:gridCol w:w="595"/>
        <w:gridCol w:w="1843"/>
        <w:gridCol w:w="5856"/>
        <w:gridCol w:w="110"/>
      </w:tblGrid>
      <w:tr w14:paraId="75F15F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25" w:hRule="atLeast"/>
        </w:trPr>
        <w:tc>
          <w:tcPr>
            <w:tcW w:w="571" w:type="dxa"/>
            <w:vAlign w:val="top"/>
          </w:tcPr>
          <w:p w14:paraId="568C68B0">
            <w:pPr>
              <w:spacing w:line="264" w:lineRule="auto"/>
              <w:rPr>
                <w:rFonts w:ascii="Arial"/>
                <w:sz w:val="21"/>
              </w:rPr>
            </w:pPr>
          </w:p>
          <w:p w14:paraId="03E0D827">
            <w:pPr>
              <w:spacing w:line="265" w:lineRule="auto"/>
              <w:rPr>
                <w:rFonts w:ascii="Arial"/>
                <w:sz w:val="21"/>
              </w:rPr>
            </w:pPr>
          </w:p>
          <w:p w14:paraId="0D1FEE45">
            <w:pPr>
              <w:spacing w:line="265" w:lineRule="auto"/>
              <w:rPr>
                <w:rFonts w:ascii="Arial"/>
                <w:sz w:val="21"/>
              </w:rPr>
            </w:pPr>
          </w:p>
          <w:p w14:paraId="76CB7680">
            <w:pPr>
              <w:spacing w:line="265" w:lineRule="auto"/>
              <w:rPr>
                <w:rFonts w:ascii="Arial"/>
                <w:sz w:val="21"/>
              </w:rPr>
            </w:pPr>
          </w:p>
          <w:p w14:paraId="62B267CB">
            <w:pPr>
              <w:spacing w:line="265" w:lineRule="auto"/>
              <w:rPr>
                <w:rFonts w:ascii="Arial"/>
                <w:sz w:val="21"/>
              </w:rPr>
            </w:pPr>
          </w:p>
          <w:p w14:paraId="14354F0C">
            <w:pPr>
              <w:pStyle w:val="6"/>
              <w:spacing w:before="68" w:line="281" w:lineRule="auto"/>
              <w:ind w:left="80" w:right="71"/>
            </w:pPr>
            <w:r>
              <w:rPr>
                <w:spacing w:val="-3"/>
              </w:rPr>
              <w:t>地理位置</w:t>
            </w:r>
          </w:p>
        </w:tc>
        <w:tc>
          <w:tcPr>
            <w:tcW w:w="8507" w:type="dxa"/>
            <w:gridSpan w:val="5"/>
            <w:vAlign w:val="top"/>
          </w:tcPr>
          <w:p w14:paraId="7C2899FC">
            <w:pPr>
              <w:pStyle w:val="6"/>
              <w:spacing w:before="120" w:line="351" w:lineRule="auto"/>
              <w:ind w:left="112" w:right="108" w:firstLine="483"/>
              <w:jc w:val="both"/>
              <w:rPr>
                <w:sz w:val="24"/>
                <w:szCs w:val="24"/>
              </w:rPr>
            </w:pPr>
            <w:r>
              <w:rPr>
                <w:spacing w:val="-3"/>
                <w:sz w:val="24"/>
                <w:szCs w:val="24"/>
              </w:rPr>
              <w:t>项目全线位于云南省曲靖市会泽县迤车镇及乐业镇，</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3"/>
                <w:w w:val="101"/>
                <w:sz w:val="24"/>
                <w:szCs w:val="24"/>
              </w:rPr>
              <w:t xml:space="preserve"> </w:t>
            </w:r>
            <w:r>
              <w:rPr>
                <w:spacing w:val="-3"/>
                <w:sz w:val="24"/>
                <w:szCs w:val="24"/>
              </w:rPr>
              <w:t>回线路分别为：乐业</w:t>
            </w:r>
            <w:r>
              <w:rPr>
                <w:spacing w:val="-11"/>
                <w:sz w:val="24"/>
                <w:szCs w:val="24"/>
              </w:rPr>
              <w:t>变</w:t>
            </w:r>
            <w:r>
              <w:rPr>
                <w:rFonts w:ascii="Times New Roman" w:hAnsi="Times New Roman" w:eastAsia="Times New Roman" w:cs="Times New Roman"/>
                <w:spacing w:val="-11"/>
                <w:sz w:val="24"/>
                <w:szCs w:val="24"/>
              </w:rPr>
              <w:t>~</w:t>
            </w:r>
            <w:r>
              <w:rPr>
                <w:spacing w:val="-11"/>
                <w:sz w:val="24"/>
                <w:szCs w:val="24"/>
              </w:rPr>
              <w:t>迤车变</w:t>
            </w:r>
            <w:r>
              <w:rPr>
                <w:spacing w:val="-55"/>
                <w:sz w:val="24"/>
                <w:szCs w:val="24"/>
              </w:rPr>
              <w:t xml:space="preserve"> </w:t>
            </w:r>
            <w:r>
              <w:rPr>
                <w:rFonts w:ascii="Times New Roman" w:hAnsi="Times New Roman" w:eastAsia="Times New Roman" w:cs="Times New Roman"/>
                <w:spacing w:val="-11"/>
                <w:sz w:val="24"/>
                <w:szCs w:val="24"/>
              </w:rPr>
              <w:t>220kV</w:t>
            </w:r>
            <w:r>
              <w:rPr>
                <w:rFonts w:ascii="Times New Roman" w:hAnsi="Times New Roman" w:eastAsia="Times New Roman" w:cs="Times New Roman"/>
                <w:spacing w:val="12"/>
                <w:sz w:val="24"/>
                <w:szCs w:val="24"/>
              </w:rPr>
              <w:t xml:space="preserve"> </w:t>
            </w:r>
            <w:r>
              <w:rPr>
                <w:spacing w:val="-11"/>
                <w:sz w:val="24"/>
                <w:szCs w:val="24"/>
              </w:rPr>
              <w:t>线路（</w:t>
            </w:r>
            <w:r>
              <w:rPr>
                <w:rFonts w:ascii="Times New Roman" w:hAnsi="Times New Roman" w:eastAsia="Times New Roman" w:cs="Times New Roman"/>
                <w:spacing w:val="-11"/>
                <w:sz w:val="24"/>
                <w:szCs w:val="24"/>
              </w:rPr>
              <w:t>C</w:t>
            </w:r>
            <w:r>
              <w:rPr>
                <w:rFonts w:ascii="Times New Roman" w:hAnsi="Times New Roman" w:eastAsia="Times New Roman" w:cs="Times New Roman"/>
                <w:spacing w:val="34"/>
                <w:sz w:val="24"/>
                <w:szCs w:val="24"/>
              </w:rPr>
              <w:t xml:space="preserve"> </w:t>
            </w:r>
            <w:r>
              <w:rPr>
                <w:spacing w:val="-11"/>
                <w:sz w:val="24"/>
                <w:szCs w:val="24"/>
              </w:rPr>
              <w:t>回）、迤车变</w:t>
            </w:r>
            <w:r>
              <w:rPr>
                <w:rFonts w:ascii="Times New Roman" w:hAnsi="Times New Roman" w:eastAsia="Times New Roman" w:cs="Times New Roman"/>
                <w:spacing w:val="-11"/>
                <w:sz w:val="24"/>
                <w:szCs w:val="24"/>
              </w:rPr>
              <w:t>~</w:t>
            </w:r>
            <w:r>
              <w:rPr>
                <w:spacing w:val="-12"/>
                <w:sz w:val="24"/>
                <w:szCs w:val="24"/>
              </w:rPr>
              <w:t>迤车牵引变</w:t>
            </w:r>
            <w:r>
              <w:rPr>
                <w:spacing w:val="-55"/>
                <w:sz w:val="24"/>
                <w:szCs w:val="24"/>
              </w:rPr>
              <w:t xml:space="preserve"> </w:t>
            </w:r>
            <w:r>
              <w:rPr>
                <w:rFonts w:ascii="Times New Roman" w:hAnsi="Times New Roman" w:eastAsia="Times New Roman" w:cs="Times New Roman"/>
                <w:spacing w:val="-12"/>
                <w:sz w:val="24"/>
                <w:szCs w:val="24"/>
              </w:rPr>
              <w:t>220kV</w:t>
            </w:r>
            <w:r>
              <w:rPr>
                <w:rFonts w:ascii="Times New Roman" w:hAnsi="Times New Roman" w:eastAsia="Times New Roman" w:cs="Times New Roman"/>
                <w:spacing w:val="12"/>
                <w:sz w:val="24"/>
                <w:szCs w:val="24"/>
              </w:rPr>
              <w:t xml:space="preserve"> </w:t>
            </w:r>
            <w:r>
              <w:rPr>
                <w:spacing w:val="-12"/>
                <w:sz w:val="24"/>
                <w:szCs w:val="24"/>
              </w:rPr>
              <w:t>线路（</w:t>
            </w:r>
            <w:r>
              <w:rPr>
                <w:rFonts w:ascii="Times New Roman" w:hAnsi="Times New Roman" w:eastAsia="Times New Roman" w:cs="Times New Roman"/>
                <w:spacing w:val="-12"/>
                <w:sz w:val="24"/>
                <w:szCs w:val="24"/>
              </w:rPr>
              <w:t>D</w:t>
            </w:r>
            <w:r>
              <w:rPr>
                <w:rFonts w:ascii="Times New Roman" w:hAnsi="Times New Roman" w:eastAsia="Times New Roman" w:cs="Times New Roman"/>
                <w:spacing w:val="32"/>
                <w:w w:val="101"/>
                <w:sz w:val="24"/>
                <w:szCs w:val="24"/>
              </w:rPr>
              <w:t xml:space="preserve"> </w:t>
            </w:r>
            <w:r>
              <w:rPr>
                <w:spacing w:val="-12"/>
                <w:sz w:val="24"/>
                <w:szCs w:val="24"/>
              </w:rPr>
              <w:t>回）、</w:t>
            </w:r>
            <w:r>
              <w:rPr>
                <w:rFonts w:ascii="Times New Roman" w:hAnsi="Times New Roman" w:eastAsia="Times New Roman" w:cs="Times New Roman"/>
                <w:spacing w:val="-12"/>
                <w:sz w:val="24"/>
                <w:szCs w:val="24"/>
              </w:rPr>
              <w:t>220kV</w:t>
            </w:r>
            <w:r>
              <w:rPr>
                <w:spacing w:val="-7"/>
                <w:sz w:val="24"/>
                <w:szCs w:val="24"/>
              </w:rPr>
              <w:t>者迤Ⅰ回线改接入迤车牵引变</w:t>
            </w:r>
            <w:r>
              <w:rPr>
                <w:spacing w:val="-48"/>
                <w:sz w:val="24"/>
                <w:szCs w:val="24"/>
              </w:rPr>
              <w:t xml:space="preserve"> </w:t>
            </w:r>
            <w:r>
              <w:rPr>
                <w:rFonts w:ascii="Times New Roman" w:hAnsi="Times New Roman" w:eastAsia="Times New Roman" w:cs="Times New Roman"/>
                <w:spacing w:val="-7"/>
                <w:sz w:val="24"/>
                <w:szCs w:val="24"/>
              </w:rPr>
              <w:t xml:space="preserve">220kV </w:t>
            </w:r>
            <w:r>
              <w:rPr>
                <w:spacing w:val="-7"/>
                <w:sz w:val="24"/>
                <w:szCs w:val="24"/>
              </w:rPr>
              <w:t>线路（</w:t>
            </w:r>
            <w:r>
              <w:rPr>
                <w:rFonts w:ascii="Times New Roman" w:hAnsi="Times New Roman" w:eastAsia="Times New Roman" w:cs="Times New Roman"/>
                <w:spacing w:val="-7"/>
                <w:sz w:val="24"/>
                <w:szCs w:val="24"/>
              </w:rPr>
              <w:t>E</w:t>
            </w:r>
            <w:r>
              <w:rPr>
                <w:rFonts w:ascii="Times New Roman" w:hAnsi="Times New Roman" w:eastAsia="Times New Roman" w:cs="Times New Roman"/>
                <w:spacing w:val="32"/>
                <w:w w:val="101"/>
                <w:sz w:val="24"/>
                <w:szCs w:val="24"/>
              </w:rPr>
              <w:t xml:space="preserve"> </w:t>
            </w:r>
            <w:r>
              <w:rPr>
                <w:spacing w:val="-7"/>
                <w:sz w:val="24"/>
                <w:szCs w:val="24"/>
              </w:rPr>
              <w:t>回）。</w:t>
            </w:r>
            <w:r>
              <w:rPr>
                <w:rFonts w:ascii="Times New Roman" w:hAnsi="Times New Roman" w:eastAsia="Times New Roman" w:cs="Times New Roman"/>
                <w:spacing w:val="-7"/>
                <w:sz w:val="24"/>
                <w:szCs w:val="24"/>
              </w:rPr>
              <w:t>C</w:t>
            </w:r>
            <w:r>
              <w:rPr>
                <w:rFonts w:ascii="Times New Roman" w:hAnsi="Times New Roman" w:eastAsia="Times New Roman" w:cs="Times New Roman"/>
                <w:spacing w:val="34"/>
                <w:sz w:val="24"/>
                <w:szCs w:val="24"/>
              </w:rPr>
              <w:t xml:space="preserve"> </w:t>
            </w:r>
            <w:r>
              <w:rPr>
                <w:spacing w:val="-7"/>
                <w:sz w:val="24"/>
                <w:szCs w:val="24"/>
              </w:rPr>
              <w:t>回起点为</w:t>
            </w:r>
            <w:r>
              <w:rPr>
                <w:spacing w:val="-48"/>
                <w:sz w:val="24"/>
                <w:szCs w:val="24"/>
              </w:rPr>
              <w:t xml:space="preserve"> </w:t>
            </w:r>
            <w:r>
              <w:rPr>
                <w:rFonts w:ascii="Times New Roman" w:hAnsi="Times New Roman" w:eastAsia="Times New Roman" w:cs="Times New Roman"/>
                <w:spacing w:val="-7"/>
                <w:sz w:val="24"/>
                <w:szCs w:val="24"/>
              </w:rPr>
              <w:t>500kV</w:t>
            </w:r>
            <w:r>
              <w:rPr>
                <w:rFonts w:ascii="Times New Roman" w:hAnsi="Times New Roman" w:eastAsia="Times New Roman" w:cs="Times New Roman"/>
                <w:spacing w:val="16"/>
                <w:sz w:val="24"/>
                <w:szCs w:val="24"/>
              </w:rPr>
              <w:t xml:space="preserve"> </w:t>
            </w:r>
            <w:r>
              <w:rPr>
                <w:spacing w:val="-7"/>
                <w:sz w:val="24"/>
                <w:szCs w:val="24"/>
              </w:rPr>
              <w:t>乐业变，</w:t>
            </w:r>
            <w:r>
              <w:rPr>
                <w:spacing w:val="-4"/>
                <w:sz w:val="24"/>
                <w:szCs w:val="24"/>
              </w:rPr>
              <w:t>位于会泽县乐业镇北方</w:t>
            </w:r>
            <w:r>
              <w:rPr>
                <w:spacing w:val="-26"/>
                <w:sz w:val="24"/>
                <w:szCs w:val="24"/>
              </w:rPr>
              <w:t xml:space="preserve"> </w:t>
            </w:r>
            <w:r>
              <w:rPr>
                <w:rFonts w:ascii="Times New Roman" w:hAnsi="Times New Roman" w:eastAsia="Times New Roman" w:cs="Times New Roman"/>
                <w:spacing w:val="-4"/>
                <w:sz w:val="24"/>
                <w:szCs w:val="24"/>
              </w:rPr>
              <w:t>1.3km</w:t>
            </w:r>
            <w:r>
              <w:rPr>
                <w:spacing w:val="-4"/>
                <w:sz w:val="24"/>
                <w:szCs w:val="24"/>
              </w:rPr>
              <w:t>，终点为</w:t>
            </w:r>
            <w:r>
              <w:rPr>
                <w:spacing w:val="-54"/>
                <w:sz w:val="24"/>
                <w:szCs w:val="24"/>
              </w:rPr>
              <w:t xml:space="preserve"> </w:t>
            </w:r>
            <w:r>
              <w:rPr>
                <w:rFonts w:ascii="Times New Roman" w:hAnsi="Times New Roman" w:eastAsia="Times New Roman" w:cs="Times New Roman"/>
                <w:spacing w:val="-4"/>
                <w:sz w:val="24"/>
                <w:szCs w:val="24"/>
              </w:rPr>
              <w:t xml:space="preserve">220kV </w:t>
            </w:r>
            <w:r>
              <w:rPr>
                <w:spacing w:val="-4"/>
                <w:sz w:val="24"/>
                <w:szCs w:val="24"/>
              </w:rPr>
              <w:t>迤车变电站，位于会泽县迤车镇黑</w:t>
            </w:r>
            <w:r>
              <w:rPr>
                <w:spacing w:val="-3"/>
                <w:sz w:val="24"/>
                <w:szCs w:val="24"/>
              </w:rPr>
              <w:t>山村西侧</w:t>
            </w:r>
            <w:r>
              <w:rPr>
                <w:spacing w:val="-26"/>
                <w:sz w:val="24"/>
                <w:szCs w:val="24"/>
              </w:rPr>
              <w:t xml:space="preserve">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1km</w:t>
            </w:r>
            <w:r>
              <w:rPr>
                <w:spacing w:val="-3"/>
                <w:sz w:val="24"/>
                <w:szCs w:val="24"/>
              </w:rPr>
              <w:t>；</w:t>
            </w:r>
            <w:r>
              <w:rPr>
                <w:rFonts w:ascii="Times New Roman" w:hAnsi="Times New Roman" w:eastAsia="Times New Roman" w:cs="Times New Roman"/>
                <w:spacing w:val="-3"/>
                <w:sz w:val="24"/>
                <w:szCs w:val="24"/>
              </w:rPr>
              <w:t>D</w:t>
            </w:r>
            <w:r>
              <w:rPr>
                <w:rFonts w:ascii="Times New Roman" w:hAnsi="Times New Roman" w:eastAsia="Times New Roman" w:cs="Times New Roman"/>
                <w:spacing w:val="47"/>
                <w:sz w:val="24"/>
                <w:szCs w:val="24"/>
              </w:rPr>
              <w:t xml:space="preserve"> </w:t>
            </w:r>
            <w:r>
              <w:rPr>
                <w:spacing w:val="-3"/>
                <w:sz w:val="24"/>
                <w:szCs w:val="24"/>
              </w:rPr>
              <w:t>回起点为</w:t>
            </w:r>
            <w:r>
              <w:rPr>
                <w:spacing w:val="-41"/>
                <w:sz w:val="24"/>
                <w:szCs w:val="24"/>
              </w:rPr>
              <w:t xml:space="preserve"> </w:t>
            </w:r>
            <w:r>
              <w:rPr>
                <w:rFonts w:ascii="Times New Roman" w:hAnsi="Times New Roman" w:eastAsia="Times New Roman" w:cs="Times New Roman"/>
                <w:spacing w:val="-3"/>
                <w:sz w:val="24"/>
                <w:szCs w:val="24"/>
              </w:rPr>
              <w:t>220kV</w:t>
            </w:r>
            <w:r>
              <w:rPr>
                <w:rFonts w:ascii="Times New Roman" w:hAnsi="Times New Roman" w:eastAsia="Times New Roman" w:cs="Times New Roman"/>
                <w:spacing w:val="23"/>
                <w:sz w:val="24"/>
                <w:szCs w:val="24"/>
              </w:rPr>
              <w:t xml:space="preserve"> </w:t>
            </w:r>
            <w:r>
              <w:rPr>
                <w:spacing w:val="-3"/>
                <w:sz w:val="24"/>
                <w:szCs w:val="24"/>
              </w:rPr>
              <w:t>迤车变电站，终点为</w:t>
            </w:r>
            <w:r>
              <w:rPr>
                <w:spacing w:val="-40"/>
                <w:sz w:val="24"/>
                <w:szCs w:val="24"/>
              </w:rPr>
              <w:t xml:space="preserve"> </w:t>
            </w:r>
            <w:r>
              <w:rPr>
                <w:rFonts w:ascii="Times New Roman" w:hAnsi="Times New Roman" w:eastAsia="Times New Roman" w:cs="Times New Roman"/>
                <w:spacing w:val="-3"/>
                <w:sz w:val="24"/>
                <w:szCs w:val="24"/>
              </w:rPr>
              <w:t>220kV</w:t>
            </w:r>
            <w:r>
              <w:rPr>
                <w:rFonts w:ascii="Times New Roman" w:hAnsi="Times New Roman" w:eastAsia="Times New Roman" w:cs="Times New Roman"/>
                <w:spacing w:val="22"/>
                <w:sz w:val="24"/>
                <w:szCs w:val="24"/>
              </w:rPr>
              <w:t xml:space="preserve"> </w:t>
            </w:r>
            <w:r>
              <w:rPr>
                <w:spacing w:val="-3"/>
                <w:sz w:val="24"/>
                <w:szCs w:val="24"/>
              </w:rPr>
              <w:t>迤车牵引站，</w:t>
            </w:r>
            <w:r>
              <w:rPr>
                <w:spacing w:val="-2"/>
                <w:sz w:val="24"/>
                <w:szCs w:val="24"/>
              </w:rPr>
              <w:t>位于会泽县迤车镇；</w:t>
            </w:r>
            <w:r>
              <w:rPr>
                <w:rFonts w:ascii="Times New Roman" w:hAnsi="Times New Roman" w:eastAsia="Times New Roman" w:cs="Times New Roman"/>
                <w:spacing w:val="-2"/>
                <w:sz w:val="24"/>
                <w:szCs w:val="24"/>
              </w:rPr>
              <w:t>E</w:t>
            </w:r>
            <w:r>
              <w:rPr>
                <w:rFonts w:ascii="Times New Roman" w:hAnsi="Times New Roman" w:eastAsia="Times New Roman" w:cs="Times New Roman"/>
                <w:spacing w:val="51"/>
                <w:sz w:val="24"/>
                <w:szCs w:val="24"/>
              </w:rPr>
              <w:t xml:space="preserve"> </w:t>
            </w:r>
            <w:r>
              <w:rPr>
                <w:spacing w:val="-2"/>
                <w:sz w:val="24"/>
                <w:szCs w:val="24"/>
              </w:rPr>
              <w:t>回起点为</w:t>
            </w:r>
            <w:r>
              <w:rPr>
                <w:spacing w:val="-55"/>
                <w:sz w:val="24"/>
                <w:szCs w:val="24"/>
              </w:rPr>
              <w:t xml:space="preserve"> </w:t>
            </w:r>
            <w:r>
              <w:rPr>
                <w:rFonts w:ascii="Times New Roman" w:hAnsi="Times New Roman" w:eastAsia="Times New Roman" w:cs="Times New Roman"/>
                <w:spacing w:val="-2"/>
                <w:sz w:val="24"/>
                <w:szCs w:val="24"/>
              </w:rPr>
              <w:t xml:space="preserve">220kV </w:t>
            </w:r>
            <w:r>
              <w:rPr>
                <w:spacing w:val="-2"/>
                <w:sz w:val="24"/>
                <w:szCs w:val="24"/>
              </w:rPr>
              <w:t>者迤Ⅰ回线</w:t>
            </w:r>
            <w:r>
              <w:rPr>
                <w:rFonts w:ascii="Times New Roman" w:hAnsi="Times New Roman" w:eastAsia="Times New Roman" w:cs="Times New Roman"/>
                <w:spacing w:val="-2"/>
                <w:sz w:val="24"/>
                <w:szCs w:val="24"/>
              </w:rPr>
              <w:t>68#</w:t>
            </w:r>
            <w:r>
              <w:rPr>
                <w:spacing w:val="-2"/>
                <w:sz w:val="24"/>
                <w:szCs w:val="24"/>
              </w:rPr>
              <w:t>塔，位于会泽县迤车镇黑山村西北侧</w:t>
            </w:r>
            <w:r>
              <w:rPr>
                <w:spacing w:val="-35"/>
                <w:sz w:val="24"/>
                <w:szCs w:val="24"/>
              </w:rPr>
              <w:t xml:space="preserve"> </w:t>
            </w:r>
            <w:r>
              <w:rPr>
                <w:rFonts w:ascii="Times New Roman" w:hAnsi="Times New Roman" w:eastAsia="Times New Roman" w:cs="Times New Roman"/>
                <w:spacing w:val="-2"/>
                <w:sz w:val="24"/>
                <w:szCs w:val="24"/>
              </w:rPr>
              <w:t>0.2km</w:t>
            </w:r>
            <w:r>
              <w:rPr>
                <w:spacing w:val="-2"/>
                <w:sz w:val="24"/>
                <w:szCs w:val="24"/>
              </w:rPr>
              <w:t>，终点为</w:t>
            </w:r>
            <w:r>
              <w:rPr>
                <w:spacing w:val="-43"/>
                <w:sz w:val="24"/>
                <w:szCs w:val="24"/>
              </w:rPr>
              <w:t xml:space="preserve"> </w:t>
            </w:r>
            <w:r>
              <w:rPr>
                <w:rFonts w:ascii="Times New Roman" w:hAnsi="Times New Roman" w:eastAsia="Times New Roman" w:cs="Times New Roman"/>
                <w:spacing w:val="-2"/>
                <w:sz w:val="24"/>
                <w:szCs w:val="24"/>
              </w:rPr>
              <w:t xml:space="preserve">220kV </w:t>
            </w:r>
            <w:r>
              <w:rPr>
                <w:spacing w:val="-2"/>
                <w:sz w:val="24"/>
                <w:szCs w:val="24"/>
              </w:rPr>
              <w:t>迤车牵引站。</w:t>
            </w:r>
          </w:p>
        </w:tc>
      </w:tr>
      <w:tr w14:paraId="5A325A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35" w:hRule="atLeast"/>
        </w:trPr>
        <w:tc>
          <w:tcPr>
            <w:tcW w:w="571" w:type="dxa"/>
            <w:vMerge w:val="restart"/>
            <w:tcBorders>
              <w:bottom w:val="nil"/>
            </w:tcBorders>
            <w:vAlign w:val="top"/>
          </w:tcPr>
          <w:p w14:paraId="110B8B55">
            <w:pPr>
              <w:spacing w:line="250" w:lineRule="auto"/>
              <w:rPr>
                <w:rFonts w:ascii="Arial"/>
                <w:sz w:val="21"/>
              </w:rPr>
            </w:pPr>
          </w:p>
          <w:p w14:paraId="23BB0F60">
            <w:pPr>
              <w:spacing w:line="250" w:lineRule="auto"/>
              <w:rPr>
                <w:rFonts w:ascii="Arial"/>
                <w:sz w:val="21"/>
              </w:rPr>
            </w:pPr>
          </w:p>
          <w:p w14:paraId="1C4DDACC">
            <w:pPr>
              <w:spacing w:line="250" w:lineRule="auto"/>
              <w:rPr>
                <w:rFonts w:ascii="Arial"/>
                <w:sz w:val="21"/>
              </w:rPr>
            </w:pPr>
          </w:p>
          <w:p w14:paraId="34480809">
            <w:pPr>
              <w:spacing w:line="250" w:lineRule="auto"/>
              <w:rPr>
                <w:rFonts w:ascii="Arial"/>
                <w:sz w:val="21"/>
              </w:rPr>
            </w:pPr>
          </w:p>
          <w:p w14:paraId="03741FD8">
            <w:pPr>
              <w:spacing w:line="250" w:lineRule="auto"/>
              <w:rPr>
                <w:rFonts w:ascii="Arial"/>
                <w:sz w:val="21"/>
              </w:rPr>
            </w:pPr>
          </w:p>
          <w:p w14:paraId="5BDB300F">
            <w:pPr>
              <w:spacing w:line="250" w:lineRule="auto"/>
              <w:rPr>
                <w:rFonts w:ascii="Arial"/>
                <w:sz w:val="21"/>
              </w:rPr>
            </w:pPr>
          </w:p>
          <w:p w14:paraId="4AD4AA09">
            <w:pPr>
              <w:spacing w:line="250" w:lineRule="auto"/>
              <w:rPr>
                <w:rFonts w:ascii="Arial"/>
                <w:sz w:val="21"/>
              </w:rPr>
            </w:pPr>
          </w:p>
          <w:p w14:paraId="2ADFF049">
            <w:pPr>
              <w:spacing w:line="250" w:lineRule="auto"/>
              <w:rPr>
                <w:rFonts w:ascii="Arial"/>
                <w:sz w:val="21"/>
              </w:rPr>
            </w:pPr>
          </w:p>
          <w:p w14:paraId="6DF68D08">
            <w:pPr>
              <w:spacing w:line="250" w:lineRule="auto"/>
              <w:rPr>
                <w:rFonts w:ascii="Arial"/>
                <w:sz w:val="21"/>
              </w:rPr>
            </w:pPr>
          </w:p>
          <w:p w14:paraId="4EF84EA6">
            <w:pPr>
              <w:spacing w:line="250" w:lineRule="auto"/>
              <w:rPr>
                <w:rFonts w:ascii="Arial"/>
                <w:sz w:val="21"/>
              </w:rPr>
            </w:pPr>
          </w:p>
          <w:p w14:paraId="221ED9C3">
            <w:pPr>
              <w:spacing w:line="250" w:lineRule="auto"/>
              <w:rPr>
                <w:rFonts w:ascii="Arial"/>
                <w:sz w:val="21"/>
              </w:rPr>
            </w:pPr>
          </w:p>
          <w:p w14:paraId="5FF1B216">
            <w:pPr>
              <w:spacing w:line="251" w:lineRule="auto"/>
              <w:rPr>
                <w:rFonts w:ascii="Arial"/>
                <w:sz w:val="21"/>
              </w:rPr>
            </w:pPr>
          </w:p>
          <w:p w14:paraId="656CA5BE">
            <w:pPr>
              <w:spacing w:line="251" w:lineRule="auto"/>
              <w:rPr>
                <w:rFonts w:ascii="Arial"/>
                <w:sz w:val="21"/>
              </w:rPr>
            </w:pPr>
          </w:p>
          <w:p w14:paraId="5B9C4261">
            <w:pPr>
              <w:spacing w:line="251" w:lineRule="auto"/>
              <w:rPr>
                <w:rFonts w:ascii="Arial"/>
                <w:sz w:val="21"/>
              </w:rPr>
            </w:pPr>
          </w:p>
          <w:p w14:paraId="424439E8">
            <w:pPr>
              <w:spacing w:line="251" w:lineRule="auto"/>
              <w:rPr>
                <w:rFonts w:ascii="Arial"/>
                <w:sz w:val="21"/>
              </w:rPr>
            </w:pPr>
          </w:p>
          <w:p w14:paraId="20E3AFD7">
            <w:pPr>
              <w:spacing w:line="251" w:lineRule="auto"/>
              <w:rPr>
                <w:rFonts w:ascii="Arial"/>
                <w:sz w:val="21"/>
              </w:rPr>
            </w:pPr>
          </w:p>
          <w:p w14:paraId="41488127">
            <w:pPr>
              <w:pStyle w:val="6"/>
              <w:spacing w:before="69" w:line="279" w:lineRule="auto"/>
              <w:ind w:left="79" w:right="71" w:firstLine="4"/>
              <w:jc w:val="both"/>
            </w:pPr>
            <w:r>
              <w:rPr>
                <w:spacing w:val="-5"/>
              </w:rPr>
              <w:t>项目</w:t>
            </w:r>
            <w:r>
              <w:rPr>
                <w:spacing w:val="-3"/>
              </w:rPr>
              <w:t>组成及规</w:t>
            </w:r>
            <w:r>
              <w:rPr>
                <w:spacing w:val="28"/>
                <w:w w:val="134"/>
              </w:rPr>
              <w:t>模</w:t>
            </w:r>
          </w:p>
        </w:tc>
        <w:tc>
          <w:tcPr>
            <w:tcW w:w="8507" w:type="dxa"/>
            <w:gridSpan w:val="5"/>
            <w:vAlign w:val="top"/>
          </w:tcPr>
          <w:p w14:paraId="780F9E90">
            <w:pPr>
              <w:pStyle w:val="6"/>
              <w:spacing w:before="119" w:line="233" w:lineRule="auto"/>
              <w:ind w:left="118"/>
              <w:rPr>
                <w:sz w:val="24"/>
                <w:szCs w:val="24"/>
              </w:rPr>
            </w:pPr>
            <w:r>
              <w:rPr>
                <w:rFonts w:ascii="Times New Roman" w:hAnsi="Times New Roman" w:eastAsia="Times New Roman" w:cs="Times New Roman"/>
                <w:b/>
                <w:bCs/>
                <w:spacing w:val="-4"/>
                <w:sz w:val="24"/>
                <w:szCs w:val="24"/>
              </w:rPr>
              <w:t>1</w:t>
            </w:r>
            <w:r>
              <w:rPr>
                <w:b/>
                <w:bCs/>
                <w:spacing w:val="-4"/>
                <w:sz w:val="24"/>
                <w:szCs w:val="24"/>
              </w:rPr>
              <w:t>、建设内容及规模</w:t>
            </w:r>
          </w:p>
          <w:p w14:paraId="0345E503">
            <w:pPr>
              <w:pStyle w:val="6"/>
              <w:spacing w:before="169" w:line="365" w:lineRule="auto"/>
              <w:ind w:left="108" w:right="107" w:firstLine="488"/>
              <w:jc w:val="both"/>
              <w:rPr>
                <w:sz w:val="24"/>
                <w:szCs w:val="24"/>
              </w:rPr>
            </w:pPr>
            <w:r>
              <w:rPr>
                <w:spacing w:val="-4"/>
                <w:sz w:val="24"/>
                <w:szCs w:val="24"/>
              </w:rPr>
              <w:t>项目建设</w:t>
            </w:r>
            <w:r>
              <w:rPr>
                <w:spacing w:val="-37"/>
                <w:sz w:val="24"/>
                <w:szCs w:val="24"/>
              </w:rPr>
              <w:t xml:space="preserve"> </w:t>
            </w:r>
            <w:r>
              <w:rPr>
                <w:rFonts w:ascii="Times New Roman" w:hAnsi="Times New Roman" w:eastAsia="Times New Roman" w:cs="Times New Roman"/>
                <w:spacing w:val="-4"/>
                <w:sz w:val="24"/>
                <w:szCs w:val="24"/>
              </w:rPr>
              <w:t>3</w:t>
            </w:r>
            <w:r>
              <w:rPr>
                <w:rFonts w:ascii="Times New Roman" w:hAnsi="Times New Roman" w:eastAsia="Times New Roman" w:cs="Times New Roman"/>
                <w:spacing w:val="33"/>
                <w:sz w:val="24"/>
                <w:szCs w:val="24"/>
              </w:rPr>
              <w:t xml:space="preserve"> </w:t>
            </w:r>
            <w:r>
              <w:rPr>
                <w:spacing w:val="-4"/>
                <w:sz w:val="24"/>
                <w:szCs w:val="24"/>
              </w:rPr>
              <w:t>回输电线路，分别为：乐业变</w:t>
            </w:r>
            <w:r>
              <w:rPr>
                <w:rFonts w:ascii="Times New Roman" w:hAnsi="Times New Roman" w:eastAsia="Times New Roman" w:cs="Times New Roman"/>
                <w:spacing w:val="-4"/>
                <w:sz w:val="24"/>
                <w:szCs w:val="24"/>
              </w:rPr>
              <w:t>~</w:t>
            </w:r>
            <w:r>
              <w:rPr>
                <w:spacing w:val="-4"/>
                <w:sz w:val="24"/>
                <w:szCs w:val="24"/>
              </w:rPr>
              <w:t>迤车变</w:t>
            </w:r>
            <w:r>
              <w:rPr>
                <w:spacing w:val="-55"/>
                <w:sz w:val="24"/>
                <w:szCs w:val="24"/>
              </w:rPr>
              <w:t xml:space="preserve"> </w:t>
            </w:r>
            <w:r>
              <w:rPr>
                <w:rFonts w:ascii="Times New Roman" w:hAnsi="Times New Roman" w:eastAsia="Times New Roman" w:cs="Times New Roman"/>
                <w:spacing w:val="-4"/>
                <w:sz w:val="24"/>
                <w:szCs w:val="24"/>
              </w:rPr>
              <w:t xml:space="preserve">220kV </w:t>
            </w:r>
            <w:r>
              <w:rPr>
                <w:spacing w:val="-4"/>
                <w:sz w:val="24"/>
                <w:szCs w:val="24"/>
              </w:rPr>
              <w:t>线路（</w:t>
            </w:r>
            <w:r>
              <w:rPr>
                <w:rFonts w:ascii="Times New Roman" w:hAnsi="Times New Roman" w:eastAsia="Times New Roman" w:cs="Times New Roman"/>
                <w:spacing w:val="-4"/>
                <w:sz w:val="24"/>
                <w:szCs w:val="24"/>
              </w:rPr>
              <w:t>C</w:t>
            </w:r>
            <w:r>
              <w:rPr>
                <w:rFonts w:ascii="Times New Roman" w:hAnsi="Times New Roman" w:eastAsia="Times New Roman" w:cs="Times New Roman"/>
                <w:spacing w:val="34"/>
                <w:sz w:val="24"/>
                <w:szCs w:val="24"/>
              </w:rPr>
              <w:t xml:space="preserve"> </w:t>
            </w:r>
            <w:r>
              <w:rPr>
                <w:spacing w:val="-4"/>
                <w:sz w:val="24"/>
                <w:szCs w:val="24"/>
              </w:rPr>
              <w:t>回）、迤</w:t>
            </w:r>
            <w:r>
              <w:rPr>
                <w:spacing w:val="-1"/>
                <w:sz w:val="24"/>
                <w:szCs w:val="24"/>
              </w:rPr>
              <w:t>车变</w:t>
            </w:r>
            <w:r>
              <w:rPr>
                <w:rFonts w:ascii="Times New Roman" w:hAnsi="Times New Roman" w:eastAsia="Times New Roman" w:cs="Times New Roman"/>
                <w:spacing w:val="-1"/>
                <w:sz w:val="24"/>
                <w:szCs w:val="24"/>
              </w:rPr>
              <w:t>~</w:t>
            </w:r>
            <w:r>
              <w:rPr>
                <w:spacing w:val="-1"/>
                <w:sz w:val="24"/>
                <w:szCs w:val="24"/>
              </w:rPr>
              <w:t xml:space="preserve">迤车牵引变 </w:t>
            </w:r>
            <w:r>
              <w:rPr>
                <w:rFonts w:ascii="Times New Roman" w:hAnsi="Times New Roman" w:eastAsia="Times New Roman" w:cs="Times New Roman"/>
                <w:spacing w:val="-1"/>
                <w:sz w:val="24"/>
                <w:szCs w:val="24"/>
              </w:rPr>
              <w:t xml:space="preserve">220kV  </w:t>
            </w:r>
            <w:r>
              <w:rPr>
                <w:spacing w:val="-1"/>
                <w:sz w:val="24"/>
                <w:szCs w:val="24"/>
              </w:rPr>
              <w:t>线路（</w:t>
            </w:r>
            <w:r>
              <w:rPr>
                <w:rFonts w:ascii="Times New Roman" w:hAnsi="Times New Roman" w:eastAsia="Times New Roman" w:cs="Times New Roman"/>
                <w:spacing w:val="-1"/>
                <w:sz w:val="24"/>
                <w:szCs w:val="24"/>
              </w:rPr>
              <w:t xml:space="preserve">D  </w:t>
            </w:r>
            <w:r>
              <w:rPr>
                <w:spacing w:val="-1"/>
                <w:sz w:val="24"/>
                <w:szCs w:val="24"/>
              </w:rPr>
              <w:t>回）、</w:t>
            </w:r>
            <w:r>
              <w:rPr>
                <w:rFonts w:ascii="Times New Roman" w:hAnsi="Times New Roman" w:eastAsia="Times New Roman" w:cs="Times New Roman"/>
                <w:spacing w:val="-1"/>
                <w:sz w:val="24"/>
                <w:szCs w:val="24"/>
              </w:rPr>
              <w:t xml:space="preserve">220kV  </w:t>
            </w:r>
            <w:r>
              <w:rPr>
                <w:spacing w:val="-1"/>
                <w:sz w:val="24"/>
                <w:szCs w:val="24"/>
              </w:rPr>
              <w:t>者迤Ⅰ回线改接入迤车牵引变</w:t>
            </w:r>
            <w:r>
              <w:rPr>
                <w:rFonts w:ascii="Times New Roman" w:hAnsi="Times New Roman" w:eastAsia="Times New Roman" w:cs="Times New Roman"/>
                <w:spacing w:val="-7"/>
                <w:sz w:val="24"/>
                <w:szCs w:val="24"/>
              </w:rPr>
              <w:t xml:space="preserve">220kV </w:t>
            </w:r>
            <w:r>
              <w:rPr>
                <w:spacing w:val="-7"/>
                <w:sz w:val="24"/>
                <w:szCs w:val="24"/>
              </w:rPr>
              <w:t>线路（</w:t>
            </w:r>
            <w:r>
              <w:rPr>
                <w:rFonts w:ascii="Times New Roman" w:hAnsi="Times New Roman" w:eastAsia="Times New Roman" w:cs="Times New Roman"/>
                <w:spacing w:val="-7"/>
                <w:sz w:val="24"/>
                <w:szCs w:val="24"/>
              </w:rPr>
              <w:t>E</w:t>
            </w:r>
            <w:r>
              <w:rPr>
                <w:rFonts w:ascii="Times New Roman" w:hAnsi="Times New Roman" w:eastAsia="Times New Roman" w:cs="Times New Roman"/>
                <w:spacing w:val="32"/>
                <w:w w:val="101"/>
                <w:sz w:val="24"/>
                <w:szCs w:val="24"/>
              </w:rPr>
              <w:t xml:space="preserve"> </w:t>
            </w:r>
            <w:r>
              <w:rPr>
                <w:spacing w:val="-7"/>
                <w:sz w:val="24"/>
                <w:szCs w:val="24"/>
              </w:rPr>
              <w:t>回）。线路总长约</w:t>
            </w:r>
            <w:r>
              <w:rPr>
                <w:spacing w:val="-55"/>
                <w:sz w:val="24"/>
                <w:szCs w:val="24"/>
              </w:rPr>
              <w:t xml:space="preserve"> </w:t>
            </w:r>
            <w:r>
              <w:rPr>
                <w:rFonts w:ascii="Times New Roman" w:hAnsi="Times New Roman" w:eastAsia="Times New Roman" w:cs="Times New Roman"/>
                <w:spacing w:val="-7"/>
                <w:sz w:val="24"/>
                <w:szCs w:val="24"/>
              </w:rPr>
              <w:t>21.5km</w:t>
            </w:r>
            <w:r>
              <w:rPr>
                <w:spacing w:val="-7"/>
                <w:sz w:val="24"/>
                <w:szCs w:val="24"/>
              </w:rPr>
              <w:t>，全线单、双回</w:t>
            </w:r>
            <w:r>
              <w:rPr>
                <w:spacing w:val="-8"/>
                <w:sz w:val="24"/>
                <w:szCs w:val="24"/>
              </w:rPr>
              <w:t>路混合架设， 导线采用</w:t>
            </w:r>
            <w:r>
              <w:rPr>
                <w:rFonts w:ascii="Times New Roman" w:hAnsi="Times New Roman" w:eastAsia="Times New Roman" w:cs="Times New Roman"/>
                <w:spacing w:val="-1"/>
                <w:sz w:val="24"/>
                <w:szCs w:val="24"/>
              </w:rPr>
              <w:t>JL/LB20A-400/50</w:t>
            </w:r>
            <w:r>
              <w:rPr>
                <w:rFonts w:ascii="Times New Roman" w:hAnsi="Times New Roman" w:eastAsia="Times New Roman" w:cs="Times New Roman"/>
                <w:spacing w:val="48"/>
                <w:sz w:val="24"/>
                <w:szCs w:val="24"/>
              </w:rPr>
              <w:t xml:space="preserve"> </w:t>
            </w:r>
            <w:r>
              <w:rPr>
                <w:spacing w:val="-1"/>
                <w:sz w:val="24"/>
                <w:szCs w:val="24"/>
              </w:rPr>
              <w:t xml:space="preserve">铝包钢芯铝绞线，地线一根为 </w:t>
            </w:r>
            <w:r>
              <w:rPr>
                <w:rFonts w:ascii="Times New Roman" w:hAnsi="Times New Roman" w:eastAsia="Times New Roman" w:cs="Times New Roman"/>
                <w:spacing w:val="-1"/>
                <w:sz w:val="24"/>
                <w:szCs w:val="24"/>
              </w:rPr>
              <w:t>OPGW</w:t>
            </w:r>
            <w:r>
              <w:rPr>
                <w:rFonts w:ascii="Times New Roman" w:hAnsi="Times New Roman" w:eastAsia="Times New Roman" w:cs="Times New Roman"/>
                <w:spacing w:val="46"/>
                <w:w w:val="101"/>
                <w:sz w:val="24"/>
                <w:szCs w:val="24"/>
              </w:rPr>
              <w:t xml:space="preserve"> </w:t>
            </w:r>
            <w:r>
              <w:rPr>
                <w:spacing w:val="-1"/>
                <w:sz w:val="24"/>
                <w:szCs w:val="24"/>
              </w:rPr>
              <w:t>光缆，</w:t>
            </w:r>
            <w:r>
              <w:rPr>
                <w:spacing w:val="-2"/>
                <w:sz w:val="24"/>
                <w:szCs w:val="24"/>
              </w:rPr>
              <w:t>一根为铝包钢绞</w:t>
            </w:r>
            <w:r>
              <w:rPr>
                <w:spacing w:val="-7"/>
                <w:sz w:val="24"/>
                <w:szCs w:val="24"/>
              </w:rPr>
              <w:t>线。新建线路全部采用自立式角钢塔，</w:t>
            </w:r>
            <w:r>
              <w:rPr>
                <w:spacing w:val="56"/>
                <w:sz w:val="24"/>
                <w:szCs w:val="24"/>
              </w:rPr>
              <w:t xml:space="preserve"> </w:t>
            </w:r>
            <w:r>
              <w:rPr>
                <w:spacing w:val="-7"/>
                <w:sz w:val="24"/>
                <w:szCs w:val="24"/>
              </w:rPr>
              <w:t>共</w:t>
            </w:r>
            <w:r>
              <w:rPr>
                <w:spacing w:val="-47"/>
                <w:sz w:val="24"/>
                <w:szCs w:val="24"/>
              </w:rPr>
              <w:t xml:space="preserve"> </w:t>
            </w:r>
            <w:r>
              <w:rPr>
                <w:rFonts w:ascii="Times New Roman" w:hAnsi="Times New Roman" w:eastAsia="Times New Roman" w:cs="Times New Roman"/>
                <w:spacing w:val="-7"/>
                <w:sz w:val="24"/>
                <w:szCs w:val="24"/>
              </w:rPr>
              <w:t xml:space="preserve">54 </w:t>
            </w:r>
            <w:r>
              <w:rPr>
                <w:spacing w:val="-7"/>
                <w:sz w:val="24"/>
                <w:szCs w:val="24"/>
              </w:rPr>
              <w:t>基。本项目需对</w:t>
            </w:r>
            <w:r>
              <w:rPr>
                <w:spacing w:val="-48"/>
                <w:sz w:val="24"/>
                <w:szCs w:val="24"/>
              </w:rPr>
              <w:t xml:space="preserve"> </w:t>
            </w:r>
            <w:r>
              <w:rPr>
                <w:rFonts w:ascii="Times New Roman" w:hAnsi="Times New Roman" w:eastAsia="Times New Roman" w:cs="Times New Roman"/>
                <w:spacing w:val="-7"/>
                <w:sz w:val="24"/>
                <w:szCs w:val="24"/>
              </w:rPr>
              <w:t>500kV</w:t>
            </w:r>
            <w:r>
              <w:rPr>
                <w:rFonts w:ascii="Times New Roman" w:hAnsi="Times New Roman" w:eastAsia="Times New Roman" w:cs="Times New Roman"/>
                <w:spacing w:val="16"/>
                <w:w w:val="101"/>
                <w:sz w:val="24"/>
                <w:szCs w:val="24"/>
              </w:rPr>
              <w:t xml:space="preserve"> </w:t>
            </w:r>
            <w:r>
              <w:rPr>
                <w:spacing w:val="-7"/>
                <w:sz w:val="24"/>
                <w:szCs w:val="24"/>
              </w:rPr>
              <w:t>乐业变出线</w:t>
            </w:r>
            <w:r>
              <w:rPr>
                <w:spacing w:val="-1"/>
                <w:sz w:val="24"/>
                <w:szCs w:val="24"/>
              </w:rPr>
              <w:t>间隔、</w:t>
            </w:r>
            <w:r>
              <w:rPr>
                <w:rFonts w:ascii="Times New Roman" w:hAnsi="Times New Roman" w:eastAsia="Times New Roman" w:cs="Times New Roman"/>
                <w:spacing w:val="-1"/>
                <w:sz w:val="24"/>
                <w:szCs w:val="24"/>
              </w:rPr>
              <w:t xml:space="preserve">220kV </w:t>
            </w:r>
            <w:r>
              <w:rPr>
                <w:spacing w:val="-1"/>
                <w:sz w:val="24"/>
                <w:szCs w:val="24"/>
              </w:rPr>
              <w:t>迤车变出线间隔进行扩建，</w:t>
            </w:r>
            <w:r>
              <w:rPr>
                <w:rFonts w:ascii="Times New Roman" w:hAnsi="Times New Roman" w:eastAsia="Times New Roman" w:cs="Times New Roman"/>
                <w:spacing w:val="-1"/>
                <w:sz w:val="24"/>
                <w:szCs w:val="24"/>
              </w:rPr>
              <w:t xml:space="preserve">220kV </w:t>
            </w:r>
            <w:r>
              <w:rPr>
                <w:spacing w:val="-1"/>
                <w:sz w:val="24"/>
                <w:szCs w:val="24"/>
              </w:rPr>
              <w:t>迤车牵引站仅进行接线。</w:t>
            </w:r>
          </w:p>
          <w:p w14:paraId="5A818B4E">
            <w:pPr>
              <w:pStyle w:val="6"/>
              <w:spacing w:before="1" w:line="352" w:lineRule="auto"/>
              <w:ind w:left="112" w:right="109" w:firstLine="480"/>
              <w:jc w:val="both"/>
              <w:rPr>
                <w:sz w:val="24"/>
                <w:szCs w:val="24"/>
              </w:rPr>
            </w:pPr>
            <w:r>
              <w:rPr>
                <w:spacing w:val="-4"/>
                <w:sz w:val="24"/>
                <w:szCs w:val="24"/>
              </w:rPr>
              <w:t>本项目核准批复后，根据曲靖市发展和改革委员会及相关专家的意见，对路径进行了优化，设计单位对接了会泽县各政府部门，在各部门的指导下，于初步</w:t>
            </w:r>
            <w:r>
              <w:rPr>
                <w:spacing w:val="-3"/>
                <w:sz w:val="24"/>
                <w:szCs w:val="24"/>
              </w:rPr>
              <w:t>设计中完成了路径优化，本次环评采用优化</w:t>
            </w:r>
            <w:r>
              <w:rPr>
                <w:spacing w:val="-4"/>
                <w:sz w:val="24"/>
                <w:szCs w:val="24"/>
              </w:rPr>
              <w:t>后的路径进行评价，故工程内容与核</w:t>
            </w:r>
            <w:r>
              <w:rPr>
                <w:spacing w:val="-2"/>
                <w:sz w:val="24"/>
                <w:szCs w:val="24"/>
              </w:rPr>
              <w:t>准的批复有所调整，项目主要建设内容见下表。</w:t>
            </w:r>
          </w:p>
          <w:p w14:paraId="1D79D5E6">
            <w:pPr>
              <w:pStyle w:val="6"/>
              <w:spacing w:line="223" w:lineRule="auto"/>
              <w:ind w:left="3139"/>
            </w:pPr>
            <w:r>
              <w:rPr>
                <w:b/>
                <w:bCs/>
                <w:spacing w:val="-2"/>
              </w:rPr>
              <w:t>表</w:t>
            </w:r>
            <w:r>
              <w:rPr>
                <w:spacing w:val="-39"/>
              </w:rPr>
              <w:t xml:space="preserve"> </w:t>
            </w:r>
            <w:r>
              <w:rPr>
                <w:rFonts w:ascii="Times New Roman" w:hAnsi="Times New Roman" w:eastAsia="Times New Roman" w:cs="Times New Roman"/>
                <w:b/>
                <w:bCs/>
                <w:spacing w:val="-2"/>
              </w:rPr>
              <w:t xml:space="preserve">2-1    </w:t>
            </w:r>
            <w:r>
              <w:rPr>
                <w:b/>
                <w:bCs/>
                <w:spacing w:val="-2"/>
              </w:rPr>
              <w:t>项目组成一览表</w:t>
            </w:r>
          </w:p>
        </w:tc>
      </w:tr>
      <w:tr w14:paraId="23B046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06BB7639">
            <w:pPr>
              <w:rPr>
                <w:rFonts w:ascii="Arial"/>
                <w:sz w:val="21"/>
              </w:rPr>
            </w:pPr>
          </w:p>
        </w:tc>
        <w:tc>
          <w:tcPr>
            <w:tcW w:w="103" w:type="dxa"/>
            <w:tcBorders>
              <w:top w:val="nil"/>
              <w:bottom w:val="nil"/>
            </w:tcBorders>
            <w:vAlign w:val="top"/>
          </w:tcPr>
          <w:p w14:paraId="47A9D142">
            <w:pPr>
              <w:rPr>
                <w:rFonts w:ascii="Arial"/>
                <w:sz w:val="21"/>
              </w:rPr>
            </w:pPr>
          </w:p>
        </w:tc>
        <w:tc>
          <w:tcPr>
            <w:tcW w:w="595" w:type="dxa"/>
            <w:vAlign w:val="top"/>
          </w:tcPr>
          <w:p w14:paraId="3574BFE1">
            <w:pPr>
              <w:pStyle w:val="6"/>
              <w:spacing w:before="56" w:line="221" w:lineRule="auto"/>
              <w:ind w:left="89"/>
            </w:pPr>
            <w:r>
              <w:rPr>
                <w:b/>
                <w:bCs/>
                <w:spacing w:val="-4"/>
              </w:rPr>
              <w:t>类型</w:t>
            </w:r>
          </w:p>
        </w:tc>
        <w:tc>
          <w:tcPr>
            <w:tcW w:w="1843" w:type="dxa"/>
            <w:vAlign w:val="top"/>
          </w:tcPr>
          <w:p w14:paraId="73914A5F">
            <w:pPr>
              <w:pStyle w:val="6"/>
              <w:spacing w:before="57" w:line="221" w:lineRule="auto"/>
              <w:ind w:left="507"/>
            </w:pPr>
            <w:r>
              <w:rPr>
                <w:b/>
                <w:bCs/>
                <w:spacing w:val="-4"/>
              </w:rPr>
              <w:t>工程名称</w:t>
            </w:r>
          </w:p>
        </w:tc>
        <w:tc>
          <w:tcPr>
            <w:tcW w:w="5856" w:type="dxa"/>
            <w:vAlign w:val="top"/>
          </w:tcPr>
          <w:p w14:paraId="6DD2562F">
            <w:pPr>
              <w:pStyle w:val="6"/>
              <w:spacing w:before="56" w:line="221" w:lineRule="auto"/>
              <w:ind w:left="2198"/>
            </w:pPr>
            <w:r>
              <w:rPr>
                <w:b/>
                <w:bCs/>
                <w:spacing w:val="-3"/>
              </w:rPr>
              <w:t>建设内容及规模</w:t>
            </w:r>
          </w:p>
        </w:tc>
        <w:tc>
          <w:tcPr>
            <w:tcW w:w="110" w:type="dxa"/>
            <w:tcBorders>
              <w:top w:val="nil"/>
              <w:bottom w:val="nil"/>
            </w:tcBorders>
            <w:vAlign w:val="top"/>
          </w:tcPr>
          <w:p w14:paraId="40D37391">
            <w:pPr>
              <w:rPr>
                <w:rFonts w:ascii="Arial"/>
                <w:sz w:val="21"/>
              </w:rPr>
            </w:pPr>
          </w:p>
        </w:tc>
      </w:tr>
      <w:tr w14:paraId="60FC41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5" w:hRule="atLeast"/>
        </w:trPr>
        <w:tc>
          <w:tcPr>
            <w:tcW w:w="571" w:type="dxa"/>
            <w:vMerge w:val="continue"/>
            <w:tcBorders>
              <w:top w:val="nil"/>
            </w:tcBorders>
            <w:vAlign w:val="top"/>
          </w:tcPr>
          <w:p w14:paraId="76E662BA">
            <w:pPr>
              <w:rPr>
                <w:rFonts w:ascii="Arial"/>
                <w:sz w:val="21"/>
              </w:rPr>
            </w:pPr>
          </w:p>
        </w:tc>
        <w:tc>
          <w:tcPr>
            <w:tcW w:w="103" w:type="dxa"/>
            <w:tcBorders>
              <w:top w:val="nil"/>
            </w:tcBorders>
            <w:vAlign w:val="top"/>
          </w:tcPr>
          <w:p w14:paraId="3AA885BD">
            <w:pPr>
              <w:rPr>
                <w:rFonts w:ascii="Arial"/>
                <w:sz w:val="21"/>
              </w:rPr>
            </w:pPr>
          </w:p>
        </w:tc>
        <w:tc>
          <w:tcPr>
            <w:tcW w:w="595" w:type="dxa"/>
            <w:vAlign w:val="top"/>
          </w:tcPr>
          <w:p w14:paraId="240D5306">
            <w:pPr>
              <w:spacing w:line="280" w:lineRule="auto"/>
              <w:rPr>
                <w:rFonts w:ascii="Arial"/>
                <w:sz w:val="21"/>
              </w:rPr>
            </w:pPr>
          </w:p>
          <w:p w14:paraId="0D1B370E">
            <w:pPr>
              <w:spacing w:line="280" w:lineRule="auto"/>
              <w:rPr>
                <w:rFonts w:ascii="Arial"/>
                <w:sz w:val="21"/>
              </w:rPr>
            </w:pPr>
          </w:p>
          <w:p w14:paraId="487ED239">
            <w:pPr>
              <w:spacing w:line="281" w:lineRule="auto"/>
              <w:rPr>
                <w:rFonts w:ascii="Arial"/>
                <w:sz w:val="21"/>
              </w:rPr>
            </w:pPr>
          </w:p>
          <w:p w14:paraId="289AA2E4">
            <w:pPr>
              <w:spacing w:line="281" w:lineRule="auto"/>
              <w:rPr>
                <w:rFonts w:ascii="Arial"/>
                <w:sz w:val="21"/>
              </w:rPr>
            </w:pPr>
          </w:p>
          <w:p w14:paraId="76E1EAC2">
            <w:pPr>
              <w:spacing w:line="281" w:lineRule="auto"/>
              <w:rPr>
                <w:rFonts w:ascii="Arial"/>
                <w:sz w:val="21"/>
              </w:rPr>
            </w:pPr>
          </w:p>
          <w:p w14:paraId="50CEB988">
            <w:pPr>
              <w:pStyle w:val="6"/>
              <w:spacing w:before="69" w:line="281" w:lineRule="auto"/>
              <w:ind w:left="94" w:right="83"/>
            </w:pPr>
            <w:r>
              <w:rPr>
                <w:spacing w:val="-4"/>
              </w:rPr>
              <w:t>主体</w:t>
            </w:r>
            <w:r>
              <w:rPr>
                <w:spacing w:val="-5"/>
              </w:rPr>
              <w:t>工程</w:t>
            </w:r>
          </w:p>
        </w:tc>
        <w:tc>
          <w:tcPr>
            <w:tcW w:w="1843" w:type="dxa"/>
            <w:vAlign w:val="top"/>
          </w:tcPr>
          <w:p w14:paraId="72949530">
            <w:pPr>
              <w:spacing w:line="260" w:lineRule="auto"/>
              <w:rPr>
                <w:rFonts w:ascii="Arial"/>
                <w:sz w:val="21"/>
              </w:rPr>
            </w:pPr>
          </w:p>
          <w:p w14:paraId="62275189">
            <w:pPr>
              <w:spacing w:line="260" w:lineRule="auto"/>
              <w:rPr>
                <w:rFonts w:ascii="Arial"/>
                <w:sz w:val="21"/>
              </w:rPr>
            </w:pPr>
          </w:p>
          <w:p w14:paraId="333A3BC6">
            <w:pPr>
              <w:spacing w:line="260" w:lineRule="auto"/>
              <w:rPr>
                <w:rFonts w:ascii="Arial"/>
                <w:sz w:val="21"/>
              </w:rPr>
            </w:pPr>
          </w:p>
          <w:p w14:paraId="48384908">
            <w:pPr>
              <w:spacing w:line="260" w:lineRule="auto"/>
              <w:rPr>
                <w:rFonts w:ascii="Arial"/>
                <w:sz w:val="21"/>
              </w:rPr>
            </w:pPr>
          </w:p>
          <w:p w14:paraId="0A7FD92A">
            <w:pPr>
              <w:spacing w:line="261" w:lineRule="auto"/>
              <w:rPr>
                <w:rFonts w:ascii="Arial"/>
                <w:sz w:val="21"/>
              </w:rPr>
            </w:pPr>
          </w:p>
          <w:p w14:paraId="641DAD42">
            <w:pPr>
              <w:spacing w:line="261" w:lineRule="auto"/>
              <w:rPr>
                <w:rFonts w:ascii="Arial"/>
                <w:sz w:val="21"/>
              </w:rPr>
            </w:pPr>
          </w:p>
          <w:p w14:paraId="083B23DB">
            <w:pPr>
              <w:pStyle w:val="6"/>
              <w:spacing w:before="68" w:line="234" w:lineRule="auto"/>
              <w:ind w:left="191"/>
            </w:pPr>
            <w:r>
              <w:rPr>
                <w:rFonts w:ascii="Times New Roman" w:hAnsi="Times New Roman" w:eastAsia="Times New Roman" w:cs="Times New Roman"/>
                <w:spacing w:val="-1"/>
              </w:rPr>
              <w:t xml:space="preserve">220kV </w:t>
            </w:r>
            <w:r>
              <w:rPr>
                <w:spacing w:val="-1"/>
              </w:rPr>
              <w:t>输电线路</w:t>
            </w:r>
          </w:p>
        </w:tc>
        <w:tc>
          <w:tcPr>
            <w:tcW w:w="5856" w:type="dxa"/>
            <w:vAlign w:val="top"/>
          </w:tcPr>
          <w:p w14:paraId="5922F4C1">
            <w:pPr>
              <w:pStyle w:val="6"/>
              <w:spacing w:before="59" w:line="278" w:lineRule="auto"/>
              <w:ind w:left="61" w:right="48" w:firstLine="7"/>
            </w:pPr>
            <w:r>
              <w:rPr>
                <w:spacing w:val="-2"/>
              </w:rPr>
              <w:t>（</w:t>
            </w:r>
            <w:r>
              <w:rPr>
                <w:rFonts w:ascii="Times New Roman" w:hAnsi="Times New Roman" w:eastAsia="Times New Roman" w:cs="Times New Roman"/>
                <w:spacing w:val="-2"/>
              </w:rPr>
              <w:t>1</w:t>
            </w:r>
            <w:r>
              <w:rPr>
                <w:spacing w:val="-2"/>
              </w:rPr>
              <w:t>）</w:t>
            </w:r>
            <w:r>
              <w:rPr>
                <w:rFonts w:ascii="Times New Roman" w:hAnsi="Times New Roman" w:eastAsia="Times New Roman" w:cs="Times New Roman"/>
                <w:spacing w:val="-2"/>
              </w:rPr>
              <w:t>C</w:t>
            </w:r>
            <w:r>
              <w:rPr>
                <w:rFonts w:ascii="Times New Roman" w:hAnsi="Times New Roman" w:eastAsia="Times New Roman" w:cs="Times New Roman"/>
                <w:spacing w:val="49"/>
              </w:rPr>
              <w:t xml:space="preserve"> </w:t>
            </w:r>
            <w:r>
              <w:rPr>
                <w:spacing w:val="-2"/>
              </w:rPr>
              <w:t>回乐业变</w:t>
            </w:r>
            <w:r>
              <w:rPr>
                <w:rFonts w:ascii="Times New Roman" w:hAnsi="Times New Roman" w:eastAsia="Times New Roman" w:cs="Times New Roman"/>
                <w:spacing w:val="-2"/>
              </w:rPr>
              <w:t>~</w:t>
            </w:r>
            <w:r>
              <w:rPr>
                <w:spacing w:val="-2"/>
              </w:rPr>
              <w:t>迤车变</w:t>
            </w:r>
            <w:r>
              <w:rPr>
                <w:spacing w:val="-38"/>
              </w:rPr>
              <w:t xml:space="preserve"> </w:t>
            </w:r>
            <w:r>
              <w:rPr>
                <w:rFonts w:ascii="Times New Roman" w:hAnsi="Times New Roman" w:eastAsia="Times New Roman" w:cs="Times New Roman"/>
                <w:spacing w:val="-2"/>
              </w:rPr>
              <w:t>220kV</w:t>
            </w:r>
            <w:r>
              <w:rPr>
                <w:rFonts w:ascii="Times New Roman" w:hAnsi="Times New Roman" w:eastAsia="Times New Roman" w:cs="Times New Roman"/>
                <w:spacing w:val="21"/>
                <w:w w:val="101"/>
              </w:rPr>
              <w:t xml:space="preserve"> </w:t>
            </w:r>
            <w:r>
              <w:rPr>
                <w:spacing w:val="-2"/>
              </w:rPr>
              <w:t>线路：全线采用单、双回路混</w:t>
            </w:r>
            <w:r>
              <w:rPr>
                <w:spacing w:val="-10"/>
              </w:rPr>
              <w:t>合架设（</w:t>
            </w:r>
            <w:r>
              <w:rPr>
                <w:rFonts w:ascii="Times New Roman" w:hAnsi="Times New Roman" w:eastAsia="Times New Roman" w:cs="Times New Roman"/>
                <w:spacing w:val="-10"/>
              </w:rPr>
              <w:t>500kV</w:t>
            </w:r>
            <w:r>
              <w:rPr>
                <w:rFonts w:ascii="Times New Roman" w:hAnsi="Times New Roman" w:eastAsia="Times New Roman" w:cs="Times New Roman"/>
                <w:spacing w:val="26"/>
              </w:rPr>
              <w:t xml:space="preserve"> </w:t>
            </w:r>
            <w:r>
              <w:rPr>
                <w:spacing w:val="-10"/>
              </w:rPr>
              <w:t>乐业变出线侧采用</w:t>
            </w:r>
            <w:r>
              <w:rPr>
                <w:spacing w:val="-28"/>
              </w:rPr>
              <w:t xml:space="preserve"> </w:t>
            </w:r>
            <w:r>
              <w:rPr>
                <w:rFonts w:ascii="Times New Roman" w:hAnsi="Times New Roman" w:eastAsia="Times New Roman" w:cs="Times New Roman"/>
                <w:spacing w:val="-10"/>
              </w:rPr>
              <w:t xml:space="preserve">1 </w:t>
            </w:r>
            <w:r>
              <w:rPr>
                <w:spacing w:val="-10"/>
              </w:rPr>
              <w:t>基双回塔，单边挂线，</w:t>
            </w:r>
            <w:r>
              <w:rPr>
                <w:rFonts w:ascii="Times New Roman" w:hAnsi="Times New Roman" w:eastAsia="Times New Roman" w:cs="Times New Roman"/>
                <w:spacing w:val="-10"/>
              </w:rPr>
              <w:t>220kV</w:t>
            </w:r>
            <w:r>
              <w:rPr>
                <w:spacing w:val="-2"/>
              </w:rPr>
              <w:t xml:space="preserve">迤车变出线侧沿用 </w:t>
            </w:r>
            <w:r>
              <w:rPr>
                <w:rFonts w:ascii="Times New Roman" w:hAnsi="Times New Roman" w:eastAsia="Times New Roman" w:cs="Times New Roman"/>
                <w:spacing w:val="-2"/>
              </w:rPr>
              <w:t>1</w:t>
            </w:r>
            <w:r>
              <w:rPr>
                <w:rFonts w:ascii="Times New Roman" w:hAnsi="Times New Roman" w:eastAsia="Times New Roman" w:cs="Times New Roman"/>
                <w:spacing w:val="23"/>
              </w:rPr>
              <w:t xml:space="preserve"> </w:t>
            </w:r>
            <w:r>
              <w:rPr>
                <w:spacing w:val="-2"/>
              </w:rPr>
              <w:t>基</w:t>
            </w:r>
            <w:r>
              <w:rPr>
                <w:spacing w:val="-36"/>
              </w:rPr>
              <w:t xml:space="preserve"> </w:t>
            </w:r>
            <w:r>
              <w:rPr>
                <w:rFonts w:ascii="Times New Roman" w:hAnsi="Times New Roman" w:eastAsia="Times New Roman" w:cs="Times New Roman"/>
                <w:spacing w:val="-2"/>
              </w:rPr>
              <w:t>220kV</w:t>
            </w:r>
            <w:r>
              <w:rPr>
                <w:rFonts w:ascii="Times New Roman" w:hAnsi="Times New Roman" w:eastAsia="Times New Roman" w:cs="Times New Roman"/>
                <w:spacing w:val="26"/>
              </w:rPr>
              <w:t xml:space="preserve"> </w:t>
            </w:r>
            <w:r>
              <w:rPr>
                <w:spacing w:val="-2"/>
              </w:rPr>
              <w:t>者迤Ⅰ回线</w:t>
            </w:r>
            <w:r>
              <w:rPr>
                <w:spacing w:val="-30"/>
              </w:rPr>
              <w:t xml:space="preserve"> </w:t>
            </w:r>
            <w:r>
              <w:rPr>
                <w:rFonts w:ascii="Times New Roman" w:hAnsi="Times New Roman" w:eastAsia="Times New Roman" w:cs="Times New Roman"/>
                <w:spacing w:val="-2"/>
              </w:rPr>
              <w:t>73#</w:t>
            </w:r>
            <w:r>
              <w:rPr>
                <w:spacing w:val="-2"/>
              </w:rPr>
              <w:t>双回</w:t>
            </w:r>
            <w:r>
              <w:rPr>
                <w:spacing w:val="-3"/>
              </w:rPr>
              <w:t>塔，双边挂</w:t>
            </w:r>
            <w:r>
              <w:rPr>
                <w:spacing w:val="-4"/>
              </w:rPr>
              <w:t>线，其余均为单回</w:t>
            </w:r>
            <w:r>
              <w:rPr>
                <w:spacing w:val="-19"/>
              </w:rPr>
              <w:t>），</w:t>
            </w:r>
            <w:r>
              <w:rPr>
                <w:spacing w:val="-4"/>
              </w:rPr>
              <w:t>双回塔垂直排列，单回塔三角排列，线路</w:t>
            </w:r>
            <w:r>
              <w:rPr>
                <w:spacing w:val="-2"/>
              </w:rPr>
              <w:t>全长约</w:t>
            </w:r>
            <w:r>
              <w:rPr>
                <w:spacing w:val="-42"/>
              </w:rPr>
              <w:t xml:space="preserve"> </w:t>
            </w:r>
            <w:r>
              <w:rPr>
                <w:rFonts w:ascii="Times New Roman" w:hAnsi="Times New Roman" w:eastAsia="Times New Roman" w:cs="Times New Roman"/>
                <w:spacing w:val="-2"/>
              </w:rPr>
              <w:t>5.6km</w:t>
            </w:r>
            <w:r>
              <w:rPr>
                <w:spacing w:val="-2"/>
              </w:rPr>
              <w:t>。导线采用</w:t>
            </w:r>
            <w:r>
              <w:rPr>
                <w:spacing w:val="-48"/>
              </w:rPr>
              <w:t xml:space="preserve"> </w:t>
            </w:r>
            <w:r>
              <w:rPr>
                <w:rFonts w:ascii="Times New Roman" w:hAnsi="Times New Roman" w:eastAsia="Times New Roman" w:cs="Times New Roman"/>
                <w:spacing w:val="-2"/>
              </w:rPr>
              <w:t>JL/LB20A-400/5</w:t>
            </w:r>
            <w:r>
              <w:rPr>
                <w:rFonts w:ascii="Times New Roman" w:hAnsi="Times New Roman" w:eastAsia="Times New Roman" w:cs="Times New Roman"/>
                <w:spacing w:val="-3"/>
              </w:rPr>
              <w:t xml:space="preserve">0 </w:t>
            </w:r>
            <w:r>
              <w:rPr>
                <w:spacing w:val="-3"/>
              </w:rPr>
              <w:t>铝包钢芯铝绞线，双分裂，分裂间距</w:t>
            </w:r>
            <w:r>
              <w:rPr>
                <w:spacing w:val="-27"/>
              </w:rPr>
              <w:t xml:space="preserve"> </w:t>
            </w:r>
            <w:r>
              <w:rPr>
                <w:rFonts w:ascii="Times New Roman" w:hAnsi="Times New Roman" w:eastAsia="Times New Roman" w:cs="Times New Roman"/>
                <w:spacing w:val="-3"/>
              </w:rPr>
              <w:t>500mm</w:t>
            </w:r>
            <w:r>
              <w:rPr>
                <w:spacing w:val="-3"/>
              </w:rPr>
              <w:t>，共使用铁塔</w:t>
            </w:r>
            <w:r>
              <w:rPr>
                <w:spacing w:val="-27"/>
              </w:rPr>
              <w:t xml:space="preserve"> </w:t>
            </w:r>
            <w:r>
              <w:rPr>
                <w:rFonts w:ascii="Times New Roman" w:hAnsi="Times New Roman" w:eastAsia="Times New Roman" w:cs="Times New Roman"/>
                <w:spacing w:val="-3"/>
              </w:rPr>
              <w:t xml:space="preserve">13 </w:t>
            </w:r>
            <w:r>
              <w:rPr>
                <w:spacing w:val="-3"/>
              </w:rPr>
              <w:t>基。</w:t>
            </w:r>
          </w:p>
          <w:p w14:paraId="43EBBC79">
            <w:pPr>
              <w:pStyle w:val="6"/>
              <w:spacing w:before="4" w:line="268" w:lineRule="auto"/>
              <w:ind w:left="62" w:right="47" w:firstLine="6"/>
            </w:pPr>
            <w:r>
              <w:rPr>
                <w:spacing w:val="-2"/>
              </w:rPr>
              <w:t>（</w:t>
            </w:r>
            <w:r>
              <w:rPr>
                <w:rFonts w:ascii="Times New Roman" w:hAnsi="Times New Roman" w:eastAsia="Times New Roman" w:cs="Times New Roman"/>
                <w:spacing w:val="-2"/>
              </w:rPr>
              <w:t>2</w:t>
            </w:r>
            <w:r>
              <w:rPr>
                <w:spacing w:val="-2"/>
              </w:rPr>
              <w:t>）</w:t>
            </w:r>
            <w:r>
              <w:rPr>
                <w:rFonts w:ascii="Times New Roman" w:hAnsi="Times New Roman" w:eastAsia="Times New Roman" w:cs="Times New Roman"/>
                <w:spacing w:val="-2"/>
              </w:rPr>
              <w:t>D</w:t>
            </w:r>
            <w:r>
              <w:rPr>
                <w:rFonts w:ascii="Times New Roman" w:hAnsi="Times New Roman" w:eastAsia="Times New Roman" w:cs="Times New Roman"/>
                <w:spacing w:val="45"/>
              </w:rPr>
              <w:t xml:space="preserve"> </w:t>
            </w:r>
            <w:r>
              <w:rPr>
                <w:spacing w:val="-2"/>
              </w:rPr>
              <w:t>回迤车变</w:t>
            </w:r>
            <w:r>
              <w:rPr>
                <w:rFonts w:ascii="Times New Roman" w:hAnsi="Times New Roman" w:eastAsia="Times New Roman" w:cs="Times New Roman"/>
                <w:spacing w:val="-2"/>
              </w:rPr>
              <w:t>~</w:t>
            </w:r>
            <w:r>
              <w:rPr>
                <w:spacing w:val="-2"/>
              </w:rPr>
              <w:t>迤车牵引变</w:t>
            </w:r>
            <w:r>
              <w:rPr>
                <w:spacing w:val="-41"/>
              </w:rPr>
              <w:t xml:space="preserve"> </w:t>
            </w:r>
            <w:r>
              <w:rPr>
                <w:rFonts w:ascii="Times New Roman" w:hAnsi="Times New Roman" w:eastAsia="Times New Roman" w:cs="Times New Roman"/>
                <w:spacing w:val="-2"/>
              </w:rPr>
              <w:t>220kV</w:t>
            </w:r>
            <w:r>
              <w:rPr>
                <w:rFonts w:ascii="Times New Roman" w:hAnsi="Times New Roman" w:eastAsia="Times New Roman" w:cs="Times New Roman"/>
                <w:spacing w:val="17"/>
                <w:w w:val="101"/>
              </w:rPr>
              <w:t xml:space="preserve"> </w:t>
            </w:r>
            <w:r>
              <w:rPr>
                <w:spacing w:val="-2"/>
              </w:rPr>
              <w:t>线路：全线采用单、双回</w:t>
            </w:r>
            <w:r>
              <w:rPr>
                <w:spacing w:val="-6"/>
              </w:rPr>
              <w:t>路混合架设（迤车牵引变出线侧采用</w:t>
            </w:r>
            <w:r>
              <w:rPr>
                <w:spacing w:val="-19"/>
              </w:rPr>
              <w:t xml:space="preserve"> </w:t>
            </w:r>
            <w:r>
              <w:rPr>
                <w:rFonts w:ascii="Times New Roman" w:hAnsi="Times New Roman" w:eastAsia="Times New Roman" w:cs="Times New Roman"/>
                <w:spacing w:val="-6"/>
              </w:rPr>
              <w:t xml:space="preserve">1 </w:t>
            </w:r>
            <w:r>
              <w:rPr>
                <w:spacing w:val="-6"/>
              </w:rPr>
              <w:t>基双回塔，单边挂线，其</w:t>
            </w:r>
            <w:r>
              <w:rPr>
                <w:spacing w:val="-4"/>
              </w:rPr>
              <w:t>余均为单回</w:t>
            </w:r>
            <w:r>
              <w:rPr>
                <w:spacing w:val="-19"/>
              </w:rPr>
              <w:t>），</w:t>
            </w:r>
            <w:r>
              <w:rPr>
                <w:spacing w:val="-4"/>
              </w:rPr>
              <w:t>双回塔垂直排列，单回塔三角、水平排列，线路</w:t>
            </w:r>
            <w:r>
              <w:rPr>
                <w:spacing w:val="-2"/>
              </w:rPr>
              <w:t>全长约</w:t>
            </w:r>
            <w:r>
              <w:rPr>
                <w:spacing w:val="-45"/>
              </w:rPr>
              <w:t xml:space="preserve"> </w:t>
            </w:r>
            <w:r>
              <w:rPr>
                <w:rFonts w:ascii="Times New Roman" w:hAnsi="Times New Roman" w:eastAsia="Times New Roman" w:cs="Times New Roman"/>
                <w:spacing w:val="-2"/>
              </w:rPr>
              <w:t>7.0km</w:t>
            </w:r>
            <w:r>
              <w:rPr>
                <w:spacing w:val="-2"/>
              </w:rPr>
              <w:t>。导线采用</w:t>
            </w:r>
            <w:r>
              <w:rPr>
                <w:spacing w:val="-48"/>
              </w:rPr>
              <w:t xml:space="preserve"> </w:t>
            </w:r>
            <w:r>
              <w:rPr>
                <w:rFonts w:ascii="Times New Roman" w:hAnsi="Times New Roman" w:eastAsia="Times New Roman" w:cs="Times New Roman"/>
                <w:spacing w:val="-2"/>
              </w:rPr>
              <w:t xml:space="preserve">JL/LB20A-400/50 </w:t>
            </w:r>
            <w:r>
              <w:rPr>
                <w:spacing w:val="-3"/>
              </w:rPr>
              <w:t>铝包钢芯铝绞线，单</w:t>
            </w:r>
            <w:r>
              <w:rPr>
                <w:spacing w:val="-4"/>
              </w:rPr>
              <w:t>分裂，共使用铁塔</w:t>
            </w:r>
            <w:r>
              <w:rPr>
                <w:spacing w:val="-20"/>
              </w:rPr>
              <w:t xml:space="preserve"> </w:t>
            </w:r>
            <w:r>
              <w:rPr>
                <w:rFonts w:ascii="Times New Roman" w:hAnsi="Times New Roman" w:eastAsia="Times New Roman" w:cs="Times New Roman"/>
                <w:spacing w:val="-4"/>
              </w:rPr>
              <w:t xml:space="preserve">19 </w:t>
            </w:r>
            <w:r>
              <w:rPr>
                <w:spacing w:val="-4"/>
              </w:rPr>
              <w:t>基。</w:t>
            </w:r>
          </w:p>
        </w:tc>
        <w:tc>
          <w:tcPr>
            <w:tcW w:w="110" w:type="dxa"/>
            <w:tcBorders>
              <w:top w:val="nil"/>
            </w:tcBorders>
            <w:vAlign w:val="top"/>
          </w:tcPr>
          <w:p w14:paraId="040B0B6C">
            <w:pPr>
              <w:rPr>
                <w:rFonts w:ascii="Arial"/>
                <w:sz w:val="21"/>
              </w:rPr>
            </w:pPr>
          </w:p>
        </w:tc>
      </w:tr>
    </w:tbl>
    <w:p w14:paraId="165AF421">
      <w:pPr>
        <w:rPr>
          <w:rFonts w:ascii="Arial"/>
          <w:sz w:val="21"/>
        </w:rPr>
      </w:pPr>
    </w:p>
    <w:p w14:paraId="46172F11">
      <w:pPr>
        <w:rPr>
          <w:rFonts w:ascii="Arial" w:hAnsi="Arial" w:eastAsia="Arial" w:cs="Arial"/>
          <w:sz w:val="21"/>
          <w:szCs w:val="21"/>
        </w:rPr>
        <w:sectPr>
          <w:footerReference r:id="rId31" w:type="default"/>
          <w:pgSz w:w="11907" w:h="16841"/>
          <w:pgMar w:top="400" w:right="1408" w:bottom="1126" w:left="1414" w:header="0" w:footer="925" w:gutter="0"/>
          <w:cols w:space="720" w:num="1"/>
        </w:sectPr>
      </w:pPr>
    </w:p>
    <w:p w14:paraId="703EDE46">
      <w:pPr>
        <w:spacing w:before="2"/>
      </w:pPr>
    </w:p>
    <w:p w14:paraId="7556A61F">
      <w:pPr>
        <w:spacing w:before="2"/>
      </w:pPr>
    </w:p>
    <w:p w14:paraId="6A1879F0">
      <w:pPr>
        <w:spacing w:before="1"/>
      </w:pPr>
    </w:p>
    <w:p w14:paraId="156494E1">
      <w:pPr>
        <w:spacing w:before="1"/>
      </w:pPr>
    </w:p>
    <w:p w14:paraId="1AACE3D0">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03"/>
        <w:gridCol w:w="595"/>
        <w:gridCol w:w="1843"/>
        <w:gridCol w:w="5856"/>
        <w:gridCol w:w="110"/>
      </w:tblGrid>
      <w:tr w14:paraId="63B5B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0" w:hRule="atLeast"/>
        </w:trPr>
        <w:tc>
          <w:tcPr>
            <w:tcW w:w="571" w:type="dxa"/>
            <w:vMerge w:val="restart"/>
            <w:tcBorders>
              <w:bottom w:val="nil"/>
            </w:tcBorders>
            <w:vAlign w:val="top"/>
          </w:tcPr>
          <w:p w14:paraId="75E70D2A">
            <w:pPr>
              <w:rPr>
                <w:rFonts w:ascii="Arial"/>
                <w:sz w:val="21"/>
              </w:rPr>
            </w:pPr>
          </w:p>
        </w:tc>
        <w:tc>
          <w:tcPr>
            <w:tcW w:w="103" w:type="dxa"/>
            <w:tcBorders>
              <w:bottom w:val="nil"/>
            </w:tcBorders>
            <w:vAlign w:val="top"/>
          </w:tcPr>
          <w:p w14:paraId="7BD1DBD4">
            <w:pPr>
              <w:rPr>
                <w:rFonts w:ascii="Arial"/>
                <w:sz w:val="21"/>
              </w:rPr>
            </w:pPr>
          </w:p>
        </w:tc>
        <w:tc>
          <w:tcPr>
            <w:tcW w:w="595" w:type="dxa"/>
            <w:vMerge w:val="restart"/>
            <w:tcBorders>
              <w:bottom w:val="nil"/>
            </w:tcBorders>
            <w:vAlign w:val="top"/>
          </w:tcPr>
          <w:p w14:paraId="0D9DC556">
            <w:pPr>
              <w:rPr>
                <w:rFonts w:ascii="Arial"/>
                <w:sz w:val="21"/>
              </w:rPr>
            </w:pPr>
          </w:p>
        </w:tc>
        <w:tc>
          <w:tcPr>
            <w:tcW w:w="1843" w:type="dxa"/>
            <w:vAlign w:val="top"/>
          </w:tcPr>
          <w:p w14:paraId="1BC707D1">
            <w:pPr>
              <w:rPr>
                <w:rFonts w:ascii="Arial"/>
                <w:sz w:val="21"/>
              </w:rPr>
            </w:pPr>
          </w:p>
        </w:tc>
        <w:tc>
          <w:tcPr>
            <w:tcW w:w="5856" w:type="dxa"/>
            <w:vAlign w:val="top"/>
          </w:tcPr>
          <w:p w14:paraId="6156865B">
            <w:pPr>
              <w:pStyle w:val="6"/>
              <w:spacing w:before="71" w:line="267" w:lineRule="auto"/>
              <w:ind w:left="61" w:right="47" w:firstLine="7"/>
              <w:jc w:val="both"/>
            </w:pPr>
            <w:r>
              <w:rPr>
                <w:spacing w:val="-5"/>
              </w:rPr>
              <w:t>（</w:t>
            </w:r>
            <w:r>
              <w:rPr>
                <w:rFonts w:ascii="Times New Roman" w:hAnsi="Times New Roman" w:eastAsia="Times New Roman" w:cs="Times New Roman"/>
                <w:spacing w:val="-5"/>
              </w:rPr>
              <w:t>3</w:t>
            </w:r>
            <w:r>
              <w:rPr>
                <w:spacing w:val="-5"/>
              </w:rPr>
              <w:t>）</w:t>
            </w:r>
            <w:r>
              <w:rPr>
                <w:rFonts w:ascii="Times New Roman" w:hAnsi="Times New Roman" w:eastAsia="Times New Roman" w:cs="Times New Roman"/>
                <w:spacing w:val="-5"/>
              </w:rPr>
              <w:t>E</w:t>
            </w:r>
            <w:r>
              <w:rPr>
                <w:rFonts w:ascii="Times New Roman" w:hAnsi="Times New Roman" w:eastAsia="Times New Roman" w:cs="Times New Roman"/>
                <w:spacing w:val="34"/>
                <w:w w:val="101"/>
              </w:rPr>
              <w:t xml:space="preserve"> </w:t>
            </w:r>
            <w:r>
              <w:rPr>
                <w:spacing w:val="-5"/>
              </w:rPr>
              <w:t>回</w:t>
            </w:r>
            <w:r>
              <w:rPr>
                <w:spacing w:val="-47"/>
              </w:rPr>
              <w:t xml:space="preserve"> </w:t>
            </w:r>
            <w:r>
              <w:rPr>
                <w:rFonts w:ascii="Times New Roman" w:hAnsi="Times New Roman" w:eastAsia="Times New Roman" w:cs="Times New Roman"/>
                <w:spacing w:val="-5"/>
              </w:rPr>
              <w:t xml:space="preserve">220kV </w:t>
            </w:r>
            <w:r>
              <w:rPr>
                <w:spacing w:val="-5"/>
              </w:rPr>
              <w:t>者迤Ⅰ回线改接入迤车牵引变</w:t>
            </w:r>
            <w:r>
              <w:rPr>
                <w:spacing w:val="-48"/>
              </w:rPr>
              <w:t xml:space="preserve"> </w:t>
            </w:r>
            <w:r>
              <w:rPr>
                <w:rFonts w:ascii="Times New Roman" w:hAnsi="Times New Roman" w:eastAsia="Times New Roman" w:cs="Times New Roman"/>
                <w:spacing w:val="-5"/>
              </w:rPr>
              <w:t>220kV</w:t>
            </w:r>
            <w:r>
              <w:rPr>
                <w:rFonts w:ascii="Times New Roman" w:hAnsi="Times New Roman" w:eastAsia="Times New Roman" w:cs="Times New Roman"/>
                <w:spacing w:val="12"/>
              </w:rPr>
              <w:t xml:space="preserve"> </w:t>
            </w:r>
            <w:r>
              <w:rPr>
                <w:spacing w:val="-5"/>
              </w:rPr>
              <w:t>线路：全线采用单、双回路架设（迤车牵引变出线侧采用</w:t>
            </w:r>
            <w:r>
              <w:rPr>
                <w:spacing w:val="-47"/>
              </w:rPr>
              <w:t xml:space="preserve"> </w:t>
            </w:r>
            <w:r>
              <w:rPr>
                <w:rFonts w:ascii="Times New Roman" w:hAnsi="Times New Roman" w:eastAsia="Times New Roman" w:cs="Times New Roman"/>
                <w:spacing w:val="-5"/>
              </w:rPr>
              <w:t xml:space="preserve">2 </w:t>
            </w:r>
            <w:r>
              <w:rPr>
                <w:spacing w:val="-5"/>
              </w:rPr>
              <w:t>基双回塔，单</w:t>
            </w:r>
            <w:r>
              <w:rPr>
                <w:spacing w:val="-4"/>
              </w:rPr>
              <w:t>边挂线，其余均为单回</w:t>
            </w:r>
            <w:r>
              <w:rPr>
                <w:spacing w:val="-19"/>
              </w:rPr>
              <w:t>），</w:t>
            </w:r>
            <w:r>
              <w:rPr>
                <w:spacing w:val="-4"/>
              </w:rPr>
              <w:t>双回塔垂直排列，单回塔三角、水平</w:t>
            </w:r>
            <w:r>
              <w:rPr>
                <w:spacing w:val="-2"/>
              </w:rPr>
              <w:t>排列，线路全长约</w:t>
            </w:r>
            <w:r>
              <w:rPr>
                <w:spacing w:val="-39"/>
              </w:rPr>
              <w:t xml:space="preserve"> </w:t>
            </w:r>
            <w:r>
              <w:rPr>
                <w:rFonts w:ascii="Times New Roman" w:hAnsi="Times New Roman" w:eastAsia="Times New Roman" w:cs="Times New Roman"/>
                <w:spacing w:val="-2"/>
              </w:rPr>
              <w:t>8.9km</w:t>
            </w:r>
            <w:r>
              <w:rPr>
                <w:spacing w:val="-2"/>
              </w:rPr>
              <w:t>。导线采用</w:t>
            </w:r>
            <w:r>
              <w:rPr>
                <w:spacing w:val="-48"/>
              </w:rPr>
              <w:t xml:space="preserve"> </w:t>
            </w:r>
            <w:r>
              <w:rPr>
                <w:rFonts w:ascii="Times New Roman" w:hAnsi="Times New Roman" w:eastAsia="Times New Roman" w:cs="Times New Roman"/>
                <w:spacing w:val="-2"/>
              </w:rPr>
              <w:t>JL/LB20A</w:t>
            </w:r>
            <w:r>
              <w:rPr>
                <w:rFonts w:ascii="Times New Roman" w:hAnsi="Times New Roman" w:eastAsia="Times New Roman" w:cs="Times New Roman"/>
                <w:spacing w:val="-3"/>
              </w:rPr>
              <w:t xml:space="preserve">-400/50 </w:t>
            </w:r>
            <w:r>
              <w:rPr>
                <w:spacing w:val="-3"/>
              </w:rPr>
              <w:t>铝包钢芯</w:t>
            </w:r>
            <w:r>
              <w:rPr>
                <w:spacing w:val="-2"/>
              </w:rPr>
              <w:t>铝绞线，单分裂，共使用铁塔</w:t>
            </w:r>
            <w:r>
              <w:rPr>
                <w:spacing w:val="-33"/>
              </w:rPr>
              <w:t xml:space="preserve"> </w:t>
            </w:r>
            <w:r>
              <w:rPr>
                <w:rFonts w:ascii="Times New Roman" w:hAnsi="Times New Roman" w:eastAsia="Times New Roman" w:cs="Times New Roman"/>
                <w:spacing w:val="-2"/>
              </w:rPr>
              <w:t xml:space="preserve">22 </w:t>
            </w:r>
            <w:r>
              <w:rPr>
                <w:spacing w:val="-2"/>
              </w:rPr>
              <w:t>基。</w:t>
            </w:r>
          </w:p>
        </w:tc>
        <w:tc>
          <w:tcPr>
            <w:tcW w:w="110" w:type="dxa"/>
            <w:vMerge w:val="restart"/>
            <w:tcBorders>
              <w:bottom w:val="nil"/>
            </w:tcBorders>
            <w:vAlign w:val="top"/>
          </w:tcPr>
          <w:p w14:paraId="036721CB">
            <w:pPr>
              <w:rPr>
                <w:rFonts w:ascii="Arial"/>
                <w:sz w:val="21"/>
              </w:rPr>
            </w:pPr>
          </w:p>
        </w:tc>
      </w:tr>
      <w:tr w14:paraId="665F3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0" w:hRule="atLeast"/>
        </w:trPr>
        <w:tc>
          <w:tcPr>
            <w:tcW w:w="571" w:type="dxa"/>
            <w:vMerge w:val="continue"/>
            <w:tcBorders>
              <w:top w:val="nil"/>
              <w:bottom w:val="nil"/>
            </w:tcBorders>
            <w:vAlign w:val="top"/>
          </w:tcPr>
          <w:p w14:paraId="6C7C2D3F">
            <w:pPr>
              <w:rPr>
                <w:rFonts w:ascii="Arial"/>
                <w:sz w:val="21"/>
              </w:rPr>
            </w:pPr>
          </w:p>
        </w:tc>
        <w:tc>
          <w:tcPr>
            <w:tcW w:w="103" w:type="dxa"/>
            <w:tcBorders>
              <w:top w:val="nil"/>
              <w:bottom w:val="nil"/>
            </w:tcBorders>
            <w:vAlign w:val="top"/>
          </w:tcPr>
          <w:p w14:paraId="2FFFE71A">
            <w:pPr>
              <w:rPr>
                <w:rFonts w:ascii="Arial"/>
                <w:sz w:val="21"/>
              </w:rPr>
            </w:pPr>
          </w:p>
        </w:tc>
        <w:tc>
          <w:tcPr>
            <w:tcW w:w="595" w:type="dxa"/>
            <w:vMerge w:val="continue"/>
            <w:tcBorders>
              <w:top w:val="nil"/>
            </w:tcBorders>
            <w:vAlign w:val="top"/>
          </w:tcPr>
          <w:p w14:paraId="1C4277E9">
            <w:pPr>
              <w:rPr>
                <w:rFonts w:ascii="Arial"/>
                <w:sz w:val="21"/>
              </w:rPr>
            </w:pPr>
          </w:p>
        </w:tc>
        <w:tc>
          <w:tcPr>
            <w:tcW w:w="1843" w:type="dxa"/>
            <w:vAlign w:val="top"/>
          </w:tcPr>
          <w:p w14:paraId="2CB79B2C">
            <w:pPr>
              <w:spacing w:line="257" w:lineRule="auto"/>
              <w:rPr>
                <w:rFonts w:ascii="Arial"/>
                <w:sz w:val="21"/>
              </w:rPr>
            </w:pPr>
          </w:p>
          <w:p w14:paraId="54D07AFC">
            <w:pPr>
              <w:spacing w:line="257" w:lineRule="auto"/>
              <w:rPr>
                <w:rFonts w:ascii="Arial"/>
                <w:sz w:val="21"/>
              </w:rPr>
            </w:pPr>
          </w:p>
          <w:p w14:paraId="00620B9D">
            <w:pPr>
              <w:spacing w:line="257" w:lineRule="auto"/>
              <w:rPr>
                <w:rFonts w:ascii="Arial"/>
                <w:sz w:val="21"/>
              </w:rPr>
            </w:pPr>
          </w:p>
          <w:p w14:paraId="6A5CEE1D">
            <w:pPr>
              <w:pStyle w:val="6"/>
              <w:spacing w:before="68" w:line="221" w:lineRule="auto"/>
              <w:ind w:left="717"/>
            </w:pPr>
            <w:r>
              <w:rPr>
                <w:spacing w:val="-2"/>
              </w:rPr>
              <w:t>地线</w:t>
            </w:r>
          </w:p>
        </w:tc>
        <w:tc>
          <w:tcPr>
            <w:tcW w:w="5856" w:type="dxa"/>
            <w:vAlign w:val="top"/>
          </w:tcPr>
          <w:p w14:paraId="45BB49A6">
            <w:pPr>
              <w:pStyle w:val="6"/>
              <w:spacing w:before="55" w:line="277" w:lineRule="auto"/>
              <w:ind w:left="63" w:right="47" w:firstLine="4"/>
            </w:pPr>
            <w:r>
              <w:rPr>
                <w:spacing w:val="-2"/>
              </w:rPr>
              <w:t>（</w:t>
            </w:r>
            <w:r>
              <w:rPr>
                <w:rFonts w:ascii="Times New Roman" w:hAnsi="Times New Roman" w:eastAsia="Times New Roman" w:cs="Times New Roman"/>
                <w:spacing w:val="-2"/>
              </w:rPr>
              <w:t>1</w:t>
            </w:r>
            <w:r>
              <w:rPr>
                <w:spacing w:val="-2"/>
              </w:rPr>
              <w:t>）</w:t>
            </w:r>
            <w:r>
              <w:rPr>
                <w:rFonts w:ascii="Times New Roman" w:hAnsi="Times New Roman" w:eastAsia="Times New Roman" w:cs="Times New Roman"/>
                <w:spacing w:val="-2"/>
              </w:rPr>
              <w:t>C</w:t>
            </w:r>
            <w:r>
              <w:rPr>
                <w:rFonts w:ascii="Times New Roman" w:hAnsi="Times New Roman" w:eastAsia="Times New Roman" w:cs="Times New Roman"/>
                <w:spacing w:val="35"/>
                <w:w w:val="101"/>
              </w:rPr>
              <w:t xml:space="preserve"> </w:t>
            </w:r>
            <w:r>
              <w:rPr>
                <w:spacing w:val="-2"/>
              </w:rPr>
              <w:t>回：全线架设双地线，一根采用</w:t>
            </w:r>
            <w:r>
              <w:rPr>
                <w:spacing w:val="-44"/>
              </w:rPr>
              <w:t xml:space="preserve"> </w:t>
            </w:r>
            <w:r>
              <w:rPr>
                <w:rFonts w:ascii="Times New Roman" w:hAnsi="Times New Roman" w:eastAsia="Times New Roman" w:cs="Times New Roman"/>
                <w:spacing w:val="-2"/>
              </w:rPr>
              <w:t>48</w:t>
            </w:r>
            <w:r>
              <w:rPr>
                <w:rFonts w:ascii="Times New Roman" w:hAnsi="Times New Roman" w:eastAsia="Times New Roman" w:cs="Times New Roman"/>
                <w:spacing w:val="18"/>
              </w:rPr>
              <w:t xml:space="preserve"> </w:t>
            </w:r>
            <w:r>
              <w:rPr>
                <w:spacing w:val="-2"/>
              </w:rPr>
              <w:t>芯</w:t>
            </w:r>
            <w:r>
              <w:rPr>
                <w:spacing w:val="-40"/>
              </w:rPr>
              <w:t xml:space="preserve"> </w:t>
            </w:r>
            <w:r>
              <w:rPr>
                <w:rFonts w:ascii="Times New Roman" w:hAnsi="Times New Roman" w:eastAsia="Times New Roman" w:cs="Times New Roman"/>
                <w:spacing w:val="-2"/>
              </w:rPr>
              <w:t>O</w:t>
            </w:r>
            <w:r>
              <w:rPr>
                <w:rFonts w:ascii="Times New Roman" w:hAnsi="Times New Roman" w:eastAsia="Times New Roman" w:cs="Times New Roman"/>
                <w:spacing w:val="-3"/>
              </w:rPr>
              <w:t>PGW-150</w:t>
            </w:r>
            <w:r>
              <w:rPr>
                <w:rFonts w:ascii="Times New Roman" w:hAnsi="Times New Roman" w:eastAsia="Times New Roman" w:cs="Times New Roman"/>
                <w:spacing w:val="19"/>
                <w:w w:val="101"/>
              </w:rPr>
              <w:t xml:space="preserve"> </w:t>
            </w:r>
            <w:r>
              <w:rPr>
                <w:spacing w:val="-3"/>
              </w:rPr>
              <w:t>复合</w:t>
            </w:r>
            <w:r>
              <w:rPr>
                <w:spacing w:val="-2"/>
              </w:rPr>
              <w:t>光缆，一根采用</w:t>
            </w:r>
            <w:r>
              <w:rPr>
                <w:spacing w:val="-31"/>
              </w:rPr>
              <w:t xml:space="preserve"> </w:t>
            </w:r>
            <w:r>
              <w:rPr>
                <w:rFonts w:ascii="Times New Roman" w:hAnsi="Times New Roman" w:eastAsia="Times New Roman" w:cs="Times New Roman"/>
                <w:spacing w:val="-2"/>
              </w:rPr>
              <w:t xml:space="preserve">JLB20-150 </w:t>
            </w:r>
            <w:r>
              <w:rPr>
                <w:spacing w:val="-2"/>
              </w:rPr>
              <w:t>铝包钢绞线。</w:t>
            </w:r>
          </w:p>
          <w:p w14:paraId="1C89CD55">
            <w:pPr>
              <w:pStyle w:val="6"/>
              <w:spacing w:before="1" w:line="278" w:lineRule="auto"/>
              <w:ind w:left="63" w:right="47" w:firstLine="4"/>
            </w:pPr>
            <w:r>
              <w:rPr>
                <w:spacing w:val="-2"/>
              </w:rPr>
              <w:t>（</w:t>
            </w:r>
            <w:r>
              <w:rPr>
                <w:rFonts w:ascii="Times New Roman" w:hAnsi="Times New Roman" w:eastAsia="Times New Roman" w:cs="Times New Roman"/>
                <w:spacing w:val="-2"/>
              </w:rPr>
              <w:t>2</w:t>
            </w:r>
            <w:r>
              <w:rPr>
                <w:spacing w:val="-2"/>
              </w:rPr>
              <w:t>）</w:t>
            </w:r>
            <w:r>
              <w:rPr>
                <w:rFonts w:ascii="Times New Roman" w:hAnsi="Times New Roman" w:eastAsia="Times New Roman" w:cs="Times New Roman"/>
                <w:spacing w:val="-2"/>
              </w:rPr>
              <w:t>D</w:t>
            </w:r>
            <w:r>
              <w:rPr>
                <w:rFonts w:ascii="Times New Roman" w:hAnsi="Times New Roman" w:eastAsia="Times New Roman" w:cs="Times New Roman"/>
                <w:spacing w:val="33"/>
              </w:rPr>
              <w:t xml:space="preserve"> </w:t>
            </w:r>
            <w:r>
              <w:rPr>
                <w:spacing w:val="-2"/>
              </w:rPr>
              <w:t>回：全线架设双地线，一根采用</w:t>
            </w:r>
            <w:r>
              <w:rPr>
                <w:spacing w:val="-45"/>
              </w:rPr>
              <w:t xml:space="preserve"> </w:t>
            </w:r>
            <w:r>
              <w:rPr>
                <w:rFonts w:ascii="Times New Roman" w:hAnsi="Times New Roman" w:eastAsia="Times New Roman" w:cs="Times New Roman"/>
                <w:spacing w:val="-2"/>
              </w:rPr>
              <w:t>24</w:t>
            </w:r>
            <w:r>
              <w:rPr>
                <w:rFonts w:ascii="Times New Roman" w:hAnsi="Times New Roman" w:eastAsia="Times New Roman" w:cs="Times New Roman"/>
                <w:spacing w:val="15"/>
                <w:w w:val="101"/>
              </w:rPr>
              <w:t xml:space="preserve"> </w:t>
            </w:r>
            <w:r>
              <w:rPr>
                <w:spacing w:val="-2"/>
              </w:rPr>
              <w:t>芯</w:t>
            </w:r>
            <w:r>
              <w:rPr>
                <w:spacing w:val="-43"/>
              </w:rPr>
              <w:t xml:space="preserve"> </w:t>
            </w:r>
            <w:r>
              <w:rPr>
                <w:rFonts w:ascii="Times New Roman" w:hAnsi="Times New Roman" w:eastAsia="Times New Roman" w:cs="Times New Roman"/>
                <w:spacing w:val="-3"/>
              </w:rPr>
              <w:t>OPGW-100</w:t>
            </w:r>
            <w:r>
              <w:rPr>
                <w:rFonts w:ascii="Times New Roman" w:hAnsi="Times New Roman" w:eastAsia="Times New Roman" w:cs="Times New Roman"/>
                <w:spacing w:val="17"/>
                <w:w w:val="101"/>
              </w:rPr>
              <w:t xml:space="preserve"> </w:t>
            </w:r>
            <w:r>
              <w:rPr>
                <w:spacing w:val="-3"/>
              </w:rPr>
              <w:t>复合</w:t>
            </w:r>
            <w:r>
              <w:rPr>
                <w:spacing w:val="-2"/>
              </w:rPr>
              <w:t>光缆，一根采用</w:t>
            </w:r>
            <w:r>
              <w:rPr>
                <w:spacing w:val="-31"/>
              </w:rPr>
              <w:t xml:space="preserve"> </w:t>
            </w:r>
            <w:r>
              <w:rPr>
                <w:rFonts w:ascii="Times New Roman" w:hAnsi="Times New Roman" w:eastAsia="Times New Roman" w:cs="Times New Roman"/>
                <w:spacing w:val="-2"/>
              </w:rPr>
              <w:t xml:space="preserve">JLB20-100 </w:t>
            </w:r>
            <w:r>
              <w:rPr>
                <w:spacing w:val="-2"/>
              </w:rPr>
              <w:t>铝包钢绞线。</w:t>
            </w:r>
          </w:p>
          <w:p w14:paraId="27531700">
            <w:pPr>
              <w:pStyle w:val="6"/>
              <w:spacing w:before="1" w:line="250" w:lineRule="auto"/>
              <w:ind w:left="63" w:right="47" w:firstLine="4"/>
            </w:pPr>
            <w:r>
              <w:rPr>
                <w:spacing w:val="-2"/>
              </w:rPr>
              <w:t>（</w:t>
            </w:r>
            <w:r>
              <w:rPr>
                <w:rFonts w:ascii="Times New Roman" w:hAnsi="Times New Roman" w:eastAsia="Times New Roman" w:cs="Times New Roman"/>
                <w:spacing w:val="-2"/>
              </w:rPr>
              <w:t>3</w:t>
            </w:r>
            <w:r>
              <w:rPr>
                <w:spacing w:val="-2"/>
              </w:rPr>
              <w:t>）</w:t>
            </w:r>
            <w:r>
              <w:rPr>
                <w:rFonts w:ascii="Times New Roman" w:hAnsi="Times New Roman" w:eastAsia="Times New Roman" w:cs="Times New Roman"/>
                <w:spacing w:val="-2"/>
              </w:rPr>
              <w:t>E</w:t>
            </w:r>
            <w:r>
              <w:rPr>
                <w:rFonts w:ascii="Times New Roman" w:hAnsi="Times New Roman" w:eastAsia="Times New Roman" w:cs="Times New Roman"/>
                <w:spacing w:val="37"/>
                <w:w w:val="101"/>
              </w:rPr>
              <w:t xml:space="preserve"> </w:t>
            </w:r>
            <w:r>
              <w:rPr>
                <w:spacing w:val="-2"/>
              </w:rPr>
              <w:t>回：全线架设双地线，一根采用</w:t>
            </w:r>
            <w:r>
              <w:rPr>
                <w:spacing w:val="-40"/>
              </w:rPr>
              <w:t xml:space="preserve"> </w:t>
            </w:r>
            <w:r>
              <w:rPr>
                <w:rFonts w:ascii="Times New Roman" w:hAnsi="Times New Roman" w:eastAsia="Times New Roman" w:cs="Times New Roman"/>
                <w:spacing w:val="-2"/>
              </w:rPr>
              <w:t>24</w:t>
            </w:r>
            <w:r>
              <w:rPr>
                <w:rFonts w:ascii="Times New Roman" w:hAnsi="Times New Roman" w:eastAsia="Times New Roman" w:cs="Times New Roman"/>
                <w:spacing w:val="20"/>
              </w:rPr>
              <w:t xml:space="preserve"> </w:t>
            </w:r>
            <w:r>
              <w:rPr>
                <w:spacing w:val="-2"/>
              </w:rPr>
              <w:t>芯</w:t>
            </w:r>
            <w:r>
              <w:rPr>
                <w:spacing w:val="-38"/>
              </w:rPr>
              <w:t xml:space="preserve"> </w:t>
            </w:r>
            <w:r>
              <w:rPr>
                <w:rFonts w:ascii="Times New Roman" w:hAnsi="Times New Roman" w:eastAsia="Times New Roman" w:cs="Times New Roman"/>
                <w:spacing w:val="-3"/>
              </w:rPr>
              <w:t>OPGW-100</w:t>
            </w:r>
            <w:r>
              <w:rPr>
                <w:rFonts w:ascii="Times New Roman" w:hAnsi="Times New Roman" w:eastAsia="Times New Roman" w:cs="Times New Roman"/>
                <w:spacing w:val="22"/>
              </w:rPr>
              <w:t xml:space="preserve"> </w:t>
            </w:r>
            <w:r>
              <w:rPr>
                <w:spacing w:val="-3"/>
              </w:rPr>
              <w:t>复合</w:t>
            </w:r>
            <w:r>
              <w:rPr>
                <w:spacing w:val="-2"/>
              </w:rPr>
              <w:t>光缆，一根采用</w:t>
            </w:r>
            <w:r>
              <w:rPr>
                <w:spacing w:val="-31"/>
              </w:rPr>
              <w:t xml:space="preserve"> </w:t>
            </w:r>
            <w:r>
              <w:rPr>
                <w:rFonts w:ascii="Times New Roman" w:hAnsi="Times New Roman" w:eastAsia="Times New Roman" w:cs="Times New Roman"/>
                <w:spacing w:val="-2"/>
              </w:rPr>
              <w:t xml:space="preserve">JLB20-100 </w:t>
            </w:r>
            <w:r>
              <w:rPr>
                <w:spacing w:val="-2"/>
              </w:rPr>
              <w:t>铝包钢绞线。</w:t>
            </w:r>
          </w:p>
        </w:tc>
        <w:tc>
          <w:tcPr>
            <w:tcW w:w="110" w:type="dxa"/>
            <w:vMerge w:val="continue"/>
            <w:tcBorders>
              <w:top w:val="nil"/>
              <w:bottom w:val="nil"/>
            </w:tcBorders>
            <w:vAlign w:val="top"/>
          </w:tcPr>
          <w:p w14:paraId="5527D7EC">
            <w:pPr>
              <w:rPr>
                <w:rFonts w:ascii="Arial"/>
                <w:sz w:val="21"/>
              </w:rPr>
            </w:pPr>
          </w:p>
        </w:tc>
      </w:tr>
      <w:tr w14:paraId="7F54C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7" w:hRule="atLeast"/>
        </w:trPr>
        <w:tc>
          <w:tcPr>
            <w:tcW w:w="571" w:type="dxa"/>
            <w:vMerge w:val="continue"/>
            <w:tcBorders>
              <w:top w:val="nil"/>
              <w:bottom w:val="nil"/>
            </w:tcBorders>
            <w:vAlign w:val="top"/>
          </w:tcPr>
          <w:p w14:paraId="419B2E2A">
            <w:pPr>
              <w:rPr>
                <w:rFonts w:ascii="Arial"/>
                <w:sz w:val="21"/>
              </w:rPr>
            </w:pPr>
          </w:p>
        </w:tc>
        <w:tc>
          <w:tcPr>
            <w:tcW w:w="103" w:type="dxa"/>
            <w:tcBorders>
              <w:top w:val="nil"/>
              <w:bottom w:val="nil"/>
            </w:tcBorders>
            <w:vAlign w:val="top"/>
          </w:tcPr>
          <w:p w14:paraId="746813D3">
            <w:pPr>
              <w:rPr>
                <w:rFonts w:ascii="Arial"/>
                <w:sz w:val="21"/>
              </w:rPr>
            </w:pPr>
          </w:p>
        </w:tc>
        <w:tc>
          <w:tcPr>
            <w:tcW w:w="595" w:type="dxa"/>
            <w:vMerge w:val="restart"/>
            <w:tcBorders>
              <w:bottom w:val="nil"/>
            </w:tcBorders>
            <w:vAlign w:val="top"/>
          </w:tcPr>
          <w:p w14:paraId="3F436A76">
            <w:pPr>
              <w:spacing w:line="254" w:lineRule="auto"/>
              <w:rPr>
                <w:rFonts w:ascii="Arial"/>
                <w:sz w:val="21"/>
              </w:rPr>
            </w:pPr>
          </w:p>
          <w:p w14:paraId="50828C55">
            <w:pPr>
              <w:spacing w:line="254" w:lineRule="auto"/>
              <w:rPr>
                <w:rFonts w:ascii="Arial"/>
                <w:sz w:val="21"/>
              </w:rPr>
            </w:pPr>
          </w:p>
          <w:p w14:paraId="545A0042">
            <w:pPr>
              <w:spacing w:line="255" w:lineRule="auto"/>
              <w:rPr>
                <w:rFonts w:ascii="Arial"/>
                <w:sz w:val="21"/>
              </w:rPr>
            </w:pPr>
          </w:p>
          <w:p w14:paraId="3E16F737">
            <w:pPr>
              <w:spacing w:line="255" w:lineRule="auto"/>
              <w:rPr>
                <w:rFonts w:ascii="Arial"/>
                <w:sz w:val="21"/>
              </w:rPr>
            </w:pPr>
          </w:p>
          <w:p w14:paraId="31AB3E4E">
            <w:pPr>
              <w:spacing w:line="255" w:lineRule="auto"/>
              <w:rPr>
                <w:rFonts w:ascii="Arial"/>
                <w:sz w:val="21"/>
              </w:rPr>
            </w:pPr>
          </w:p>
          <w:p w14:paraId="50850953">
            <w:pPr>
              <w:spacing w:line="255" w:lineRule="auto"/>
              <w:rPr>
                <w:rFonts w:ascii="Arial"/>
                <w:sz w:val="21"/>
              </w:rPr>
            </w:pPr>
          </w:p>
          <w:p w14:paraId="5944A39C">
            <w:pPr>
              <w:spacing w:line="255" w:lineRule="auto"/>
              <w:rPr>
                <w:rFonts w:ascii="Arial"/>
                <w:sz w:val="21"/>
              </w:rPr>
            </w:pPr>
          </w:p>
          <w:p w14:paraId="104FC223">
            <w:pPr>
              <w:spacing w:line="255" w:lineRule="auto"/>
              <w:rPr>
                <w:rFonts w:ascii="Arial"/>
                <w:sz w:val="21"/>
              </w:rPr>
            </w:pPr>
          </w:p>
          <w:p w14:paraId="6A29B3D4">
            <w:pPr>
              <w:pStyle w:val="6"/>
              <w:spacing w:before="68" w:line="281" w:lineRule="auto"/>
              <w:ind w:left="94" w:right="83"/>
            </w:pPr>
            <w:r>
              <w:rPr>
                <w:spacing w:val="-4"/>
              </w:rPr>
              <w:t>辅助</w:t>
            </w:r>
            <w:r>
              <w:rPr>
                <w:spacing w:val="-5"/>
              </w:rPr>
              <w:t>工程</w:t>
            </w:r>
          </w:p>
        </w:tc>
        <w:tc>
          <w:tcPr>
            <w:tcW w:w="1843" w:type="dxa"/>
            <w:vAlign w:val="top"/>
          </w:tcPr>
          <w:p w14:paraId="78D9281E">
            <w:pPr>
              <w:spacing w:line="257" w:lineRule="auto"/>
              <w:rPr>
                <w:rFonts w:ascii="Arial"/>
                <w:sz w:val="21"/>
              </w:rPr>
            </w:pPr>
          </w:p>
          <w:p w14:paraId="1809855F">
            <w:pPr>
              <w:spacing w:line="257" w:lineRule="auto"/>
              <w:rPr>
                <w:rFonts w:ascii="Arial"/>
                <w:sz w:val="21"/>
              </w:rPr>
            </w:pPr>
          </w:p>
          <w:p w14:paraId="6BE58A94">
            <w:pPr>
              <w:spacing w:line="258" w:lineRule="auto"/>
              <w:rPr>
                <w:rFonts w:ascii="Arial"/>
                <w:sz w:val="21"/>
              </w:rPr>
            </w:pPr>
          </w:p>
          <w:p w14:paraId="7FC07512">
            <w:pPr>
              <w:pStyle w:val="6"/>
              <w:spacing w:before="68" w:line="281" w:lineRule="auto"/>
              <w:ind w:left="719" w:right="77" w:hanging="633"/>
            </w:pPr>
            <w:r>
              <w:rPr>
                <w:rFonts w:ascii="Times New Roman" w:hAnsi="Times New Roman" w:eastAsia="Times New Roman" w:cs="Times New Roman"/>
                <w:spacing w:val="-1"/>
              </w:rPr>
              <w:t xml:space="preserve">220kV </w:t>
            </w:r>
            <w:r>
              <w:rPr>
                <w:spacing w:val="-1"/>
              </w:rPr>
              <w:t>迤车变间隔</w:t>
            </w:r>
            <w:r>
              <w:rPr>
                <w:spacing w:val="-2"/>
              </w:rPr>
              <w:t>扩建</w:t>
            </w:r>
          </w:p>
        </w:tc>
        <w:tc>
          <w:tcPr>
            <w:tcW w:w="5856" w:type="dxa"/>
            <w:vAlign w:val="top"/>
          </w:tcPr>
          <w:p w14:paraId="247953A7">
            <w:pPr>
              <w:pStyle w:val="6"/>
              <w:spacing w:before="55" w:line="278" w:lineRule="auto"/>
              <w:ind w:left="58" w:right="50" w:firstLine="10"/>
            </w:pPr>
            <w:r>
              <w:rPr>
                <w:spacing w:val="-1"/>
              </w:rPr>
              <w:t>（</w:t>
            </w:r>
            <w:r>
              <w:rPr>
                <w:rFonts w:ascii="Times New Roman" w:hAnsi="Times New Roman" w:eastAsia="Times New Roman" w:cs="Times New Roman"/>
                <w:spacing w:val="-1"/>
              </w:rPr>
              <w:t>1</w:t>
            </w:r>
            <w:r>
              <w:rPr>
                <w:spacing w:val="-1"/>
              </w:rPr>
              <w:t xml:space="preserve">）本期在 </w:t>
            </w:r>
            <w:r>
              <w:rPr>
                <w:rFonts w:ascii="Times New Roman" w:hAnsi="Times New Roman" w:eastAsia="Times New Roman" w:cs="Times New Roman"/>
                <w:spacing w:val="-1"/>
              </w:rPr>
              <w:t xml:space="preserve">220kV  </w:t>
            </w:r>
            <w:r>
              <w:rPr>
                <w:spacing w:val="-1"/>
              </w:rPr>
              <w:t xml:space="preserve">迤车变 </w:t>
            </w:r>
            <w:r>
              <w:rPr>
                <w:rFonts w:ascii="Times New Roman" w:hAnsi="Times New Roman" w:eastAsia="Times New Roman" w:cs="Times New Roman"/>
                <w:spacing w:val="-1"/>
              </w:rPr>
              <w:t xml:space="preserve">220kV  </w:t>
            </w:r>
            <w:r>
              <w:rPr>
                <w:spacing w:val="-1"/>
              </w:rPr>
              <w:t xml:space="preserve">配电装置场地，新增 </w:t>
            </w:r>
            <w:r>
              <w:rPr>
                <w:rFonts w:ascii="Times New Roman" w:hAnsi="Times New Roman" w:eastAsia="Times New Roman" w:cs="Times New Roman"/>
                <w:spacing w:val="-1"/>
              </w:rPr>
              <w:t xml:space="preserve">1  </w:t>
            </w:r>
            <w:r>
              <w:rPr>
                <w:spacing w:val="-1"/>
              </w:rPr>
              <w:t>个</w:t>
            </w:r>
            <w:r>
              <w:rPr>
                <w:rFonts w:ascii="Times New Roman" w:hAnsi="Times New Roman" w:eastAsia="Times New Roman" w:cs="Times New Roman"/>
                <w:spacing w:val="-6"/>
              </w:rPr>
              <w:t>220kV</w:t>
            </w:r>
            <w:r>
              <w:rPr>
                <w:rFonts w:ascii="Times New Roman" w:hAnsi="Times New Roman" w:eastAsia="Times New Roman" w:cs="Times New Roman"/>
                <w:spacing w:val="46"/>
                <w:w w:val="101"/>
              </w:rPr>
              <w:t xml:space="preserve"> </w:t>
            </w:r>
            <w:r>
              <w:rPr>
                <w:spacing w:val="-6"/>
              </w:rPr>
              <w:t>出线间隔至迤车牵引变，包含户外电气设备、支架、基础</w:t>
            </w:r>
            <w:r>
              <w:rPr>
                <w:spacing w:val="-1"/>
              </w:rPr>
              <w:t>及电缆沟，在</w:t>
            </w:r>
            <w:r>
              <w:rPr>
                <w:spacing w:val="-48"/>
              </w:rPr>
              <w:t xml:space="preserve"> </w:t>
            </w:r>
            <w:r>
              <w:rPr>
                <w:rFonts w:ascii="Times New Roman" w:hAnsi="Times New Roman" w:eastAsia="Times New Roman" w:cs="Times New Roman"/>
                <w:spacing w:val="-1"/>
              </w:rPr>
              <w:t xml:space="preserve">220kV </w:t>
            </w:r>
            <w:r>
              <w:rPr>
                <w:spacing w:val="-1"/>
              </w:rPr>
              <w:t>迤车变南侧新征地</w:t>
            </w:r>
            <w:r>
              <w:rPr>
                <w:spacing w:val="-28"/>
              </w:rPr>
              <w:t xml:space="preserve"> </w:t>
            </w:r>
            <w:r>
              <w:rPr>
                <w:rFonts w:ascii="Times New Roman" w:hAnsi="Times New Roman" w:eastAsia="Times New Roman" w:cs="Times New Roman"/>
                <w:spacing w:val="-1"/>
              </w:rPr>
              <w:t>1010m</w:t>
            </w:r>
            <w:r>
              <w:rPr>
                <w:rFonts w:ascii="Times New Roman" w:hAnsi="Times New Roman" w:eastAsia="Times New Roman" w:cs="Times New Roman"/>
                <w:spacing w:val="-1"/>
                <w:position w:val="6"/>
                <w:sz w:val="13"/>
                <w:szCs w:val="13"/>
              </w:rPr>
              <w:t>2</w:t>
            </w:r>
            <w:r>
              <w:rPr>
                <w:spacing w:val="-1"/>
              </w:rPr>
              <w:t>。</w:t>
            </w:r>
          </w:p>
          <w:p w14:paraId="21994D36">
            <w:pPr>
              <w:pStyle w:val="6"/>
              <w:spacing w:line="273" w:lineRule="auto"/>
              <w:ind w:left="64" w:right="50" w:firstLine="3"/>
            </w:pPr>
            <w:r>
              <w:rPr>
                <w:spacing w:val="-4"/>
              </w:rPr>
              <w:t>（</w:t>
            </w:r>
            <w:r>
              <w:rPr>
                <w:rFonts w:ascii="Times New Roman" w:hAnsi="Times New Roman" w:eastAsia="Times New Roman" w:cs="Times New Roman"/>
                <w:spacing w:val="-4"/>
              </w:rPr>
              <w:t>2</w:t>
            </w:r>
            <w:r>
              <w:rPr>
                <w:spacing w:val="-4"/>
              </w:rPr>
              <w:t>）原</w:t>
            </w:r>
            <w:r>
              <w:rPr>
                <w:spacing w:val="-19"/>
              </w:rPr>
              <w:t xml:space="preserve"> </w:t>
            </w:r>
            <w:r>
              <w:rPr>
                <w:rFonts w:ascii="Times New Roman" w:hAnsi="Times New Roman" w:eastAsia="Times New Roman" w:cs="Times New Roman"/>
                <w:spacing w:val="-4"/>
              </w:rPr>
              <w:t xml:space="preserve">220kV </w:t>
            </w:r>
            <w:r>
              <w:rPr>
                <w:spacing w:val="-4"/>
              </w:rPr>
              <w:t>者迤Ⅰ线间隔本期改接为者迤Ⅱ线，原设备及导</w:t>
            </w:r>
            <w:r>
              <w:rPr>
                <w:spacing w:val="-5"/>
              </w:rPr>
              <w:t>线均沿用。</w:t>
            </w:r>
          </w:p>
          <w:p w14:paraId="2FE3DBAA">
            <w:pPr>
              <w:pStyle w:val="6"/>
              <w:spacing w:before="12" w:line="250" w:lineRule="auto"/>
              <w:ind w:left="64" w:right="47" w:firstLine="3"/>
            </w:pPr>
            <w:r>
              <w:rPr>
                <w:spacing w:val="-3"/>
              </w:rPr>
              <w:t>（</w:t>
            </w:r>
            <w:r>
              <w:rPr>
                <w:rFonts w:ascii="Times New Roman" w:hAnsi="Times New Roman" w:eastAsia="Times New Roman" w:cs="Times New Roman"/>
                <w:spacing w:val="-3"/>
              </w:rPr>
              <w:t>3</w:t>
            </w:r>
            <w:r>
              <w:rPr>
                <w:spacing w:val="-3"/>
              </w:rPr>
              <w:t xml:space="preserve">）原 </w:t>
            </w:r>
            <w:r>
              <w:rPr>
                <w:rFonts w:ascii="Times New Roman" w:hAnsi="Times New Roman" w:eastAsia="Times New Roman" w:cs="Times New Roman"/>
                <w:spacing w:val="-3"/>
              </w:rPr>
              <w:t>220kV</w:t>
            </w:r>
            <w:r>
              <w:rPr>
                <w:rFonts w:ascii="Times New Roman" w:hAnsi="Times New Roman" w:eastAsia="Times New Roman" w:cs="Times New Roman"/>
                <w:spacing w:val="48"/>
                <w:w w:val="101"/>
              </w:rPr>
              <w:t xml:space="preserve"> </w:t>
            </w:r>
            <w:r>
              <w:rPr>
                <w:spacing w:val="-3"/>
              </w:rPr>
              <w:t>者迤Ⅱ线间隔本期改接至</w:t>
            </w:r>
            <w:r>
              <w:rPr>
                <w:spacing w:val="-20"/>
              </w:rPr>
              <w:t xml:space="preserve"> </w:t>
            </w:r>
            <w:r>
              <w:rPr>
                <w:rFonts w:ascii="Times New Roman" w:hAnsi="Times New Roman" w:eastAsia="Times New Roman" w:cs="Times New Roman"/>
                <w:spacing w:val="-3"/>
              </w:rPr>
              <w:t>500kV</w:t>
            </w:r>
            <w:r>
              <w:rPr>
                <w:rFonts w:ascii="Times New Roman" w:hAnsi="Times New Roman" w:eastAsia="Times New Roman" w:cs="Times New Roman"/>
                <w:spacing w:val="37"/>
                <w:w w:val="101"/>
              </w:rPr>
              <w:t xml:space="preserve"> </w:t>
            </w:r>
            <w:r>
              <w:rPr>
                <w:spacing w:val="-3"/>
              </w:rPr>
              <w:t>乐业变，原设</w:t>
            </w:r>
            <w:r>
              <w:rPr>
                <w:spacing w:val="-1"/>
              </w:rPr>
              <w:t>备沿用，原间隔内导线更换为双分裂导线。</w:t>
            </w:r>
          </w:p>
        </w:tc>
        <w:tc>
          <w:tcPr>
            <w:tcW w:w="110" w:type="dxa"/>
            <w:vMerge w:val="continue"/>
            <w:tcBorders>
              <w:top w:val="nil"/>
              <w:bottom w:val="nil"/>
            </w:tcBorders>
            <w:vAlign w:val="top"/>
          </w:tcPr>
          <w:p w14:paraId="61B602F2">
            <w:pPr>
              <w:rPr>
                <w:rFonts w:ascii="Arial"/>
                <w:sz w:val="21"/>
              </w:rPr>
            </w:pPr>
          </w:p>
        </w:tc>
      </w:tr>
      <w:tr w14:paraId="0985CB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83" w:hRule="atLeast"/>
        </w:trPr>
        <w:tc>
          <w:tcPr>
            <w:tcW w:w="571" w:type="dxa"/>
            <w:vMerge w:val="continue"/>
            <w:tcBorders>
              <w:top w:val="nil"/>
              <w:bottom w:val="nil"/>
            </w:tcBorders>
            <w:vAlign w:val="top"/>
          </w:tcPr>
          <w:p w14:paraId="024E454A">
            <w:pPr>
              <w:rPr>
                <w:rFonts w:ascii="Arial"/>
                <w:sz w:val="21"/>
              </w:rPr>
            </w:pPr>
          </w:p>
        </w:tc>
        <w:tc>
          <w:tcPr>
            <w:tcW w:w="103" w:type="dxa"/>
            <w:tcBorders>
              <w:top w:val="nil"/>
              <w:bottom w:val="nil"/>
            </w:tcBorders>
            <w:vAlign w:val="top"/>
          </w:tcPr>
          <w:p w14:paraId="0E564CD2">
            <w:pPr>
              <w:rPr>
                <w:rFonts w:ascii="Arial"/>
                <w:sz w:val="21"/>
              </w:rPr>
            </w:pPr>
          </w:p>
        </w:tc>
        <w:tc>
          <w:tcPr>
            <w:tcW w:w="595" w:type="dxa"/>
            <w:vMerge w:val="continue"/>
            <w:tcBorders>
              <w:top w:val="nil"/>
              <w:bottom w:val="nil"/>
            </w:tcBorders>
            <w:vAlign w:val="top"/>
          </w:tcPr>
          <w:p w14:paraId="4C7A7413">
            <w:pPr>
              <w:rPr>
                <w:rFonts w:ascii="Arial"/>
                <w:sz w:val="21"/>
              </w:rPr>
            </w:pPr>
          </w:p>
        </w:tc>
        <w:tc>
          <w:tcPr>
            <w:tcW w:w="1843" w:type="dxa"/>
            <w:vAlign w:val="top"/>
          </w:tcPr>
          <w:p w14:paraId="27C0BC31">
            <w:pPr>
              <w:spacing w:line="459" w:lineRule="auto"/>
              <w:rPr>
                <w:rFonts w:ascii="Arial"/>
                <w:sz w:val="21"/>
              </w:rPr>
            </w:pPr>
          </w:p>
          <w:p w14:paraId="0E5C17E0">
            <w:pPr>
              <w:pStyle w:val="6"/>
              <w:spacing w:before="68" w:line="279" w:lineRule="auto"/>
              <w:ind w:left="719" w:right="77" w:hanging="627"/>
            </w:pPr>
            <w:r>
              <w:rPr>
                <w:rFonts w:ascii="Times New Roman" w:hAnsi="Times New Roman" w:eastAsia="Times New Roman" w:cs="Times New Roman"/>
                <w:spacing w:val="-3"/>
              </w:rPr>
              <w:t>500kV</w:t>
            </w:r>
            <w:r>
              <w:rPr>
                <w:rFonts w:ascii="Times New Roman" w:hAnsi="Times New Roman" w:eastAsia="Times New Roman" w:cs="Times New Roman"/>
                <w:spacing w:val="23"/>
              </w:rPr>
              <w:t xml:space="preserve"> </w:t>
            </w:r>
            <w:r>
              <w:rPr>
                <w:spacing w:val="-3"/>
              </w:rPr>
              <w:t>乐业变间隔</w:t>
            </w:r>
            <w:r>
              <w:rPr>
                <w:spacing w:val="-2"/>
              </w:rPr>
              <w:t>扩建</w:t>
            </w:r>
          </w:p>
        </w:tc>
        <w:tc>
          <w:tcPr>
            <w:tcW w:w="5856" w:type="dxa"/>
            <w:vAlign w:val="top"/>
          </w:tcPr>
          <w:p w14:paraId="53FD6A8F">
            <w:pPr>
              <w:pStyle w:val="6"/>
              <w:spacing w:before="55" w:line="277" w:lineRule="auto"/>
              <w:ind w:left="58" w:right="50" w:firstLine="10"/>
            </w:pPr>
            <w:r>
              <w:rPr>
                <w:spacing w:val="-1"/>
              </w:rPr>
              <w:t>（</w:t>
            </w:r>
            <w:r>
              <w:rPr>
                <w:rFonts w:ascii="Times New Roman" w:hAnsi="Times New Roman" w:eastAsia="Times New Roman" w:cs="Times New Roman"/>
                <w:spacing w:val="-1"/>
              </w:rPr>
              <w:t>1</w:t>
            </w:r>
            <w:r>
              <w:rPr>
                <w:spacing w:val="-1"/>
              </w:rPr>
              <w:t xml:space="preserve">）本期在 </w:t>
            </w:r>
            <w:r>
              <w:rPr>
                <w:rFonts w:ascii="Times New Roman" w:hAnsi="Times New Roman" w:eastAsia="Times New Roman" w:cs="Times New Roman"/>
                <w:spacing w:val="-1"/>
              </w:rPr>
              <w:t xml:space="preserve">500kV  </w:t>
            </w:r>
            <w:r>
              <w:rPr>
                <w:spacing w:val="-1"/>
              </w:rPr>
              <w:t xml:space="preserve">乐业变 </w:t>
            </w:r>
            <w:r>
              <w:rPr>
                <w:rFonts w:ascii="Times New Roman" w:hAnsi="Times New Roman" w:eastAsia="Times New Roman" w:cs="Times New Roman"/>
                <w:spacing w:val="-1"/>
              </w:rPr>
              <w:t xml:space="preserve">220kV  </w:t>
            </w:r>
            <w:r>
              <w:rPr>
                <w:spacing w:val="-1"/>
              </w:rPr>
              <w:t xml:space="preserve">配电装置场地，新增 </w:t>
            </w:r>
            <w:r>
              <w:rPr>
                <w:rFonts w:ascii="Times New Roman" w:hAnsi="Times New Roman" w:eastAsia="Times New Roman" w:cs="Times New Roman"/>
                <w:spacing w:val="-1"/>
              </w:rPr>
              <w:t>1</w:t>
            </w:r>
            <w:r>
              <w:rPr>
                <w:rFonts w:ascii="Times New Roman" w:hAnsi="Times New Roman" w:eastAsia="Times New Roman" w:cs="Times New Roman"/>
                <w:spacing w:val="2"/>
              </w:rPr>
              <w:t xml:space="preserve">  </w:t>
            </w:r>
            <w:r>
              <w:rPr>
                <w:spacing w:val="-1"/>
              </w:rPr>
              <w:t>个</w:t>
            </w:r>
            <w:r>
              <w:rPr>
                <w:rFonts w:ascii="Times New Roman" w:hAnsi="Times New Roman" w:eastAsia="Times New Roman" w:cs="Times New Roman"/>
                <w:spacing w:val="-2"/>
              </w:rPr>
              <w:t>220kV</w:t>
            </w:r>
            <w:r>
              <w:rPr>
                <w:rFonts w:ascii="Times New Roman" w:hAnsi="Times New Roman" w:eastAsia="Times New Roman" w:cs="Times New Roman"/>
                <w:spacing w:val="35"/>
                <w:w w:val="101"/>
              </w:rPr>
              <w:t xml:space="preserve"> </w:t>
            </w:r>
            <w:r>
              <w:rPr>
                <w:spacing w:val="-2"/>
              </w:rPr>
              <w:t>出线间隔至</w:t>
            </w:r>
            <w:r>
              <w:rPr>
                <w:spacing w:val="-38"/>
              </w:rPr>
              <w:t xml:space="preserve"> </w:t>
            </w:r>
            <w:r>
              <w:rPr>
                <w:rFonts w:ascii="Times New Roman" w:hAnsi="Times New Roman" w:eastAsia="Times New Roman" w:cs="Times New Roman"/>
                <w:spacing w:val="-2"/>
              </w:rPr>
              <w:t>220kV</w:t>
            </w:r>
            <w:r>
              <w:rPr>
                <w:rFonts w:ascii="Times New Roman" w:hAnsi="Times New Roman" w:eastAsia="Times New Roman" w:cs="Times New Roman"/>
                <w:spacing w:val="16"/>
              </w:rPr>
              <w:t xml:space="preserve"> </w:t>
            </w:r>
            <w:r>
              <w:rPr>
                <w:spacing w:val="-2"/>
              </w:rPr>
              <w:t>迤车变，包含户外电气设备、</w:t>
            </w:r>
            <w:r>
              <w:rPr>
                <w:spacing w:val="-3"/>
              </w:rPr>
              <w:t>支架、</w:t>
            </w:r>
            <w:r>
              <w:rPr>
                <w:spacing w:val="-1"/>
              </w:rPr>
              <w:t>基础及电缆沟，不新征地。</w:t>
            </w:r>
          </w:p>
          <w:p w14:paraId="152348A1">
            <w:pPr>
              <w:pStyle w:val="6"/>
              <w:spacing w:before="3" w:line="250" w:lineRule="auto"/>
              <w:ind w:left="77" w:right="48" w:hanging="9"/>
            </w:pPr>
            <w:r>
              <w:rPr>
                <w:spacing w:val="-2"/>
              </w:rPr>
              <w:t>（</w:t>
            </w:r>
            <w:r>
              <w:rPr>
                <w:rFonts w:ascii="Times New Roman" w:hAnsi="Times New Roman" w:eastAsia="Times New Roman" w:cs="Times New Roman"/>
                <w:spacing w:val="-2"/>
              </w:rPr>
              <w:t>2</w:t>
            </w:r>
            <w:r>
              <w:rPr>
                <w:spacing w:val="-2"/>
              </w:rPr>
              <w:t xml:space="preserve">）原 </w:t>
            </w:r>
            <w:r>
              <w:rPr>
                <w:rFonts w:ascii="Times New Roman" w:hAnsi="Times New Roman" w:eastAsia="Times New Roman" w:cs="Times New Roman"/>
                <w:spacing w:val="-2"/>
              </w:rPr>
              <w:t>500kV</w:t>
            </w:r>
            <w:r>
              <w:rPr>
                <w:rFonts w:ascii="Times New Roman" w:hAnsi="Times New Roman" w:eastAsia="Times New Roman" w:cs="Times New Roman"/>
                <w:spacing w:val="36"/>
              </w:rPr>
              <w:t xml:space="preserve"> </w:t>
            </w:r>
            <w:r>
              <w:rPr>
                <w:spacing w:val="-2"/>
              </w:rPr>
              <w:t>乐业变</w:t>
            </w:r>
            <w:r>
              <w:rPr>
                <w:spacing w:val="-26"/>
              </w:rPr>
              <w:t xml:space="preserve"> </w:t>
            </w:r>
            <w:r>
              <w:rPr>
                <w:rFonts w:ascii="Times New Roman" w:hAnsi="Times New Roman" w:eastAsia="Times New Roman" w:cs="Times New Roman"/>
                <w:spacing w:val="-2"/>
              </w:rPr>
              <w:t>220kV</w:t>
            </w:r>
            <w:r>
              <w:rPr>
                <w:rFonts w:ascii="Times New Roman" w:hAnsi="Times New Roman" w:eastAsia="Times New Roman" w:cs="Times New Roman"/>
                <w:spacing w:val="33"/>
              </w:rPr>
              <w:t xml:space="preserve"> </w:t>
            </w:r>
            <w:r>
              <w:rPr>
                <w:spacing w:val="-2"/>
              </w:rPr>
              <w:t>者迤Ⅰ线间</w:t>
            </w:r>
            <w:r>
              <w:rPr>
                <w:spacing w:val="-3"/>
              </w:rPr>
              <w:t>隔本期改接至迤车牵引变，原设备及导线均沿用。</w:t>
            </w:r>
          </w:p>
        </w:tc>
        <w:tc>
          <w:tcPr>
            <w:tcW w:w="110" w:type="dxa"/>
            <w:vMerge w:val="continue"/>
            <w:tcBorders>
              <w:top w:val="nil"/>
              <w:bottom w:val="nil"/>
            </w:tcBorders>
            <w:vAlign w:val="top"/>
          </w:tcPr>
          <w:p w14:paraId="402840A7">
            <w:pPr>
              <w:rPr>
                <w:rFonts w:ascii="Arial"/>
                <w:sz w:val="21"/>
              </w:rPr>
            </w:pPr>
          </w:p>
        </w:tc>
      </w:tr>
      <w:tr w14:paraId="0E3FCD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571" w:type="dxa"/>
            <w:vMerge w:val="continue"/>
            <w:tcBorders>
              <w:top w:val="nil"/>
              <w:bottom w:val="nil"/>
            </w:tcBorders>
            <w:vAlign w:val="top"/>
          </w:tcPr>
          <w:p w14:paraId="4374989A">
            <w:pPr>
              <w:rPr>
                <w:rFonts w:ascii="Arial"/>
                <w:sz w:val="21"/>
              </w:rPr>
            </w:pPr>
          </w:p>
        </w:tc>
        <w:tc>
          <w:tcPr>
            <w:tcW w:w="103" w:type="dxa"/>
            <w:tcBorders>
              <w:top w:val="nil"/>
              <w:bottom w:val="nil"/>
            </w:tcBorders>
            <w:vAlign w:val="top"/>
          </w:tcPr>
          <w:p w14:paraId="2564FE16">
            <w:pPr>
              <w:rPr>
                <w:rFonts w:ascii="Arial"/>
                <w:sz w:val="21"/>
              </w:rPr>
            </w:pPr>
          </w:p>
        </w:tc>
        <w:tc>
          <w:tcPr>
            <w:tcW w:w="595" w:type="dxa"/>
            <w:vMerge w:val="continue"/>
            <w:tcBorders>
              <w:top w:val="nil"/>
            </w:tcBorders>
            <w:vAlign w:val="top"/>
          </w:tcPr>
          <w:p w14:paraId="48F726EC">
            <w:pPr>
              <w:rPr>
                <w:rFonts w:ascii="Arial"/>
                <w:sz w:val="21"/>
              </w:rPr>
            </w:pPr>
          </w:p>
        </w:tc>
        <w:tc>
          <w:tcPr>
            <w:tcW w:w="1843" w:type="dxa"/>
            <w:vAlign w:val="top"/>
          </w:tcPr>
          <w:p w14:paraId="2043E63D">
            <w:pPr>
              <w:spacing w:line="303" w:lineRule="auto"/>
              <w:rPr>
                <w:rFonts w:ascii="Arial"/>
                <w:sz w:val="21"/>
              </w:rPr>
            </w:pPr>
          </w:p>
          <w:p w14:paraId="6BC253CB">
            <w:pPr>
              <w:pStyle w:val="6"/>
              <w:spacing w:before="68" w:line="221" w:lineRule="auto"/>
              <w:ind w:left="513"/>
            </w:pPr>
            <w:r>
              <w:rPr>
                <w:spacing w:val="-3"/>
              </w:rPr>
              <w:t>导线拆除</w:t>
            </w:r>
          </w:p>
        </w:tc>
        <w:tc>
          <w:tcPr>
            <w:tcW w:w="5856" w:type="dxa"/>
            <w:vAlign w:val="top"/>
          </w:tcPr>
          <w:p w14:paraId="5F29EC74">
            <w:pPr>
              <w:pStyle w:val="6"/>
              <w:spacing w:before="61" w:line="259" w:lineRule="auto"/>
              <w:ind w:left="61" w:right="51" w:firstLine="26"/>
              <w:jc w:val="both"/>
            </w:pPr>
            <w:r>
              <w:rPr>
                <w:spacing w:val="-5"/>
              </w:rPr>
              <w:t>由于本期对</w:t>
            </w:r>
            <w:r>
              <w:rPr>
                <w:spacing w:val="-44"/>
              </w:rPr>
              <w:t xml:space="preserve"> </w:t>
            </w:r>
            <w:r>
              <w:rPr>
                <w:rFonts w:ascii="Times New Roman" w:hAnsi="Times New Roman" w:eastAsia="Times New Roman" w:cs="Times New Roman"/>
                <w:spacing w:val="-5"/>
              </w:rPr>
              <w:t xml:space="preserve">220kV </w:t>
            </w:r>
            <w:r>
              <w:rPr>
                <w:spacing w:val="-5"/>
              </w:rPr>
              <w:t>者迤Ⅰ线从</w:t>
            </w:r>
            <w:r>
              <w:rPr>
                <w:spacing w:val="-49"/>
              </w:rPr>
              <w:t xml:space="preserve"> </w:t>
            </w:r>
            <w:r>
              <w:rPr>
                <w:rFonts w:ascii="Times New Roman" w:hAnsi="Times New Roman" w:eastAsia="Times New Roman" w:cs="Times New Roman"/>
                <w:spacing w:val="-5"/>
              </w:rPr>
              <w:t>68#</w:t>
            </w:r>
            <w:r>
              <w:rPr>
                <w:spacing w:val="-5"/>
              </w:rPr>
              <w:t>塔进行改接，需拆除原</w:t>
            </w:r>
            <w:r>
              <w:rPr>
                <w:spacing w:val="-52"/>
              </w:rPr>
              <w:t xml:space="preserve"> </w:t>
            </w:r>
            <w:r>
              <w:rPr>
                <w:rFonts w:ascii="Times New Roman" w:hAnsi="Times New Roman" w:eastAsia="Times New Roman" w:cs="Times New Roman"/>
                <w:spacing w:val="-5"/>
              </w:rPr>
              <w:t>220kV</w:t>
            </w:r>
            <w:r>
              <w:rPr>
                <w:spacing w:val="-2"/>
              </w:rPr>
              <w:t>者迤Ⅰ线</w:t>
            </w:r>
            <w:r>
              <w:rPr>
                <w:spacing w:val="-8"/>
              </w:rPr>
              <w:t xml:space="preserve"> </w:t>
            </w:r>
            <w:r>
              <w:rPr>
                <w:rFonts w:ascii="Times New Roman" w:hAnsi="Times New Roman" w:eastAsia="Times New Roman" w:cs="Times New Roman"/>
                <w:spacing w:val="-2"/>
              </w:rPr>
              <w:t>68#</w:t>
            </w:r>
            <w:r>
              <w:rPr>
                <w:spacing w:val="-2"/>
              </w:rPr>
              <w:t>塔</w:t>
            </w:r>
            <w:r>
              <w:rPr>
                <w:rFonts w:ascii="Times New Roman" w:hAnsi="Times New Roman" w:eastAsia="Times New Roman" w:cs="Times New Roman"/>
                <w:spacing w:val="-2"/>
              </w:rPr>
              <w:t>~220kV</w:t>
            </w:r>
            <w:r>
              <w:rPr>
                <w:rFonts w:ascii="Times New Roman" w:hAnsi="Times New Roman" w:eastAsia="Times New Roman" w:cs="Times New Roman"/>
                <w:spacing w:val="28"/>
                <w:w w:val="101"/>
              </w:rPr>
              <w:t xml:space="preserve"> </w:t>
            </w:r>
            <w:r>
              <w:rPr>
                <w:spacing w:val="-2"/>
              </w:rPr>
              <w:t>迤车变的导线，长度约</w:t>
            </w:r>
            <w:r>
              <w:rPr>
                <w:spacing w:val="-26"/>
              </w:rPr>
              <w:t xml:space="preserve"> </w:t>
            </w:r>
            <w:r>
              <w:rPr>
                <w:rFonts w:ascii="Times New Roman" w:hAnsi="Times New Roman" w:eastAsia="Times New Roman" w:cs="Times New Roman"/>
                <w:spacing w:val="-2"/>
              </w:rPr>
              <w:t>2.</w:t>
            </w:r>
            <w:r>
              <w:rPr>
                <w:rFonts w:ascii="Times New Roman" w:hAnsi="Times New Roman" w:eastAsia="Times New Roman" w:cs="Times New Roman"/>
                <w:spacing w:val="-28"/>
              </w:rPr>
              <w:t xml:space="preserve"> </w:t>
            </w:r>
            <w:r>
              <w:rPr>
                <w:rFonts w:ascii="Times New Roman" w:hAnsi="Times New Roman" w:eastAsia="Times New Roman" w:cs="Times New Roman"/>
                <w:spacing w:val="-2"/>
              </w:rPr>
              <w:t>1km</w:t>
            </w:r>
            <w:r>
              <w:rPr>
                <w:spacing w:val="-2"/>
              </w:rPr>
              <w:t>，不拆除</w:t>
            </w:r>
            <w:r>
              <w:rPr>
                <w:spacing w:val="-8"/>
              </w:rPr>
              <w:t>铁塔。</w:t>
            </w:r>
          </w:p>
        </w:tc>
        <w:tc>
          <w:tcPr>
            <w:tcW w:w="110" w:type="dxa"/>
            <w:vMerge w:val="continue"/>
            <w:tcBorders>
              <w:top w:val="nil"/>
              <w:bottom w:val="nil"/>
            </w:tcBorders>
            <w:vAlign w:val="top"/>
          </w:tcPr>
          <w:p w14:paraId="3639CE76">
            <w:pPr>
              <w:rPr>
                <w:rFonts w:ascii="Arial"/>
                <w:sz w:val="21"/>
              </w:rPr>
            </w:pPr>
          </w:p>
        </w:tc>
      </w:tr>
      <w:tr w14:paraId="1FB67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4" w:hRule="atLeast"/>
        </w:trPr>
        <w:tc>
          <w:tcPr>
            <w:tcW w:w="571" w:type="dxa"/>
            <w:vMerge w:val="continue"/>
            <w:tcBorders>
              <w:top w:val="nil"/>
              <w:bottom w:val="nil"/>
            </w:tcBorders>
            <w:vAlign w:val="top"/>
          </w:tcPr>
          <w:p w14:paraId="62E65B67">
            <w:pPr>
              <w:rPr>
                <w:rFonts w:ascii="Arial"/>
                <w:sz w:val="21"/>
              </w:rPr>
            </w:pPr>
          </w:p>
        </w:tc>
        <w:tc>
          <w:tcPr>
            <w:tcW w:w="103" w:type="dxa"/>
            <w:tcBorders>
              <w:top w:val="nil"/>
              <w:bottom w:val="nil"/>
            </w:tcBorders>
            <w:vAlign w:val="top"/>
          </w:tcPr>
          <w:p w14:paraId="20968754">
            <w:pPr>
              <w:rPr>
                <w:rFonts w:ascii="Arial"/>
                <w:sz w:val="21"/>
              </w:rPr>
            </w:pPr>
          </w:p>
        </w:tc>
        <w:tc>
          <w:tcPr>
            <w:tcW w:w="595" w:type="dxa"/>
            <w:vMerge w:val="restart"/>
            <w:tcBorders>
              <w:bottom w:val="nil"/>
            </w:tcBorders>
            <w:vAlign w:val="top"/>
          </w:tcPr>
          <w:p w14:paraId="7AEBD285">
            <w:pPr>
              <w:spacing w:line="245" w:lineRule="auto"/>
              <w:rPr>
                <w:rFonts w:ascii="Arial"/>
                <w:sz w:val="21"/>
              </w:rPr>
            </w:pPr>
          </w:p>
          <w:p w14:paraId="61EAC7E7">
            <w:pPr>
              <w:spacing w:line="245" w:lineRule="auto"/>
              <w:rPr>
                <w:rFonts w:ascii="Arial"/>
                <w:sz w:val="21"/>
              </w:rPr>
            </w:pPr>
          </w:p>
          <w:p w14:paraId="4EEB28BD">
            <w:pPr>
              <w:spacing w:line="245" w:lineRule="auto"/>
              <w:rPr>
                <w:rFonts w:ascii="Arial"/>
                <w:sz w:val="21"/>
              </w:rPr>
            </w:pPr>
          </w:p>
          <w:p w14:paraId="2D743FDB">
            <w:pPr>
              <w:spacing w:line="245" w:lineRule="auto"/>
              <w:rPr>
                <w:rFonts w:ascii="Arial"/>
                <w:sz w:val="21"/>
              </w:rPr>
            </w:pPr>
          </w:p>
          <w:p w14:paraId="61651CFB">
            <w:pPr>
              <w:spacing w:line="245" w:lineRule="auto"/>
              <w:rPr>
                <w:rFonts w:ascii="Arial"/>
                <w:sz w:val="21"/>
              </w:rPr>
            </w:pPr>
          </w:p>
          <w:p w14:paraId="0B26ADC8">
            <w:pPr>
              <w:spacing w:line="245" w:lineRule="auto"/>
              <w:rPr>
                <w:rFonts w:ascii="Arial"/>
                <w:sz w:val="21"/>
              </w:rPr>
            </w:pPr>
          </w:p>
          <w:p w14:paraId="41D06633">
            <w:pPr>
              <w:spacing w:line="245" w:lineRule="auto"/>
              <w:rPr>
                <w:rFonts w:ascii="Arial"/>
                <w:sz w:val="21"/>
              </w:rPr>
            </w:pPr>
          </w:p>
          <w:p w14:paraId="6DFF2D6F">
            <w:pPr>
              <w:spacing w:line="245" w:lineRule="auto"/>
              <w:rPr>
                <w:rFonts w:ascii="Arial"/>
                <w:sz w:val="21"/>
              </w:rPr>
            </w:pPr>
          </w:p>
          <w:p w14:paraId="75A686A5">
            <w:pPr>
              <w:spacing w:line="246" w:lineRule="auto"/>
              <w:rPr>
                <w:rFonts w:ascii="Arial"/>
                <w:sz w:val="21"/>
              </w:rPr>
            </w:pPr>
          </w:p>
          <w:p w14:paraId="22DD03E3">
            <w:pPr>
              <w:pStyle w:val="6"/>
              <w:spacing w:before="69" w:line="279" w:lineRule="auto"/>
              <w:ind w:left="94" w:right="83" w:firstLine="9"/>
            </w:pPr>
            <w:r>
              <w:rPr>
                <w:spacing w:val="-9"/>
              </w:rPr>
              <w:t>临时</w:t>
            </w:r>
            <w:r>
              <w:rPr>
                <w:spacing w:val="-5"/>
              </w:rPr>
              <w:t>工程</w:t>
            </w:r>
          </w:p>
        </w:tc>
        <w:tc>
          <w:tcPr>
            <w:tcW w:w="1843" w:type="dxa"/>
            <w:vAlign w:val="top"/>
          </w:tcPr>
          <w:p w14:paraId="5AA295A7">
            <w:pPr>
              <w:spacing w:line="310" w:lineRule="auto"/>
              <w:rPr>
                <w:rFonts w:ascii="Arial"/>
                <w:sz w:val="21"/>
              </w:rPr>
            </w:pPr>
          </w:p>
          <w:p w14:paraId="581B1351">
            <w:pPr>
              <w:spacing w:line="310" w:lineRule="auto"/>
              <w:rPr>
                <w:rFonts w:ascii="Arial"/>
                <w:sz w:val="21"/>
              </w:rPr>
            </w:pPr>
          </w:p>
          <w:p w14:paraId="1B6CDA9A">
            <w:pPr>
              <w:spacing w:line="310" w:lineRule="auto"/>
              <w:rPr>
                <w:rFonts w:ascii="Arial"/>
                <w:sz w:val="21"/>
              </w:rPr>
            </w:pPr>
          </w:p>
          <w:p w14:paraId="55B3D4D9">
            <w:pPr>
              <w:pStyle w:val="6"/>
              <w:spacing w:before="69" w:line="221" w:lineRule="auto"/>
              <w:ind w:left="298"/>
            </w:pPr>
            <w:r>
              <w:rPr>
                <w:spacing w:val="-1"/>
              </w:rPr>
              <w:t>施工临时占地</w:t>
            </w:r>
          </w:p>
        </w:tc>
        <w:tc>
          <w:tcPr>
            <w:tcW w:w="5856" w:type="dxa"/>
            <w:vAlign w:val="top"/>
          </w:tcPr>
          <w:p w14:paraId="32C2DB99">
            <w:pPr>
              <w:pStyle w:val="6"/>
              <w:spacing w:before="56" w:line="278" w:lineRule="auto"/>
              <w:ind w:left="73" w:right="47" w:hanging="5"/>
            </w:pPr>
            <w:r>
              <w:rPr>
                <w:spacing w:val="-2"/>
              </w:rPr>
              <w:t>（</w:t>
            </w:r>
            <w:r>
              <w:rPr>
                <w:rFonts w:ascii="Times New Roman" w:hAnsi="Times New Roman" w:eastAsia="Times New Roman" w:cs="Times New Roman"/>
                <w:spacing w:val="-2"/>
              </w:rPr>
              <w:t>1</w:t>
            </w:r>
            <w:r>
              <w:rPr>
                <w:spacing w:val="-2"/>
              </w:rPr>
              <w:t>）线路工程：塔基施工场地布置在杆塔下方，每个塔位处均</w:t>
            </w:r>
            <w:r>
              <w:rPr>
                <w:spacing w:val="-4"/>
              </w:rPr>
              <w:t>需设置施工场地，共设</w:t>
            </w:r>
            <w:r>
              <w:rPr>
                <w:spacing w:val="-43"/>
              </w:rPr>
              <w:t xml:space="preserve"> </w:t>
            </w:r>
            <w:r>
              <w:rPr>
                <w:rFonts w:ascii="Times New Roman" w:hAnsi="Times New Roman" w:eastAsia="Times New Roman" w:cs="Times New Roman"/>
                <w:spacing w:val="-4"/>
              </w:rPr>
              <w:t xml:space="preserve">54 </w:t>
            </w:r>
            <w:r>
              <w:rPr>
                <w:spacing w:val="-4"/>
              </w:rPr>
              <w:t>个（新建铁塔</w:t>
            </w:r>
            <w:r>
              <w:rPr>
                <w:spacing w:val="-44"/>
              </w:rPr>
              <w:t xml:space="preserve"> </w:t>
            </w:r>
            <w:r>
              <w:rPr>
                <w:rFonts w:ascii="Times New Roman" w:hAnsi="Times New Roman" w:eastAsia="Times New Roman" w:cs="Times New Roman"/>
                <w:spacing w:val="-4"/>
              </w:rPr>
              <w:t xml:space="preserve">54 </w:t>
            </w:r>
            <w:r>
              <w:rPr>
                <w:spacing w:val="-4"/>
              </w:rPr>
              <w:t>基</w:t>
            </w:r>
            <w:r>
              <w:rPr>
                <w:spacing w:val="-27"/>
              </w:rPr>
              <w:t>），</w:t>
            </w:r>
            <w:r>
              <w:rPr>
                <w:spacing w:val="-4"/>
              </w:rPr>
              <w:t>塔基施工临时</w:t>
            </w:r>
            <w:r>
              <w:rPr>
                <w:spacing w:val="-2"/>
              </w:rPr>
              <w:t>占地面积共计约</w:t>
            </w:r>
            <w:r>
              <w:rPr>
                <w:spacing w:val="-39"/>
              </w:rPr>
              <w:t xml:space="preserve"> </w:t>
            </w:r>
            <w:r>
              <w:rPr>
                <w:rFonts w:ascii="Times New Roman" w:hAnsi="Times New Roman" w:eastAsia="Times New Roman" w:cs="Times New Roman"/>
                <w:spacing w:val="-2"/>
              </w:rPr>
              <w:t>7796m</w:t>
            </w:r>
            <w:r>
              <w:rPr>
                <w:rFonts w:ascii="Times New Roman" w:hAnsi="Times New Roman" w:eastAsia="Times New Roman" w:cs="Times New Roman"/>
                <w:spacing w:val="-2"/>
                <w:position w:val="6"/>
                <w:sz w:val="13"/>
                <w:szCs w:val="13"/>
              </w:rPr>
              <w:t>2</w:t>
            </w:r>
            <w:r>
              <w:rPr>
                <w:spacing w:val="-2"/>
              </w:rPr>
              <w:t>。</w:t>
            </w:r>
          </w:p>
          <w:p w14:paraId="453A6EE4">
            <w:pPr>
              <w:pStyle w:val="6"/>
              <w:spacing w:before="1" w:line="263" w:lineRule="auto"/>
              <w:ind w:left="60" w:right="48" w:firstLine="7"/>
            </w:pPr>
            <w:r>
              <w:rPr>
                <w:spacing w:val="-2"/>
              </w:rPr>
              <w:t>（</w:t>
            </w:r>
            <w:r>
              <w:rPr>
                <w:rFonts w:ascii="Times New Roman" w:hAnsi="Times New Roman" w:eastAsia="Times New Roman" w:cs="Times New Roman"/>
                <w:spacing w:val="-2"/>
              </w:rPr>
              <w:t>2</w:t>
            </w:r>
            <w:r>
              <w:rPr>
                <w:spacing w:val="-2"/>
              </w:rPr>
              <w:t>）间隔扩建工程：</w:t>
            </w:r>
            <w:r>
              <w:rPr>
                <w:rFonts w:ascii="Times New Roman" w:hAnsi="Times New Roman" w:eastAsia="Times New Roman" w:cs="Times New Roman"/>
                <w:spacing w:val="-2"/>
              </w:rPr>
              <w:t>500kV</w:t>
            </w:r>
            <w:r>
              <w:rPr>
                <w:rFonts w:ascii="Times New Roman" w:hAnsi="Times New Roman" w:eastAsia="Times New Roman" w:cs="Times New Roman"/>
                <w:spacing w:val="21"/>
                <w:w w:val="101"/>
              </w:rPr>
              <w:t xml:space="preserve"> </w:t>
            </w:r>
            <w:r>
              <w:rPr>
                <w:spacing w:val="-2"/>
              </w:rPr>
              <w:t>乐业变间隔扩建与变电站建设同步</w:t>
            </w:r>
            <w:r>
              <w:rPr>
                <w:spacing w:val="-5"/>
              </w:rPr>
              <w:t>进行，施工服从主体统筹安排，不单独设置施工场地；</w:t>
            </w:r>
            <w:r>
              <w:rPr>
                <w:rFonts w:ascii="Times New Roman" w:hAnsi="Times New Roman" w:eastAsia="Times New Roman" w:cs="Times New Roman"/>
                <w:spacing w:val="-5"/>
              </w:rPr>
              <w:t xml:space="preserve">220kV </w:t>
            </w:r>
            <w:r>
              <w:rPr>
                <w:spacing w:val="-5"/>
              </w:rPr>
              <w:t>迤</w:t>
            </w:r>
            <w:r>
              <w:rPr>
                <w:spacing w:val="-1"/>
              </w:rPr>
              <w:t>车变间隔扩建沿用迤车变原施工场地，位于</w:t>
            </w:r>
            <w:r>
              <w:rPr>
                <w:spacing w:val="-17"/>
              </w:rPr>
              <w:t xml:space="preserve"> </w:t>
            </w:r>
            <w:r>
              <w:rPr>
                <w:rFonts w:ascii="Times New Roman" w:hAnsi="Times New Roman" w:eastAsia="Times New Roman" w:cs="Times New Roman"/>
                <w:spacing w:val="-1"/>
              </w:rPr>
              <w:t>220kV</w:t>
            </w:r>
            <w:r>
              <w:rPr>
                <w:rFonts w:ascii="Times New Roman" w:hAnsi="Times New Roman" w:eastAsia="Times New Roman" w:cs="Times New Roman"/>
                <w:spacing w:val="18"/>
              </w:rPr>
              <w:t xml:space="preserve"> </w:t>
            </w:r>
            <w:r>
              <w:rPr>
                <w:spacing w:val="-1"/>
              </w:rPr>
              <w:t>迤车变东南</w:t>
            </w:r>
            <w:r>
              <w:rPr>
                <w:spacing w:val="-2"/>
              </w:rPr>
              <w:t>侧</w:t>
            </w:r>
            <w:r>
              <w:rPr>
                <w:spacing w:val="-47"/>
              </w:rPr>
              <w:t xml:space="preserve"> </w:t>
            </w:r>
            <w:r>
              <w:rPr>
                <w:rFonts w:ascii="Times New Roman" w:hAnsi="Times New Roman" w:eastAsia="Times New Roman" w:cs="Times New Roman"/>
                <w:spacing w:val="-2"/>
              </w:rPr>
              <w:t>260m</w:t>
            </w:r>
            <w:r>
              <w:rPr>
                <w:spacing w:val="-2"/>
              </w:rPr>
              <w:t>，面积约</w:t>
            </w:r>
            <w:r>
              <w:rPr>
                <w:spacing w:val="-42"/>
              </w:rPr>
              <w:t xml:space="preserve"> </w:t>
            </w:r>
            <w:r>
              <w:rPr>
                <w:rFonts w:ascii="Times New Roman" w:hAnsi="Times New Roman" w:eastAsia="Times New Roman" w:cs="Times New Roman"/>
                <w:spacing w:val="-2"/>
              </w:rPr>
              <w:t>800m</w:t>
            </w:r>
            <w:r>
              <w:rPr>
                <w:rFonts w:ascii="Times New Roman" w:hAnsi="Times New Roman" w:eastAsia="Times New Roman" w:cs="Times New Roman"/>
                <w:spacing w:val="-2"/>
                <w:position w:val="6"/>
                <w:sz w:val="13"/>
                <w:szCs w:val="13"/>
              </w:rPr>
              <w:t>2</w:t>
            </w:r>
            <w:r>
              <w:rPr>
                <w:rFonts w:ascii="Times New Roman" w:hAnsi="Times New Roman" w:eastAsia="Times New Roman" w:cs="Times New Roman"/>
                <w:spacing w:val="-7"/>
                <w:position w:val="6"/>
                <w:sz w:val="13"/>
                <w:szCs w:val="13"/>
              </w:rPr>
              <w:t xml:space="preserve"> </w:t>
            </w:r>
            <w:r>
              <w:rPr>
                <w:spacing w:val="-2"/>
              </w:rPr>
              <w:t>，满足本期扩建间隔</w:t>
            </w:r>
            <w:r>
              <w:rPr>
                <w:spacing w:val="-3"/>
              </w:rPr>
              <w:t>需求。</w:t>
            </w:r>
          </w:p>
        </w:tc>
        <w:tc>
          <w:tcPr>
            <w:tcW w:w="110" w:type="dxa"/>
            <w:vMerge w:val="continue"/>
            <w:tcBorders>
              <w:top w:val="nil"/>
              <w:bottom w:val="nil"/>
            </w:tcBorders>
            <w:vAlign w:val="top"/>
          </w:tcPr>
          <w:p w14:paraId="1B9210C9">
            <w:pPr>
              <w:rPr>
                <w:rFonts w:ascii="Arial"/>
                <w:sz w:val="21"/>
              </w:rPr>
            </w:pPr>
          </w:p>
        </w:tc>
      </w:tr>
      <w:tr w14:paraId="477B1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1" w:type="dxa"/>
            <w:vMerge w:val="continue"/>
            <w:tcBorders>
              <w:top w:val="nil"/>
              <w:bottom w:val="nil"/>
            </w:tcBorders>
            <w:vAlign w:val="top"/>
          </w:tcPr>
          <w:p w14:paraId="0DD8AEEF">
            <w:pPr>
              <w:rPr>
                <w:rFonts w:ascii="Arial"/>
                <w:sz w:val="21"/>
              </w:rPr>
            </w:pPr>
          </w:p>
        </w:tc>
        <w:tc>
          <w:tcPr>
            <w:tcW w:w="103" w:type="dxa"/>
            <w:tcBorders>
              <w:top w:val="nil"/>
              <w:bottom w:val="nil"/>
            </w:tcBorders>
            <w:vAlign w:val="top"/>
          </w:tcPr>
          <w:p w14:paraId="6F6B7D90">
            <w:pPr>
              <w:rPr>
                <w:rFonts w:ascii="Arial"/>
                <w:sz w:val="21"/>
              </w:rPr>
            </w:pPr>
          </w:p>
        </w:tc>
        <w:tc>
          <w:tcPr>
            <w:tcW w:w="595" w:type="dxa"/>
            <w:vMerge w:val="continue"/>
            <w:tcBorders>
              <w:top w:val="nil"/>
              <w:bottom w:val="nil"/>
            </w:tcBorders>
            <w:vAlign w:val="top"/>
          </w:tcPr>
          <w:p w14:paraId="560A574F">
            <w:pPr>
              <w:rPr>
                <w:rFonts w:ascii="Arial"/>
                <w:sz w:val="21"/>
              </w:rPr>
            </w:pPr>
          </w:p>
        </w:tc>
        <w:tc>
          <w:tcPr>
            <w:tcW w:w="1843" w:type="dxa"/>
            <w:tcBorders>
              <w:bottom w:val="single" w:color="000000" w:sz="4" w:space="0"/>
            </w:tcBorders>
            <w:vAlign w:val="top"/>
          </w:tcPr>
          <w:p w14:paraId="04317E10">
            <w:pPr>
              <w:pStyle w:val="6"/>
              <w:spacing w:before="216" w:line="220" w:lineRule="auto"/>
              <w:ind w:left="615"/>
            </w:pPr>
            <w:r>
              <w:rPr>
                <w:spacing w:val="-2"/>
              </w:rPr>
              <w:t>牵张场</w:t>
            </w:r>
          </w:p>
        </w:tc>
        <w:tc>
          <w:tcPr>
            <w:tcW w:w="5856" w:type="dxa"/>
            <w:tcBorders>
              <w:bottom w:val="single" w:color="000000" w:sz="4" w:space="0"/>
            </w:tcBorders>
            <w:vAlign w:val="top"/>
          </w:tcPr>
          <w:p w14:paraId="39C4D7BD">
            <w:pPr>
              <w:pStyle w:val="6"/>
              <w:spacing w:before="61" w:line="249" w:lineRule="auto"/>
              <w:ind w:left="96" w:right="95" w:hanging="34"/>
            </w:pPr>
            <w:r>
              <w:rPr>
                <w:spacing w:val="-3"/>
              </w:rPr>
              <w:t xml:space="preserve">根据路径走向及线路拐点，本项目沿线需设置约 </w:t>
            </w:r>
            <w:r>
              <w:rPr>
                <w:rFonts w:ascii="Times New Roman" w:hAnsi="Times New Roman" w:eastAsia="Times New Roman" w:cs="Times New Roman"/>
                <w:spacing w:val="-3"/>
              </w:rPr>
              <w:t>4</w:t>
            </w:r>
            <w:r>
              <w:rPr>
                <w:rFonts w:ascii="Times New Roman" w:hAnsi="Times New Roman" w:eastAsia="Times New Roman" w:cs="Times New Roman"/>
                <w:spacing w:val="53"/>
                <w:w w:val="101"/>
              </w:rPr>
              <w:t xml:space="preserve"> </w:t>
            </w:r>
            <w:r>
              <w:rPr>
                <w:spacing w:val="-3"/>
              </w:rPr>
              <w:t>处牵张场，</w:t>
            </w:r>
            <w:r>
              <w:rPr>
                <w:spacing w:val="-2"/>
              </w:rPr>
              <w:t>占地面积约</w:t>
            </w:r>
            <w:r>
              <w:rPr>
                <w:spacing w:val="-43"/>
              </w:rPr>
              <w:t xml:space="preserve"> </w:t>
            </w:r>
            <w:r>
              <w:rPr>
                <w:rFonts w:ascii="Times New Roman" w:hAnsi="Times New Roman" w:eastAsia="Times New Roman" w:cs="Times New Roman"/>
                <w:spacing w:val="-2"/>
              </w:rPr>
              <w:t>300m</w:t>
            </w:r>
            <w:r>
              <w:rPr>
                <w:rFonts w:ascii="Times New Roman" w:hAnsi="Times New Roman" w:eastAsia="Times New Roman" w:cs="Times New Roman"/>
                <w:spacing w:val="-2"/>
                <w:position w:val="6"/>
                <w:sz w:val="13"/>
                <w:szCs w:val="13"/>
              </w:rPr>
              <w:t>2</w:t>
            </w:r>
            <w:r>
              <w:rPr>
                <w:rFonts w:ascii="Times New Roman" w:hAnsi="Times New Roman" w:eastAsia="Times New Roman" w:cs="Times New Roman"/>
                <w:spacing w:val="-2"/>
              </w:rPr>
              <w:t>/</w:t>
            </w:r>
            <w:r>
              <w:rPr>
                <w:spacing w:val="-2"/>
              </w:rPr>
              <w:t>个，牵张场地占地面积约</w:t>
            </w:r>
            <w:r>
              <w:rPr>
                <w:spacing w:val="-27"/>
              </w:rPr>
              <w:t xml:space="preserve"> </w:t>
            </w:r>
            <w:r>
              <w:rPr>
                <w:rFonts w:ascii="Times New Roman" w:hAnsi="Times New Roman" w:eastAsia="Times New Roman" w:cs="Times New Roman"/>
                <w:spacing w:val="-3"/>
              </w:rPr>
              <w:t>1200m</w:t>
            </w:r>
            <w:r>
              <w:rPr>
                <w:rFonts w:ascii="Times New Roman" w:hAnsi="Times New Roman" w:eastAsia="Times New Roman" w:cs="Times New Roman"/>
                <w:spacing w:val="-3"/>
                <w:position w:val="6"/>
                <w:sz w:val="13"/>
                <w:szCs w:val="13"/>
              </w:rPr>
              <w:t>2</w:t>
            </w:r>
            <w:r>
              <w:rPr>
                <w:spacing w:val="-3"/>
              </w:rPr>
              <w:t>。</w:t>
            </w:r>
          </w:p>
        </w:tc>
        <w:tc>
          <w:tcPr>
            <w:tcW w:w="110" w:type="dxa"/>
            <w:vMerge w:val="continue"/>
            <w:tcBorders>
              <w:top w:val="nil"/>
              <w:bottom w:val="nil"/>
            </w:tcBorders>
            <w:vAlign w:val="top"/>
          </w:tcPr>
          <w:p w14:paraId="138AC827">
            <w:pPr>
              <w:rPr>
                <w:rFonts w:ascii="Arial"/>
                <w:sz w:val="21"/>
              </w:rPr>
            </w:pPr>
          </w:p>
        </w:tc>
      </w:tr>
      <w:tr w14:paraId="0D3DFA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571" w:type="dxa"/>
            <w:vMerge w:val="continue"/>
            <w:tcBorders>
              <w:top w:val="nil"/>
              <w:bottom w:val="nil"/>
            </w:tcBorders>
            <w:vAlign w:val="top"/>
          </w:tcPr>
          <w:p w14:paraId="67066374">
            <w:pPr>
              <w:rPr>
                <w:rFonts w:ascii="Arial"/>
                <w:sz w:val="21"/>
              </w:rPr>
            </w:pPr>
          </w:p>
        </w:tc>
        <w:tc>
          <w:tcPr>
            <w:tcW w:w="103" w:type="dxa"/>
            <w:tcBorders>
              <w:top w:val="nil"/>
              <w:bottom w:val="nil"/>
            </w:tcBorders>
            <w:vAlign w:val="top"/>
          </w:tcPr>
          <w:p w14:paraId="6ADC5F5F">
            <w:pPr>
              <w:rPr>
                <w:rFonts w:ascii="Arial"/>
                <w:sz w:val="21"/>
              </w:rPr>
            </w:pPr>
          </w:p>
        </w:tc>
        <w:tc>
          <w:tcPr>
            <w:tcW w:w="595" w:type="dxa"/>
            <w:vMerge w:val="continue"/>
            <w:tcBorders>
              <w:top w:val="nil"/>
              <w:bottom w:val="nil"/>
            </w:tcBorders>
            <w:vAlign w:val="top"/>
          </w:tcPr>
          <w:p w14:paraId="34926056">
            <w:pPr>
              <w:rPr>
                <w:rFonts w:ascii="Arial"/>
                <w:sz w:val="21"/>
              </w:rPr>
            </w:pPr>
          </w:p>
        </w:tc>
        <w:tc>
          <w:tcPr>
            <w:tcW w:w="1843" w:type="dxa"/>
            <w:tcBorders>
              <w:top w:val="single" w:color="000000" w:sz="4" w:space="0"/>
            </w:tcBorders>
            <w:vAlign w:val="top"/>
          </w:tcPr>
          <w:p w14:paraId="010B24B6">
            <w:pPr>
              <w:pStyle w:val="6"/>
              <w:spacing w:before="212" w:line="221" w:lineRule="auto"/>
              <w:ind w:left="298"/>
            </w:pPr>
            <w:r>
              <w:rPr>
                <w:spacing w:val="-1"/>
              </w:rPr>
              <w:t>跨越施工场地</w:t>
            </w:r>
          </w:p>
        </w:tc>
        <w:tc>
          <w:tcPr>
            <w:tcW w:w="5856" w:type="dxa"/>
            <w:tcBorders>
              <w:top w:val="single" w:color="000000" w:sz="4" w:space="0"/>
            </w:tcBorders>
            <w:vAlign w:val="top"/>
          </w:tcPr>
          <w:p w14:paraId="72186C1F">
            <w:pPr>
              <w:pStyle w:val="6"/>
              <w:spacing w:before="54" w:line="249" w:lineRule="auto"/>
              <w:ind w:left="61" w:right="48"/>
            </w:pPr>
            <w:r>
              <w:rPr>
                <w:spacing w:val="-5"/>
              </w:rPr>
              <w:t>输电线路跨越道路、电力线路等设施需设置跨越场地，拟设置跨</w:t>
            </w:r>
            <w:r>
              <w:rPr>
                <w:spacing w:val="-2"/>
              </w:rPr>
              <w:t>越架</w:t>
            </w:r>
            <w:r>
              <w:rPr>
                <w:spacing w:val="-40"/>
              </w:rPr>
              <w:t xml:space="preserve"> </w:t>
            </w:r>
            <w:r>
              <w:rPr>
                <w:rFonts w:ascii="Times New Roman" w:hAnsi="Times New Roman" w:eastAsia="Times New Roman" w:cs="Times New Roman"/>
                <w:spacing w:val="-2"/>
              </w:rPr>
              <w:t xml:space="preserve">22 </w:t>
            </w:r>
            <w:r>
              <w:rPr>
                <w:spacing w:val="-2"/>
              </w:rPr>
              <w:t>个，占地面积约</w:t>
            </w:r>
            <w:r>
              <w:rPr>
                <w:spacing w:val="-30"/>
              </w:rPr>
              <w:t xml:space="preserve"> </w:t>
            </w:r>
            <w:r>
              <w:rPr>
                <w:rFonts w:ascii="Times New Roman" w:hAnsi="Times New Roman" w:eastAsia="Times New Roman" w:cs="Times New Roman"/>
                <w:spacing w:val="-2"/>
              </w:rPr>
              <w:t>1100m</w:t>
            </w:r>
            <w:r>
              <w:rPr>
                <w:rFonts w:ascii="Times New Roman" w:hAnsi="Times New Roman" w:eastAsia="Times New Roman" w:cs="Times New Roman"/>
                <w:spacing w:val="-2"/>
                <w:position w:val="6"/>
                <w:sz w:val="13"/>
                <w:szCs w:val="13"/>
              </w:rPr>
              <w:t>2</w:t>
            </w:r>
            <w:r>
              <w:rPr>
                <w:spacing w:val="-2"/>
              </w:rPr>
              <w:t>。</w:t>
            </w:r>
          </w:p>
        </w:tc>
        <w:tc>
          <w:tcPr>
            <w:tcW w:w="110" w:type="dxa"/>
            <w:vMerge w:val="continue"/>
            <w:tcBorders>
              <w:top w:val="nil"/>
              <w:bottom w:val="nil"/>
            </w:tcBorders>
            <w:vAlign w:val="top"/>
          </w:tcPr>
          <w:p w14:paraId="58AC0F82">
            <w:pPr>
              <w:rPr>
                <w:rFonts w:ascii="Arial"/>
                <w:sz w:val="21"/>
              </w:rPr>
            </w:pPr>
          </w:p>
        </w:tc>
      </w:tr>
      <w:tr w14:paraId="6768D3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5" w:hRule="atLeast"/>
        </w:trPr>
        <w:tc>
          <w:tcPr>
            <w:tcW w:w="571" w:type="dxa"/>
            <w:vMerge w:val="continue"/>
            <w:tcBorders>
              <w:top w:val="nil"/>
              <w:bottom w:val="nil"/>
            </w:tcBorders>
            <w:vAlign w:val="top"/>
          </w:tcPr>
          <w:p w14:paraId="504EE70D">
            <w:pPr>
              <w:rPr>
                <w:rFonts w:ascii="Arial"/>
                <w:sz w:val="21"/>
              </w:rPr>
            </w:pPr>
          </w:p>
        </w:tc>
        <w:tc>
          <w:tcPr>
            <w:tcW w:w="103" w:type="dxa"/>
            <w:tcBorders>
              <w:top w:val="nil"/>
              <w:bottom w:val="nil"/>
            </w:tcBorders>
            <w:vAlign w:val="top"/>
          </w:tcPr>
          <w:p w14:paraId="44D3389B">
            <w:pPr>
              <w:rPr>
                <w:rFonts w:ascii="Arial"/>
                <w:sz w:val="21"/>
              </w:rPr>
            </w:pPr>
          </w:p>
        </w:tc>
        <w:tc>
          <w:tcPr>
            <w:tcW w:w="595" w:type="dxa"/>
            <w:vMerge w:val="continue"/>
            <w:tcBorders>
              <w:top w:val="nil"/>
              <w:bottom w:val="nil"/>
            </w:tcBorders>
            <w:vAlign w:val="top"/>
          </w:tcPr>
          <w:p w14:paraId="2175400B">
            <w:pPr>
              <w:rPr>
                <w:rFonts w:ascii="Arial"/>
                <w:sz w:val="21"/>
              </w:rPr>
            </w:pPr>
          </w:p>
        </w:tc>
        <w:tc>
          <w:tcPr>
            <w:tcW w:w="1843" w:type="dxa"/>
            <w:vAlign w:val="top"/>
          </w:tcPr>
          <w:p w14:paraId="17A0B307">
            <w:pPr>
              <w:pStyle w:val="6"/>
              <w:spacing w:before="217" w:line="282" w:lineRule="auto"/>
              <w:ind w:left="822" w:right="75" w:hanging="736"/>
            </w:pPr>
            <w:r>
              <w:rPr>
                <w:spacing w:val="-1"/>
              </w:rPr>
              <w:t>施工生活区和材料</w:t>
            </w:r>
            <w:r>
              <w:t>站</w:t>
            </w:r>
          </w:p>
        </w:tc>
        <w:tc>
          <w:tcPr>
            <w:tcW w:w="5856" w:type="dxa"/>
            <w:vAlign w:val="top"/>
          </w:tcPr>
          <w:p w14:paraId="755D2151">
            <w:pPr>
              <w:pStyle w:val="6"/>
              <w:spacing w:before="61" w:line="271" w:lineRule="auto"/>
              <w:ind w:left="62" w:right="50" w:firstLine="6"/>
            </w:pPr>
            <w:r>
              <w:rPr>
                <w:spacing w:val="-2"/>
              </w:rPr>
              <w:t>（</w:t>
            </w:r>
            <w:r>
              <w:rPr>
                <w:rFonts w:ascii="Times New Roman" w:hAnsi="Times New Roman" w:eastAsia="Times New Roman" w:cs="Times New Roman"/>
                <w:spacing w:val="-2"/>
              </w:rPr>
              <w:t>1</w:t>
            </w:r>
            <w:r>
              <w:rPr>
                <w:spacing w:val="-2"/>
              </w:rPr>
              <w:t>）线路工程：租用项目区域附近房屋，或结合塔基、牵张场</w:t>
            </w:r>
            <w:r>
              <w:rPr>
                <w:spacing w:val="-1"/>
              </w:rPr>
              <w:t>地等设置，不另行设置。</w:t>
            </w:r>
          </w:p>
          <w:p w14:paraId="5E67F0D1">
            <w:pPr>
              <w:pStyle w:val="6"/>
              <w:spacing w:before="14" w:line="222" w:lineRule="auto"/>
              <w:ind w:left="68"/>
            </w:pPr>
            <w:r>
              <w:rPr>
                <w:spacing w:val="-2"/>
              </w:rPr>
              <w:t>（</w:t>
            </w:r>
            <w:r>
              <w:rPr>
                <w:rFonts w:ascii="Times New Roman" w:hAnsi="Times New Roman" w:eastAsia="Times New Roman" w:cs="Times New Roman"/>
                <w:spacing w:val="-2"/>
              </w:rPr>
              <w:t>2</w:t>
            </w:r>
            <w:r>
              <w:rPr>
                <w:spacing w:val="-2"/>
              </w:rPr>
              <w:t>）间隔扩建工程：结合临时施工场地进行布置。</w:t>
            </w:r>
          </w:p>
        </w:tc>
        <w:tc>
          <w:tcPr>
            <w:tcW w:w="110" w:type="dxa"/>
            <w:vMerge w:val="continue"/>
            <w:tcBorders>
              <w:top w:val="nil"/>
              <w:bottom w:val="nil"/>
            </w:tcBorders>
            <w:vAlign w:val="top"/>
          </w:tcPr>
          <w:p w14:paraId="23FBCF41">
            <w:pPr>
              <w:rPr>
                <w:rFonts w:ascii="Arial"/>
                <w:sz w:val="21"/>
              </w:rPr>
            </w:pPr>
          </w:p>
        </w:tc>
      </w:tr>
      <w:tr w14:paraId="1BB881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 w:hRule="atLeast"/>
        </w:trPr>
        <w:tc>
          <w:tcPr>
            <w:tcW w:w="571" w:type="dxa"/>
            <w:vMerge w:val="continue"/>
            <w:tcBorders>
              <w:top w:val="nil"/>
            </w:tcBorders>
            <w:vAlign w:val="top"/>
          </w:tcPr>
          <w:p w14:paraId="5E897037">
            <w:pPr>
              <w:rPr>
                <w:rFonts w:ascii="Arial"/>
                <w:sz w:val="21"/>
              </w:rPr>
            </w:pPr>
          </w:p>
        </w:tc>
        <w:tc>
          <w:tcPr>
            <w:tcW w:w="103" w:type="dxa"/>
            <w:tcBorders>
              <w:top w:val="nil"/>
            </w:tcBorders>
            <w:vAlign w:val="top"/>
          </w:tcPr>
          <w:p w14:paraId="1E044218">
            <w:pPr>
              <w:rPr>
                <w:rFonts w:ascii="Arial"/>
                <w:sz w:val="21"/>
              </w:rPr>
            </w:pPr>
          </w:p>
        </w:tc>
        <w:tc>
          <w:tcPr>
            <w:tcW w:w="595" w:type="dxa"/>
            <w:vMerge w:val="continue"/>
            <w:tcBorders>
              <w:top w:val="nil"/>
            </w:tcBorders>
            <w:vAlign w:val="top"/>
          </w:tcPr>
          <w:p w14:paraId="6F09F032">
            <w:pPr>
              <w:rPr>
                <w:rFonts w:ascii="Arial"/>
                <w:sz w:val="21"/>
              </w:rPr>
            </w:pPr>
          </w:p>
        </w:tc>
        <w:tc>
          <w:tcPr>
            <w:tcW w:w="1843" w:type="dxa"/>
            <w:vAlign w:val="top"/>
          </w:tcPr>
          <w:p w14:paraId="30ABE81D">
            <w:pPr>
              <w:pStyle w:val="6"/>
              <w:spacing w:before="216" w:line="221" w:lineRule="auto"/>
              <w:ind w:left="506"/>
            </w:pPr>
            <w:r>
              <w:rPr>
                <w:spacing w:val="-1"/>
              </w:rPr>
              <w:t>施工便道</w:t>
            </w:r>
          </w:p>
        </w:tc>
        <w:tc>
          <w:tcPr>
            <w:tcW w:w="5856" w:type="dxa"/>
            <w:vAlign w:val="top"/>
          </w:tcPr>
          <w:p w14:paraId="377340E7">
            <w:pPr>
              <w:pStyle w:val="6"/>
              <w:spacing w:before="59" w:line="255" w:lineRule="auto"/>
              <w:ind w:left="63" w:right="50" w:firstLine="5"/>
            </w:pPr>
            <w:r>
              <w:rPr>
                <w:spacing w:val="-1"/>
              </w:rPr>
              <w:t>（</w:t>
            </w:r>
            <w:r>
              <w:rPr>
                <w:rFonts w:ascii="Times New Roman" w:hAnsi="Times New Roman" w:eastAsia="Times New Roman" w:cs="Times New Roman"/>
                <w:spacing w:val="-1"/>
              </w:rPr>
              <w:t>1</w:t>
            </w:r>
            <w:r>
              <w:rPr>
                <w:spacing w:val="-1"/>
              </w:rPr>
              <w:t>）线路工程：需选定施工便道约</w:t>
            </w:r>
            <w:r>
              <w:rPr>
                <w:spacing w:val="-26"/>
              </w:rPr>
              <w:t xml:space="preserve"> </w:t>
            </w:r>
            <w:r>
              <w:rPr>
                <w:rFonts w:ascii="Times New Roman" w:hAnsi="Times New Roman" w:eastAsia="Times New Roman" w:cs="Times New Roman"/>
                <w:spacing w:val="-1"/>
              </w:rPr>
              <w:t>2.7km</w:t>
            </w:r>
            <w:r>
              <w:rPr>
                <w:spacing w:val="-1"/>
              </w:rPr>
              <w:t>，宽度按</w:t>
            </w:r>
            <w:r>
              <w:rPr>
                <w:spacing w:val="-27"/>
              </w:rPr>
              <w:t xml:space="preserve"> </w:t>
            </w:r>
            <w:r>
              <w:rPr>
                <w:rFonts w:ascii="Times New Roman" w:hAnsi="Times New Roman" w:eastAsia="Times New Roman" w:cs="Times New Roman"/>
                <w:spacing w:val="-1"/>
              </w:rPr>
              <w:t>3m</w:t>
            </w:r>
            <w:r>
              <w:rPr>
                <w:rFonts w:ascii="Times New Roman" w:hAnsi="Times New Roman" w:eastAsia="Times New Roman" w:cs="Times New Roman"/>
                <w:spacing w:val="27"/>
              </w:rPr>
              <w:t xml:space="preserve"> </w:t>
            </w:r>
            <w:r>
              <w:rPr>
                <w:spacing w:val="-1"/>
              </w:rPr>
              <w:t>计，扰</w:t>
            </w:r>
            <w:r>
              <w:rPr>
                <w:spacing w:val="-2"/>
              </w:rPr>
              <w:t>动面积约</w:t>
            </w:r>
            <w:r>
              <w:rPr>
                <w:spacing w:val="-34"/>
              </w:rPr>
              <w:t xml:space="preserve"> </w:t>
            </w:r>
            <w:r>
              <w:rPr>
                <w:rFonts w:ascii="Times New Roman" w:hAnsi="Times New Roman" w:eastAsia="Times New Roman" w:cs="Times New Roman"/>
                <w:spacing w:val="-2"/>
              </w:rPr>
              <w:t>8100m</w:t>
            </w:r>
            <w:r>
              <w:rPr>
                <w:rFonts w:ascii="Times New Roman" w:hAnsi="Times New Roman" w:eastAsia="Times New Roman" w:cs="Times New Roman"/>
                <w:spacing w:val="-2"/>
                <w:position w:val="6"/>
                <w:sz w:val="13"/>
                <w:szCs w:val="13"/>
              </w:rPr>
              <w:t>2</w:t>
            </w:r>
            <w:r>
              <w:rPr>
                <w:spacing w:val="-2"/>
              </w:rPr>
              <w:t>。</w:t>
            </w:r>
          </w:p>
        </w:tc>
        <w:tc>
          <w:tcPr>
            <w:tcW w:w="110" w:type="dxa"/>
            <w:vMerge w:val="continue"/>
            <w:tcBorders>
              <w:top w:val="nil"/>
            </w:tcBorders>
            <w:vAlign w:val="top"/>
          </w:tcPr>
          <w:p w14:paraId="2B45B85A">
            <w:pPr>
              <w:rPr>
                <w:rFonts w:ascii="Arial"/>
                <w:sz w:val="21"/>
              </w:rPr>
            </w:pPr>
          </w:p>
        </w:tc>
      </w:tr>
    </w:tbl>
    <w:p w14:paraId="5FD8E958">
      <w:pPr>
        <w:rPr>
          <w:rFonts w:ascii="Arial"/>
          <w:sz w:val="21"/>
        </w:rPr>
      </w:pPr>
    </w:p>
    <w:p w14:paraId="16A43B1C">
      <w:pPr>
        <w:rPr>
          <w:rFonts w:ascii="Arial" w:hAnsi="Arial" w:eastAsia="Arial" w:cs="Arial"/>
          <w:sz w:val="21"/>
          <w:szCs w:val="21"/>
        </w:rPr>
        <w:sectPr>
          <w:footerReference r:id="rId32" w:type="default"/>
          <w:pgSz w:w="11907" w:h="16841"/>
          <w:pgMar w:top="400" w:right="1408" w:bottom="1126" w:left="1414" w:header="0" w:footer="925" w:gutter="0"/>
          <w:cols w:space="720" w:num="1"/>
        </w:sectPr>
      </w:pPr>
    </w:p>
    <w:p w14:paraId="7F511246">
      <w:pPr>
        <w:spacing w:before="2"/>
      </w:pPr>
    </w:p>
    <w:p w14:paraId="43AEF9BD">
      <w:pPr>
        <w:spacing w:before="2"/>
      </w:pPr>
    </w:p>
    <w:p w14:paraId="7663FC2B">
      <w:pPr>
        <w:spacing w:before="1"/>
      </w:pPr>
    </w:p>
    <w:p w14:paraId="454BD7D6">
      <w:pPr>
        <w:spacing w:before="1"/>
      </w:pPr>
    </w:p>
    <w:p w14:paraId="386749EA">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00"/>
        <w:gridCol w:w="595"/>
        <w:gridCol w:w="254"/>
        <w:gridCol w:w="456"/>
        <w:gridCol w:w="679"/>
        <w:gridCol w:w="453"/>
        <w:gridCol w:w="5863"/>
        <w:gridCol w:w="107"/>
      </w:tblGrid>
      <w:tr w14:paraId="3C18FA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71" w:type="dxa"/>
            <w:vMerge w:val="restart"/>
            <w:tcBorders>
              <w:bottom w:val="nil"/>
            </w:tcBorders>
            <w:vAlign w:val="top"/>
          </w:tcPr>
          <w:p w14:paraId="4AA3DC3F">
            <w:pPr>
              <w:rPr>
                <w:rFonts w:ascii="Arial"/>
                <w:sz w:val="21"/>
              </w:rPr>
            </w:pPr>
          </w:p>
        </w:tc>
        <w:tc>
          <w:tcPr>
            <w:tcW w:w="100" w:type="dxa"/>
            <w:tcBorders>
              <w:bottom w:val="nil"/>
            </w:tcBorders>
            <w:vAlign w:val="top"/>
          </w:tcPr>
          <w:p w14:paraId="0D0FFAA0">
            <w:pPr>
              <w:rPr>
                <w:rFonts w:ascii="Arial"/>
                <w:sz w:val="21"/>
              </w:rPr>
            </w:pPr>
          </w:p>
        </w:tc>
        <w:tc>
          <w:tcPr>
            <w:tcW w:w="595" w:type="dxa"/>
            <w:vAlign w:val="top"/>
          </w:tcPr>
          <w:p w14:paraId="157C0EF8">
            <w:pPr>
              <w:rPr>
                <w:rFonts w:ascii="Arial"/>
                <w:sz w:val="21"/>
              </w:rPr>
            </w:pPr>
          </w:p>
        </w:tc>
        <w:tc>
          <w:tcPr>
            <w:tcW w:w="1842" w:type="dxa"/>
            <w:gridSpan w:val="4"/>
            <w:vAlign w:val="top"/>
          </w:tcPr>
          <w:p w14:paraId="633CD5A4">
            <w:pPr>
              <w:rPr>
                <w:rFonts w:ascii="Arial"/>
                <w:sz w:val="21"/>
              </w:rPr>
            </w:pPr>
          </w:p>
        </w:tc>
        <w:tc>
          <w:tcPr>
            <w:tcW w:w="5863" w:type="dxa"/>
            <w:vAlign w:val="top"/>
          </w:tcPr>
          <w:p w14:paraId="0CE81536">
            <w:pPr>
              <w:pStyle w:val="6"/>
              <w:spacing w:before="71" w:line="224" w:lineRule="auto"/>
              <w:ind w:left="72"/>
            </w:pPr>
            <w:r>
              <w:rPr>
                <w:spacing w:val="-1"/>
              </w:rPr>
              <w:t>（</w:t>
            </w:r>
            <w:r>
              <w:rPr>
                <w:rFonts w:ascii="Times New Roman" w:hAnsi="Times New Roman" w:eastAsia="Times New Roman" w:cs="Times New Roman"/>
                <w:spacing w:val="-1"/>
              </w:rPr>
              <w:t>2</w:t>
            </w:r>
            <w:r>
              <w:rPr>
                <w:spacing w:val="-1"/>
              </w:rPr>
              <w:t>）间隔扩建工程：均有道路到达，无需新</w:t>
            </w:r>
            <w:r>
              <w:rPr>
                <w:spacing w:val="-2"/>
              </w:rPr>
              <w:t>建施工便道。</w:t>
            </w:r>
          </w:p>
        </w:tc>
        <w:tc>
          <w:tcPr>
            <w:tcW w:w="107" w:type="dxa"/>
            <w:vMerge w:val="restart"/>
            <w:tcBorders>
              <w:bottom w:val="nil"/>
            </w:tcBorders>
            <w:vAlign w:val="top"/>
          </w:tcPr>
          <w:p w14:paraId="198B0D43">
            <w:pPr>
              <w:rPr>
                <w:rFonts w:ascii="Arial"/>
                <w:sz w:val="21"/>
              </w:rPr>
            </w:pPr>
          </w:p>
        </w:tc>
      </w:tr>
      <w:tr w14:paraId="0D4378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71AE987B">
            <w:pPr>
              <w:rPr>
                <w:rFonts w:ascii="Arial"/>
                <w:sz w:val="21"/>
              </w:rPr>
            </w:pPr>
          </w:p>
        </w:tc>
        <w:tc>
          <w:tcPr>
            <w:tcW w:w="100" w:type="dxa"/>
            <w:tcBorders>
              <w:top w:val="nil"/>
              <w:bottom w:val="nil"/>
            </w:tcBorders>
            <w:vAlign w:val="top"/>
          </w:tcPr>
          <w:p w14:paraId="5832BD4F">
            <w:pPr>
              <w:rPr>
                <w:rFonts w:ascii="Arial"/>
                <w:sz w:val="21"/>
              </w:rPr>
            </w:pPr>
          </w:p>
        </w:tc>
        <w:tc>
          <w:tcPr>
            <w:tcW w:w="595" w:type="dxa"/>
            <w:vMerge w:val="restart"/>
            <w:tcBorders>
              <w:bottom w:val="nil"/>
            </w:tcBorders>
            <w:vAlign w:val="top"/>
          </w:tcPr>
          <w:p w14:paraId="602D470A">
            <w:pPr>
              <w:spacing w:line="263" w:lineRule="auto"/>
              <w:rPr>
                <w:rFonts w:ascii="Arial"/>
                <w:sz w:val="21"/>
              </w:rPr>
            </w:pPr>
          </w:p>
          <w:p w14:paraId="5DA6BDD9">
            <w:pPr>
              <w:spacing w:line="264" w:lineRule="auto"/>
              <w:rPr>
                <w:rFonts w:ascii="Arial"/>
                <w:sz w:val="21"/>
              </w:rPr>
            </w:pPr>
          </w:p>
          <w:p w14:paraId="7850C80D">
            <w:pPr>
              <w:spacing w:line="264" w:lineRule="auto"/>
              <w:rPr>
                <w:rFonts w:ascii="Arial"/>
                <w:sz w:val="21"/>
              </w:rPr>
            </w:pPr>
          </w:p>
          <w:p w14:paraId="5A2AE188">
            <w:pPr>
              <w:pStyle w:val="6"/>
              <w:spacing w:before="68" w:line="281" w:lineRule="auto"/>
              <w:ind w:left="97" w:right="80" w:hanging="2"/>
            </w:pPr>
            <w:r>
              <w:rPr>
                <w:spacing w:val="-3"/>
              </w:rPr>
              <w:t>环保</w:t>
            </w:r>
            <w:r>
              <w:rPr>
                <w:spacing w:val="-5"/>
              </w:rPr>
              <w:t>工程</w:t>
            </w:r>
          </w:p>
        </w:tc>
        <w:tc>
          <w:tcPr>
            <w:tcW w:w="710" w:type="dxa"/>
            <w:gridSpan w:val="2"/>
            <w:vMerge w:val="restart"/>
            <w:tcBorders>
              <w:bottom w:val="nil"/>
            </w:tcBorders>
            <w:vAlign w:val="top"/>
          </w:tcPr>
          <w:p w14:paraId="70A0F3A7">
            <w:pPr>
              <w:spacing w:line="262" w:lineRule="auto"/>
              <w:rPr>
                <w:rFonts w:ascii="Arial"/>
                <w:sz w:val="21"/>
              </w:rPr>
            </w:pPr>
          </w:p>
          <w:p w14:paraId="581E37F0">
            <w:pPr>
              <w:spacing w:line="262" w:lineRule="auto"/>
              <w:rPr>
                <w:rFonts w:ascii="Arial"/>
                <w:sz w:val="21"/>
              </w:rPr>
            </w:pPr>
          </w:p>
          <w:p w14:paraId="1689E61F">
            <w:pPr>
              <w:spacing w:line="263" w:lineRule="auto"/>
              <w:rPr>
                <w:rFonts w:ascii="Arial"/>
                <w:sz w:val="21"/>
              </w:rPr>
            </w:pPr>
          </w:p>
          <w:p w14:paraId="40A8FD40">
            <w:pPr>
              <w:pStyle w:val="6"/>
              <w:spacing w:before="68" w:line="221" w:lineRule="auto"/>
              <w:ind w:left="46"/>
            </w:pPr>
            <w:r>
              <w:rPr>
                <w:spacing w:val="-1"/>
              </w:rPr>
              <w:t>施工期</w:t>
            </w:r>
          </w:p>
        </w:tc>
        <w:tc>
          <w:tcPr>
            <w:tcW w:w="1132" w:type="dxa"/>
            <w:gridSpan w:val="2"/>
            <w:vAlign w:val="top"/>
          </w:tcPr>
          <w:p w14:paraId="3A4FA7C0">
            <w:pPr>
              <w:pStyle w:val="6"/>
              <w:spacing w:before="53" w:line="223" w:lineRule="auto"/>
              <w:ind w:left="364"/>
            </w:pPr>
            <w:r>
              <w:rPr>
                <w:spacing w:val="-2"/>
              </w:rPr>
              <w:t>扬尘</w:t>
            </w:r>
          </w:p>
        </w:tc>
        <w:tc>
          <w:tcPr>
            <w:tcW w:w="5863" w:type="dxa"/>
            <w:vAlign w:val="top"/>
          </w:tcPr>
          <w:p w14:paraId="1ACA41EC">
            <w:pPr>
              <w:pStyle w:val="6"/>
              <w:spacing w:before="53" w:line="220" w:lineRule="auto"/>
              <w:ind w:left="68"/>
            </w:pPr>
            <w:r>
              <w:rPr>
                <w:spacing w:val="-1"/>
              </w:rPr>
              <w:t>洒水降尘、施工物料采用篷布覆盖、遮挡。</w:t>
            </w:r>
          </w:p>
        </w:tc>
        <w:tc>
          <w:tcPr>
            <w:tcW w:w="107" w:type="dxa"/>
            <w:vMerge w:val="continue"/>
            <w:tcBorders>
              <w:top w:val="nil"/>
              <w:bottom w:val="nil"/>
            </w:tcBorders>
            <w:vAlign w:val="top"/>
          </w:tcPr>
          <w:p w14:paraId="68BBE5B1">
            <w:pPr>
              <w:rPr>
                <w:rFonts w:ascii="Arial"/>
                <w:sz w:val="21"/>
              </w:rPr>
            </w:pPr>
          </w:p>
        </w:tc>
      </w:tr>
      <w:tr w14:paraId="2204C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1" w:type="dxa"/>
            <w:vMerge w:val="continue"/>
            <w:tcBorders>
              <w:top w:val="nil"/>
              <w:bottom w:val="nil"/>
            </w:tcBorders>
            <w:vAlign w:val="top"/>
          </w:tcPr>
          <w:p w14:paraId="2FA9D796">
            <w:pPr>
              <w:rPr>
                <w:rFonts w:ascii="Arial"/>
                <w:sz w:val="21"/>
              </w:rPr>
            </w:pPr>
          </w:p>
        </w:tc>
        <w:tc>
          <w:tcPr>
            <w:tcW w:w="100" w:type="dxa"/>
            <w:tcBorders>
              <w:top w:val="nil"/>
              <w:bottom w:val="nil"/>
            </w:tcBorders>
            <w:vAlign w:val="top"/>
          </w:tcPr>
          <w:p w14:paraId="5282478D">
            <w:pPr>
              <w:rPr>
                <w:rFonts w:ascii="Arial"/>
                <w:sz w:val="21"/>
              </w:rPr>
            </w:pPr>
          </w:p>
        </w:tc>
        <w:tc>
          <w:tcPr>
            <w:tcW w:w="595" w:type="dxa"/>
            <w:vMerge w:val="continue"/>
            <w:tcBorders>
              <w:top w:val="nil"/>
              <w:bottom w:val="nil"/>
            </w:tcBorders>
            <w:vAlign w:val="top"/>
          </w:tcPr>
          <w:p w14:paraId="3B1721C0">
            <w:pPr>
              <w:rPr>
                <w:rFonts w:ascii="Arial"/>
                <w:sz w:val="21"/>
              </w:rPr>
            </w:pPr>
          </w:p>
        </w:tc>
        <w:tc>
          <w:tcPr>
            <w:tcW w:w="710" w:type="dxa"/>
            <w:gridSpan w:val="2"/>
            <w:vMerge w:val="continue"/>
            <w:tcBorders>
              <w:top w:val="nil"/>
              <w:bottom w:val="nil"/>
            </w:tcBorders>
            <w:vAlign w:val="top"/>
          </w:tcPr>
          <w:p w14:paraId="0996D0A5">
            <w:pPr>
              <w:rPr>
                <w:rFonts w:ascii="Arial"/>
                <w:sz w:val="21"/>
              </w:rPr>
            </w:pPr>
          </w:p>
        </w:tc>
        <w:tc>
          <w:tcPr>
            <w:tcW w:w="1132" w:type="dxa"/>
            <w:gridSpan w:val="2"/>
            <w:vAlign w:val="top"/>
          </w:tcPr>
          <w:p w14:paraId="19157159">
            <w:pPr>
              <w:pStyle w:val="6"/>
              <w:spacing w:before="212" w:line="221" w:lineRule="auto"/>
              <w:ind w:left="364"/>
            </w:pPr>
            <w:r>
              <w:rPr>
                <w:spacing w:val="-2"/>
              </w:rPr>
              <w:t>废水</w:t>
            </w:r>
          </w:p>
        </w:tc>
        <w:tc>
          <w:tcPr>
            <w:tcW w:w="5863" w:type="dxa"/>
            <w:vAlign w:val="top"/>
          </w:tcPr>
          <w:p w14:paraId="572FF7A5">
            <w:pPr>
              <w:pStyle w:val="6"/>
              <w:spacing w:before="54" w:line="252" w:lineRule="auto"/>
              <w:ind w:left="68" w:right="61" w:hanging="3"/>
            </w:pPr>
            <w:r>
              <w:rPr>
                <w:spacing w:val="2"/>
              </w:rPr>
              <w:t>施工场地内设置简易沉淀池，处理施工废水后回用于施工作业</w:t>
            </w:r>
            <w:r>
              <w:rPr>
                <w:spacing w:val="-2"/>
              </w:rPr>
              <w:t>或洒水降尘。</w:t>
            </w:r>
          </w:p>
        </w:tc>
        <w:tc>
          <w:tcPr>
            <w:tcW w:w="107" w:type="dxa"/>
            <w:vMerge w:val="continue"/>
            <w:tcBorders>
              <w:top w:val="nil"/>
              <w:bottom w:val="nil"/>
            </w:tcBorders>
            <w:vAlign w:val="top"/>
          </w:tcPr>
          <w:p w14:paraId="3BF36416">
            <w:pPr>
              <w:rPr>
                <w:rFonts w:ascii="Arial"/>
                <w:sz w:val="21"/>
              </w:rPr>
            </w:pPr>
          </w:p>
        </w:tc>
      </w:tr>
      <w:tr w14:paraId="351D6E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71" w:type="dxa"/>
            <w:vMerge w:val="continue"/>
            <w:tcBorders>
              <w:top w:val="nil"/>
              <w:bottom w:val="nil"/>
            </w:tcBorders>
            <w:vAlign w:val="top"/>
          </w:tcPr>
          <w:p w14:paraId="28BBBD82">
            <w:pPr>
              <w:rPr>
                <w:rFonts w:ascii="Arial"/>
                <w:sz w:val="21"/>
              </w:rPr>
            </w:pPr>
          </w:p>
        </w:tc>
        <w:tc>
          <w:tcPr>
            <w:tcW w:w="100" w:type="dxa"/>
            <w:tcBorders>
              <w:top w:val="nil"/>
              <w:bottom w:val="nil"/>
            </w:tcBorders>
            <w:vAlign w:val="top"/>
          </w:tcPr>
          <w:p w14:paraId="5AE572E0">
            <w:pPr>
              <w:rPr>
                <w:rFonts w:ascii="Arial"/>
                <w:sz w:val="21"/>
              </w:rPr>
            </w:pPr>
          </w:p>
        </w:tc>
        <w:tc>
          <w:tcPr>
            <w:tcW w:w="595" w:type="dxa"/>
            <w:vMerge w:val="continue"/>
            <w:tcBorders>
              <w:top w:val="nil"/>
              <w:bottom w:val="nil"/>
            </w:tcBorders>
            <w:vAlign w:val="top"/>
          </w:tcPr>
          <w:p w14:paraId="721976EA">
            <w:pPr>
              <w:rPr>
                <w:rFonts w:ascii="Arial"/>
                <w:sz w:val="21"/>
              </w:rPr>
            </w:pPr>
          </w:p>
        </w:tc>
        <w:tc>
          <w:tcPr>
            <w:tcW w:w="710" w:type="dxa"/>
            <w:gridSpan w:val="2"/>
            <w:vMerge w:val="continue"/>
            <w:tcBorders>
              <w:top w:val="nil"/>
              <w:bottom w:val="nil"/>
            </w:tcBorders>
            <w:vAlign w:val="top"/>
          </w:tcPr>
          <w:p w14:paraId="75719E96">
            <w:pPr>
              <w:rPr>
                <w:rFonts w:ascii="Arial"/>
                <w:sz w:val="21"/>
              </w:rPr>
            </w:pPr>
          </w:p>
        </w:tc>
        <w:tc>
          <w:tcPr>
            <w:tcW w:w="1132" w:type="dxa"/>
            <w:gridSpan w:val="2"/>
            <w:vAlign w:val="top"/>
          </w:tcPr>
          <w:p w14:paraId="64CAD240">
            <w:pPr>
              <w:pStyle w:val="6"/>
              <w:spacing w:before="213" w:line="221" w:lineRule="auto"/>
              <w:ind w:left="375"/>
            </w:pPr>
            <w:r>
              <w:rPr>
                <w:spacing w:val="-4"/>
              </w:rPr>
              <w:t>噪声</w:t>
            </w:r>
          </w:p>
        </w:tc>
        <w:tc>
          <w:tcPr>
            <w:tcW w:w="5863" w:type="dxa"/>
            <w:vAlign w:val="top"/>
          </w:tcPr>
          <w:p w14:paraId="557AEEB4">
            <w:pPr>
              <w:pStyle w:val="6"/>
              <w:spacing w:before="54" w:line="251" w:lineRule="auto"/>
              <w:ind w:left="67"/>
            </w:pPr>
            <w:r>
              <w:rPr>
                <w:spacing w:val="-3"/>
              </w:rPr>
              <w:t>靠近声环境敏感区的施工区域，采用临时声屏障</w:t>
            </w:r>
            <w:r>
              <w:rPr>
                <w:spacing w:val="-4"/>
              </w:rPr>
              <w:t>减轻噪声影响，</w:t>
            </w:r>
            <w:r>
              <w:rPr>
                <w:spacing w:val="-1"/>
              </w:rPr>
              <w:t>使施工噪声控制在施工场地内。</w:t>
            </w:r>
          </w:p>
        </w:tc>
        <w:tc>
          <w:tcPr>
            <w:tcW w:w="107" w:type="dxa"/>
            <w:vMerge w:val="continue"/>
            <w:tcBorders>
              <w:top w:val="nil"/>
              <w:bottom w:val="nil"/>
            </w:tcBorders>
            <w:vAlign w:val="top"/>
          </w:tcPr>
          <w:p w14:paraId="5F865B9E">
            <w:pPr>
              <w:rPr>
                <w:rFonts w:ascii="Arial"/>
                <w:sz w:val="21"/>
              </w:rPr>
            </w:pPr>
          </w:p>
        </w:tc>
      </w:tr>
      <w:tr w14:paraId="7B36E0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376E8AE6">
            <w:pPr>
              <w:rPr>
                <w:rFonts w:ascii="Arial"/>
                <w:sz w:val="21"/>
              </w:rPr>
            </w:pPr>
          </w:p>
        </w:tc>
        <w:tc>
          <w:tcPr>
            <w:tcW w:w="100" w:type="dxa"/>
            <w:tcBorders>
              <w:top w:val="nil"/>
              <w:bottom w:val="nil"/>
            </w:tcBorders>
            <w:vAlign w:val="top"/>
          </w:tcPr>
          <w:p w14:paraId="51C21DC3">
            <w:pPr>
              <w:rPr>
                <w:rFonts w:ascii="Arial"/>
                <w:sz w:val="21"/>
              </w:rPr>
            </w:pPr>
          </w:p>
        </w:tc>
        <w:tc>
          <w:tcPr>
            <w:tcW w:w="595" w:type="dxa"/>
            <w:vMerge w:val="continue"/>
            <w:tcBorders>
              <w:top w:val="nil"/>
              <w:bottom w:val="nil"/>
            </w:tcBorders>
            <w:vAlign w:val="top"/>
          </w:tcPr>
          <w:p w14:paraId="66325CFF">
            <w:pPr>
              <w:rPr>
                <w:rFonts w:ascii="Arial"/>
                <w:sz w:val="21"/>
              </w:rPr>
            </w:pPr>
          </w:p>
        </w:tc>
        <w:tc>
          <w:tcPr>
            <w:tcW w:w="710" w:type="dxa"/>
            <w:gridSpan w:val="2"/>
            <w:vMerge w:val="continue"/>
            <w:tcBorders>
              <w:top w:val="nil"/>
            </w:tcBorders>
            <w:vAlign w:val="top"/>
          </w:tcPr>
          <w:p w14:paraId="34D10B4D">
            <w:pPr>
              <w:rPr>
                <w:rFonts w:ascii="Arial"/>
                <w:sz w:val="21"/>
              </w:rPr>
            </w:pPr>
          </w:p>
        </w:tc>
        <w:tc>
          <w:tcPr>
            <w:tcW w:w="1132" w:type="dxa"/>
            <w:gridSpan w:val="2"/>
            <w:vAlign w:val="top"/>
          </w:tcPr>
          <w:p w14:paraId="09BF0111">
            <w:pPr>
              <w:pStyle w:val="6"/>
              <w:spacing w:before="53" w:line="226" w:lineRule="auto"/>
              <w:ind w:left="367"/>
            </w:pPr>
            <w:r>
              <w:rPr>
                <w:spacing w:val="-2"/>
              </w:rPr>
              <w:t>生态</w:t>
            </w:r>
          </w:p>
        </w:tc>
        <w:tc>
          <w:tcPr>
            <w:tcW w:w="5863" w:type="dxa"/>
            <w:vAlign w:val="top"/>
          </w:tcPr>
          <w:p w14:paraId="22337C0B">
            <w:pPr>
              <w:pStyle w:val="6"/>
              <w:spacing w:before="54" w:line="220" w:lineRule="auto"/>
              <w:jc w:val="right"/>
            </w:pPr>
            <w:r>
              <w:rPr>
                <w:spacing w:val="-4"/>
              </w:rPr>
              <w:t>临时施工区、牵张场、跨越施工场地施工结束后进行植被恢复。</w:t>
            </w:r>
          </w:p>
        </w:tc>
        <w:tc>
          <w:tcPr>
            <w:tcW w:w="107" w:type="dxa"/>
            <w:vMerge w:val="continue"/>
            <w:tcBorders>
              <w:top w:val="nil"/>
              <w:bottom w:val="nil"/>
            </w:tcBorders>
            <w:vAlign w:val="top"/>
          </w:tcPr>
          <w:p w14:paraId="75673EF9">
            <w:pPr>
              <w:rPr>
                <w:rFonts w:ascii="Arial"/>
                <w:sz w:val="21"/>
              </w:rPr>
            </w:pPr>
          </w:p>
        </w:tc>
      </w:tr>
      <w:tr w14:paraId="26F0BE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748CAEA4">
            <w:pPr>
              <w:rPr>
                <w:rFonts w:ascii="Arial"/>
                <w:sz w:val="21"/>
              </w:rPr>
            </w:pPr>
          </w:p>
        </w:tc>
        <w:tc>
          <w:tcPr>
            <w:tcW w:w="100" w:type="dxa"/>
            <w:tcBorders>
              <w:top w:val="nil"/>
              <w:bottom w:val="nil"/>
            </w:tcBorders>
            <w:vAlign w:val="top"/>
          </w:tcPr>
          <w:p w14:paraId="1734B3F2">
            <w:pPr>
              <w:rPr>
                <w:rFonts w:ascii="Arial"/>
                <w:sz w:val="21"/>
              </w:rPr>
            </w:pPr>
          </w:p>
        </w:tc>
        <w:tc>
          <w:tcPr>
            <w:tcW w:w="595" w:type="dxa"/>
            <w:vMerge w:val="continue"/>
            <w:tcBorders>
              <w:top w:val="nil"/>
            </w:tcBorders>
            <w:vAlign w:val="top"/>
          </w:tcPr>
          <w:p w14:paraId="75975183">
            <w:pPr>
              <w:rPr>
                <w:rFonts w:ascii="Arial"/>
                <w:sz w:val="21"/>
              </w:rPr>
            </w:pPr>
          </w:p>
        </w:tc>
        <w:tc>
          <w:tcPr>
            <w:tcW w:w="710" w:type="dxa"/>
            <w:gridSpan w:val="2"/>
            <w:vAlign w:val="top"/>
          </w:tcPr>
          <w:p w14:paraId="4F6314B6">
            <w:pPr>
              <w:pStyle w:val="6"/>
              <w:spacing w:before="54" w:line="221" w:lineRule="auto"/>
              <w:ind w:left="47"/>
            </w:pPr>
            <w:r>
              <w:rPr>
                <w:spacing w:val="-2"/>
              </w:rPr>
              <w:t>运营期</w:t>
            </w:r>
          </w:p>
        </w:tc>
        <w:tc>
          <w:tcPr>
            <w:tcW w:w="1132" w:type="dxa"/>
            <w:gridSpan w:val="2"/>
            <w:vAlign w:val="top"/>
          </w:tcPr>
          <w:p w14:paraId="0423B17C">
            <w:pPr>
              <w:pStyle w:val="6"/>
              <w:spacing w:before="54" w:line="221" w:lineRule="auto"/>
              <w:ind w:left="260"/>
            </w:pPr>
            <w:r>
              <w:rPr>
                <w:spacing w:val="-2"/>
              </w:rPr>
              <w:t>标识牌</w:t>
            </w:r>
          </w:p>
        </w:tc>
        <w:tc>
          <w:tcPr>
            <w:tcW w:w="5863" w:type="dxa"/>
            <w:vAlign w:val="top"/>
          </w:tcPr>
          <w:p w14:paraId="35CE3D53">
            <w:pPr>
              <w:pStyle w:val="6"/>
              <w:spacing w:before="54" w:line="221" w:lineRule="auto"/>
              <w:ind w:left="69"/>
            </w:pPr>
            <w:r>
              <w:rPr>
                <w:spacing w:val="-1"/>
              </w:rPr>
              <w:t>设置安全警示牌、电力设施保护标识牌。</w:t>
            </w:r>
          </w:p>
        </w:tc>
        <w:tc>
          <w:tcPr>
            <w:tcW w:w="107" w:type="dxa"/>
            <w:vMerge w:val="continue"/>
            <w:tcBorders>
              <w:top w:val="nil"/>
              <w:bottom w:val="nil"/>
            </w:tcBorders>
            <w:vAlign w:val="top"/>
          </w:tcPr>
          <w:p w14:paraId="6C9CAE81">
            <w:pPr>
              <w:rPr>
                <w:rFonts w:ascii="Arial"/>
                <w:sz w:val="21"/>
              </w:rPr>
            </w:pPr>
          </w:p>
        </w:tc>
      </w:tr>
      <w:tr w14:paraId="74A9B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0" w:hRule="atLeast"/>
        </w:trPr>
        <w:tc>
          <w:tcPr>
            <w:tcW w:w="571" w:type="dxa"/>
            <w:vMerge w:val="continue"/>
            <w:tcBorders>
              <w:top w:val="nil"/>
              <w:bottom w:val="nil"/>
            </w:tcBorders>
            <w:vAlign w:val="top"/>
          </w:tcPr>
          <w:p w14:paraId="2CE70DD3">
            <w:pPr>
              <w:rPr>
                <w:rFonts w:ascii="Arial"/>
                <w:sz w:val="21"/>
              </w:rPr>
            </w:pPr>
          </w:p>
        </w:tc>
        <w:tc>
          <w:tcPr>
            <w:tcW w:w="8400" w:type="dxa"/>
            <w:gridSpan w:val="7"/>
            <w:tcBorders>
              <w:right w:val="nil"/>
            </w:tcBorders>
            <w:vAlign w:val="top"/>
          </w:tcPr>
          <w:p w14:paraId="2039A038">
            <w:pPr>
              <w:pStyle w:val="6"/>
              <w:spacing w:before="119" w:line="233" w:lineRule="auto"/>
              <w:ind w:left="108"/>
              <w:rPr>
                <w:sz w:val="24"/>
                <w:szCs w:val="24"/>
              </w:rPr>
            </w:pPr>
            <w:r>
              <w:rPr>
                <w:rFonts w:ascii="Times New Roman" w:hAnsi="Times New Roman" w:eastAsia="Times New Roman" w:cs="Times New Roman"/>
                <w:b/>
                <w:bCs/>
                <w:spacing w:val="-3"/>
                <w:sz w:val="24"/>
                <w:szCs w:val="24"/>
              </w:rPr>
              <w:t>2</w:t>
            </w:r>
            <w:r>
              <w:rPr>
                <w:b/>
                <w:bCs/>
                <w:spacing w:val="-3"/>
                <w:sz w:val="24"/>
                <w:szCs w:val="24"/>
              </w:rPr>
              <w:t>、主要技术指标</w:t>
            </w:r>
          </w:p>
          <w:p w14:paraId="0F4FFE4A">
            <w:pPr>
              <w:pStyle w:val="6"/>
              <w:spacing w:before="169" w:line="219" w:lineRule="auto"/>
              <w:ind w:left="593"/>
              <w:rPr>
                <w:sz w:val="24"/>
                <w:szCs w:val="24"/>
              </w:rPr>
            </w:pPr>
            <w:r>
              <w:rPr>
                <w:spacing w:val="-3"/>
                <w:sz w:val="24"/>
                <w:szCs w:val="24"/>
              </w:rPr>
              <w:t>本项目主要技术指标见下表。</w:t>
            </w:r>
          </w:p>
          <w:p w14:paraId="509EF08F">
            <w:pPr>
              <w:pStyle w:val="6"/>
              <w:spacing w:before="127" w:line="225" w:lineRule="auto"/>
              <w:ind w:left="2928"/>
            </w:pPr>
            <w:r>
              <w:rPr>
                <w:b/>
                <w:bCs/>
                <w:spacing w:val="-2"/>
              </w:rPr>
              <w:t>表</w:t>
            </w:r>
            <w:r>
              <w:rPr>
                <w:spacing w:val="-38"/>
              </w:rPr>
              <w:t xml:space="preserve"> </w:t>
            </w:r>
            <w:r>
              <w:rPr>
                <w:rFonts w:ascii="Times New Roman" w:hAnsi="Times New Roman" w:eastAsia="Times New Roman" w:cs="Times New Roman"/>
                <w:b/>
                <w:bCs/>
                <w:spacing w:val="-2"/>
              </w:rPr>
              <w:t xml:space="preserve">2-2    </w:t>
            </w:r>
            <w:r>
              <w:rPr>
                <w:b/>
                <w:bCs/>
                <w:spacing w:val="-2"/>
              </w:rPr>
              <w:t>本工程主要技术指标</w:t>
            </w:r>
          </w:p>
        </w:tc>
        <w:tc>
          <w:tcPr>
            <w:tcW w:w="107" w:type="dxa"/>
            <w:vMerge w:val="restart"/>
            <w:tcBorders>
              <w:top w:val="nil"/>
              <w:bottom w:val="nil"/>
            </w:tcBorders>
            <w:vAlign w:val="top"/>
          </w:tcPr>
          <w:p w14:paraId="639F0FC3">
            <w:pPr>
              <w:rPr>
                <w:rFonts w:ascii="Arial"/>
                <w:sz w:val="21"/>
              </w:rPr>
            </w:pPr>
          </w:p>
        </w:tc>
      </w:tr>
      <w:tr w14:paraId="47B1D4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3B69EA05">
            <w:pPr>
              <w:rPr>
                <w:rFonts w:ascii="Arial"/>
                <w:sz w:val="21"/>
              </w:rPr>
            </w:pPr>
          </w:p>
        </w:tc>
        <w:tc>
          <w:tcPr>
            <w:tcW w:w="100" w:type="dxa"/>
            <w:tcBorders>
              <w:top w:val="nil"/>
              <w:bottom w:val="nil"/>
            </w:tcBorders>
            <w:vAlign w:val="top"/>
          </w:tcPr>
          <w:p w14:paraId="319E918B">
            <w:pPr>
              <w:rPr>
                <w:rFonts w:ascii="Arial"/>
                <w:sz w:val="21"/>
              </w:rPr>
            </w:pPr>
          </w:p>
        </w:tc>
        <w:tc>
          <w:tcPr>
            <w:tcW w:w="1984" w:type="dxa"/>
            <w:gridSpan w:val="4"/>
            <w:vAlign w:val="top"/>
          </w:tcPr>
          <w:p w14:paraId="41BE38F7">
            <w:pPr>
              <w:pStyle w:val="6"/>
              <w:spacing w:before="55" w:line="221" w:lineRule="auto"/>
              <w:ind w:left="576"/>
            </w:pPr>
            <w:r>
              <w:rPr>
                <w:b/>
                <w:bCs/>
                <w:spacing w:val="-4"/>
              </w:rPr>
              <w:t>项目名称</w:t>
            </w:r>
          </w:p>
        </w:tc>
        <w:tc>
          <w:tcPr>
            <w:tcW w:w="6316" w:type="dxa"/>
            <w:gridSpan w:val="2"/>
            <w:vAlign w:val="top"/>
          </w:tcPr>
          <w:p w14:paraId="12FFDC09">
            <w:pPr>
              <w:pStyle w:val="6"/>
              <w:spacing w:before="54" w:line="221" w:lineRule="auto"/>
              <w:ind w:left="2217"/>
            </w:pPr>
            <w:r>
              <w:rPr>
                <w:b/>
                <w:bCs/>
                <w:spacing w:val="-3"/>
              </w:rPr>
              <w:t>规模及主要技术指标</w:t>
            </w:r>
          </w:p>
        </w:tc>
        <w:tc>
          <w:tcPr>
            <w:tcW w:w="107" w:type="dxa"/>
            <w:vMerge w:val="continue"/>
            <w:tcBorders>
              <w:top w:val="nil"/>
              <w:bottom w:val="nil"/>
            </w:tcBorders>
            <w:vAlign w:val="top"/>
          </w:tcPr>
          <w:p w14:paraId="7452DA24">
            <w:pPr>
              <w:rPr>
                <w:rFonts w:ascii="Arial"/>
                <w:sz w:val="21"/>
              </w:rPr>
            </w:pPr>
          </w:p>
        </w:tc>
      </w:tr>
      <w:tr w14:paraId="3E90D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55B8977F">
            <w:pPr>
              <w:rPr>
                <w:rFonts w:ascii="Arial"/>
                <w:sz w:val="21"/>
              </w:rPr>
            </w:pPr>
          </w:p>
        </w:tc>
        <w:tc>
          <w:tcPr>
            <w:tcW w:w="100" w:type="dxa"/>
            <w:tcBorders>
              <w:top w:val="nil"/>
              <w:bottom w:val="nil"/>
            </w:tcBorders>
            <w:vAlign w:val="top"/>
          </w:tcPr>
          <w:p w14:paraId="622EB96D">
            <w:pPr>
              <w:rPr>
                <w:rFonts w:ascii="Arial"/>
                <w:sz w:val="21"/>
              </w:rPr>
            </w:pPr>
          </w:p>
        </w:tc>
        <w:tc>
          <w:tcPr>
            <w:tcW w:w="849" w:type="dxa"/>
            <w:gridSpan w:val="2"/>
            <w:vMerge w:val="restart"/>
            <w:tcBorders>
              <w:bottom w:val="nil"/>
            </w:tcBorders>
            <w:vAlign w:val="top"/>
          </w:tcPr>
          <w:p w14:paraId="0A819B2D">
            <w:pPr>
              <w:spacing w:line="258" w:lineRule="auto"/>
              <w:rPr>
                <w:rFonts w:ascii="Arial"/>
                <w:sz w:val="21"/>
              </w:rPr>
            </w:pPr>
          </w:p>
          <w:p w14:paraId="4C149F04">
            <w:pPr>
              <w:spacing w:line="258" w:lineRule="auto"/>
              <w:rPr>
                <w:rFonts w:ascii="Arial"/>
                <w:sz w:val="21"/>
              </w:rPr>
            </w:pPr>
          </w:p>
          <w:p w14:paraId="16D2A3E5">
            <w:pPr>
              <w:spacing w:line="259" w:lineRule="auto"/>
              <w:rPr>
                <w:rFonts w:ascii="Arial"/>
                <w:sz w:val="21"/>
              </w:rPr>
            </w:pPr>
          </w:p>
          <w:p w14:paraId="3FD8C7D9">
            <w:pPr>
              <w:spacing w:line="259" w:lineRule="auto"/>
              <w:rPr>
                <w:rFonts w:ascii="Arial"/>
                <w:sz w:val="21"/>
              </w:rPr>
            </w:pPr>
          </w:p>
          <w:p w14:paraId="4C6B468D">
            <w:pPr>
              <w:spacing w:line="259" w:lineRule="auto"/>
              <w:rPr>
                <w:rFonts w:ascii="Arial"/>
                <w:sz w:val="21"/>
              </w:rPr>
            </w:pPr>
          </w:p>
          <w:p w14:paraId="447C689D">
            <w:pPr>
              <w:spacing w:line="259" w:lineRule="auto"/>
              <w:rPr>
                <w:rFonts w:ascii="Arial"/>
                <w:sz w:val="21"/>
              </w:rPr>
            </w:pPr>
          </w:p>
          <w:p w14:paraId="4C45D873">
            <w:pPr>
              <w:spacing w:line="259" w:lineRule="auto"/>
              <w:rPr>
                <w:rFonts w:ascii="Arial"/>
                <w:sz w:val="21"/>
              </w:rPr>
            </w:pPr>
          </w:p>
          <w:p w14:paraId="674A5E23">
            <w:pPr>
              <w:spacing w:line="259" w:lineRule="auto"/>
              <w:rPr>
                <w:rFonts w:ascii="Arial"/>
                <w:sz w:val="21"/>
              </w:rPr>
            </w:pPr>
          </w:p>
          <w:p w14:paraId="32F6B6E8">
            <w:pPr>
              <w:spacing w:line="259" w:lineRule="auto"/>
              <w:rPr>
                <w:rFonts w:ascii="Arial"/>
                <w:sz w:val="21"/>
              </w:rPr>
            </w:pPr>
          </w:p>
          <w:p w14:paraId="06D5DB8D">
            <w:pPr>
              <w:spacing w:line="259" w:lineRule="auto"/>
              <w:rPr>
                <w:rFonts w:ascii="Arial"/>
                <w:sz w:val="21"/>
              </w:rPr>
            </w:pPr>
          </w:p>
          <w:p w14:paraId="1AA2F946">
            <w:pPr>
              <w:spacing w:before="61" w:line="233" w:lineRule="auto"/>
              <w:ind w:left="1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220kV</w:t>
            </w:r>
          </w:p>
          <w:p w14:paraId="4CD26B66">
            <w:pPr>
              <w:pStyle w:val="6"/>
              <w:spacing w:before="44" w:line="221" w:lineRule="auto"/>
              <w:ind w:left="112"/>
            </w:pPr>
            <w:r>
              <w:rPr>
                <w:spacing w:val="-2"/>
              </w:rPr>
              <w:t>线路工</w:t>
            </w:r>
          </w:p>
          <w:p w14:paraId="0AC9279E">
            <w:pPr>
              <w:pStyle w:val="6"/>
              <w:spacing w:before="66" w:line="221" w:lineRule="auto"/>
              <w:ind w:left="320"/>
            </w:pPr>
            <w:r>
              <w:t>程</w:t>
            </w:r>
          </w:p>
        </w:tc>
        <w:tc>
          <w:tcPr>
            <w:tcW w:w="1135" w:type="dxa"/>
            <w:gridSpan w:val="2"/>
            <w:vAlign w:val="top"/>
          </w:tcPr>
          <w:p w14:paraId="146A4A0D">
            <w:pPr>
              <w:pStyle w:val="6"/>
              <w:spacing w:before="56" w:line="221" w:lineRule="auto"/>
              <w:ind w:left="151"/>
            </w:pPr>
            <w:r>
              <w:rPr>
                <w:spacing w:val="-2"/>
              </w:rPr>
              <w:t>线路长度</w:t>
            </w:r>
          </w:p>
        </w:tc>
        <w:tc>
          <w:tcPr>
            <w:tcW w:w="6316" w:type="dxa"/>
            <w:gridSpan w:val="2"/>
            <w:vAlign w:val="top"/>
          </w:tcPr>
          <w:p w14:paraId="76D449BF">
            <w:pPr>
              <w:pStyle w:val="6"/>
              <w:spacing w:before="57" w:line="223" w:lineRule="auto"/>
              <w:ind w:left="396"/>
            </w:pPr>
            <w:r>
              <w:rPr>
                <w:spacing w:val="-5"/>
              </w:rPr>
              <w:t>路线全长约</w:t>
            </w:r>
            <w:r>
              <w:rPr>
                <w:spacing w:val="-41"/>
              </w:rPr>
              <w:t xml:space="preserve"> </w:t>
            </w:r>
            <w:r>
              <w:rPr>
                <w:rFonts w:ascii="Times New Roman" w:hAnsi="Times New Roman" w:eastAsia="Times New Roman" w:cs="Times New Roman"/>
                <w:spacing w:val="-5"/>
              </w:rPr>
              <w:t>21.5km</w:t>
            </w:r>
            <w:r>
              <w:rPr>
                <w:spacing w:val="-5"/>
              </w:rPr>
              <w:t>（</w:t>
            </w:r>
            <w:r>
              <w:rPr>
                <w:rFonts w:ascii="Times New Roman" w:hAnsi="Times New Roman" w:eastAsia="Times New Roman" w:cs="Times New Roman"/>
                <w:spacing w:val="-5"/>
              </w:rPr>
              <w:t>C</w:t>
            </w:r>
            <w:r>
              <w:rPr>
                <w:rFonts w:ascii="Times New Roman" w:hAnsi="Times New Roman" w:eastAsia="Times New Roman" w:cs="Times New Roman"/>
                <w:spacing w:val="30"/>
              </w:rPr>
              <w:t xml:space="preserve"> </w:t>
            </w:r>
            <w:r>
              <w:rPr>
                <w:spacing w:val="-5"/>
              </w:rPr>
              <w:t>回</w:t>
            </w:r>
            <w:r>
              <w:rPr>
                <w:spacing w:val="-45"/>
              </w:rPr>
              <w:t xml:space="preserve"> </w:t>
            </w:r>
            <w:r>
              <w:rPr>
                <w:rFonts w:ascii="Times New Roman" w:hAnsi="Times New Roman" w:eastAsia="Times New Roman" w:cs="Times New Roman"/>
                <w:spacing w:val="-5"/>
              </w:rPr>
              <w:t>5.6km</w:t>
            </w:r>
            <w:r>
              <w:rPr>
                <w:rFonts w:ascii="Times New Roman" w:hAnsi="Times New Roman" w:eastAsia="Times New Roman" w:cs="Times New Roman"/>
                <w:spacing w:val="-28"/>
              </w:rPr>
              <w:t xml:space="preserve"> </w:t>
            </w:r>
            <w:r>
              <w:rPr>
                <w:spacing w:val="-5"/>
              </w:rPr>
              <w:t>，</w:t>
            </w:r>
            <w:r>
              <w:rPr>
                <w:rFonts w:ascii="Times New Roman" w:hAnsi="Times New Roman" w:eastAsia="Times New Roman" w:cs="Times New Roman"/>
                <w:spacing w:val="-5"/>
              </w:rPr>
              <w:t>D</w:t>
            </w:r>
            <w:r>
              <w:rPr>
                <w:rFonts w:ascii="Times New Roman" w:hAnsi="Times New Roman" w:eastAsia="Times New Roman" w:cs="Times New Roman"/>
                <w:spacing w:val="29"/>
              </w:rPr>
              <w:t xml:space="preserve"> </w:t>
            </w:r>
            <w:r>
              <w:rPr>
                <w:spacing w:val="-5"/>
              </w:rPr>
              <w:t>回</w:t>
            </w:r>
            <w:r>
              <w:rPr>
                <w:spacing w:val="-45"/>
              </w:rPr>
              <w:t xml:space="preserve"> </w:t>
            </w:r>
            <w:r>
              <w:rPr>
                <w:rFonts w:ascii="Times New Roman" w:hAnsi="Times New Roman" w:eastAsia="Times New Roman" w:cs="Times New Roman"/>
                <w:spacing w:val="-5"/>
              </w:rPr>
              <w:t>7.0km</w:t>
            </w:r>
            <w:r>
              <w:rPr>
                <w:rFonts w:ascii="Times New Roman" w:hAnsi="Times New Roman" w:eastAsia="Times New Roman" w:cs="Times New Roman"/>
                <w:spacing w:val="-28"/>
              </w:rPr>
              <w:t xml:space="preserve"> </w:t>
            </w:r>
            <w:r>
              <w:rPr>
                <w:spacing w:val="-5"/>
              </w:rPr>
              <w:t>，</w:t>
            </w:r>
            <w:r>
              <w:rPr>
                <w:rFonts w:ascii="Times New Roman" w:hAnsi="Times New Roman" w:eastAsia="Times New Roman" w:cs="Times New Roman"/>
                <w:spacing w:val="-5"/>
              </w:rPr>
              <w:t>E</w:t>
            </w:r>
            <w:r>
              <w:rPr>
                <w:rFonts w:ascii="Times New Roman" w:hAnsi="Times New Roman" w:eastAsia="Times New Roman" w:cs="Times New Roman"/>
                <w:spacing w:val="30"/>
              </w:rPr>
              <w:t xml:space="preserve"> </w:t>
            </w:r>
            <w:r>
              <w:rPr>
                <w:spacing w:val="-5"/>
              </w:rPr>
              <w:t>回</w:t>
            </w:r>
            <w:r>
              <w:rPr>
                <w:spacing w:val="-42"/>
              </w:rPr>
              <w:t xml:space="preserve"> </w:t>
            </w:r>
            <w:r>
              <w:rPr>
                <w:rFonts w:ascii="Times New Roman" w:hAnsi="Times New Roman" w:eastAsia="Times New Roman" w:cs="Times New Roman"/>
                <w:spacing w:val="-5"/>
              </w:rPr>
              <w:t>8.9km</w:t>
            </w:r>
            <w:r>
              <w:rPr>
                <w:spacing w:val="-5"/>
              </w:rPr>
              <w:t>）</w:t>
            </w:r>
          </w:p>
        </w:tc>
        <w:tc>
          <w:tcPr>
            <w:tcW w:w="107" w:type="dxa"/>
            <w:vMerge w:val="continue"/>
            <w:tcBorders>
              <w:top w:val="nil"/>
              <w:bottom w:val="nil"/>
            </w:tcBorders>
            <w:vAlign w:val="top"/>
          </w:tcPr>
          <w:p w14:paraId="32A05283">
            <w:pPr>
              <w:rPr>
                <w:rFonts w:ascii="Arial"/>
                <w:sz w:val="21"/>
              </w:rPr>
            </w:pPr>
          </w:p>
        </w:tc>
      </w:tr>
      <w:tr w14:paraId="21261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59A84A35">
            <w:pPr>
              <w:rPr>
                <w:rFonts w:ascii="Arial"/>
                <w:sz w:val="21"/>
              </w:rPr>
            </w:pPr>
          </w:p>
        </w:tc>
        <w:tc>
          <w:tcPr>
            <w:tcW w:w="100" w:type="dxa"/>
            <w:tcBorders>
              <w:top w:val="nil"/>
              <w:bottom w:val="nil"/>
            </w:tcBorders>
            <w:vAlign w:val="top"/>
          </w:tcPr>
          <w:p w14:paraId="488D666A">
            <w:pPr>
              <w:rPr>
                <w:rFonts w:ascii="Arial"/>
                <w:sz w:val="21"/>
              </w:rPr>
            </w:pPr>
          </w:p>
        </w:tc>
        <w:tc>
          <w:tcPr>
            <w:tcW w:w="849" w:type="dxa"/>
            <w:gridSpan w:val="2"/>
            <w:vMerge w:val="continue"/>
            <w:tcBorders>
              <w:top w:val="nil"/>
              <w:bottom w:val="nil"/>
            </w:tcBorders>
            <w:vAlign w:val="top"/>
          </w:tcPr>
          <w:p w14:paraId="5F875EDD">
            <w:pPr>
              <w:rPr>
                <w:rFonts w:ascii="Arial"/>
                <w:sz w:val="21"/>
              </w:rPr>
            </w:pPr>
          </w:p>
        </w:tc>
        <w:tc>
          <w:tcPr>
            <w:tcW w:w="1135" w:type="dxa"/>
            <w:gridSpan w:val="2"/>
            <w:vAlign w:val="top"/>
          </w:tcPr>
          <w:p w14:paraId="78002578">
            <w:pPr>
              <w:pStyle w:val="6"/>
              <w:spacing w:before="54" w:line="221" w:lineRule="auto"/>
              <w:ind w:left="149"/>
            </w:pPr>
            <w:r>
              <w:rPr>
                <w:spacing w:val="-2"/>
              </w:rPr>
              <w:t>气象条件</w:t>
            </w:r>
          </w:p>
        </w:tc>
        <w:tc>
          <w:tcPr>
            <w:tcW w:w="6316" w:type="dxa"/>
            <w:gridSpan w:val="2"/>
            <w:vAlign w:val="top"/>
          </w:tcPr>
          <w:p w14:paraId="1A27AF60">
            <w:pPr>
              <w:pStyle w:val="6"/>
              <w:spacing w:before="55" w:line="225" w:lineRule="auto"/>
              <w:ind w:left="1527"/>
            </w:pPr>
            <w:r>
              <w:rPr>
                <w:rFonts w:ascii="Times New Roman" w:hAnsi="Times New Roman" w:eastAsia="Times New Roman" w:cs="Times New Roman"/>
                <w:spacing w:val="-2"/>
              </w:rPr>
              <w:t xml:space="preserve">10mm </w:t>
            </w:r>
            <w:r>
              <w:rPr>
                <w:spacing w:val="-2"/>
              </w:rPr>
              <w:t>覆冰，基本风速</w:t>
            </w:r>
            <w:r>
              <w:rPr>
                <w:spacing w:val="-35"/>
              </w:rPr>
              <w:t xml:space="preserve"> </w:t>
            </w:r>
            <w:r>
              <w:rPr>
                <w:rFonts w:ascii="Times New Roman" w:hAnsi="Times New Roman" w:eastAsia="Times New Roman" w:cs="Times New Roman"/>
                <w:spacing w:val="-2"/>
              </w:rPr>
              <w:t xml:space="preserve">25m/s </w:t>
            </w:r>
            <w:r>
              <w:rPr>
                <w:spacing w:val="-2"/>
              </w:rPr>
              <w:t>设计。</w:t>
            </w:r>
          </w:p>
        </w:tc>
        <w:tc>
          <w:tcPr>
            <w:tcW w:w="107" w:type="dxa"/>
            <w:vMerge w:val="continue"/>
            <w:tcBorders>
              <w:top w:val="nil"/>
              <w:bottom w:val="nil"/>
            </w:tcBorders>
            <w:vAlign w:val="top"/>
          </w:tcPr>
          <w:p w14:paraId="4EF2B359">
            <w:pPr>
              <w:rPr>
                <w:rFonts w:ascii="Arial"/>
                <w:sz w:val="21"/>
              </w:rPr>
            </w:pPr>
          </w:p>
        </w:tc>
      </w:tr>
      <w:tr w14:paraId="5E35A2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9" w:hRule="atLeast"/>
        </w:trPr>
        <w:tc>
          <w:tcPr>
            <w:tcW w:w="571" w:type="dxa"/>
            <w:vMerge w:val="continue"/>
            <w:tcBorders>
              <w:top w:val="nil"/>
              <w:bottom w:val="nil"/>
            </w:tcBorders>
            <w:vAlign w:val="top"/>
          </w:tcPr>
          <w:p w14:paraId="60B35860">
            <w:pPr>
              <w:rPr>
                <w:rFonts w:ascii="Arial"/>
                <w:sz w:val="21"/>
              </w:rPr>
            </w:pPr>
          </w:p>
        </w:tc>
        <w:tc>
          <w:tcPr>
            <w:tcW w:w="100" w:type="dxa"/>
            <w:tcBorders>
              <w:top w:val="nil"/>
              <w:bottom w:val="nil"/>
            </w:tcBorders>
            <w:vAlign w:val="top"/>
          </w:tcPr>
          <w:p w14:paraId="1DA10666">
            <w:pPr>
              <w:rPr>
                <w:rFonts w:ascii="Arial"/>
                <w:sz w:val="21"/>
              </w:rPr>
            </w:pPr>
          </w:p>
        </w:tc>
        <w:tc>
          <w:tcPr>
            <w:tcW w:w="849" w:type="dxa"/>
            <w:gridSpan w:val="2"/>
            <w:vMerge w:val="continue"/>
            <w:tcBorders>
              <w:top w:val="nil"/>
              <w:bottom w:val="nil"/>
            </w:tcBorders>
            <w:vAlign w:val="top"/>
          </w:tcPr>
          <w:p w14:paraId="3AB5CDE2">
            <w:pPr>
              <w:rPr>
                <w:rFonts w:ascii="Arial"/>
                <w:sz w:val="21"/>
              </w:rPr>
            </w:pPr>
          </w:p>
        </w:tc>
        <w:tc>
          <w:tcPr>
            <w:tcW w:w="1135" w:type="dxa"/>
            <w:gridSpan w:val="2"/>
            <w:vAlign w:val="top"/>
          </w:tcPr>
          <w:p w14:paraId="4B652802">
            <w:pPr>
              <w:spacing w:line="460" w:lineRule="auto"/>
              <w:rPr>
                <w:rFonts w:ascii="Arial"/>
                <w:sz w:val="21"/>
              </w:rPr>
            </w:pPr>
          </w:p>
          <w:p w14:paraId="07E84E85">
            <w:pPr>
              <w:pStyle w:val="6"/>
              <w:spacing w:before="68" w:line="221" w:lineRule="auto"/>
              <w:ind w:left="154"/>
            </w:pPr>
            <w:r>
              <w:rPr>
                <w:spacing w:val="-3"/>
              </w:rPr>
              <w:t>导线型号</w:t>
            </w:r>
          </w:p>
        </w:tc>
        <w:tc>
          <w:tcPr>
            <w:tcW w:w="6316" w:type="dxa"/>
            <w:gridSpan w:val="2"/>
            <w:vAlign w:val="top"/>
          </w:tcPr>
          <w:p w14:paraId="5E6E8B34">
            <w:pPr>
              <w:pStyle w:val="6"/>
              <w:spacing w:before="55" w:line="234" w:lineRule="auto"/>
              <w:ind w:left="111"/>
            </w:pPr>
            <w:r>
              <w:rPr>
                <w:rFonts w:ascii="Times New Roman" w:hAnsi="Times New Roman" w:eastAsia="Times New Roman" w:cs="Times New Roman"/>
              </w:rPr>
              <w:t>3</w:t>
            </w:r>
            <w:r>
              <w:rPr>
                <w:rFonts w:ascii="Times New Roman" w:hAnsi="Times New Roman" w:eastAsia="Times New Roman" w:cs="Times New Roman"/>
                <w:spacing w:val="42"/>
              </w:rPr>
              <w:t xml:space="preserve"> </w:t>
            </w:r>
            <w:r>
              <w:t>回线路均采用</w:t>
            </w:r>
            <w:r>
              <w:rPr>
                <w:spacing w:val="-48"/>
              </w:rPr>
              <w:t xml:space="preserve"> </w:t>
            </w:r>
            <w:r>
              <w:rPr>
                <w:rFonts w:ascii="Times New Roman" w:hAnsi="Times New Roman" w:eastAsia="Times New Roman" w:cs="Times New Roman"/>
              </w:rPr>
              <w:t xml:space="preserve">JL/LB20A-400/50 </w:t>
            </w:r>
            <w:r>
              <w:t>铝包钢芯铝绞线，直径</w:t>
            </w:r>
            <w:r>
              <w:rPr>
                <w:rFonts w:ascii="Times New Roman" w:hAnsi="Times New Roman" w:eastAsia="Times New Roman" w:cs="Times New Roman"/>
              </w:rPr>
              <w:t>27.6mm</w:t>
            </w:r>
            <w:r>
              <w:t>；</w:t>
            </w:r>
          </w:p>
          <w:p w14:paraId="62D6F491">
            <w:pPr>
              <w:pStyle w:val="6"/>
              <w:spacing w:before="50" w:line="234" w:lineRule="auto"/>
              <w:ind w:left="110"/>
            </w:pPr>
            <w:r>
              <w:rPr>
                <w:rFonts w:ascii="Times New Roman" w:hAnsi="Times New Roman" w:eastAsia="Times New Roman" w:cs="Times New Roman"/>
                <w:spacing w:val="-2"/>
              </w:rPr>
              <w:t>C</w:t>
            </w:r>
            <w:r>
              <w:rPr>
                <w:rFonts w:ascii="Times New Roman" w:hAnsi="Times New Roman" w:eastAsia="Times New Roman" w:cs="Times New Roman"/>
                <w:spacing w:val="33"/>
              </w:rPr>
              <w:t xml:space="preserve"> </w:t>
            </w:r>
            <w:r>
              <w:rPr>
                <w:spacing w:val="-2"/>
              </w:rPr>
              <w:t>回：双分裂，分裂间距</w:t>
            </w:r>
            <w:r>
              <w:rPr>
                <w:spacing w:val="-42"/>
              </w:rPr>
              <w:t xml:space="preserve"> </w:t>
            </w:r>
            <w:r>
              <w:rPr>
                <w:rFonts w:ascii="Times New Roman" w:hAnsi="Times New Roman" w:eastAsia="Times New Roman" w:cs="Times New Roman"/>
                <w:spacing w:val="-2"/>
              </w:rPr>
              <w:t>500mm</w:t>
            </w:r>
            <w:r>
              <w:rPr>
                <w:spacing w:val="-2"/>
              </w:rPr>
              <w:t>，最大传输容量</w:t>
            </w:r>
            <w:r>
              <w:rPr>
                <w:spacing w:val="-39"/>
              </w:rPr>
              <w:t xml:space="preserve"> </w:t>
            </w:r>
            <w:r>
              <w:rPr>
                <w:rFonts w:ascii="Times New Roman" w:hAnsi="Times New Roman" w:eastAsia="Times New Roman" w:cs="Times New Roman"/>
                <w:spacing w:val="-2"/>
              </w:rPr>
              <w:t>892.5MW</w:t>
            </w:r>
            <w:r>
              <w:rPr>
                <w:spacing w:val="-2"/>
              </w:rPr>
              <w:t>；</w:t>
            </w:r>
          </w:p>
          <w:p w14:paraId="7E61C816">
            <w:pPr>
              <w:pStyle w:val="6"/>
              <w:spacing w:before="50" w:line="234" w:lineRule="auto"/>
              <w:ind w:left="106"/>
            </w:pPr>
            <w:r>
              <w:rPr>
                <w:rFonts w:ascii="Times New Roman" w:hAnsi="Times New Roman" w:eastAsia="Times New Roman" w:cs="Times New Roman"/>
                <w:spacing w:val="-3"/>
              </w:rPr>
              <w:t>D</w:t>
            </w:r>
            <w:r>
              <w:rPr>
                <w:rFonts w:ascii="Times New Roman" w:hAnsi="Times New Roman" w:eastAsia="Times New Roman" w:cs="Times New Roman"/>
                <w:spacing w:val="47"/>
                <w:w w:val="101"/>
              </w:rPr>
              <w:t xml:space="preserve"> </w:t>
            </w:r>
            <w:r>
              <w:rPr>
                <w:spacing w:val="-3"/>
              </w:rPr>
              <w:t>回：单分裂，最大传输容量</w:t>
            </w:r>
            <w:r>
              <w:rPr>
                <w:spacing w:val="-40"/>
              </w:rPr>
              <w:t xml:space="preserve"> </w:t>
            </w:r>
            <w:r>
              <w:rPr>
                <w:rFonts w:ascii="Times New Roman" w:hAnsi="Times New Roman" w:eastAsia="Times New Roman" w:cs="Times New Roman"/>
                <w:spacing w:val="-3"/>
              </w:rPr>
              <w:t>84.55MW</w:t>
            </w:r>
            <w:r>
              <w:rPr>
                <w:spacing w:val="-3"/>
              </w:rPr>
              <w:t>；</w:t>
            </w:r>
          </w:p>
          <w:p w14:paraId="4443AFAC">
            <w:pPr>
              <w:pStyle w:val="6"/>
              <w:spacing w:before="48" w:line="224" w:lineRule="auto"/>
              <w:ind w:left="107"/>
            </w:pPr>
            <w:r>
              <w:rPr>
                <w:rFonts w:ascii="Times New Roman" w:hAnsi="Times New Roman" w:eastAsia="Times New Roman" w:cs="Times New Roman"/>
                <w:spacing w:val="-3"/>
              </w:rPr>
              <w:t>E</w:t>
            </w:r>
            <w:r>
              <w:rPr>
                <w:rFonts w:ascii="Times New Roman" w:hAnsi="Times New Roman" w:eastAsia="Times New Roman" w:cs="Times New Roman"/>
                <w:spacing w:val="46"/>
              </w:rPr>
              <w:t xml:space="preserve"> </w:t>
            </w:r>
            <w:r>
              <w:rPr>
                <w:spacing w:val="-3"/>
              </w:rPr>
              <w:t>回：单分裂，最大传输容量</w:t>
            </w:r>
            <w:r>
              <w:rPr>
                <w:spacing w:val="-39"/>
              </w:rPr>
              <w:t xml:space="preserve"> </w:t>
            </w:r>
            <w:r>
              <w:rPr>
                <w:rFonts w:ascii="Times New Roman" w:hAnsi="Times New Roman" w:eastAsia="Times New Roman" w:cs="Times New Roman"/>
                <w:spacing w:val="-3"/>
              </w:rPr>
              <w:t>84.55MW</w:t>
            </w:r>
            <w:r>
              <w:rPr>
                <w:spacing w:val="-3"/>
              </w:rPr>
              <w:t>。</w:t>
            </w:r>
          </w:p>
        </w:tc>
        <w:tc>
          <w:tcPr>
            <w:tcW w:w="107" w:type="dxa"/>
            <w:vMerge w:val="continue"/>
            <w:tcBorders>
              <w:top w:val="nil"/>
              <w:bottom w:val="nil"/>
            </w:tcBorders>
            <w:vAlign w:val="top"/>
          </w:tcPr>
          <w:p w14:paraId="5ECF3D96">
            <w:pPr>
              <w:rPr>
                <w:rFonts w:ascii="Arial"/>
                <w:sz w:val="21"/>
              </w:rPr>
            </w:pPr>
          </w:p>
        </w:tc>
      </w:tr>
      <w:tr w14:paraId="7C44A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71" w:type="dxa"/>
            <w:vMerge w:val="continue"/>
            <w:tcBorders>
              <w:top w:val="nil"/>
              <w:bottom w:val="nil"/>
            </w:tcBorders>
            <w:vAlign w:val="top"/>
          </w:tcPr>
          <w:p w14:paraId="5C919B56">
            <w:pPr>
              <w:rPr>
                <w:rFonts w:ascii="Arial"/>
                <w:sz w:val="21"/>
              </w:rPr>
            </w:pPr>
          </w:p>
        </w:tc>
        <w:tc>
          <w:tcPr>
            <w:tcW w:w="100" w:type="dxa"/>
            <w:tcBorders>
              <w:top w:val="nil"/>
              <w:bottom w:val="nil"/>
            </w:tcBorders>
            <w:vAlign w:val="top"/>
          </w:tcPr>
          <w:p w14:paraId="0394815F">
            <w:pPr>
              <w:rPr>
                <w:rFonts w:ascii="Arial"/>
                <w:sz w:val="21"/>
              </w:rPr>
            </w:pPr>
          </w:p>
        </w:tc>
        <w:tc>
          <w:tcPr>
            <w:tcW w:w="849" w:type="dxa"/>
            <w:gridSpan w:val="2"/>
            <w:vMerge w:val="continue"/>
            <w:tcBorders>
              <w:top w:val="nil"/>
              <w:bottom w:val="nil"/>
            </w:tcBorders>
            <w:vAlign w:val="top"/>
          </w:tcPr>
          <w:p w14:paraId="79836503">
            <w:pPr>
              <w:rPr>
                <w:rFonts w:ascii="Arial"/>
                <w:sz w:val="21"/>
              </w:rPr>
            </w:pPr>
          </w:p>
        </w:tc>
        <w:tc>
          <w:tcPr>
            <w:tcW w:w="1135" w:type="dxa"/>
            <w:gridSpan w:val="2"/>
            <w:vAlign w:val="top"/>
          </w:tcPr>
          <w:p w14:paraId="17E128E2">
            <w:pPr>
              <w:pStyle w:val="6"/>
              <w:spacing w:before="214" w:line="221" w:lineRule="auto"/>
              <w:ind w:left="148"/>
            </w:pPr>
            <w:r>
              <w:rPr>
                <w:spacing w:val="-2"/>
              </w:rPr>
              <w:t>地线型号</w:t>
            </w:r>
          </w:p>
        </w:tc>
        <w:tc>
          <w:tcPr>
            <w:tcW w:w="6316" w:type="dxa"/>
            <w:gridSpan w:val="2"/>
            <w:vAlign w:val="top"/>
          </w:tcPr>
          <w:p w14:paraId="41EDAF3D">
            <w:pPr>
              <w:pStyle w:val="6"/>
              <w:spacing w:before="57" w:line="250" w:lineRule="auto"/>
              <w:ind w:left="111" w:right="98"/>
            </w:pPr>
            <w:r>
              <w:rPr>
                <w:rFonts w:ascii="Times New Roman" w:hAnsi="Times New Roman" w:eastAsia="Times New Roman" w:cs="Times New Roman"/>
                <w:spacing w:val="-1"/>
              </w:rPr>
              <w:t>3</w:t>
            </w:r>
            <w:r>
              <w:rPr>
                <w:rFonts w:ascii="Times New Roman" w:hAnsi="Times New Roman" w:eastAsia="Times New Roman" w:cs="Times New Roman"/>
                <w:spacing w:val="36"/>
              </w:rPr>
              <w:t xml:space="preserve"> </w:t>
            </w:r>
            <w:r>
              <w:rPr>
                <w:spacing w:val="-1"/>
              </w:rPr>
              <w:t>回线路均为双地线架设，一根采用</w:t>
            </w:r>
            <w:r>
              <w:rPr>
                <w:rFonts w:ascii="Times New Roman" w:hAnsi="Times New Roman" w:eastAsia="Times New Roman" w:cs="Times New Roman"/>
                <w:spacing w:val="-1"/>
              </w:rPr>
              <w:t>OPGW</w:t>
            </w:r>
            <w:r>
              <w:rPr>
                <w:rFonts w:ascii="Times New Roman" w:hAnsi="Times New Roman" w:eastAsia="Times New Roman" w:cs="Times New Roman"/>
                <w:spacing w:val="15"/>
              </w:rPr>
              <w:t xml:space="preserve"> </w:t>
            </w:r>
            <w:r>
              <w:rPr>
                <w:spacing w:val="-1"/>
              </w:rPr>
              <w:t>复合光缆，一根采用铝</w:t>
            </w:r>
            <w:r>
              <w:rPr>
                <w:spacing w:val="-5"/>
              </w:rPr>
              <w:t>包钢绞线。</w:t>
            </w:r>
          </w:p>
        </w:tc>
        <w:tc>
          <w:tcPr>
            <w:tcW w:w="107" w:type="dxa"/>
            <w:vMerge w:val="continue"/>
            <w:tcBorders>
              <w:top w:val="nil"/>
              <w:bottom w:val="nil"/>
            </w:tcBorders>
            <w:vAlign w:val="top"/>
          </w:tcPr>
          <w:p w14:paraId="290DF4DC">
            <w:pPr>
              <w:rPr>
                <w:rFonts w:ascii="Arial"/>
                <w:sz w:val="21"/>
              </w:rPr>
            </w:pPr>
          </w:p>
        </w:tc>
      </w:tr>
      <w:tr w14:paraId="056FD8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1" w:type="dxa"/>
            <w:vMerge w:val="continue"/>
            <w:tcBorders>
              <w:top w:val="nil"/>
              <w:bottom w:val="nil"/>
            </w:tcBorders>
            <w:vAlign w:val="top"/>
          </w:tcPr>
          <w:p w14:paraId="73E97D27">
            <w:pPr>
              <w:rPr>
                <w:rFonts w:ascii="Arial"/>
                <w:sz w:val="21"/>
              </w:rPr>
            </w:pPr>
          </w:p>
        </w:tc>
        <w:tc>
          <w:tcPr>
            <w:tcW w:w="100" w:type="dxa"/>
            <w:tcBorders>
              <w:top w:val="nil"/>
              <w:bottom w:val="nil"/>
            </w:tcBorders>
            <w:vAlign w:val="top"/>
          </w:tcPr>
          <w:p w14:paraId="7E8EA76B">
            <w:pPr>
              <w:rPr>
                <w:rFonts w:ascii="Arial"/>
                <w:sz w:val="21"/>
              </w:rPr>
            </w:pPr>
          </w:p>
        </w:tc>
        <w:tc>
          <w:tcPr>
            <w:tcW w:w="849" w:type="dxa"/>
            <w:gridSpan w:val="2"/>
            <w:vMerge w:val="continue"/>
            <w:tcBorders>
              <w:top w:val="nil"/>
              <w:bottom w:val="nil"/>
            </w:tcBorders>
            <w:vAlign w:val="top"/>
          </w:tcPr>
          <w:p w14:paraId="42D9C48C">
            <w:pPr>
              <w:rPr>
                <w:rFonts w:ascii="Arial"/>
                <w:sz w:val="21"/>
              </w:rPr>
            </w:pPr>
          </w:p>
        </w:tc>
        <w:tc>
          <w:tcPr>
            <w:tcW w:w="1135" w:type="dxa"/>
            <w:gridSpan w:val="2"/>
            <w:vAlign w:val="top"/>
          </w:tcPr>
          <w:p w14:paraId="7D6809CF">
            <w:pPr>
              <w:pStyle w:val="6"/>
              <w:spacing w:before="59" w:line="250" w:lineRule="auto"/>
              <w:ind w:left="359" w:right="147" w:hanging="205"/>
            </w:pPr>
            <w:r>
              <w:rPr>
                <w:spacing w:val="-3"/>
              </w:rPr>
              <w:t>导、地线</w:t>
            </w:r>
            <w:r>
              <w:rPr>
                <w:spacing w:val="-2"/>
              </w:rPr>
              <w:t>换位</w:t>
            </w:r>
          </w:p>
        </w:tc>
        <w:tc>
          <w:tcPr>
            <w:tcW w:w="6316" w:type="dxa"/>
            <w:gridSpan w:val="2"/>
            <w:vAlign w:val="top"/>
          </w:tcPr>
          <w:p w14:paraId="4F0D10DB">
            <w:pPr>
              <w:pStyle w:val="6"/>
              <w:spacing w:before="214" w:line="221" w:lineRule="auto"/>
              <w:ind w:left="2224"/>
            </w:pPr>
            <w:r>
              <w:rPr>
                <w:spacing w:val="-2"/>
              </w:rPr>
              <w:t>导线、地线均不换位</w:t>
            </w:r>
          </w:p>
        </w:tc>
        <w:tc>
          <w:tcPr>
            <w:tcW w:w="107" w:type="dxa"/>
            <w:vMerge w:val="continue"/>
            <w:tcBorders>
              <w:top w:val="nil"/>
              <w:bottom w:val="nil"/>
            </w:tcBorders>
            <w:vAlign w:val="top"/>
          </w:tcPr>
          <w:p w14:paraId="6A81F5CC">
            <w:pPr>
              <w:rPr>
                <w:rFonts w:ascii="Arial"/>
                <w:sz w:val="21"/>
              </w:rPr>
            </w:pPr>
          </w:p>
        </w:tc>
      </w:tr>
      <w:tr w14:paraId="6BCB9E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3" w:hRule="atLeast"/>
        </w:trPr>
        <w:tc>
          <w:tcPr>
            <w:tcW w:w="571" w:type="dxa"/>
            <w:vMerge w:val="continue"/>
            <w:tcBorders>
              <w:top w:val="nil"/>
              <w:bottom w:val="nil"/>
            </w:tcBorders>
            <w:vAlign w:val="top"/>
          </w:tcPr>
          <w:p w14:paraId="63F2DD28">
            <w:pPr>
              <w:rPr>
                <w:rFonts w:ascii="Arial"/>
                <w:sz w:val="21"/>
              </w:rPr>
            </w:pPr>
          </w:p>
        </w:tc>
        <w:tc>
          <w:tcPr>
            <w:tcW w:w="100" w:type="dxa"/>
            <w:tcBorders>
              <w:top w:val="nil"/>
              <w:bottom w:val="nil"/>
            </w:tcBorders>
            <w:vAlign w:val="top"/>
          </w:tcPr>
          <w:p w14:paraId="7FBB3410">
            <w:pPr>
              <w:rPr>
                <w:rFonts w:ascii="Arial"/>
                <w:sz w:val="21"/>
              </w:rPr>
            </w:pPr>
          </w:p>
        </w:tc>
        <w:tc>
          <w:tcPr>
            <w:tcW w:w="849" w:type="dxa"/>
            <w:gridSpan w:val="2"/>
            <w:vMerge w:val="continue"/>
            <w:tcBorders>
              <w:top w:val="nil"/>
              <w:bottom w:val="nil"/>
            </w:tcBorders>
            <w:vAlign w:val="top"/>
          </w:tcPr>
          <w:p w14:paraId="55E88648">
            <w:pPr>
              <w:rPr>
                <w:rFonts w:ascii="Arial"/>
                <w:sz w:val="21"/>
              </w:rPr>
            </w:pPr>
          </w:p>
        </w:tc>
        <w:tc>
          <w:tcPr>
            <w:tcW w:w="1135" w:type="dxa"/>
            <w:gridSpan w:val="2"/>
            <w:vAlign w:val="top"/>
          </w:tcPr>
          <w:p w14:paraId="6D98F76E">
            <w:pPr>
              <w:pStyle w:val="6"/>
              <w:spacing w:before="215" w:line="281" w:lineRule="auto"/>
              <w:ind w:left="358" w:right="147" w:hanging="204"/>
            </w:pPr>
            <w:r>
              <w:rPr>
                <w:spacing w:val="-3"/>
              </w:rPr>
              <w:t>导线排列</w:t>
            </w:r>
            <w:r>
              <w:rPr>
                <w:spacing w:val="-2"/>
              </w:rPr>
              <w:t>方式</w:t>
            </w:r>
          </w:p>
        </w:tc>
        <w:tc>
          <w:tcPr>
            <w:tcW w:w="6316" w:type="dxa"/>
            <w:gridSpan w:val="2"/>
            <w:vAlign w:val="top"/>
          </w:tcPr>
          <w:p w14:paraId="3ABCF0F4">
            <w:pPr>
              <w:pStyle w:val="6"/>
              <w:spacing w:before="56" w:line="220" w:lineRule="auto"/>
              <w:ind w:left="110"/>
            </w:pPr>
            <w:r>
              <w:rPr>
                <w:rFonts w:ascii="Times New Roman" w:hAnsi="Times New Roman" w:eastAsia="Times New Roman" w:cs="Times New Roman"/>
                <w:spacing w:val="-2"/>
              </w:rPr>
              <w:t>C</w:t>
            </w:r>
            <w:r>
              <w:rPr>
                <w:rFonts w:ascii="Times New Roman" w:hAnsi="Times New Roman" w:eastAsia="Times New Roman" w:cs="Times New Roman"/>
                <w:spacing w:val="32"/>
                <w:w w:val="101"/>
              </w:rPr>
              <w:t xml:space="preserve"> </w:t>
            </w:r>
            <w:r>
              <w:rPr>
                <w:spacing w:val="-2"/>
              </w:rPr>
              <w:t>回：单回塔三角排列，双回塔垂直排列；</w:t>
            </w:r>
          </w:p>
          <w:p w14:paraId="62A958FD">
            <w:pPr>
              <w:pStyle w:val="6"/>
              <w:spacing w:before="66" w:line="220" w:lineRule="auto"/>
              <w:ind w:left="106"/>
            </w:pPr>
            <w:r>
              <w:rPr>
                <w:rFonts w:ascii="Times New Roman" w:hAnsi="Times New Roman" w:eastAsia="Times New Roman" w:cs="Times New Roman"/>
                <w:spacing w:val="-3"/>
              </w:rPr>
              <w:t>D</w:t>
            </w:r>
            <w:r>
              <w:rPr>
                <w:rFonts w:ascii="Times New Roman" w:hAnsi="Times New Roman" w:eastAsia="Times New Roman" w:cs="Times New Roman"/>
                <w:spacing w:val="40"/>
                <w:w w:val="101"/>
              </w:rPr>
              <w:t xml:space="preserve"> </w:t>
            </w:r>
            <w:r>
              <w:rPr>
                <w:spacing w:val="-3"/>
              </w:rPr>
              <w:t>回：单回塔三角、水平排列，双回塔垂直排列；</w:t>
            </w:r>
          </w:p>
          <w:p w14:paraId="1828038D">
            <w:pPr>
              <w:pStyle w:val="6"/>
              <w:spacing w:before="64" w:line="220" w:lineRule="auto"/>
              <w:ind w:left="107"/>
            </w:pPr>
            <w:r>
              <w:rPr>
                <w:rFonts w:ascii="Times New Roman" w:hAnsi="Times New Roman" w:eastAsia="Times New Roman" w:cs="Times New Roman"/>
                <w:spacing w:val="-2"/>
              </w:rPr>
              <w:t>E</w:t>
            </w:r>
            <w:r>
              <w:rPr>
                <w:rFonts w:ascii="Times New Roman" w:hAnsi="Times New Roman" w:eastAsia="Times New Roman" w:cs="Times New Roman"/>
                <w:spacing w:val="29"/>
                <w:w w:val="101"/>
              </w:rPr>
              <w:t xml:space="preserve"> </w:t>
            </w:r>
            <w:r>
              <w:rPr>
                <w:spacing w:val="-2"/>
              </w:rPr>
              <w:t>回：单回塔三角、水平排列，双回塔垂直</w:t>
            </w:r>
            <w:r>
              <w:rPr>
                <w:spacing w:val="-3"/>
              </w:rPr>
              <w:t>排列。</w:t>
            </w:r>
          </w:p>
        </w:tc>
        <w:tc>
          <w:tcPr>
            <w:tcW w:w="107" w:type="dxa"/>
            <w:vMerge w:val="continue"/>
            <w:tcBorders>
              <w:top w:val="nil"/>
              <w:bottom w:val="nil"/>
            </w:tcBorders>
            <w:vAlign w:val="top"/>
          </w:tcPr>
          <w:p w14:paraId="588E1373">
            <w:pPr>
              <w:rPr>
                <w:rFonts w:ascii="Arial"/>
                <w:sz w:val="21"/>
              </w:rPr>
            </w:pPr>
          </w:p>
        </w:tc>
      </w:tr>
      <w:tr w14:paraId="1B2F7A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461C0AA6">
            <w:pPr>
              <w:rPr>
                <w:rFonts w:ascii="Arial"/>
                <w:sz w:val="21"/>
              </w:rPr>
            </w:pPr>
          </w:p>
        </w:tc>
        <w:tc>
          <w:tcPr>
            <w:tcW w:w="100" w:type="dxa"/>
            <w:tcBorders>
              <w:top w:val="nil"/>
              <w:bottom w:val="nil"/>
            </w:tcBorders>
            <w:vAlign w:val="top"/>
          </w:tcPr>
          <w:p w14:paraId="6B7DE3CB">
            <w:pPr>
              <w:rPr>
                <w:rFonts w:ascii="Arial"/>
                <w:sz w:val="21"/>
              </w:rPr>
            </w:pPr>
          </w:p>
        </w:tc>
        <w:tc>
          <w:tcPr>
            <w:tcW w:w="849" w:type="dxa"/>
            <w:gridSpan w:val="2"/>
            <w:vMerge w:val="continue"/>
            <w:tcBorders>
              <w:top w:val="nil"/>
              <w:bottom w:val="nil"/>
            </w:tcBorders>
            <w:vAlign w:val="top"/>
          </w:tcPr>
          <w:p w14:paraId="00376AC9">
            <w:pPr>
              <w:rPr>
                <w:rFonts w:ascii="Arial"/>
                <w:sz w:val="21"/>
              </w:rPr>
            </w:pPr>
          </w:p>
        </w:tc>
        <w:tc>
          <w:tcPr>
            <w:tcW w:w="1135" w:type="dxa"/>
            <w:gridSpan w:val="2"/>
            <w:vAlign w:val="top"/>
          </w:tcPr>
          <w:p w14:paraId="40BAEA76">
            <w:pPr>
              <w:pStyle w:val="6"/>
              <w:spacing w:before="56" w:line="221" w:lineRule="auto"/>
              <w:ind w:left="149"/>
            </w:pPr>
            <w:r>
              <w:rPr>
                <w:spacing w:val="-2"/>
              </w:rPr>
              <w:t>架设方式</w:t>
            </w:r>
          </w:p>
        </w:tc>
        <w:tc>
          <w:tcPr>
            <w:tcW w:w="6316" w:type="dxa"/>
            <w:gridSpan w:val="2"/>
            <w:vAlign w:val="top"/>
          </w:tcPr>
          <w:p w14:paraId="3575FD44">
            <w:pPr>
              <w:pStyle w:val="6"/>
              <w:spacing w:before="55" w:line="221" w:lineRule="auto"/>
              <w:ind w:left="2117"/>
            </w:pPr>
            <w:r>
              <w:rPr>
                <w:spacing w:val="-1"/>
              </w:rPr>
              <w:t>单、双回路混合架设。</w:t>
            </w:r>
          </w:p>
        </w:tc>
        <w:tc>
          <w:tcPr>
            <w:tcW w:w="107" w:type="dxa"/>
            <w:vMerge w:val="continue"/>
            <w:tcBorders>
              <w:top w:val="nil"/>
              <w:bottom w:val="nil"/>
            </w:tcBorders>
            <w:vAlign w:val="top"/>
          </w:tcPr>
          <w:p w14:paraId="0FE9C34E">
            <w:pPr>
              <w:rPr>
                <w:rFonts w:ascii="Arial"/>
                <w:sz w:val="21"/>
              </w:rPr>
            </w:pPr>
          </w:p>
        </w:tc>
      </w:tr>
      <w:tr w14:paraId="617F5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085DD210">
            <w:pPr>
              <w:rPr>
                <w:rFonts w:ascii="Arial"/>
                <w:sz w:val="21"/>
              </w:rPr>
            </w:pPr>
          </w:p>
        </w:tc>
        <w:tc>
          <w:tcPr>
            <w:tcW w:w="100" w:type="dxa"/>
            <w:tcBorders>
              <w:top w:val="nil"/>
              <w:bottom w:val="nil"/>
            </w:tcBorders>
            <w:vAlign w:val="top"/>
          </w:tcPr>
          <w:p w14:paraId="6553591C">
            <w:pPr>
              <w:rPr>
                <w:rFonts w:ascii="Arial"/>
                <w:sz w:val="21"/>
              </w:rPr>
            </w:pPr>
          </w:p>
        </w:tc>
        <w:tc>
          <w:tcPr>
            <w:tcW w:w="849" w:type="dxa"/>
            <w:gridSpan w:val="2"/>
            <w:vMerge w:val="continue"/>
            <w:tcBorders>
              <w:top w:val="nil"/>
              <w:bottom w:val="nil"/>
            </w:tcBorders>
            <w:vAlign w:val="top"/>
          </w:tcPr>
          <w:p w14:paraId="40EE4FD0">
            <w:pPr>
              <w:rPr>
                <w:rFonts w:ascii="Arial"/>
                <w:sz w:val="21"/>
              </w:rPr>
            </w:pPr>
          </w:p>
        </w:tc>
        <w:tc>
          <w:tcPr>
            <w:tcW w:w="1135" w:type="dxa"/>
            <w:gridSpan w:val="2"/>
            <w:vAlign w:val="top"/>
          </w:tcPr>
          <w:p w14:paraId="40DB98F0">
            <w:pPr>
              <w:pStyle w:val="6"/>
              <w:spacing w:before="56" w:line="221" w:lineRule="auto"/>
              <w:ind w:left="149"/>
            </w:pPr>
            <w:r>
              <w:rPr>
                <w:spacing w:val="-2"/>
              </w:rPr>
              <w:t>新建杆塔</w:t>
            </w:r>
          </w:p>
        </w:tc>
        <w:tc>
          <w:tcPr>
            <w:tcW w:w="6316" w:type="dxa"/>
            <w:gridSpan w:val="2"/>
            <w:vAlign w:val="top"/>
          </w:tcPr>
          <w:p w14:paraId="2E82107F">
            <w:pPr>
              <w:pStyle w:val="6"/>
              <w:spacing w:before="56" w:line="224" w:lineRule="auto"/>
              <w:ind w:left="1643"/>
            </w:pPr>
            <w:r>
              <w:rPr>
                <w:spacing w:val="-2"/>
              </w:rPr>
              <w:t>新建杆塔</w:t>
            </w:r>
            <w:r>
              <w:rPr>
                <w:spacing w:val="-29"/>
              </w:rPr>
              <w:t xml:space="preserve"> </w:t>
            </w:r>
            <w:r>
              <w:rPr>
                <w:rFonts w:ascii="Times New Roman" w:hAnsi="Times New Roman" w:eastAsia="Times New Roman" w:cs="Times New Roman"/>
                <w:spacing w:val="-2"/>
              </w:rPr>
              <w:t xml:space="preserve">54 </w:t>
            </w:r>
            <w:r>
              <w:rPr>
                <w:spacing w:val="-2"/>
              </w:rPr>
              <w:t>基，全部采用铁塔。</w:t>
            </w:r>
          </w:p>
        </w:tc>
        <w:tc>
          <w:tcPr>
            <w:tcW w:w="107" w:type="dxa"/>
            <w:vMerge w:val="continue"/>
            <w:tcBorders>
              <w:top w:val="nil"/>
              <w:bottom w:val="nil"/>
            </w:tcBorders>
            <w:vAlign w:val="top"/>
          </w:tcPr>
          <w:p w14:paraId="42C082D1">
            <w:pPr>
              <w:rPr>
                <w:rFonts w:ascii="Arial"/>
                <w:sz w:val="21"/>
              </w:rPr>
            </w:pPr>
          </w:p>
        </w:tc>
      </w:tr>
      <w:tr w14:paraId="78ED95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71" w:type="dxa"/>
            <w:vMerge w:val="continue"/>
            <w:tcBorders>
              <w:top w:val="nil"/>
              <w:bottom w:val="nil"/>
            </w:tcBorders>
            <w:vAlign w:val="top"/>
          </w:tcPr>
          <w:p w14:paraId="43C988D0">
            <w:pPr>
              <w:rPr>
                <w:rFonts w:ascii="Arial"/>
                <w:sz w:val="21"/>
              </w:rPr>
            </w:pPr>
          </w:p>
        </w:tc>
        <w:tc>
          <w:tcPr>
            <w:tcW w:w="100" w:type="dxa"/>
            <w:tcBorders>
              <w:top w:val="nil"/>
              <w:bottom w:val="nil"/>
            </w:tcBorders>
            <w:vAlign w:val="top"/>
          </w:tcPr>
          <w:p w14:paraId="7E53F8E9">
            <w:pPr>
              <w:rPr>
                <w:rFonts w:ascii="Arial"/>
                <w:sz w:val="21"/>
              </w:rPr>
            </w:pPr>
          </w:p>
        </w:tc>
        <w:tc>
          <w:tcPr>
            <w:tcW w:w="849" w:type="dxa"/>
            <w:gridSpan w:val="2"/>
            <w:vMerge w:val="continue"/>
            <w:tcBorders>
              <w:top w:val="nil"/>
              <w:bottom w:val="nil"/>
            </w:tcBorders>
            <w:vAlign w:val="top"/>
          </w:tcPr>
          <w:p w14:paraId="5402ADE6">
            <w:pPr>
              <w:rPr>
                <w:rFonts w:ascii="Arial"/>
                <w:sz w:val="21"/>
              </w:rPr>
            </w:pPr>
          </w:p>
        </w:tc>
        <w:tc>
          <w:tcPr>
            <w:tcW w:w="1135" w:type="dxa"/>
            <w:gridSpan w:val="2"/>
            <w:vAlign w:val="top"/>
          </w:tcPr>
          <w:p w14:paraId="0B0460C8">
            <w:pPr>
              <w:pStyle w:val="6"/>
              <w:spacing w:before="214" w:line="221" w:lineRule="auto"/>
              <w:ind w:left="149"/>
            </w:pPr>
            <w:r>
              <w:rPr>
                <w:spacing w:val="-2"/>
              </w:rPr>
              <w:t>杆塔型号</w:t>
            </w:r>
          </w:p>
        </w:tc>
        <w:tc>
          <w:tcPr>
            <w:tcW w:w="6316" w:type="dxa"/>
            <w:gridSpan w:val="2"/>
            <w:vAlign w:val="top"/>
          </w:tcPr>
          <w:p w14:paraId="4B6AC134">
            <w:pPr>
              <w:pStyle w:val="6"/>
              <w:spacing w:before="56" w:line="220" w:lineRule="auto"/>
              <w:ind w:left="120"/>
            </w:pPr>
            <w:r>
              <w:t>主要采用南方电网杆塔标准化设计模块塔型。所有塔型</w:t>
            </w:r>
            <w:r>
              <w:rPr>
                <w:spacing w:val="-1"/>
              </w:rPr>
              <w:t>均设计了全</w:t>
            </w:r>
          </w:p>
          <w:p w14:paraId="00900F59">
            <w:pPr>
              <w:pStyle w:val="6"/>
              <w:spacing w:before="67" w:line="221" w:lineRule="auto"/>
              <w:ind w:left="2639"/>
            </w:pPr>
            <w:r>
              <w:rPr>
                <w:spacing w:val="-2"/>
              </w:rPr>
              <w:t>方位长短腿</w:t>
            </w:r>
          </w:p>
        </w:tc>
        <w:tc>
          <w:tcPr>
            <w:tcW w:w="107" w:type="dxa"/>
            <w:vMerge w:val="continue"/>
            <w:tcBorders>
              <w:top w:val="nil"/>
              <w:bottom w:val="nil"/>
            </w:tcBorders>
            <w:vAlign w:val="top"/>
          </w:tcPr>
          <w:p w14:paraId="70C6C4AA">
            <w:pPr>
              <w:rPr>
                <w:rFonts w:ascii="Arial"/>
                <w:sz w:val="21"/>
              </w:rPr>
            </w:pPr>
          </w:p>
        </w:tc>
      </w:tr>
      <w:tr w14:paraId="3C2CB2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1" w:type="dxa"/>
            <w:vMerge w:val="continue"/>
            <w:tcBorders>
              <w:top w:val="nil"/>
              <w:bottom w:val="nil"/>
            </w:tcBorders>
            <w:vAlign w:val="top"/>
          </w:tcPr>
          <w:p w14:paraId="77CD7643">
            <w:pPr>
              <w:rPr>
                <w:rFonts w:ascii="Arial"/>
                <w:sz w:val="21"/>
              </w:rPr>
            </w:pPr>
          </w:p>
        </w:tc>
        <w:tc>
          <w:tcPr>
            <w:tcW w:w="100" w:type="dxa"/>
            <w:tcBorders>
              <w:top w:val="nil"/>
              <w:bottom w:val="nil"/>
            </w:tcBorders>
            <w:vAlign w:val="top"/>
          </w:tcPr>
          <w:p w14:paraId="0E22BB5D">
            <w:pPr>
              <w:rPr>
                <w:rFonts w:ascii="Arial"/>
                <w:sz w:val="21"/>
              </w:rPr>
            </w:pPr>
          </w:p>
        </w:tc>
        <w:tc>
          <w:tcPr>
            <w:tcW w:w="849" w:type="dxa"/>
            <w:gridSpan w:val="2"/>
            <w:vMerge w:val="continue"/>
            <w:tcBorders>
              <w:top w:val="nil"/>
            </w:tcBorders>
            <w:vAlign w:val="top"/>
          </w:tcPr>
          <w:p w14:paraId="7E3CA35B">
            <w:pPr>
              <w:rPr>
                <w:rFonts w:ascii="Arial"/>
                <w:sz w:val="21"/>
              </w:rPr>
            </w:pPr>
          </w:p>
        </w:tc>
        <w:tc>
          <w:tcPr>
            <w:tcW w:w="1135" w:type="dxa"/>
            <w:gridSpan w:val="2"/>
            <w:vAlign w:val="top"/>
          </w:tcPr>
          <w:p w14:paraId="401C6B0B">
            <w:pPr>
              <w:pStyle w:val="6"/>
              <w:spacing w:before="215" w:line="226" w:lineRule="auto"/>
              <w:ind w:left="358"/>
            </w:pPr>
            <w:r>
              <w:rPr>
                <w:spacing w:val="-2"/>
              </w:rPr>
              <w:t>基础</w:t>
            </w:r>
          </w:p>
        </w:tc>
        <w:tc>
          <w:tcPr>
            <w:tcW w:w="6316" w:type="dxa"/>
            <w:gridSpan w:val="2"/>
            <w:vAlign w:val="top"/>
          </w:tcPr>
          <w:p w14:paraId="5060905F">
            <w:pPr>
              <w:pStyle w:val="6"/>
              <w:spacing w:before="56" w:line="220" w:lineRule="auto"/>
              <w:ind w:left="118"/>
            </w:pPr>
            <w:r>
              <w:t>全线铁塔采用了掏挖基础、人工挖孔桩基础，铁塔与基础连</w:t>
            </w:r>
            <w:r>
              <w:rPr>
                <w:spacing w:val="-1"/>
              </w:rPr>
              <w:t>接采用</w:t>
            </w:r>
          </w:p>
          <w:p w14:paraId="33CD0B6D">
            <w:pPr>
              <w:pStyle w:val="6"/>
              <w:spacing w:before="66" w:line="220" w:lineRule="auto"/>
              <w:ind w:left="2218"/>
            </w:pPr>
            <w:r>
              <w:rPr>
                <w:spacing w:val="-3"/>
              </w:rPr>
              <w:t>地脚螺栓方式连接。</w:t>
            </w:r>
          </w:p>
        </w:tc>
        <w:tc>
          <w:tcPr>
            <w:tcW w:w="107" w:type="dxa"/>
            <w:vMerge w:val="continue"/>
            <w:tcBorders>
              <w:top w:val="nil"/>
              <w:bottom w:val="nil"/>
            </w:tcBorders>
            <w:vAlign w:val="top"/>
          </w:tcPr>
          <w:p w14:paraId="2A483A57">
            <w:pPr>
              <w:rPr>
                <w:rFonts w:ascii="Arial"/>
                <w:sz w:val="21"/>
              </w:rPr>
            </w:pPr>
          </w:p>
        </w:tc>
      </w:tr>
      <w:tr w14:paraId="3667CE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31" w:hRule="atLeast"/>
        </w:trPr>
        <w:tc>
          <w:tcPr>
            <w:tcW w:w="571" w:type="dxa"/>
            <w:vMerge w:val="continue"/>
            <w:tcBorders>
              <w:top w:val="nil"/>
              <w:bottom w:val="nil"/>
            </w:tcBorders>
            <w:vAlign w:val="top"/>
          </w:tcPr>
          <w:p w14:paraId="5EC4211B">
            <w:pPr>
              <w:rPr>
                <w:rFonts w:ascii="Arial"/>
                <w:sz w:val="21"/>
              </w:rPr>
            </w:pPr>
          </w:p>
        </w:tc>
        <w:tc>
          <w:tcPr>
            <w:tcW w:w="100" w:type="dxa"/>
            <w:tcBorders>
              <w:top w:val="nil"/>
              <w:bottom w:val="nil"/>
            </w:tcBorders>
            <w:vAlign w:val="top"/>
          </w:tcPr>
          <w:p w14:paraId="4DE2965E">
            <w:pPr>
              <w:rPr>
                <w:rFonts w:ascii="Arial"/>
                <w:sz w:val="21"/>
              </w:rPr>
            </w:pPr>
          </w:p>
        </w:tc>
        <w:tc>
          <w:tcPr>
            <w:tcW w:w="849" w:type="dxa"/>
            <w:gridSpan w:val="2"/>
            <w:vMerge w:val="restart"/>
            <w:tcBorders>
              <w:bottom w:val="nil"/>
            </w:tcBorders>
            <w:vAlign w:val="top"/>
          </w:tcPr>
          <w:p w14:paraId="7B3827D0">
            <w:pPr>
              <w:spacing w:line="250" w:lineRule="auto"/>
              <w:rPr>
                <w:rFonts w:ascii="Arial"/>
                <w:sz w:val="21"/>
              </w:rPr>
            </w:pPr>
          </w:p>
          <w:p w14:paraId="704C8638">
            <w:pPr>
              <w:spacing w:line="250" w:lineRule="auto"/>
              <w:rPr>
                <w:rFonts w:ascii="Arial"/>
                <w:sz w:val="21"/>
              </w:rPr>
            </w:pPr>
          </w:p>
          <w:p w14:paraId="5FDFDBC2">
            <w:pPr>
              <w:spacing w:line="250" w:lineRule="auto"/>
              <w:rPr>
                <w:rFonts w:ascii="Arial"/>
                <w:sz w:val="21"/>
              </w:rPr>
            </w:pPr>
          </w:p>
          <w:p w14:paraId="00554E11">
            <w:pPr>
              <w:spacing w:line="250" w:lineRule="auto"/>
              <w:rPr>
                <w:rFonts w:ascii="Arial"/>
                <w:sz w:val="21"/>
              </w:rPr>
            </w:pPr>
          </w:p>
          <w:p w14:paraId="46D01D04">
            <w:pPr>
              <w:spacing w:line="251" w:lineRule="auto"/>
              <w:rPr>
                <w:rFonts w:ascii="Arial"/>
                <w:sz w:val="21"/>
              </w:rPr>
            </w:pPr>
          </w:p>
          <w:p w14:paraId="29731192">
            <w:pPr>
              <w:pStyle w:val="6"/>
              <w:spacing w:before="68" w:line="279" w:lineRule="auto"/>
              <w:ind w:left="323" w:right="108" w:hanging="197"/>
            </w:pPr>
            <w:r>
              <w:rPr>
                <w:spacing w:val="-8"/>
              </w:rPr>
              <w:t>间隔扩</w:t>
            </w:r>
            <w:r>
              <w:t>建</w:t>
            </w:r>
          </w:p>
        </w:tc>
        <w:tc>
          <w:tcPr>
            <w:tcW w:w="1135" w:type="dxa"/>
            <w:gridSpan w:val="2"/>
            <w:vAlign w:val="top"/>
          </w:tcPr>
          <w:p w14:paraId="2D0E5A7E">
            <w:pPr>
              <w:spacing w:line="310" w:lineRule="auto"/>
              <w:rPr>
                <w:rFonts w:ascii="Arial"/>
                <w:sz w:val="21"/>
              </w:rPr>
            </w:pPr>
          </w:p>
          <w:p w14:paraId="5E4B2564">
            <w:pPr>
              <w:spacing w:line="311" w:lineRule="auto"/>
              <w:rPr>
                <w:rFonts w:ascii="Arial"/>
                <w:sz w:val="21"/>
              </w:rPr>
            </w:pPr>
          </w:p>
          <w:p w14:paraId="4E0878C8">
            <w:pPr>
              <w:spacing w:line="311" w:lineRule="auto"/>
              <w:rPr>
                <w:rFonts w:ascii="Arial"/>
                <w:sz w:val="21"/>
              </w:rPr>
            </w:pPr>
          </w:p>
          <w:p w14:paraId="3DDD5848">
            <w:pPr>
              <w:pStyle w:val="6"/>
              <w:spacing w:before="68" w:line="280" w:lineRule="auto"/>
              <w:ind w:left="359" w:right="148" w:hanging="212"/>
            </w:pPr>
            <w:r>
              <w:rPr>
                <w:rFonts w:ascii="Times New Roman" w:hAnsi="Times New Roman" w:eastAsia="Times New Roman" w:cs="Times New Roman"/>
                <w:spacing w:val="-2"/>
              </w:rPr>
              <w:t>220kV</w:t>
            </w:r>
            <w:r>
              <w:rPr>
                <w:rFonts w:ascii="Times New Roman" w:hAnsi="Times New Roman" w:eastAsia="Times New Roman" w:cs="Times New Roman"/>
                <w:spacing w:val="10"/>
              </w:rPr>
              <w:t xml:space="preserve"> </w:t>
            </w:r>
            <w:r>
              <w:rPr>
                <w:spacing w:val="-2"/>
              </w:rPr>
              <w:t>迤车变</w:t>
            </w:r>
          </w:p>
        </w:tc>
        <w:tc>
          <w:tcPr>
            <w:tcW w:w="6316" w:type="dxa"/>
            <w:gridSpan w:val="2"/>
            <w:vAlign w:val="top"/>
          </w:tcPr>
          <w:p w14:paraId="043DC763">
            <w:pPr>
              <w:pStyle w:val="6"/>
              <w:spacing w:before="56" w:line="278" w:lineRule="auto"/>
              <w:ind w:left="111" w:right="96" w:firstLine="6"/>
            </w:pPr>
            <w:r>
              <w:rPr>
                <w:spacing w:val="-1"/>
              </w:rPr>
              <w:t>（</w:t>
            </w:r>
            <w:r>
              <w:rPr>
                <w:rFonts w:ascii="Times New Roman" w:hAnsi="Times New Roman" w:eastAsia="Times New Roman" w:cs="Times New Roman"/>
                <w:spacing w:val="-1"/>
              </w:rPr>
              <w:t>1</w:t>
            </w:r>
            <w:r>
              <w:rPr>
                <w:spacing w:val="-1"/>
              </w:rPr>
              <w:t>）本期在</w:t>
            </w:r>
            <w:r>
              <w:rPr>
                <w:spacing w:val="-43"/>
              </w:rPr>
              <w:t xml:space="preserve"> </w:t>
            </w:r>
            <w:r>
              <w:rPr>
                <w:rFonts w:ascii="Times New Roman" w:hAnsi="Times New Roman" w:eastAsia="Times New Roman" w:cs="Times New Roman"/>
                <w:spacing w:val="-1"/>
              </w:rPr>
              <w:t>220kV</w:t>
            </w:r>
            <w:r>
              <w:rPr>
                <w:rFonts w:ascii="Times New Roman" w:hAnsi="Times New Roman" w:eastAsia="Times New Roman" w:cs="Times New Roman"/>
                <w:spacing w:val="14"/>
              </w:rPr>
              <w:t xml:space="preserve"> </w:t>
            </w:r>
            <w:r>
              <w:rPr>
                <w:spacing w:val="-1"/>
              </w:rPr>
              <w:t>迤车变</w:t>
            </w:r>
            <w:r>
              <w:rPr>
                <w:spacing w:val="-43"/>
              </w:rPr>
              <w:t xml:space="preserve"> </w:t>
            </w:r>
            <w:r>
              <w:rPr>
                <w:rFonts w:ascii="Times New Roman" w:hAnsi="Times New Roman" w:eastAsia="Times New Roman" w:cs="Times New Roman"/>
                <w:spacing w:val="-1"/>
              </w:rPr>
              <w:t xml:space="preserve">220kV </w:t>
            </w:r>
            <w:r>
              <w:rPr>
                <w:spacing w:val="-1"/>
              </w:rPr>
              <w:t>配</w:t>
            </w:r>
            <w:r>
              <w:rPr>
                <w:spacing w:val="-2"/>
              </w:rPr>
              <w:t>电装置场地，新增</w:t>
            </w:r>
            <w:r>
              <w:rPr>
                <w:spacing w:val="-23"/>
              </w:rPr>
              <w:t xml:space="preserve"> </w:t>
            </w:r>
            <w:r>
              <w:rPr>
                <w:rFonts w:ascii="Times New Roman" w:hAnsi="Times New Roman" w:eastAsia="Times New Roman" w:cs="Times New Roman"/>
                <w:spacing w:val="-2"/>
              </w:rPr>
              <w:t xml:space="preserve">1 </w:t>
            </w:r>
            <w:r>
              <w:rPr>
                <w:spacing w:val="-2"/>
              </w:rPr>
              <w:t>个</w:t>
            </w:r>
            <w:r>
              <w:rPr>
                <w:spacing w:val="-42"/>
              </w:rPr>
              <w:t xml:space="preserve"> </w:t>
            </w:r>
            <w:r>
              <w:rPr>
                <w:rFonts w:ascii="Times New Roman" w:hAnsi="Times New Roman" w:eastAsia="Times New Roman" w:cs="Times New Roman"/>
                <w:spacing w:val="-2"/>
              </w:rPr>
              <w:t>220kV</w:t>
            </w:r>
            <w:r>
              <w:rPr>
                <w:spacing w:val="-1"/>
              </w:rPr>
              <w:t>出线间隔至迤车牵引变，包含户外设备支架和基础，在</w:t>
            </w:r>
            <w:r>
              <w:rPr>
                <w:spacing w:val="-50"/>
              </w:rPr>
              <w:t xml:space="preserve"> </w:t>
            </w:r>
            <w:r>
              <w:rPr>
                <w:rFonts w:ascii="Times New Roman" w:hAnsi="Times New Roman" w:eastAsia="Times New Roman" w:cs="Times New Roman"/>
                <w:spacing w:val="-1"/>
              </w:rPr>
              <w:t>220</w:t>
            </w:r>
            <w:r>
              <w:rPr>
                <w:rFonts w:ascii="Times New Roman" w:hAnsi="Times New Roman" w:eastAsia="Times New Roman" w:cs="Times New Roman"/>
                <w:spacing w:val="-2"/>
              </w:rPr>
              <w:t xml:space="preserve">kV </w:t>
            </w:r>
            <w:r>
              <w:rPr>
                <w:spacing w:val="-2"/>
              </w:rPr>
              <w:t>迤车变南侧新征地</w:t>
            </w:r>
            <w:r>
              <w:rPr>
                <w:spacing w:val="-28"/>
              </w:rPr>
              <w:t xml:space="preserve"> </w:t>
            </w:r>
            <w:r>
              <w:rPr>
                <w:rFonts w:ascii="Times New Roman" w:hAnsi="Times New Roman" w:eastAsia="Times New Roman" w:cs="Times New Roman"/>
                <w:spacing w:val="-2"/>
              </w:rPr>
              <w:t>1010m</w:t>
            </w:r>
            <w:r>
              <w:rPr>
                <w:rFonts w:ascii="Times New Roman" w:hAnsi="Times New Roman" w:eastAsia="Times New Roman" w:cs="Times New Roman"/>
                <w:spacing w:val="-2"/>
                <w:position w:val="6"/>
                <w:sz w:val="13"/>
                <w:szCs w:val="13"/>
              </w:rPr>
              <w:t>2</w:t>
            </w:r>
            <w:r>
              <w:rPr>
                <w:spacing w:val="-2"/>
              </w:rPr>
              <w:t>。</w:t>
            </w:r>
          </w:p>
          <w:p w14:paraId="32487492">
            <w:pPr>
              <w:pStyle w:val="6"/>
              <w:spacing w:line="273" w:lineRule="auto"/>
              <w:ind w:left="112" w:right="94" w:firstLine="5"/>
            </w:pPr>
            <w:r>
              <w:rPr>
                <w:spacing w:val="-1"/>
              </w:rPr>
              <w:t>（</w:t>
            </w:r>
            <w:r>
              <w:rPr>
                <w:rFonts w:ascii="Times New Roman" w:hAnsi="Times New Roman" w:eastAsia="Times New Roman" w:cs="Times New Roman"/>
                <w:spacing w:val="-1"/>
              </w:rPr>
              <w:t>2</w:t>
            </w:r>
            <w:r>
              <w:rPr>
                <w:spacing w:val="-1"/>
              </w:rPr>
              <w:t xml:space="preserve">）原 </w:t>
            </w:r>
            <w:r>
              <w:rPr>
                <w:rFonts w:ascii="Times New Roman" w:hAnsi="Times New Roman" w:eastAsia="Times New Roman" w:cs="Times New Roman"/>
                <w:spacing w:val="-1"/>
              </w:rPr>
              <w:t xml:space="preserve">220kV  </w:t>
            </w:r>
            <w:r>
              <w:rPr>
                <w:spacing w:val="-1"/>
              </w:rPr>
              <w:t>者迤Ⅰ线间隔本期改接为者迤Ⅱ线，原</w:t>
            </w:r>
            <w:r>
              <w:rPr>
                <w:spacing w:val="-2"/>
              </w:rPr>
              <w:t>设备及导线均沿用。</w:t>
            </w:r>
          </w:p>
          <w:p w14:paraId="4DD1C7E1">
            <w:pPr>
              <w:pStyle w:val="6"/>
              <w:spacing w:before="9" w:line="273" w:lineRule="auto"/>
              <w:ind w:left="112" w:right="96" w:firstLine="4"/>
            </w:pPr>
            <w:r>
              <w:rPr>
                <w:spacing w:val="-2"/>
              </w:rPr>
              <w:t>（</w:t>
            </w:r>
            <w:r>
              <w:rPr>
                <w:rFonts w:ascii="Times New Roman" w:hAnsi="Times New Roman" w:eastAsia="Times New Roman" w:cs="Times New Roman"/>
                <w:spacing w:val="-2"/>
              </w:rPr>
              <w:t>3</w:t>
            </w:r>
            <w:r>
              <w:rPr>
                <w:spacing w:val="-2"/>
              </w:rPr>
              <w:t>）原</w:t>
            </w:r>
            <w:r>
              <w:rPr>
                <w:spacing w:val="-23"/>
              </w:rPr>
              <w:t xml:space="preserve"> </w:t>
            </w:r>
            <w:r>
              <w:rPr>
                <w:rFonts w:ascii="Times New Roman" w:hAnsi="Times New Roman" w:eastAsia="Times New Roman" w:cs="Times New Roman"/>
                <w:spacing w:val="-2"/>
              </w:rPr>
              <w:t>220kV</w:t>
            </w:r>
            <w:r>
              <w:rPr>
                <w:rFonts w:ascii="Times New Roman" w:hAnsi="Times New Roman" w:eastAsia="Times New Roman" w:cs="Times New Roman"/>
                <w:spacing w:val="19"/>
              </w:rPr>
              <w:t xml:space="preserve"> </w:t>
            </w:r>
            <w:r>
              <w:rPr>
                <w:spacing w:val="-2"/>
              </w:rPr>
              <w:t>者迤Ⅱ线间隔本期改接至</w:t>
            </w:r>
            <w:r>
              <w:rPr>
                <w:spacing w:val="-35"/>
              </w:rPr>
              <w:t xml:space="preserve"> </w:t>
            </w:r>
            <w:r>
              <w:rPr>
                <w:rFonts w:ascii="Times New Roman" w:hAnsi="Times New Roman" w:eastAsia="Times New Roman" w:cs="Times New Roman"/>
                <w:spacing w:val="-2"/>
              </w:rPr>
              <w:t>500kV</w:t>
            </w:r>
            <w:r>
              <w:rPr>
                <w:rFonts w:ascii="Times New Roman" w:hAnsi="Times New Roman" w:eastAsia="Times New Roman" w:cs="Times New Roman"/>
                <w:spacing w:val="23"/>
                <w:w w:val="101"/>
              </w:rPr>
              <w:t xml:space="preserve"> </w:t>
            </w:r>
            <w:r>
              <w:rPr>
                <w:spacing w:val="-2"/>
              </w:rPr>
              <w:t>乐业</w:t>
            </w:r>
            <w:r>
              <w:rPr>
                <w:spacing w:val="-3"/>
              </w:rPr>
              <w:t>变，原设备沿</w:t>
            </w:r>
            <w:r>
              <w:rPr>
                <w:spacing w:val="-1"/>
              </w:rPr>
              <w:t>用，原间隔内导线更换为双分裂导线。</w:t>
            </w:r>
          </w:p>
          <w:p w14:paraId="66619751">
            <w:pPr>
              <w:pStyle w:val="6"/>
              <w:spacing w:before="12" w:line="220" w:lineRule="auto"/>
              <w:ind w:left="117"/>
            </w:pPr>
            <w:r>
              <w:rPr>
                <w:spacing w:val="-1"/>
              </w:rPr>
              <w:t>（</w:t>
            </w:r>
            <w:r>
              <w:rPr>
                <w:rFonts w:ascii="Times New Roman" w:hAnsi="Times New Roman" w:eastAsia="Times New Roman" w:cs="Times New Roman"/>
                <w:spacing w:val="-1"/>
              </w:rPr>
              <w:t>4</w:t>
            </w:r>
            <w:r>
              <w:rPr>
                <w:spacing w:val="-1"/>
              </w:rPr>
              <w:t>）安装断路器、隔离开关、互感器、避雷针等电气设备。</w:t>
            </w:r>
          </w:p>
        </w:tc>
        <w:tc>
          <w:tcPr>
            <w:tcW w:w="107" w:type="dxa"/>
            <w:vMerge w:val="continue"/>
            <w:tcBorders>
              <w:top w:val="nil"/>
              <w:bottom w:val="nil"/>
            </w:tcBorders>
            <w:vAlign w:val="top"/>
          </w:tcPr>
          <w:p w14:paraId="256DF74E">
            <w:pPr>
              <w:rPr>
                <w:rFonts w:ascii="Arial"/>
                <w:sz w:val="21"/>
              </w:rPr>
            </w:pPr>
          </w:p>
        </w:tc>
      </w:tr>
      <w:tr w14:paraId="77E690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571" w:type="dxa"/>
            <w:vMerge w:val="continue"/>
            <w:tcBorders>
              <w:top w:val="nil"/>
            </w:tcBorders>
            <w:vAlign w:val="top"/>
          </w:tcPr>
          <w:p w14:paraId="32E397F5">
            <w:pPr>
              <w:rPr>
                <w:rFonts w:ascii="Arial"/>
                <w:sz w:val="21"/>
              </w:rPr>
            </w:pPr>
          </w:p>
        </w:tc>
        <w:tc>
          <w:tcPr>
            <w:tcW w:w="100" w:type="dxa"/>
            <w:tcBorders>
              <w:top w:val="nil"/>
            </w:tcBorders>
            <w:vAlign w:val="top"/>
          </w:tcPr>
          <w:p w14:paraId="62354444">
            <w:pPr>
              <w:rPr>
                <w:rFonts w:ascii="Arial"/>
                <w:sz w:val="21"/>
              </w:rPr>
            </w:pPr>
          </w:p>
        </w:tc>
        <w:tc>
          <w:tcPr>
            <w:tcW w:w="849" w:type="dxa"/>
            <w:gridSpan w:val="2"/>
            <w:vMerge w:val="continue"/>
            <w:tcBorders>
              <w:top w:val="nil"/>
            </w:tcBorders>
            <w:vAlign w:val="top"/>
          </w:tcPr>
          <w:p w14:paraId="4B7B9B9C">
            <w:pPr>
              <w:rPr>
                <w:rFonts w:ascii="Arial"/>
                <w:sz w:val="21"/>
              </w:rPr>
            </w:pPr>
          </w:p>
        </w:tc>
        <w:tc>
          <w:tcPr>
            <w:tcW w:w="1135" w:type="dxa"/>
            <w:gridSpan w:val="2"/>
            <w:vAlign w:val="top"/>
          </w:tcPr>
          <w:p w14:paraId="3B34027B">
            <w:pPr>
              <w:pStyle w:val="6"/>
              <w:spacing w:before="57" w:line="257" w:lineRule="auto"/>
              <w:ind w:left="357" w:right="148" w:hanging="204"/>
            </w:pPr>
            <w:r>
              <w:rPr>
                <w:rFonts w:ascii="Times New Roman" w:hAnsi="Times New Roman" w:eastAsia="Times New Roman" w:cs="Times New Roman"/>
                <w:spacing w:val="-4"/>
              </w:rPr>
              <w:t>500kV</w:t>
            </w:r>
            <w:r>
              <w:rPr>
                <w:rFonts w:ascii="Times New Roman" w:hAnsi="Times New Roman" w:eastAsia="Times New Roman" w:cs="Times New Roman"/>
                <w:spacing w:val="16"/>
                <w:w w:val="101"/>
              </w:rPr>
              <w:t xml:space="preserve"> </w:t>
            </w:r>
            <w:r>
              <w:rPr>
                <w:spacing w:val="-4"/>
              </w:rPr>
              <w:t>乐</w:t>
            </w:r>
            <w:r>
              <w:rPr>
                <w:spacing w:val="-2"/>
              </w:rPr>
              <w:t>业变</w:t>
            </w:r>
          </w:p>
        </w:tc>
        <w:tc>
          <w:tcPr>
            <w:tcW w:w="6316" w:type="dxa"/>
            <w:gridSpan w:val="2"/>
            <w:vAlign w:val="top"/>
          </w:tcPr>
          <w:p w14:paraId="51530276">
            <w:pPr>
              <w:pStyle w:val="6"/>
              <w:spacing w:before="57" w:line="257" w:lineRule="auto"/>
              <w:ind w:left="128" w:right="98" w:hanging="11"/>
            </w:pPr>
            <w:r>
              <w:rPr>
                <w:spacing w:val="-2"/>
              </w:rPr>
              <w:t>（</w:t>
            </w:r>
            <w:r>
              <w:rPr>
                <w:rFonts w:ascii="Times New Roman" w:hAnsi="Times New Roman" w:eastAsia="Times New Roman" w:cs="Times New Roman"/>
                <w:spacing w:val="-2"/>
              </w:rPr>
              <w:t>1</w:t>
            </w:r>
            <w:r>
              <w:rPr>
                <w:spacing w:val="-2"/>
              </w:rPr>
              <w:t>）本期在</w:t>
            </w:r>
            <w:r>
              <w:rPr>
                <w:spacing w:val="-29"/>
              </w:rPr>
              <w:t xml:space="preserve"> </w:t>
            </w:r>
            <w:r>
              <w:rPr>
                <w:rFonts w:ascii="Times New Roman" w:hAnsi="Times New Roman" w:eastAsia="Times New Roman" w:cs="Times New Roman"/>
                <w:spacing w:val="-2"/>
              </w:rPr>
              <w:t>500kV</w:t>
            </w:r>
            <w:r>
              <w:rPr>
                <w:rFonts w:ascii="Times New Roman" w:hAnsi="Times New Roman" w:eastAsia="Times New Roman" w:cs="Times New Roman"/>
                <w:spacing w:val="21"/>
              </w:rPr>
              <w:t xml:space="preserve"> </w:t>
            </w:r>
            <w:r>
              <w:rPr>
                <w:spacing w:val="-2"/>
              </w:rPr>
              <w:t>乐业变</w:t>
            </w:r>
            <w:r>
              <w:rPr>
                <w:spacing w:val="-43"/>
              </w:rPr>
              <w:t xml:space="preserve"> </w:t>
            </w:r>
            <w:r>
              <w:rPr>
                <w:rFonts w:ascii="Times New Roman" w:hAnsi="Times New Roman" w:eastAsia="Times New Roman" w:cs="Times New Roman"/>
                <w:spacing w:val="-2"/>
              </w:rPr>
              <w:t xml:space="preserve">220kV </w:t>
            </w:r>
            <w:r>
              <w:rPr>
                <w:spacing w:val="-2"/>
              </w:rPr>
              <w:t>配电装置场地，新增</w:t>
            </w:r>
            <w:r>
              <w:rPr>
                <w:spacing w:val="-23"/>
              </w:rPr>
              <w:t xml:space="preserve"> </w:t>
            </w:r>
            <w:r>
              <w:rPr>
                <w:rFonts w:ascii="Times New Roman" w:hAnsi="Times New Roman" w:eastAsia="Times New Roman" w:cs="Times New Roman"/>
                <w:spacing w:val="-2"/>
              </w:rPr>
              <w:t xml:space="preserve">1 </w:t>
            </w:r>
            <w:r>
              <w:rPr>
                <w:spacing w:val="-2"/>
              </w:rPr>
              <w:t>个</w:t>
            </w:r>
            <w:r>
              <w:rPr>
                <w:spacing w:val="-42"/>
              </w:rPr>
              <w:t xml:space="preserve"> </w:t>
            </w:r>
            <w:r>
              <w:rPr>
                <w:rFonts w:ascii="Times New Roman" w:hAnsi="Times New Roman" w:eastAsia="Times New Roman" w:cs="Times New Roman"/>
                <w:spacing w:val="-2"/>
              </w:rPr>
              <w:t>220kV</w:t>
            </w:r>
            <w:r>
              <w:rPr>
                <w:spacing w:val="-2"/>
              </w:rPr>
              <w:t>出线间隔至</w:t>
            </w:r>
            <w:r>
              <w:rPr>
                <w:spacing w:val="-44"/>
              </w:rPr>
              <w:t xml:space="preserve"> </w:t>
            </w:r>
            <w:r>
              <w:rPr>
                <w:rFonts w:ascii="Times New Roman" w:hAnsi="Times New Roman" w:eastAsia="Times New Roman" w:cs="Times New Roman"/>
                <w:spacing w:val="-2"/>
              </w:rPr>
              <w:t xml:space="preserve">220kV </w:t>
            </w:r>
            <w:r>
              <w:rPr>
                <w:spacing w:val="-2"/>
              </w:rPr>
              <w:t>迤车变，包含户外设备支架和基础，不新征地。</w:t>
            </w:r>
          </w:p>
        </w:tc>
        <w:tc>
          <w:tcPr>
            <w:tcW w:w="107" w:type="dxa"/>
            <w:vMerge w:val="continue"/>
            <w:tcBorders>
              <w:top w:val="nil"/>
            </w:tcBorders>
            <w:vAlign w:val="top"/>
          </w:tcPr>
          <w:p w14:paraId="353792C8">
            <w:pPr>
              <w:rPr>
                <w:rFonts w:ascii="Arial"/>
                <w:sz w:val="21"/>
              </w:rPr>
            </w:pPr>
          </w:p>
        </w:tc>
      </w:tr>
    </w:tbl>
    <w:p w14:paraId="3A71E315">
      <w:pPr>
        <w:rPr>
          <w:rFonts w:ascii="Arial"/>
          <w:sz w:val="21"/>
        </w:rPr>
      </w:pPr>
    </w:p>
    <w:p w14:paraId="3B7C4DA8">
      <w:pPr>
        <w:rPr>
          <w:rFonts w:ascii="Arial" w:hAnsi="Arial" w:eastAsia="Arial" w:cs="Arial"/>
          <w:sz w:val="21"/>
          <w:szCs w:val="21"/>
        </w:rPr>
        <w:sectPr>
          <w:footerReference r:id="rId33" w:type="default"/>
          <w:pgSz w:w="11907" w:h="16841"/>
          <w:pgMar w:top="400" w:right="1408" w:bottom="1126" w:left="1414" w:header="0" w:footer="925" w:gutter="0"/>
          <w:cols w:space="720" w:num="1"/>
        </w:sectPr>
      </w:pPr>
    </w:p>
    <w:p w14:paraId="55232C19">
      <w:pPr>
        <w:spacing w:before="2"/>
      </w:pPr>
    </w:p>
    <w:p w14:paraId="02A781F3">
      <w:pPr>
        <w:spacing w:before="2"/>
      </w:pPr>
    </w:p>
    <w:p w14:paraId="1B0BE31A">
      <w:pPr>
        <w:spacing w:before="1"/>
      </w:pPr>
    </w:p>
    <w:p w14:paraId="1A2E0A8B">
      <w:pPr>
        <w:spacing w:before="1"/>
      </w:pPr>
    </w:p>
    <w:p w14:paraId="6B7AC9E3">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09"/>
        <w:gridCol w:w="788"/>
        <w:gridCol w:w="62"/>
        <w:gridCol w:w="1136"/>
        <w:gridCol w:w="874"/>
        <w:gridCol w:w="853"/>
        <w:gridCol w:w="1133"/>
        <w:gridCol w:w="1561"/>
        <w:gridCol w:w="283"/>
        <w:gridCol w:w="1600"/>
        <w:gridCol w:w="108"/>
      </w:tblGrid>
      <w:tr w14:paraId="20458C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0" w:hRule="atLeast"/>
        </w:trPr>
        <w:tc>
          <w:tcPr>
            <w:tcW w:w="571" w:type="dxa"/>
            <w:vMerge w:val="restart"/>
            <w:tcBorders>
              <w:bottom w:val="nil"/>
            </w:tcBorders>
            <w:vAlign w:val="top"/>
          </w:tcPr>
          <w:p w14:paraId="79EA6177">
            <w:pPr>
              <w:rPr>
                <w:rFonts w:ascii="Arial"/>
                <w:sz w:val="21"/>
              </w:rPr>
            </w:pPr>
          </w:p>
        </w:tc>
        <w:tc>
          <w:tcPr>
            <w:tcW w:w="109" w:type="dxa"/>
            <w:tcBorders>
              <w:bottom w:val="nil"/>
            </w:tcBorders>
            <w:vAlign w:val="top"/>
          </w:tcPr>
          <w:p w14:paraId="0FEB9D88">
            <w:pPr>
              <w:rPr>
                <w:rFonts w:ascii="Arial"/>
                <w:sz w:val="21"/>
              </w:rPr>
            </w:pPr>
          </w:p>
        </w:tc>
        <w:tc>
          <w:tcPr>
            <w:tcW w:w="850" w:type="dxa"/>
            <w:gridSpan w:val="2"/>
            <w:vAlign w:val="top"/>
          </w:tcPr>
          <w:p w14:paraId="0F7C10E8">
            <w:pPr>
              <w:rPr>
                <w:rFonts w:ascii="Arial"/>
                <w:sz w:val="21"/>
              </w:rPr>
            </w:pPr>
          </w:p>
        </w:tc>
        <w:tc>
          <w:tcPr>
            <w:tcW w:w="1136" w:type="dxa"/>
            <w:vAlign w:val="top"/>
          </w:tcPr>
          <w:p w14:paraId="68DC5DB5">
            <w:pPr>
              <w:rPr>
                <w:rFonts w:ascii="Arial"/>
                <w:sz w:val="21"/>
              </w:rPr>
            </w:pPr>
          </w:p>
        </w:tc>
        <w:tc>
          <w:tcPr>
            <w:tcW w:w="6304" w:type="dxa"/>
            <w:gridSpan w:val="6"/>
            <w:vAlign w:val="top"/>
          </w:tcPr>
          <w:p w14:paraId="302E4973">
            <w:pPr>
              <w:pStyle w:val="6"/>
              <w:spacing w:before="71" w:line="271" w:lineRule="auto"/>
              <w:ind w:left="105" w:right="37" w:firstLine="1"/>
            </w:pPr>
            <w:r>
              <w:rPr>
                <w:spacing w:val="-6"/>
              </w:rPr>
              <w:t>（</w:t>
            </w:r>
            <w:r>
              <w:rPr>
                <w:rFonts w:ascii="Times New Roman" w:hAnsi="Times New Roman" w:eastAsia="Times New Roman" w:cs="Times New Roman"/>
                <w:spacing w:val="-6"/>
              </w:rPr>
              <w:t>2</w:t>
            </w:r>
            <w:r>
              <w:rPr>
                <w:spacing w:val="-6"/>
              </w:rPr>
              <w:t>）原</w:t>
            </w:r>
            <w:r>
              <w:rPr>
                <w:spacing w:val="-16"/>
              </w:rPr>
              <w:t xml:space="preserve"> </w:t>
            </w:r>
            <w:r>
              <w:rPr>
                <w:rFonts w:ascii="Times New Roman" w:hAnsi="Times New Roman" w:eastAsia="Times New Roman" w:cs="Times New Roman"/>
                <w:spacing w:val="-6"/>
              </w:rPr>
              <w:t>500kV</w:t>
            </w:r>
            <w:r>
              <w:rPr>
                <w:rFonts w:ascii="Times New Roman" w:hAnsi="Times New Roman" w:eastAsia="Times New Roman" w:cs="Times New Roman"/>
                <w:spacing w:val="17"/>
              </w:rPr>
              <w:t xml:space="preserve"> </w:t>
            </w:r>
            <w:r>
              <w:rPr>
                <w:spacing w:val="-6"/>
              </w:rPr>
              <w:t>乐业变</w:t>
            </w:r>
            <w:r>
              <w:rPr>
                <w:spacing w:val="-48"/>
              </w:rPr>
              <w:t xml:space="preserve"> </w:t>
            </w:r>
            <w:r>
              <w:rPr>
                <w:rFonts w:ascii="Times New Roman" w:hAnsi="Times New Roman" w:eastAsia="Times New Roman" w:cs="Times New Roman"/>
                <w:spacing w:val="-6"/>
              </w:rPr>
              <w:t>220kV</w:t>
            </w:r>
            <w:r>
              <w:rPr>
                <w:rFonts w:ascii="Times New Roman" w:hAnsi="Times New Roman" w:eastAsia="Times New Roman" w:cs="Times New Roman"/>
                <w:spacing w:val="11"/>
              </w:rPr>
              <w:t xml:space="preserve"> </w:t>
            </w:r>
            <w:r>
              <w:rPr>
                <w:spacing w:val="-6"/>
              </w:rPr>
              <w:t>者迤Ⅰ线间隔本期改接至迤车牵引变，</w:t>
            </w:r>
            <w:r>
              <w:rPr>
                <w:spacing w:val="-1"/>
              </w:rPr>
              <w:t>原设备及导线均沿用。</w:t>
            </w:r>
          </w:p>
          <w:p w14:paraId="660EED2D">
            <w:pPr>
              <w:pStyle w:val="6"/>
              <w:spacing w:before="13" w:line="227" w:lineRule="auto"/>
              <w:ind w:left="106"/>
            </w:pPr>
            <w:r>
              <w:rPr>
                <w:spacing w:val="-1"/>
              </w:rPr>
              <w:t>（</w:t>
            </w:r>
            <w:r>
              <w:rPr>
                <w:rFonts w:ascii="Times New Roman" w:hAnsi="Times New Roman" w:eastAsia="Times New Roman" w:cs="Times New Roman"/>
                <w:spacing w:val="-1"/>
              </w:rPr>
              <w:t>3</w:t>
            </w:r>
            <w:r>
              <w:rPr>
                <w:spacing w:val="-1"/>
              </w:rPr>
              <w:t>）安装断路器、隔离开关、互感器、避雷针等电气设备。</w:t>
            </w:r>
          </w:p>
        </w:tc>
        <w:tc>
          <w:tcPr>
            <w:tcW w:w="108" w:type="dxa"/>
            <w:tcBorders>
              <w:bottom w:val="nil"/>
            </w:tcBorders>
            <w:vAlign w:val="top"/>
          </w:tcPr>
          <w:p w14:paraId="2EC71C5E">
            <w:pPr>
              <w:rPr>
                <w:rFonts w:ascii="Arial"/>
                <w:sz w:val="21"/>
              </w:rPr>
            </w:pPr>
          </w:p>
        </w:tc>
      </w:tr>
      <w:tr w14:paraId="77E5FF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7" w:hRule="atLeast"/>
        </w:trPr>
        <w:tc>
          <w:tcPr>
            <w:tcW w:w="571" w:type="dxa"/>
            <w:vMerge w:val="continue"/>
            <w:tcBorders>
              <w:top w:val="nil"/>
              <w:bottom w:val="nil"/>
            </w:tcBorders>
            <w:vAlign w:val="top"/>
          </w:tcPr>
          <w:p w14:paraId="1E619696">
            <w:pPr>
              <w:rPr>
                <w:rFonts w:ascii="Arial"/>
                <w:sz w:val="21"/>
              </w:rPr>
            </w:pPr>
          </w:p>
        </w:tc>
        <w:tc>
          <w:tcPr>
            <w:tcW w:w="8399" w:type="dxa"/>
            <w:gridSpan w:val="10"/>
            <w:tcBorders>
              <w:right w:val="nil"/>
            </w:tcBorders>
            <w:vAlign w:val="top"/>
          </w:tcPr>
          <w:p w14:paraId="276121BD">
            <w:pPr>
              <w:pStyle w:val="6"/>
              <w:spacing w:before="116" w:line="236" w:lineRule="auto"/>
              <w:ind w:left="106"/>
              <w:rPr>
                <w:sz w:val="24"/>
                <w:szCs w:val="24"/>
              </w:rPr>
            </w:pPr>
            <w:r>
              <w:rPr>
                <w:rFonts w:ascii="Times New Roman" w:hAnsi="Times New Roman" w:eastAsia="Times New Roman" w:cs="Times New Roman"/>
                <w:b/>
                <w:bCs/>
                <w:spacing w:val="-7"/>
                <w:sz w:val="24"/>
                <w:szCs w:val="24"/>
              </w:rPr>
              <w:t>3</w:t>
            </w:r>
            <w:r>
              <w:rPr>
                <w:b/>
                <w:bCs/>
                <w:spacing w:val="-7"/>
                <w:sz w:val="24"/>
                <w:szCs w:val="24"/>
              </w:rPr>
              <w:t>、塔型</w:t>
            </w:r>
          </w:p>
          <w:p w14:paraId="6F5DAD51">
            <w:pPr>
              <w:pStyle w:val="6"/>
              <w:spacing w:before="166" w:line="219" w:lineRule="auto"/>
              <w:ind w:left="594"/>
              <w:rPr>
                <w:sz w:val="24"/>
                <w:szCs w:val="24"/>
              </w:rPr>
            </w:pPr>
            <w:r>
              <w:rPr>
                <w:spacing w:val="-1"/>
                <w:sz w:val="24"/>
                <w:szCs w:val="24"/>
              </w:rPr>
              <w:t>按全方位长短腿设计，其基本参数见下表。</w:t>
            </w:r>
          </w:p>
          <w:p w14:paraId="180F1CB3">
            <w:pPr>
              <w:pStyle w:val="6"/>
              <w:spacing w:before="126" w:line="225" w:lineRule="auto"/>
              <w:ind w:left="3139"/>
            </w:pPr>
            <w:r>
              <w:rPr>
                <w:b/>
                <w:bCs/>
                <w:spacing w:val="-2"/>
              </w:rPr>
              <w:t>表</w:t>
            </w:r>
            <w:r>
              <w:rPr>
                <w:spacing w:val="-39"/>
              </w:rPr>
              <w:t xml:space="preserve"> </w:t>
            </w:r>
            <w:r>
              <w:rPr>
                <w:rFonts w:ascii="Times New Roman" w:hAnsi="Times New Roman" w:eastAsia="Times New Roman" w:cs="Times New Roman"/>
                <w:b/>
                <w:bCs/>
                <w:spacing w:val="-2"/>
              </w:rPr>
              <w:t xml:space="preserve">2-3    </w:t>
            </w:r>
            <w:r>
              <w:rPr>
                <w:b/>
                <w:bCs/>
                <w:spacing w:val="-2"/>
              </w:rPr>
              <w:t>塔型基本参数表</w:t>
            </w:r>
          </w:p>
        </w:tc>
        <w:tc>
          <w:tcPr>
            <w:tcW w:w="108" w:type="dxa"/>
            <w:vMerge w:val="restart"/>
            <w:tcBorders>
              <w:top w:val="nil"/>
              <w:bottom w:val="nil"/>
            </w:tcBorders>
            <w:vAlign w:val="top"/>
          </w:tcPr>
          <w:p w14:paraId="528A32FA">
            <w:pPr>
              <w:rPr>
                <w:rFonts w:ascii="Arial"/>
                <w:sz w:val="21"/>
              </w:rPr>
            </w:pPr>
          </w:p>
        </w:tc>
      </w:tr>
      <w:tr w14:paraId="4D0FC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6EEDED1C">
            <w:pPr>
              <w:rPr>
                <w:rFonts w:ascii="Arial"/>
                <w:sz w:val="21"/>
              </w:rPr>
            </w:pPr>
          </w:p>
        </w:tc>
        <w:tc>
          <w:tcPr>
            <w:tcW w:w="109" w:type="dxa"/>
            <w:tcBorders>
              <w:top w:val="nil"/>
              <w:bottom w:val="nil"/>
            </w:tcBorders>
            <w:vAlign w:val="top"/>
          </w:tcPr>
          <w:p w14:paraId="24F49C99">
            <w:pPr>
              <w:rPr>
                <w:rFonts w:ascii="Arial"/>
                <w:sz w:val="21"/>
              </w:rPr>
            </w:pPr>
          </w:p>
        </w:tc>
        <w:tc>
          <w:tcPr>
            <w:tcW w:w="788" w:type="dxa"/>
            <w:vAlign w:val="top"/>
          </w:tcPr>
          <w:p w14:paraId="7923F896">
            <w:pPr>
              <w:pStyle w:val="6"/>
              <w:spacing w:before="55" w:line="222" w:lineRule="auto"/>
              <w:ind w:left="183"/>
            </w:pPr>
            <w:r>
              <w:rPr>
                <w:b/>
                <w:bCs/>
                <w:spacing w:val="-4"/>
              </w:rPr>
              <w:t>序号</w:t>
            </w:r>
          </w:p>
        </w:tc>
        <w:tc>
          <w:tcPr>
            <w:tcW w:w="2072" w:type="dxa"/>
            <w:gridSpan w:val="3"/>
            <w:vAlign w:val="top"/>
          </w:tcPr>
          <w:p w14:paraId="2DF20178">
            <w:pPr>
              <w:pStyle w:val="6"/>
              <w:spacing w:before="55" w:line="221" w:lineRule="auto"/>
              <w:ind w:left="616"/>
            </w:pPr>
            <w:r>
              <w:rPr>
                <w:b/>
                <w:bCs/>
                <w:spacing w:val="-3"/>
              </w:rPr>
              <w:t>塔型代号</w:t>
            </w:r>
          </w:p>
        </w:tc>
        <w:tc>
          <w:tcPr>
            <w:tcW w:w="1986" w:type="dxa"/>
            <w:gridSpan w:val="2"/>
            <w:vAlign w:val="top"/>
          </w:tcPr>
          <w:p w14:paraId="66E9436C">
            <w:pPr>
              <w:pStyle w:val="6"/>
              <w:spacing w:before="56" w:line="224" w:lineRule="auto"/>
              <w:ind w:left="280"/>
            </w:pPr>
            <w:r>
              <w:rPr>
                <w:b/>
                <w:bCs/>
                <w:spacing w:val="-3"/>
              </w:rPr>
              <w:t>导线间距（</w:t>
            </w:r>
            <w:r>
              <w:rPr>
                <w:rFonts w:ascii="Times New Roman" w:hAnsi="Times New Roman" w:eastAsia="Times New Roman" w:cs="Times New Roman"/>
                <w:b/>
                <w:bCs/>
                <w:spacing w:val="-3"/>
              </w:rPr>
              <w:t>m</w:t>
            </w:r>
            <w:r>
              <w:rPr>
                <w:b/>
                <w:bCs/>
                <w:spacing w:val="-3"/>
              </w:rPr>
              <w:t>）</w:t>
            </w:r>
          </w:p>
        </w:tc>
        <w:tc>
          <w:tcPr>
            <w:tcW w:w="1844" w:type="dxa"/>
            <w:gridSpan w:val="2"/>
            <w:vAlign w:val="top"/>
          </w:tcPr>
          <w:p w14:paraId="770B1BEB">
            <w:pPr>
              <w:pStyle w:val="6"/>
              <w:spacing w:before="52" w:line="221" w:lineRule="auto"/>
              <w:ind w:left="293"/>
            </w:pPr>
            <w:r>
              <w:rPr>
                <w:b/>
                <w:bCs/>
                <w:spacing w:val="-3"/>
              </w:rPr>
              <w:t>线路使用情况</w:t>
            </w:r>
          </w:p>
        </w:tc>
        <w:tc>
          <w:tcPr>
            <w:tcW w:w="1600" w:type="dxa"/>
            <w:vAlign w:val="top"/>
          </w:tcPr>
          <w:p w14:paraId="772EEC95">
            <w:pPr>
              <w:pStyle w:val="6"/>
              <w:spacing w:before="53" w:line="222" w:lineRule="auto"/>
              <w:ind w:left="590"/>
            </w:pPr>
            <w:r>
              <w:rPr>
                <w:b/>
                <w:bCs/>
                <w:spacing w:val="-5"/>
              </w:rPr>
              <w:t>备注</w:t>
            </w:r>
          </w:p>
        </w:tc>
        <w:tc>
          <w:tcPr>
            <w:tcW w:w="108" w:type="dxa"/>
            <w:vMerge w:val="continue"/>
            <w:tcBorders>
              <w:top w:val="nil"/>
              <w:bottom w:val="nil"/>
            </w:tcBorders>
            <w:vAlign w:val="top"/>
          </w:tcPr>
          <w:p w14:paraId="602FC631">
            <w:pPr>
              <w:rPr>
                <w:rFonts w:ascii="Arial"/>
                <w:sz w:val="21"/>
              </w:rPr>
            </w:pPr>
          </w:p>
        </w:tc>
      </w:tr>
      <w:tr w14:paraId="4C8163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52DED303">
            <w:pPr>
              <w:rPr>
                <w:rFonts w:ascii="Arial"/>
                <w:sz w:val="21"/>
              </w:rPr>
            </w:pPr>
          </w:p>
        </w:tc>
        <w:tc>
          <w:tcPr>
            <w:tcW w:w="109" w:type="dxa"/>
            <w:tcBorders>
              <w:top w:val="nil"/>
              <w:bottom w:val="nil"/>
            </w:tcBorders>
            <w:vAlign w:val="top"/>
          </w:tcPr>
          <w:p w14:paraId="4CA3E1A1">
            <w:pPr>
              <w:rPr>
                <w:rFonts w:ascii="Arial"/>
                <w:sz w:val="21"/>
              </w:rPr>
            </w:pPr>
          </w:p>
        </w:tc>
        <w:tc>
          <w:tcPr>
            <w:tcW w:w="788" w:type="dxa"/>
            <w:vAlign w:val="top"/>
          </w:tcPr>
          <w:p w14:paraId="42680F57">
            <w:pPr>
              <w:spacing w:before="88" w:line="221" w:lineRule="auto"/>
              <w:ind w:left="359"/>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2072" w:type="dxa"/>
            <w:gridSpan w:val="3"/>
            <w:vAlign w:val="top"/>
          </w:tcPr>
          <w:p w14:paraId="79EA97BD">
            <w:pPr>
              <w:spacing w:before="92" w:line="187" w:lineRule="auto"/>
              <w:ind w:left="430"/>
              <w:rPr>
                <w:rFonts w:ascii="Times New Roman" w:hAnsi="Times New Roman" w:eastAsia="Times New Roman" w:cs="Times New Roman"/>
                <w:sz w:val="21"/>
                <w:szCs w:val="21"/>
              </w:rPr>
            </w:pPr>
            <w:r>
              <w:rPr>
                <w:rFonts w:ascii="Times New Roman" w:hAnsi="Times New Roman" w:eastAsia="Times New Roman" w:cs="Times New Roman"/>
                <w:sz w:val="21"/>
                <w:szCs w:val="21"/>
              </w:rPr>
              <w:t>V3-2D1Y7-J1</w:t>
            </w:r>
          </w:p>
        </w:tc>
        <w:tc>
          <w:tcPr>
            <w:tcW w:w="1986" w:type="dxa"/>
            <w:gridSpan w:val="2"/>
            <w:vAlign w:val="top"/>
          </w:tcPr>
          <w:p w14:paraId="4797EEAB">
            <w:pPr>
              <w:pStyle w:val="6"/>
              <w:spacing w:before="89" w:line="195" w:lineRule="auto"/>
              <w:ind w:left="629"/>
              <w:rPr>
                <w:rFonts w:ascii="Times New Roman" w:hAnsi="Times New Roman" w:eastAsia="Times New Roman" w:cs="Times New Roman"/>
              </w:rPr>
            </w:pPr>
            <w:r>
              <w:rPr>
                <w:rFonts w:ascii="Times New Roman" w:hAnsi="Times New Roman" w:eastAsia="Times New Roman" w:cs="Times New Roman"/>
                <w:spacing w:val="-10"/>
              </w:rPr>
              <w:t>6</w:t>
            </w:r>
            <w:r>
              <w:rPr>
                <w:rFonts w:ascii="Times New Roman" w:hAnsi="Times New Roman" w:eastAsia="Times New Roman" w:cs="Times New Roman"/>
                <w:spacing w:val="-27"/>
              </w:rPr>
              <w:t xml:space="preserve"> </w:t>
            </w:r>
            <w:r>
              <w:rPr>
                <w:spacing w:val="-10"/>
              </w:rPr>
              <w:t>，</w:t>
            </w:r>
            <w:r>
              <w:rPr>
                <w:rFonts w:ascii="Times New Roman" w:hAnsi="Times New Roman" w:eastAsia="Times New Roman" w:cs="Times New Roman"/>
                <w:spacing w:val="-10"/>
              </w:rPr>
              <w:t>0</w:t>
            </w:r>
            <w:r>
              <w:rPr>
                <w:rFonts w:ascii="Times New Roman" w:hAnsi="Times New Roman" w:eastAsia="Times New Roman" w:cs="Times New Roman"/>
                <w:spacing w:val="-27"/>
              </w:rPr>
              <w:t xml:space="preserve"> </w:t>
            </w:r>
            <w:r>
              <w:rPr>
                <w:spacing w:val="-10"/>
              </w:rPr>
              <w:t>，</w:t>
            </w:r>
            <w:r>
              <w:rPr>
                <w:rFonts w:ascii="Times New Roman" w:hAnsi="Times New Roman" w:eastAsia="Times New Roman" w:cs="Times New Roman"/>
                <w:spacing w:val="-10"/>
              </w:rPr>
              <w:t>6</w:t>
            </w:r>
          </w:p>
        </w:tc>
        <w:tc>
          <w:tcPr>
            <w:tcW w:w="1844" w:type="dxa"/>
            <w:gridSpan w:val="2"/>
            <w:vAlign w:val="top"/>
          </w:tcPr>
          <w:p w14:paraId="3E908B54">
            <w:pPr>
              <w:pStyle w:val="6"/>
              <w:spacing w:before="53" w:line="224" w:lineRule="auto"/>
              <w:ind w:left="722"/>
            </w:pPr>
            <w:r>
              <w:rPr>
                <w:rFonts w:ascii="Times New Roman" w:hAnsi="Times New Roman" w:eastAsia="Times New Roman" w:cs="Times New Roman"/>
                <w:spacing w:val="-4"/>
              </w:rPr>
              <w:t>C</w:t>
            </w:r>
            <w:r>
              <w:rPr>
                <w:rFonts w:ascii="Times New Roman" w:hAnsi="Times New Roman" w:eastAsia="Times New Roman" w:cs="Times New Roman"/>
                <w:spacing w:val="30"/>
              </w:rPr>
              <w:t xml:space="preserve"> </w:t>
            </w:r>
            <w:r>
              <w:rPr>
                <w:spacing w:val="-4"/>
              </w:rPr>
              <w:t>回</w:t>
            </w:r>
          </w:p>
        </w:tc>
        <w:tc>
          <w:tcPr>
            <w:tcW w:w="1600" w:type="dxa"/>
            <w:vAlign w:val="top"/>
          </w:tcPr>
          <w:p w14:paraId="7AE7F7E9">
            <w:pPr>
              <w:pStyle w:val="6"/>
              <w:spacing w:before="53" w:line="220" w:lineRule="auto"/>
              <w:ind w:left="381"/>
            </w:pPr>
            <w:r>
              <w:rPr>
                <w:spacing w:val="-2"/>
              </w:rPr>
              <w:t>单回三角</w:t>
            </w:r>
          </w:p>
        </w:tc>
        <w:tc>
          <w:tcPr>
            <w:tcW w:w="108" w:type="dxa"/>
            <w:vMerge w:val="continue"/>
            <w:tcBorders>
              <w:top w:val="nil"/>
              <w:bottom w:val="nil"/>
            </w:tcBorders>
            <w:vAlign w:val="top"/>
          </w:tcPr>
          <w:p w14:paraId="2D7E3107">
            <w:pPr>
              <w:rPr>
                <w:rFonts w:ascii="Arial"/>
                <w:sz w:val="21"/>
              </w:rPr>
            </w:pPr>
          </w:p>
        </w:tc>
      </w:tr>
      <w:tr w14:paraId="66A8C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0BD665C9">
            <w:pPr>
              <w:rPr>
                <w:rFonts w:ascii="Arial"/>
                <w:sz w:val="21"/>
              </w:rPr>
            </w:pPr>
          </w:p>
        </w:tc>
        <w:tc>
          <w:tcPr>
            <w:tcW w:w="109" w:type="dxa"/>
            <w:tcBorders>
              <w:top w:val="nil"/>
              <w:bottom w:val="nil"/>
            </w:tcBorders>
            <w:vAlign w:val="top"/>
          </w:tcPr>
          <w:p w14:paraId="7DC28836">
            <w:pPr>
              <w:rPr>
                <w:rFonts w:ascii="Arial"/>
                <w:sz w:val="21"/>
              </w:rPr>
            </w:pPr>
          </w:p>
        </w:tc>
        <w:tc>
          <w:tcPr>
            <w:tcW w:w="788" w:type="dxa"/>
            <w:vAlign w:val="top"/>
          </w:tcPr>
          <w:p w14:paraId="38AE5FC9">
            <w:pPr>
              <w:spacing w:before="89" w:line="220" w:lineRule="auto"/>
              <w:ind w:left="339"/>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2072" w:type="dxa"/>
            <w:gridSpan w:val="3"/>
            <w:vAlign w:val="top"/>
          </w:tcPr>
          <w:p w14:paraId="5145588E">
            <w:pPr>
              <w:spacing w:before="92" w:line="187" w:lineRule="auto"/>
              <w:ind w:left="430"/>
              <w:rPr>
                <w:rFonts w:ascii="Times New Roman" w:hAnsi="Times New Roman" w:eastAsia="Times New Roman" w:cs="Times New Roman"/>
                <w:sz w:val="21"/>
                <w:szCs w:val="21"/>
              </w:rPr>
            </w:pPr>
            <w:r>
              <w:rPr>
                <w:rFonts w:ascii="Times New Roman" w:hAnsi="Times New Roman" w:eastAsia="Times New Roman" w:cs="Times New Roman"/>
                <w:sz w:val="21"/>
                <w:szCs w:val="21"/>
              </w:rPr>
              <w:t>V3-2D1Y7-J2</w:t>
            </w:r>
          </w:p>
        </w:tc>
        <w:tc>
          <w:tcPr>
            <w:tcW w:w="1986" w:type="dxa"/>
            <w:gridSpan w:val="2"/>
            <w:vAlign w:val="top"/>
          </w:tcPr>
          <w:p w14:paraId="600E597F">
            <w:pPr>
              <w:pStyle w:val="6"/>
              <w:spacing w:before="89" w:line="195" w:lineRule="auto"/>
              <w:ind w:left="470"/>
              <w:rPr>
                <w:rFonts w:ascii="Times New Roman" w:hAnsi="Times New Roman" w:eastAsia="Times New Roman" w:cs="Times New Roman"/>
              </w:rPr>
            </w:pPr>
            <w:r>
              <w:rPr>
                <w:rFonts w:ascii="Times New Roman" w:hAnsi="Times New Roman" w:eastAsia="Times New Roman" w:cs="Times New Roman"/>
                <w:spacing w:val="-6"/>
              </w:rPr>
              <w:t>6.4</w:t>
            </w:r>
            <w:r>
              <w:rPr>
                <w:rFonts w:ascii="Times New Roman" w:hAnsi="Times New Roman" w:eastAsia="Times New Roman" w:cs="Times New Roman"/>
                <w:spacing w:val="-25"/>
              </w:rPr>
              <w:t xml:space="preserve"> </w:t>
            </w:r>
            <w:r>
              <w:rPr>
                <w:spacing w:val="-6"/>
              </w:rPr>
              <w:t>，</w:t>
            </w:r>
            <w:r>
              <w:rPr>
                <w:rFonts w:ascii="Times New Roman" w:hAnsi="Times New Roman" w:eastAsia="Times New Roman" w:cs="Times New Roman"/>
                <w:spacing w:val="-6"/>
              </w:rPr>
              <w:t>0</w:t>
            </w:r>
            <w:r>
              <w:rPr>
                <w:rFonts w:ascii="Times New Roman" w:hAnsi="Times New Roman" w:eastAsia="Times New Roman" w:cs="Times New Roman"/>
                <w:spacing w:val="-29"/>
              </w:rPr>
              <w:t xml:space="preserve"> </w:t>
            </w:r>
            <w:r>
              <w:rPr>
                <w:spacing w:val="-6"/>
              </w:rPr>
              <w:t>，</w:t>
            </w:r>
            <w:r>
              <w:rPr>
                <w:rFonts w:ascii="Times New Roman" w:hAnsi="Times New Roman" w:eastAsia="Times New Roman" w:cs="Times New Roman"/>
                <w:spacing w:val="-6"/>
              </w:rPr>
              <w:t>5.9</w:t>
            </w:r>
          </w:p>
        </w:tc>
        <w:tc>
          <w:tcPr>
            <w:tcW w:w="1844" w:type="dxa"/>
            <w:gridSpan w:val="2"/>
            <w:vAlign w:val="top"/>
          </w:tcPr>
          <w:p w14:paraId="01436EF9">
            <w:pPr>
              <w:pStyle w:val="6"/>
              <w:spacing w:before="54" w:line="224" w:lineRule="auto"/>
              <w:ind w:left="722"/>
            </w:pPr>
            <w:r>
              <w:rPr>
                <w:rFonts w:ascii="Times New Roman" w:hAnsi="Times New Roman" w:eastAsia="Times New Roman" w:cs="Times New Roman"/>
                <w:spacing w:val="-4"/>
              </w:rPr>
              <w:t>C</w:t>
            </w:r>
            <w:r>
              <w:rPr>
                <w:rFonts w:ascii="Times New Roman" w:hAnsi="Times New Roman" w:eastAsia="Times New Roman" w:cs="Times New Roman"/>
                <w:spacing w:val="30"/>
              </w:rPr>
              <w:t xml:space="preserve"> </w:t>
            </w:r>
            <w:r>
              <w:rPr>
                <w:spacing w:val="-4"/>
              </w:rPr>
              <w:t>回</w:t>
            </w:r>
          </w:p>
        </w:tc>
        <w:tc>
          <w:tcPr>
            <w:tcW w:w="1600" w:type="dxa"/>
            <w:vAlign w:val="top"/>
          </w:tcPr>
          <w:p w14:paraId="622E3F2A">
            <w:pPr>
              <w:pStyle w:val="6"/>
              <w:spacing w:before="54" w:line="220" w:lineRule="auto"/>
              <w:ind w:left="381"/>
            </w:pPr>
            <w:r>
              <w:rPr>
                <w:spacing w:val="-2"/>
              </w:rPr>
              <w:t>单回三角</w:t>
            </w:r>
          </w:p>
        </w:tc>
        <w:tc>
          <w:tcPr>
            <w:tcW w:w="108" w:type="dxa"/>
            <w:vMerge w:val="continue"/>
            <w:tcBorders>
              <w:top w:val="nil"/>
              <w:bottom w:val="nil"/>
            </w:tcBorders>
            <w:vAlign w:val="top"/>
          </w:tcPr>
          <w:p w14:paraId="6099F059">
            <w:pPr>
              <w:rPr>
                <w:rFonts w:ascii="Arial"/>
                <w:sz w:val="21"/>
              </w:rPr>
            </w:pPr>
          </w:p>
        </w:tc>
      </w:tr>
      <w:tr w14:paraId="13175E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706B184D">
            <w:pPr>
              <w:rPr>
                <w:rFonts w:ascii="Arial"/>
                <w:sz w:val="21"/>
              </w:rPr>
            </w:pPr>
          </w:p>
        </w:tc>
        <w:tc>
          <w:tcPr>
            <w:tcW w:w="109" w:type="dxa"/>
            <w:tcBorders>
              <w:top w:val="nil"/>
              <w:bottom w:val="nil"/>
            </w:tcBorders>
            <w:vAlign w:val="top"/>
          </w:tcPr>
          <w:p w14:paraId="13A6845A">
            <w:pPr>
              <w:rPr>
                <w:rFonts w:ascii="Arial"/>
                <w:sz w:val="21"/>
              </w:rPr>
            </w:pPr>
          </w:p>
        </w:tc>
        <w:tc>
          <w:tcPr>
            <w:tcW w:w="788" w:type="dxa"/>
            <w:vAlign w:val="top"/>
          </w:tcPr>
          <w:p w14:paraId="2FA8059A">
            <w:pPr>
              <w:spacing w:before="89" w:line="220" w:lineRule="auto"/>
              <w:ind w:left="343"/>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2072" w:type="dxa"/>
            <w:gridSpan w:val="3"/>
            <w:vAlign w:val="top"/>
          </w:tcPr>
          <w:p w14:paraId="379FA6CA">
            <w:pPr>
              <w:spacing w:before="93" w:line="187" w:lineRule="auto"/>
              <w:ind w:left="430"/>
              <w:rPr>
                <w:rFonts w:ascii="Times New Roman" w:hAnsi="Times New Roman" w:eastAsia="Times New Roman" w:cs="Times New Roman"/>
                <w:sz w:val="21"/>
                <w:szCs w:val="21"/>
              </w:rPr>
            </w:pPr>
            <w:r>
              <w:rPr>
                <w:rFonts w:ascii="Times New Roman" w:hAnsi="Times New Roman" w:eastAsia="Times New Roman" w:cs="Times New Roman"/>
                <w:sz w:val="21"/>
                <w:szCs w:val="21"/>
              </w:rPr>
              <w:t>V3-2D1Y7-J3</w:t>
            </w:r>
          </w:p>
        </w:tc>
        <w:tc>
          <w:tcPr>
            <w:tcW w:w="1986" w:type="dxa"/>
            <w:gridSpan w:val="2"/>
            <w:vAlign w:val="top"/>
          </w:tcPr>
          <w:p w14:paraId="1BDD743D">
            <w:pPr>
              <w:pStyle w:val="6"/>
              <w:spacing w:before="89" w:line="195" w:lineRule="auto"/>
              <w:ind w:left="470"/>
              <w:rPr>
                <w:rFonts w:ascii="Times New Roman" w:hAnsi="Times New Roman" w:eastAsia="Times New Roman" w:cs="Times New Roman"/>
              </w:rPr>
            </w:pPr>
            <w:r>
              <w:rPr>
                <w:rFonts w:ascii="Times New Roman" w:hAnsi="Times New Roman" w:eastAsia="Times New Roman" w:cs="Times New Roman"/>
                <w:spacing w:val="-6"/>
              </w:rPr>
              <w:t>6.6</w:t>
            </w:r>
            <w:r>
              <w:rPr>
                <w:rFonts w:ascii="Times New Roman" w:hAnsi="Times New Roman" w:eastAsia="Times New Roman" w:cs="Times New Roman"/>
                <w:spacing w:val="-25"/>
              </w:rPr>
              <w:t xml:space="preserve"> </w:t>
            </w:r>
            <w:r>
              <w:rPr>
                <w:spacing w:val="-6"/>
              </w:rPr>
              <w:t>，</w:t>
            </w:r>
            <w:r>
              <w:rPr>
                <w:rFonts w:ascii="Times New Roman" w:hAnsi="Times New Roman" w:eastAsia="Times New Roman" w:cs="Times New Roman"/>
                <w:spacing w:val="-6"/>
              </w:rPr>
              <w:t>0</w:t>
            </w:r>
            <w:r>
              <w:rPr>
                <w:rFonts w:ascii="Times New Roman" w:hAnsi="Times New Roman" w:eastAsia="Times New Roman" w:cs="Times New Roman"/>
                <w:spacing w:val="-29"/>
              </w:rPr>
              <w:t xml:space="preserve"> </w:t>
            </w:r>
            <w:r>
              <w:rPr>
                <w:spacing w:val="-6"/>
              </w:rPr>
              <w:t>，</w:t>
            </w:r>
            <w:r>
              <w:rPr>
                <w:rFonts w:ascii="Times New Roman" w:hAnsi="Times New Roman" w:eastAsia="Times New Roman" w:cs="Times New Roman"/>
                <w:spacing w:val="-6"/>
              </w:rPr>
              <w:t>5.8</w:t>
            </w:r>
          </w:p>
        </w:tc>
        <w:tc>
          <w:tcPr>
            <w:tcW w:w="1844" w:type="dxa"/>
            <w:gridSpan w:val="2"/>
            <w:vAlign w:val="top"/>
          </w:tcPr>
          <w:p w14:paraId="3E1D0605">
            <w:pPr>
              <w:pStyle w:val="6"/>
              <w:spacing w:before="54" w:line="224" w:lineRule="auto"/>
              <w:ind w:left="722"/>
            </w:pPr>
            <w:r>
              <w:rPr>
                <w:rFonts w:ascii="Times New Roman" w:hAnsi="Times New Roman" w:eastAsia="Times New Roman" w:cs="Times New Roman"/>
                <w:spacing w:val="-4"/>
              </w:rPr>
              <w:t>C</w:t>
            </w:r>
            <w:r>
              <w:rPr>
                <w:rFonts w:ascii="Times New Roman" w:hAnsi="Times New Roman" w:eastAsia="Times New Roman" w:cs="Times New Roman"/>
                <w:spacing w:val="30"/>
              </w:rPr>
              <w:t xml:space="preserve"> </w:t>
            </w:r>
            <w:r>
              <w:rPr>
                <w:spacing w:val="-4"/>
              </w:rPr>
              <w:t>回</w:t>
            </w:r>
          </w:p>
        </w:tc>
        <w:tc>
          <w:tcPr>
            <w:tcW w:w="1600" w:type="dxa"/>
            <w:vAlign w:val="top"/>
          </w:tcPr>
          <w:p w14:paraId="20DA0646">
            <w:pPr>
              <w:pStyle w:val="6"/>
              <w:spacing w:before="54" w:line="220" w:lineRule="auto"/>
              <w:ind w:left="381"/>
            </w:pPr>
            <w:r>
              <w:rPr>
                <w:spacing w:val="-2"/>
              </w:rPr>
              <w:t>单回三角</w:t>
            </w:r>
          </w:p>
        </w:tc>
        <w:tc>
          <w:tcPr>
            <w:tcW w:w="108" w:type="dxa"/>
            <w:vMerge w:val="continue"/>
            <w:tcBorders>
              <w:top w:val="nil"/>
              <w:bottom w:val="nil"/>
            </w:tcBorders>
            <w:vAlign w:val="top"/>
          </w:tcPr>
          <w:p w14:paraId="7BC9436E">
            <w:pPr>
              <w:rPr>
                <w:rFonts w:ascii="Arial"/>
                <w:sz w:val="21"/>
              </w:rPr>
            </w:pPr>
          </w:p>
        </w:tc>
      </w:tr>
      <w:tr w14:paraId="6A2005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0BCF49C3">
            <w:pPr>
              <w:rPr>
                <w:rFonts w:ascii="Arial"/>
                <w:sz w:val="21"/>
              </w:rPr>
            </w:pPr>
          </w:p>
        </w:tc>
        <w:tc>
          <w:tcPr>
            <w:tcW w:w="109" w:type="dxa"/>
            <w:tcBorders>
              <w:top w:val="nil"/>
              <w:bottom w:val="nil"/>
            </w:tcBorders>
            <w:vAlign w:val="top"/>
          </w:tcPr>
          <w:p w14:paraId="664704ED">
            <w:pPr>
              <w:rPr>
                <w:rFonts w:ascii="Arial"/>
                <w:sz w:val="21"/>
              </w:rPr>
            </w:pPr>
          </w:p>
        </w:tc>
        <w:tc>
          <w:tcPr>
            <w:tcW w:w="788" w:type="dxa"/>
            <w:vAlign w:val="top"/>
          </w:tcPr>
          <w:p w14:paraId="3EA72750">
            <w:pPr>
              <w:spacing w:before="90" w:line="220" w:lineRule="auto"/>
              <w:ind w:left="338"/>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2072" w:type="dxa"/>
            <w:gridSpan w:val="3"/>
            <w:vAlign w:val="top"/>
          </w:tcPr>
          <w:p w14:paraId="64D7570E">
            <w:pPr>
              <w:spacing w:before="94" w:line="187" w:lineRule="auto"/>
              <w:ind w:left="430"/>
              <w:rPr>
                <w:rFonts w:ascii="Times New Roman" w:hAnsi="Times New Roman" w:eastAsia="Times New Roman" w:cs="Times New Roman"/>
                <w:sz w:val="21"/>
                <w:szCs w:val="21"/>
              </w:rPr>
            </w:pPr>
            <w:r>
              <w:rPr>
                <w:rFonts w:ascii="Times New Roman" w:hAnsi="Times New Roman" w:eastAsia="Times New Roman" w:cs="Times New Roman"/>
                <w:sz w:val="21"/>
                <w:szCs w:val="21"/>
              </w:rPr>
              <w:t>V3-2D1Y7-J4</w:t>
            </w:r>
          </w:p>
        </w:tc>
        <w:tc>
          <w:tcPr>
            <w:tcW w:w="1986" w:type="dxa"/>
            <w:gridSpan w:val="2"/>
            <w:vAlign w:val="top"/>
          </w:tcPr>
          <w:p w14:paraId="4F3CE69E">
            <w:pPr>
              <w:pStyle w:val="6"/>
              <w:spacing w:before="90" w:line="195" w:lineRule="auto"/>
              <w:ind w:left="470"/>
              <w:rPr>
                <w:rFonts w:ascii="Times New Roman" w:hAnsi="Times New Roman" w:eastAsia="Times New Roman" w:cs="Times New Roman"/>
              </w:rPr>
            </w:pPr>
            <w:r>
              <w:rPr>
                <w:rFonts w:ascii="Times New Roman" w:hAnsi="Times New Roman" w:eastAsia="Times New Roman" w:cs="Times New Roman"/>
                <w:spacing w:val="-6"/>
              </w:rPr>
              <w:t>6.8</w:t>
            </w:r>
            <w:r>
              <w:rPr>
                <w:rFonts w:ascii="Times New Roman" w:hAnsi="Times New Roman" w:eastAsia="Times New Roman" w:cs="Times New Roman"/>
                <w:spacing w:val="-25"/>
              </w:rPr>
              <w:t xml:space="preserve"> </w:t>
            </w:r>
            <w:r>
              <w:rPr>
                <w:spacing w:val="-6"/>
              </w:rPr>
              <w:t>，</w:t>
            </w:r>
            <w:r>
              <w:rPr>
                <w:rFonts w:ascii="Times New Roman" w:hAnsi="Times New Roman" w:eastAsia="Times New Roman" w:cs="Times New Roman"/>
                <w:spacing w:val="-6"/>
              </w:rPr>
              <w:t>0</w:t>
            </w:r>
            <w:r>
              <w:rPr>
                <w:rFonts w:ascii="Times New Roman" w:hAnsi="Times New Roman" w:eastAsia="Times New Roman" w:cs="Times New Roman"/>
                <w:spacing w:val="-30"/>
              </w:rPr>
              <w:t xml:space="preserve"> </w:t>
            </w:r>
            <w:r>
              <w:rPr>
                <w:spacing w:val="-6"/>
              </w:rPr>
              <w:t>，</w:t>
            </w:r>
            <w:r>
              <w:rPr>
                <w:rFonts w:ascii="Times New Roman" w:hAnsi="Times New Roman" w:eastAsia="Times New Roman" w:cs="Times New Roman"/>
                <w:spacing w:val="-6"/>
              </w:rPr>
              <w:t>6.1</w:t>
            </w:r>
          </w:p>
        </w:tc>
        <w:tc>
          <w:tcPr>
            <w:tcW w:w="1844" w:type="dxa"/>
            <w:gridSpan w:val="2"/>
            <w:vAlign w:val="top"/>
          </w:tcPr>
          <w:p w14:paraId="2F9EDA7B">
            <w:pPr>
              <w:pStyle w:val="6"/>
              <w:spacing w:before="55" w:line="224" w:lineRule="auto"/>
              <w:ind w:left="722"/>
            </w:pPr>
            <w:r>
              <w:rPr>
                <w:rFonts w:ascii="Times New Roman" w:hAnsi="Times New Roman" w:eastAsia="Times New Roman" w:cs="Times New Roman"/>
                <w:spacing w:val="-4"/>
              </w:rPr>
              <w:t>C</w:t>
            </w:r>
            <w:r>
              <w:rPr>
                <w:rFonts w:ascii="Times New Roman" w:hAnsi="Times New Roman" w:eastAsia="Times New Roman" w:cs="Times New Roman"/>
                <w:spacing w:val="30"/>
              </w:rPr>
              <w:t xml:space="preserve"> </w:t>
            </w:r>
            <w:r>
              <w:rPr>
                <w:spacing w:val="-4"/>
              </w:rPr>
              <w:t>回</w:t>
            </w:r>
          </w:p>
        </w:tc>
        <w:tc>
          <w:tcPr>
            <w:tcW w:w="1600" w:type="dxa"/>
            <w:vAlign w:val="top"/>
          </w:tcPr>
          <w:p w14:paraId="6DA007DE">
            <w:pPr>
              <w:pStyle w:val="6"/>
              <w:spacing w:before="55" w:line="220" w:lineRule="auto"/>
              <w:ind w:left="381"/>
            </w:pPr>
            <w:r>
              <w:rPr>
                <w:spacing w:val="-2"/>
              </w:rPr>
              <w:t>单回三角</w:t>
            </w:r>
          </w:p>
        </w:tc>
        <w:tc>
          <w:tcPr>
            <w:tcW w:w="108" w:type="dxa"/>
            <w:vMerge w:val="continue"/>
            <w:tcBorders>
              <w:top w:val="nil"/>
              <w:bottom w:val="nil"/>
            </w:tcBorders>
            <w:vAlign w:val="top"/>
          </w:tcPr>
          <w:p w14:paraId="0737ABE3">
            <w:pPr>
              <w:rPr>
                <w:rFonts w:ascii="Arial"/>
                <w:sz w:val="21"/>
              </w:rPr>
            </w:pPr>
          </w:p>
        </w:tc>
      </w:tr>
      <w:tr w14:paraId="4CB36C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5D6E95AD">
            <w:pPr>
              <w:rPr>
                <w:rFonts w:ascii="Arial"/>
                <w:sz w:val="21"/>
              </w:rPr>
            </w:pPr>
          </w:p>
        </w:tc>
        <w:tc>
          <w:tcPr>
            <w:tcW w:w="109" w:type="dxa"/>
            <w:tcBorders>
              <w:top w:val="nil"/>
              <w:bottom w:val="nil"/>
            </w:tcBorders>
            <w:vAlign w:val="top"/>
          </w:tcPr>
          <w:p w14:paraId="731C746F">
            <w:pPr>
              <w:rPr>
                <w:rFonts w:ascii="Arial"/>
                <w:sz w:val="21"/>
              </w:rPr>
            </w:pPr>
          </w:p>
        </w:tc>
        <w:tc>
          <w:tcPr>
            <w:tcW w:w="788" w:type="dxa"/>
            <w:vAlign w:val="top"/>
          </w:tcPr>
          <w:p w14:paraId="29CDC311">
            <w:pPr>
              <w:spacing w:before="89" w:line="218" w:lineRule="auto"/>
              <w:ind w:left="345"/>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2072" w:type="dxa"/>
            <w:gridSpan w:val="3"/>
            <w:vAlign w:val="top"/>
          </w:tcPr>
          <w:p w14:paraId="4158EFE0">
            <w:pPr>
              <w:spacing w:before="93" w:line="187" w:lineRule="auto"/>
              <w:ind w:left="406"/>
              <w:rPr>
                <w:rFonts w:ascii="Times New Roman" w:hAnsi="Times New Roman" w:eastAsia="Times New Roman" w:cs="Times New Roman"/>
                <w:sz w:val="21"/>
                <w:szCs w:val="21"/>
              </w:rPr>
            </w:pPr>
            <w:r>
              <w:rPr>
                <w:rFonts w:ascii="Times New Roman" w:hAnsi="Times New Roman" w:eastAsia="Times New Roman" w:cs="Times New Roman"/>
                <w:sz w:val="21"/>
                <w:szCs w:val="21"/>
              </w:rPr>
              <w:t>V3-2D1Y7-Z2</w:t>
            </w:r>
          </w:p>
        </w:tc>
        <w:tc>
          <w:tcPr>
            <w:tcW w:w="1986" w:type="dxa"/>
            <w:gridSpan w:val="2"/>
            <w:vAlign w:val="top"/>
          </w:tcPr>
          <w:p w14:paraId="2EDE483C">
            <w:pPr>
              <w:pStyle w:val="6"/>
              <w:spacing w:before="90" w:line="192" w:lineRule="auto"/>
              <w:ind w:left="471"/>
              <w:rPr>
                <w:rFonts w:ascii="Times New Roman" w:hAnsi="Times New Roman" w:eastAsia="Times New Roman" w:cs="Times New Roman"/>
              </w:rPr>
            </w:pPr>
            <w:r>
              <w:rPr>
                <w:rFonts w:ascii="Times New Roman" w:hAnsi="Times New Roman" w:eastAsia="Times New Roman" w:cs="Times New Roman"/>
                <w:spacing w:val="-6"/>
              </w:rPr>
              <w:t>5.5</w:t>
            </w:r>
            <w:r>
              <w:rPr>
                <w:rFonts w:ascii="Times New Roman" w:hAnsi="Times New Roman" w:eastAsia="Times New Roman" w:cs="Times New Roman"/>
                <w:spacing w:val="-26"/>
              </w:rPr>
              <w:t xml:space="preserve"> </w:t>
            </w:r>
            <w:r>
              <w:rPr>
                <w:spacing w:val="-6"/>
              </w:rPr>
              <w:t>，</w:t>
            </w:r>
            <w:r>
              <w:rPr>
                <w:rFonts w:ascii="Times New Roman" w:hAnsi="Times New Roman" w:eastAsia="Times New Roman" w:cs="Times New Roman"/>
                <w:spacing w:val="-6"/>
              </w:rPr>
              <w:t>0</w:t>
            </w:r>
            <w:r>
              <w:rPr>
                <w:rFonts w:ascii="Times New Roman" w:hAnsi="Times New Roman" w:eastAsia="Times New Roman" w:cs="Times New Roman"/>
                <w:spacing w:val="-29"/>
              </w:rPr>
              <w:t xml:space="preserve"> </w:t>
            </w:r>
            <w:r>
              <w:rPr>
                <w:spacing w:val="-6"/>
              </w:rPr>
              <w:t>，</w:t>
            </w:r>
            <w:r>
              <w:rPr>
                <w:rFonts w:ascii="Times New Roman" w:hAnsi="Times New Roman" w:eastAsia="Times New Roman" w:cs="Times New Roman"/>
                <w:spacing w:val="-6"/>
              </w:rPr>
              <w:t>5.5</w:t>
            </w:r>
          </w:p>
        </w:tc>
        <w:tc>
          <w:tcPr>
            <w:tcW w:w="1844" w:type="dxa"/>
            <w:gridSpan w:val="2"/>
            <w:vAlign w:val="top"/>
          </w:tcPr>
          <w:p w14:paraId="6E610FC3">
            <w:pPr>
              <w:pStyle w:val="6"/>
              <w:spacing w:before="55" w:line="223" w:lineRule="auto"/>
              <w:ind w:left="722"/>
            </w:pPr>
            <w:r>
              <w:rPr>
                <w:rFonts w:ascii="Times New Roman" w:hAnsi="Times New Roman" w:eastAsia="Times New Roman" w:cs="Times New Roman"/>
                <w:spacing w:val="-4"/>
              </w:rPr>
              <w:t>C</w:t>
            </w:r>
            <w:r>
              <w:rPr>
                <w:rFonts w:ascii="Times New Roman" w:hAnsi="Times New Roman" w:eastAsia="Times New Roman" w:cs="Times New Roman"/>
                <w:spacing w:val="30"/>
              </w:rPr>
              <w:t xml:space="preserve"> </w:t>
            </w:r>
            <w:r>
              <w:rPr>
                <w:spacing w:val="-4"/>
              </w:rPr>
              <w:t>回</w:t>
            </w:r>
          </w:p>
        </w:tc>
        <w:tc>
          <w:tcPr>
            <w:tcW w:w="1600" w:type="dxa"/>
            <w:vAlign w:val="top"/>
          </w:tcPr>
          <w:p w14:paraId="354A01A8">
            <w:pPr>
              <w:pStyle w:val="6"/>
              <w:spacing w:before="54" w:line="220" w:lineRule="auto"/>
              <w:ind w:left="381"/>
            </w:pPr>
            <w:r>
              <w:rPr>
                <w:spacing w:val="-2"/>
              </w:rPr>
              <w:t>单回三角</w:t>
            </w:r>
          </w:p>
        </w:tc>
        <w:tc>
          <w:tcPr>
            <w:tcW w:w="108" w:type="dxa"/>
            <w:vMerge w:val="continue"/>
            <w:tcBorders>
              <w:top w:val="nil"/>
              <w:bottom w:val="nil"/>
            </w:tcBorders>
            <w:vAlign w:val="top"/>
          </w:tcPr>
          <w:p w14:paraId="3BC9E099">
            <w:pPr>
              <w:rPr>
                <w:rFonts w:ascii="Arial"/>
                <w:sz w:val="21"/>
              </w:rPr>
            </w:pPr>
          </w:p>
        </w:tc>
      </w:tr>
      <w:tr w14:paraId="4D8489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34C4E477">
            <w:pPr>
              <w:rPr>
                <w:rFonts w:ascii="Arial"/>
                <w:sz w:val="21"/>
              </w:rPr>
            </w:pPr>
          </w:p>
        </w:tc>
        <w:tc>
          <w:tcPr>
            <w:tcW w:w="109" w:type="dxa"/>
            <w:tcBorders>
              <w:top w:val="nil"/>
              <w:bottom w:val="nil"/>
            </w:tcBorders>
            <w:vAlign w:val="top"/>
          </w:tcPr>
          <w:p w14:paraId="1DE4B1CE">
            <w:pPr>
              <w:rPr>
                <w:rFonts w:ascii="Arial"/>
                <w:sz w:val="21"/>
              </w:rPr>
            </w:pPr>
          </w:p>
        </w:tc>
        <w:tc>
          <w:tcPr>
            <w:tcW w:w="788" w:type="dxa"/>
            <w:vAlign w:val="top"/>
          </w:tcPr>
          <w:p w14:paraId="45543A26">
            <w:pPr>
              <w:spacing w:before="92" w:line="217" w:lineRule="auto"/>
              <w:ind w:left="344"/>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2072" w:type="dxa"/>
            <w:gridSpan w:val="3"/>
            <w:vAlign w:val="top"/>
          </w:tcPr>
          <w:p w14:paraId="29DC3842">
            <w:pPr>
              <w:spacing w:before="95" w:line="187" w:lineRule="auto"/>
              <w:ind w:left="406"/>
              <w:rPr>
                <w:rFonts w:ascii="Times New Roman" w:hAnsi="Times New Roman" w:eastAsia="Times New Roman" w:cs="Times New Roman"/>
                <w:sz w:val="21"/>
                <w:szCs w:val="21"/>
              </w:rPr>
            </w:pPr>
            <w:r>
              <w:rPr>
                <w:rFonts w:ascii="Times New Roman" w:hAnsi="Times New Roman" w:eastAsia="Times New Roman" w:cs="Times New Roman"/>
                <w:sz w:val="21"/>
                <w:szCs w:val="21"/>
              </w:rPr>
              <w:t>V3-2D1Y7-Z3</w:t>
            </w:r>
          </w:p>
        </w:tc>
        <w:tc>
          <w:tcPr>
            <w:tcW w:w="1986" w:type="dxa"/>
            <w:gridSpan w:val="2"/>
            <w:vAlign w:val="top"/>
          </w:tcPr>
          <w:p w14:paraId="2FE70E0A">
            <w:pPr>
              <w:pStyle w:val="6"/>
              <w:spacing w:before="92" w:line="192" w:lineRule="auto"/>
              <w:ind w:left="629"/>
              <w:rPr>
                <w:rFonts w:ascii="Times New Roman" w:hAnsi="Times New Roman" w:eastAsia="Times New Roman" w:cs="Times New Roman"/>
              </w:rPr>
            </w:pPr>
            <w:r>
              <w:rPr>
                <w:rFonts w:ascii="Times New Roman" w:hAnsi="Times New Roman" w:eastAsia="Times New Roman" w:cs="Times New Roman"/>
                <w:spacing w:val="-10"/>
              </w:rPr>
              <w:t>6</w:t>
            </w:r>
            <w:r>
              <w:rPr>
                <w:rFonts w:ascii="Times New Roman" w:hAnsi="Times New Roman" w:eastAsia="Times New Roman" w:cs="Times New Roman"/>
                <w:spacing w:val="-27"/>
              </w:rPr>
              <w:t xml:space="preserve"> </w:t>
            </w:r>
            <w:r>
              <w:rPr>
                <w:spacing w:val="-10"/>
              </w:rPr>
              <w:t>，</w:t>
            </w:r>
            <w:r>
              <w:rPr>
                <w:rFonts w:ascii="Times New Roman" w:hAnsi="Times New Roman" w:eastAsia="Times New Roman" w:cs="Times New Roman"/>
                <w:spacing w:val="-10"/>
              </w:rPr>
              <w:t>0</w:t>
            </w:r>
            <w:r>
              <w:rPr>
                <w:rFonts w:ascii="Times New Roman" w:hAnsi="Times New Roman" w:eastAsia="Times New Roman" w:cs="Times New Roman"/>
                <w:spacing w:val="-27"/>
              </w:rPr>
              <w:t xml:space="preserve"> </w:t>
            </w:r>
            <w:r>
              <w:rPr>
                <w:spacing w:val="-10"/>
              </w:rPr>
              <w:t>，</w:t>
            </w:r>
            <w:r>
              <w:rPr>
                <w:rFonts w:ascii="Times New Roman" w:hAnsi="Times New Roman" w:eastAsia="Times New Roman" w:cs="Times New Roman"/>
                <w:spacing w:val="-10"/>
              </w:rPr>
              <w:t>6</w:t>
            </w:r>
          </w:p>
        </w:tc>
        <w:tc>
          <w:tcPr>
            <w:tcW w:w="1844" w:type="dxa"/>
            <w:gridSpan w:val="2"/>
            <w:vAlign w:val="top"/>
          </w:tcPr>
          <w:p w14:paraId="7E332819">
            <w:pPr>
              <w:pStyle w:val="6"/>
              <w:spacing w:before="57" w:line="223" w:lineRule="auto"/>
              <w:ind w:left="722"/>
            </w:pPr>
            <w:r>
              <w:rPr>
                <w:rFonts w:ascii="Times New Roman" w:hAnsi="Times New Roman" w:eastAsia="Times New Roman" w:cs="Times New Roman"/>
                <w:spacing w:val="-4"/>
              </w:rPr>
              <w:t>C</w:t>
            </w:r>
            <w:r>
              <w:rPr>
                <w:rFonts w:ascii="Times New Roman" w:hAnsi="Times New Roman" w:eastAsia="Times New Roman" w:cs="Times New Roman"/>
                <w:spacing w:val="30"/>
              </w:rPr>
              <w:t xml:space="preserve"> </w:t>
            </w:r>
            <w:r>
              <w:rPr>
                <w:spacing w:val="-4"/>
              </w:rPr>
              <w:t>回</w:t>
            </w:r>
          </w:p>
        </w:tc>
        <w:tc>
          <w:tcPr>
            <w:tcW w:w="1600" w:type="dxa"/>
            <w:vAlign w:val="top"/>
          </w:tcPr>
          <w:p w14:paraId="46DE7ED5">
            <w:pPr>
              <w:pStyle w:val="6"/>
              <w:spacing w:before="57" w:line="220" w:lineRule="auto"/>
              <w:ind w:left="381"/>
            </w:pPr>
            <w:r>
              <w:rPr>
                <w:spacing w:val="-2"/>
              </w:rPr>
              <w:t>单回三角</w:t>
            </w:r>
          </w:p>
        </w:tc>
        <w:tc>
          <w:tcPr>
            <w:tcW w:w="108" w:type="dxa"/>
            <w:vMerge w:val="continue"/>
            <w:tcBorders>
              <w:top w:val="nil"/>
              <w:bottom w:val="nil"/>
            </w:tcBorders>
            <w:vAlign w:val="top"/>
          </w:tcPr>
          <w:p w14:paraId="5D3FF99A">
            <w:pPr>
              <w:rPr>
                <w:rFonts w:ascii="Arial"/>
                <w:sz w:val="21"/>
              </w:rPr>
            </w:pPr>
          </w:p>
        </w:tc>
      </w:tr>
      <w:tr w14:paraId="036381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2EF05B1C">
            <w:pPr>
              <w:rPr>
                <w:rFonts w:ascii="Arial"/>
                <w:sz w:val="21"/>
              </w:rPr>
            </w:pPr>
          </w:p>
        </w:tc>
        <w:tc>
          <w:tcPr>
            <w:tcW w:w="109" w:type="dxa"/>
            <w:tcBorders>
              <w:top w:val="nil"/>
              <w:bottom w:val="nil"/>
            </w:tcBorders>
            <w:vAlign w:val="top"/>
          </w:tcPr>
          <w:p w14:paraId="4D37F20F">
            <w:pPr>
              <w:rPr>
                <w:rFonts w:ascii="Arial"/>
                <w:sz w:val="21"/>
              </w:rPr>
            </w:pPr>
          </w:p>
        </w:tc>
        <w:tc>
          <w:tcPr>
            <w:tcW w:w="788" w:type="dxa"/>
            <w:vAlign w:val="top"/>
          </w:tcPr>
          <w:p w14:paraId="66A31DBB">
            <w:pPr>
              <w:spacing w:before="90" w:line="219" w:lineRule="auto"/>
              <w:ind w:left="342"/>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2072" w:type="dxa"/>
            <w:gridSpan w:val="3"/>
            <w:vAlign w:val="top"/>
          </w:tcPr>
          <w:p w14:paraId="771F3B63">
            <w:pPr>
              <w:spacing w:before="93" w:line="187" w:lineRule="auto"/>
              <w:ind w:left="406"/>
              <w:rPr>
                <w:rFonts w:ascii="Times New Roman" w:hAnsi="Times New Roman" w:eastAsia="Times New Roman" w:cs="Times New Roman"/>
                <w:sz w:val="21"/>
                <w:szCs w:val="21"/>
              </w:rPr>
            </w:pPr>
            <w:r>
              <w:rPr>
                <w:rFonts w:ascii="Times New Roman" w:hAnsi="Times New Roman" w:eastAsia="Times New Roman" w:cs="Times New Roman"/>
                <w:sz w:val="21"/>
                <w:szCs w:val="21"/>
              </w:rPr>
              <w:t>V3-2D1Y7-Z4</w:t>
            </w:r>
          </w:p>
        </w:tc>
        <w:tc>
          <w:tcPr>
            <w:tcW w:w="1986" w:type="dxa"/>
            <w:gridSpan w:val="2"/>
            <w:vAlign w:val="top"/>
          </w:tcPr>
          <w:p w14:paraId="4FF2E368">
            <w:pPr>
              <w:pStyle w:val="6"/>
              <w:spacing w:before="90" w:line="194" w:lineRule="auto"/>
              <w:ind w:left="471"/>
              <w:rPr>
                <w:rFonts w:ascii="Times New Roman" w:hAnsi="Times New Roman" w:eastAsia="Times New Roman" w:cs="Times New Roman"/>
              </w:rPr>
            </w:pPr>
            <w:r>
              <w:rPr>
                <w:rFonts w:ascii="Times New Roman" w:hAnsi="Times New Roman" w:eastAsia="Times New Roman" w:cs="Times New Roman"/>
                <w:spacing w:val="-6"/>
              </w:rPr>
              <w:t>5.9</w:t>
            </w:r>
            <w:r>
              <w:rPr>
                <w:rFonts w:ascii="Times New Roman" w:hAnsi="Times New Roman" w:eastAsia="Times New Roman" w:cs="Times New Roman"/>
                <w:spacing w:val="-26"/>
              </w:rPr>
              <w:t xml:space="preserve"> </w:t>
            </w:r>
            <w:r>
              <w:rPr>
                <w:spacing w:val="-6"/>
              </w:rPr>
              <w:t>，</w:t>
            </w:r>
            <w:r>
              <w:rPr>
                <w:rFonts w:ascii="Times New Roman" w:hAnsi="Times New Roman" w:eastAsia="Times New Roman" w:cs="Times New Roman"/>
                <w:spacing w:val="-6"/>
              </w:rPr>
              <w:t>0</w:t>
            </w:r>
            <w:r>
              <w:rPr>
                <w:rFonts w:ascii="Times New Roman" w:hAnsi="Times New Roman" w:eastAsia="Times New Roman" w:cs="Times New Roman"/>
                <w:spacing w:val="-29"/>
              </w:rPr>
              <w:t xml:space="preserve"> </w:t>
            </w:r>
            <w:r>
              <w:rPr>
                <w:spacing w:val="-6"/>
              </w:rPr>
              <w:t>，</w:t>
            </w:r>
            <w:r>
              <w:rPr>
                <w:rFonts w:ascii="Times New Roman" w:hAnsi="Times New Roman" w:eastAsia="Times New Roman" w:cs="Times New Roman"/>
                <w:spacing w:val="-6"/>
              </w:rPr>
              <w:t>5.9</w:t>
            </w:r>
          </w:p>
        </w:tc>
        <w:tc>
          <w:tcPr>
            <w:tcW w:w="1844" w:type="dxa"/>
            <w:gridSpan w:val="2"/>
            <w:vAlign w:val="top"/>
          </w:tcPr>
          <w:p w14:paraId="4413FA16">
            <w:pPr>
              <w:pStyle w:val="6"/>
              <w:spacing w:before="55" w:line="224" w:lineRule="auto"/>
              <w:ind w:left="722"/>
            </w:pPr>
            <w:r>
              <w:rPr>
                <w:rFonts w:ascii="Times New Roman" w:hAnsi="Times New Roman" w:eastAsia="Times New Roman" w:cs="Times New Roman"/>
                <w:spacing w:val="-4"/>
              </w:rPr>
              <w:t>C</w:t>
            </w:r>
            <w:r>
              <w:rPr>
                <w:rFonts w:ascii="Times New Roman" w:hAnsi="Times New Roman" w:eastAsia="Times New Roman" w:cs="Times New Roman"/>
                <w:spacing w:val="30"/>
              </w:rPr>
              <w:t xml:space="preserve"> </w:t>
            </w:r>
            <w:r>
              <w:rPr>
                <w:spacing w:val="-4"/>
              </w:rPr>
              <w:t>回</w:t>
            </w:r>
          </w:p>
        </w:tc>
        <w:tc>
          <w:tcPr>
            <w:tcW w:w="1600" w:type="dxa"/>
            <w:vAlign w:val="top"/>
          </w:tcPr>
          <w:p w14:paraId="6ECA2443">
            <w:pPr>
              <w:pStyle w:val="6"/>
              <w:spacing w:before="55" w:line="220" w:lineRule="auto"/>
              <w:ind w:left="381"/>
            </w:pPr>
            <w:r>
              <w:rPr>
                <w:spacing w:val="-2"/>
              </w:rPr>
              <w:t>单回三角</w:t>
            </w:r>
          </w:p>
        </w:tc>
        <w:tc>
          <w:tcPr>
            <w:tcW w:w="108" w:type="dxa"/>
            <w:vMerge w:val="continue"/>
            <w:tcBorders>
              <w:top w:val="nil"/>
              <w:bottom w:val="nil"/>
            </w:tcBorders>
            <w:vAlign w:val="top"/>
          </w:tcPr>
          <w:p w14:paraId="71C0619F">
            <w:pPr>
              <w:rPr>
                <w:rFonts w:ascii="Arial"/>
                <w:sz w:val="21"/>
              </w:rPr>
            </w:pPr>
          </w:p>
        </w:tc>
      </w:tr>
      <w:tr w14:paraId="51AA6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72607482">
            <w:pPr>
              <w:rPr>
                <w:rFonts w:ascii="Arial"/>
                <w:sz w:val="21"/>
              </w:rPr>
            </w:pPr>
          </w:p>
        </w:tc>
        <w:tc>
          <w:tcPr>
            <w:tcW w:w="109" w:type="dxa"/>
            <w:tcBorders>
              <w:top w:val="nil"/>
              <w:bottom w:val="nil"/>
            </w:tcBorders>
            <w:vAlign w:val="top"/>
          </w:tcPr>
          <w:p w14:paraId="02F23500">
            <w:pPr>
              <w:rPr>
                <w:rFonts w:ascii="Arial"/>
                <w:sz w:val="21"/>
              </w:rPr>
            </w:pPr>
          </w:p>
        </w:tc>
        <w:tc>
          <w:tcPr>
            <w:tcW w:w="788" w:type="dxa"/>
            <w:vAlign w:val="top"/>
          </w:tcPr>
          <w:p w14:paraId="5ABE70AC">
            <w:pPr>
              <w:spacing w:before="90" w:line="220" w:lineRule="auto"/>
              <w:ind w:left="347"/>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2072" w:type="dxa"/>
            <w:gridSpan w:val="3"/>
            <w:vAlign w:val="top"/>
          </w:tcPr>
          <w:p w14:paraId="5614C2E9">
            <w:pPr>
              <w:spacing w:before="94" w:line="187" w:lineRule="auto"/>
              <w:ind w:left="435"/>
              <w:rPr>
                <w:rFonts w:ascii="Times New Roman" w:hAnsi="Times New Roman" w:eastAsia="Times New Roman" w:cs="Times New Roman"/>
                <w:sz w:val="21"/>
                <w:szCs w:val="21"/>
              </w:rPr>
            </w:pPr>
            <w:r>
              <w:rPr>
                <w:rFonts w:ascii="Times New Roman" w:hAnsi="Times New Roman" w:eastAsia="Times New Roman" w:cs="Times New Roman"/>
                <w:sz w:val="21"/>
                <w:szCs w:val="21"/>
              </w:rPr>
              <w:t>V3-2D1Ya-J1</w:t>
            </w:r>
          </w:p>
        </w:tc>
        <w:tc>
          <w:tcPr>
            <w:tcW w:w="1986" w:type="dxa"/>
            <w:gridSpan w:val="2"/>
            <w:vAlign w:val="top"/>
          </w:tcPr>
          <w:p w14:paraId="5697943D">
            <w:pPr>
              <w:pStyle w:val="6"/>
              <w:spacing w:before="91" w:line="194" w:lineRule="auto"/>
              <w:ind w:left="471"/>
              <w:rPr>
                <w:rFonts w:ascii="Times New Roman" w:hAnsi="Times New Roman" w:eastAsia="Times New Roman" w:cs="Times New Roman"/>
              </w:rPr>
            </w:pPr>
            <w:r>
              <w:rPr>
                <w:rFonts w:ascii="Times New Roman" w:hAnsi="Times New Roman" w:eastAsia="Times New Roman" w:cs="Times New Roman"/>
                <w:spacing w:val="-6"/>
              </w:rPr>
              <w:t>5.4</w:t>
            </w:r>
            <w:r>
              <w:rPr>
                <w:rFonts w:ascii="Times New Roman" w:hAnsi="Times New Roman" w:eastAsia="Times New Roman" w:cs="Times New Roman"/>
                <w:spacing w:val="-26"/>
              </w:rPr>
              <w:t xml:space="preserve"> </w:t>
            </w:r>
            <w:r>
              <w:rPr>
                <w:spacing w:val="-6"/>
              </w:rPr>
              <w:t>，</w:t>
            </w:r>
            <w:r>
              <w:rPr>
                <w:rFonts w:ascii="Times New Roman" w:hAnsi="Times New Roman" w:eastAsia="Times New Roman" w:cs="Times New Roman"/>
                <w:spacing w:val="-6"/>
              </w:rPr>
              <w:t>0</w:t>
            </w:r>
            <w:r>
              <w:rPr>
                <w:rFonts w:ascii="Times New Roman" w:hAnsi="Times New Roman" w:eastAsia="Times New Roman" w:cs="Times New Roman"/>
                <w:spacing w:val="-29"/>
              </w:rPr>
              <w:t xml:space="preserve"> </w:t>
            </w:r>
            <w:r>
              <w:rPr>
                <w:spacing w:val="-6"/>
              </w:rPr>
              <w:t>，</w:t>
            </w:r>
            <w:r>
              <w:rPr>
                <w:rFonts w:ascii="Times New Roman" w:hAnsi="Times New Roman" w:eastAsia="Times New Roman" w:cs="Times New Roman"/>
                <w:spacing w:val="-6"/>
              </w:rPr>
              <w:t>5.4</w:t>
            </w:r>
          </w:p>
        </w:tc>
        <w:tc>
          <w:tcPr>
            <w:tcW w:w="1844" w:type="dxa"/>
            <w:gridSpan w:val="2"/>
            <w:vAlign w:val="top"/>
          </w:tcPr>
          <w:p w14:paraId="1E67962A">
            <w:pPr>
              <w:pStyle w:val="6"/>
              <w:spacing w:before="55" w:line="224" w:lineRule="auto"/>
              <w:ind w:left="490"/>
            </w:pPr>
            <w:r>
              <w:rPr>
                <w:rFonts w:ascii="Times New Roman" w:hAnsi="Times New Roman" w:eastAsia="Times New Roman" w:cs="Times New Roman"/>
                <w:spacing w:val="-9"/>
              </w:rPr>
              <w:t>D</w:t>
            </w:r>
            <w:r>
              <w:rPr>
                <w:rFonts w:ascii="Times New Roman" w:hAnsi="Times New Roman" w:eastAsia="Times New Roman" w:cs="Times New Roman"/>
                <w:spacing w:val="28"/>
                <w:w w:val="101"/>
              </w:rPr>
              <w:t xml:space="preserve"> </w:t>
            </w:r>
            <w:r>
              <w:rPr>
                <w:spacing w:val="-9"/>
              </w:rPr>
              <w:t>回</w:t>
            </w:r>
            <w:r>
              <w:rPr>
                <w:spacing w:val="-47"/>
              </w:rPr>
              <w:t xml:space="preserve"> </w:t>
            </w:r>
            <w:r>
              <w:rPr>
                <w:rFonts w:ascii="Times New Roman" w:hAnsi="Times New Roman" w:eastAsia="Times New Roman" w:cs="Times New Roman"/>
                <w:spacing w:val="-9"/>
              </w:rPr>
              <w:t>E</w:t>
            </w:r>
            <w:r>
              <w:rPr>
                <w:rFonts w:ascii="Times New Roman" w:hAnsi="Times New Roman" w:eastAsia="Times New Roman" w:cs="Times New Roman"/>
                <w:spacing w:val="27"/>
              </w:rPr>
              <w:t xml:space="preserve"> </w:t>
            </w:r>
            <w:r>
              <w:rPr>
                <w:spacing w:val="-9"/>
              </w:rPr>
              <w:t>回</w:t>
            </w:r>
          </w:p>
        </w:tc>
        <w:tc>
          <w:tcPr>
            <w:tcW w:w="1600" w:type="dxa"/>
            <w:vAlign w:val="top"/>
          </w:tcPr>
          <w:p w14:paraId="1DEDE228">
            <w:pPr>
              <w:pStyle w:val="6"/>
              <w:spacing w:before="55" w:line="220" w:lineRule="auto"/>
              <w:ind w:left="381"/>
            </w:pPr>
            <w:r>
              <w:rPr>
                <w:spacing w:val="-2"/>
              </w:rPr>
              <w:t>单回三角</w:t>
            </w:r>
          </w:p>
        </w:tc>
        <w:tc>
          <w:tcPr>
            <w:tcW w:w="108" w:type="dxa"/>
            <w:vMerge w:val="continue"/>
            <w:tcBorders>
              <w:top w:val="nil"/>
              <w:bottom w:val="nil"/>
            </w:tcBorders>
            <w:vAlign w:val="top"/>
          </w:tcPr>
          <w:p w14:paraId="1233C11A">
            <w:pPr>
              <w:rPr>
                <w:rFonts w:ascii="Arial"/>
                <w:sz w:val="21"/>
              </w:rPr>
            </w:pPr>
          </w:p>
        </w:tc>
      </w:tr>
      <w:tr w14:paraId="71FFB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88825C0">
            <w:pPr>
              <w:rPr>
                <w:rFonts w:ascii="Arial"/>
                <w:sz w:val="21"/>
              </w:rPr>
            </w:pPr>
          </w:p>
        </w:tc>
        <w:tc>
          <w:tcPr>
            <w:tcW w:w="109" w:type="dxa"/>
            <w:tcBorders>
              <w:top w:val="nil"/>
              <w:bottom w:val="nil"/>
            </w:tcBorders>
            <w:vAlign w:val="top"/>
          </w:tcPr>
          <w:p w14:paraId="1D56785F">
            <w:pPr>
              <w:rPr>
                <w:rFonts w:ascii="Arial"/>
                <w:sz w:val="21"/>
              </w:rPr>
            </w:pPr>
          </w:p>
        </w:tc>
        <w:tc>
          <w:tcPr>
            <w:tcW w:w="788" w:type="dxa"/>
            <w:vAlign w:val="top"/>
          </w:tcPr>
          <w:p w14:paraId="0ED817A6">
            <w:pPr>
              <w:spacing w:before="90" w:line="219" w:lineRule="auto"/>
              <w:ind w:left="343"/>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2072" w:type="dxa"/>
            <w:gridSpan w:val="3"/>
            <w:vAlign w:val="top"/>
          </w:tcPr>
          <w:p w14:paraId="508073E3">
            <w:pPr>
              <w:spacing w:before="93" w:line="187" w:lineRule="auto"/>
              <w:ind w:left="435"/>
              <w:rPr>
                <w:rFonts w:ascii="Times New Roman" w:hAnsi="Times New Roman" w:eastAsia="Times New Roman" w:cs="Times New Roman"/>
                <w:sz w:val="21"/>
                <w:szCs w:val="21"/>
              </w:rPr>
            </w:pPr>
            <w:r>
              <w:rPr>
                <w:rFonts w:ascii="Times New Roman" w:hAnsi="Times New Roman" w:eastAsia="Times New Roman" w:cs="Times New Roman"/>
                <w:sz w:val="21"/>
                <w:szCs w:val="21"/>
              </w:rPr>
              <w:t>V3-2D1Ya-J2</w:t>
            </w:r>
          </w:p>
        </w:tc>
        <w:tc>
          <w:tcPr>
            <w:tcW w:w="1986" w:type="dxa"/>
            <w:gridSpan w:val="2"/>
            <w:vAlign w:val="top"/>
          </w:tcPr>
          <w:p w14:paraId="26839127">
            <w:pPr>
              <w:pStyle w:val="6"/>
              <w:spacing w:before="90" w:line="194" w:lineRule="auto"/>
              <w:ind w:left="471"/>
              <w:rPr>
                <w:rFonts w:ascii="Times New Roman" w:hAnsi="Times New Roman" w:eastAsia="Times New Roman" w:cs="Times New Roman"/>
              </w:rPr>
            </w:pPr>
            <w:r>
              <w:rPr>
                <w:rFonts w:ascii="Times New Roman" w:hAnsi="Times New Roman" w:eastAsia="Times New Roman" w:cs="Times New Roman"/>
                <w:spacing w:val="-6"/>
              </w:rPr>
              <w:t>5.2</w:t>
            </w:r>
            <w:r>
              <w:rPr>
                <w:rFonts w:ascii="Times New Roman" w:hAnsi="Times New Roman" w:eastAsia="Times New Roman" w:cs="Times New Roman"/>
                <w:spacing w:val="-26"/>
              </w:rPr>
              <w:t xml:space="preserve"> </w:t>
            </w:r>
            <w:r>
              <w:rPr>
                <w:spacing w:val="-6"/>
              </w:rPr>
              <w:t>，</w:t>
            </w:r>
            <w:r>
              <w:rPr>
                <w:rFonts w:ascii="Times New Roman" w:hAnsi="Times New Roman" w:eastAsia="Times New Roman" w:cs="Times New Roman"/>
                <w:spacing w:val="-6"/>
              </w:rPr>
              <w:t>0</w:t>
            </w:r>
            <w:r>
              <w:rPr>
                <w:rFonts w:ascii="Times New Roman" w:hAnsi="Times New Roman" w:eastAsia="Times New Roman" w:cs="Times New Roman"/>
                <w:spacing w:val="-29"/>
              </w:rPr>
              <w:t xml:space="preserve"> </w:t>
            </w:r>
            <w:r>
              <w:rPr>
                <w:spacing w:val="-6"/>
              </w:rPr>
              <w:t>，</w:t>
            </w:r>
            <w:r>
              <w:rPr>
                <w:rFonts w:ascii="Times New Roman" w:hAnsi="Times New Roman" w:eastAsia="Times New Roman" w:cs="Times New Roman"/>
                <w:spacing w:val="-6"/>
              </w:rPr>
              <w:t>5.2</w:t>
            </w:r>
          </w:p>
        </w:tc>
        <w:tc>
          <w:tcPr>
            <w:tcW w:w="1844" w:type="dxa"/>
            <w:gridSpan w:val="2"/>
            <w:vAlign w:val="top"/>
          </w:tcPr>
          <w:p w14:paraId="0C8EDE53">
            <w:pPr>
              <w:pStyle w:val="6"/>
              <w:spacing w:before="55" w:line="224" w:lineRule="auto"/>
              <w:ind w:left="490"/>
            </w:pPr>
            <w:r>
              <w:rPr>
                <w:rFonts w:ascii="Times New Roman" w:hAnsi="Times New Roman" w:eastAsia="Times New Roman" w:cs="Times New Roman"/>
                <w:spacing w:val="-9"/>
              </w:rPr>
              <w:t>D</w:t>
            </w:r>
            <w:r>
              <w:rPr>
                <w:rFonts w:ascii="Times New Roman" w:hAnsi="Times New Roman" w:eastAsia="Times New Roman" w:cs="Times New Roman"/>
                <w:spacing w:val="28"/>
                <w:w w:val="101"/>
              </w:rPr>
              <w:t xml:space="preserve"> </w:t>
            </w:r>
            <w:r>
              <w:rPr>
                <w:spacing w:val="-9"/>
              </w:rPr>
              <w:t>回</w:t>
            </w:r>
            <w:r>
              <w:rPr>
                <w:spacing w:val="-47"/>
              </w:rPr>
              <w:t xml:space="preserve"> </w:t>
            </w:r>
            <w:r>
              <w:rPr>
                <w:rFonts w:ascii="Times New Roman" w:hAnsi="Times New Roman" w:eastAsia="Times New Roman" w:cs="Times New Roman"/>
                <w:spacing w:val="-9"/>
              </w:rPr>
              <w:t>E</w:t>
            </w:r>
            <w:r>
              <w:rPr>
                <w:rFonts w:ascii="Times New Roman" w:hAnsi="Times New Roman" w:eastAsia="Times New Roman" w:cs="Times New Roman"/>
                <w:spacing w:val="27"/>
              </w:rPr>
              <w:t xml:space="preserve"> </w:t>
            </w:r>
            <w:r>
              <w:rPr>
                <w:spacing w:val="-9"/>
              </w:rPr>
              <w:t>回</w:t>
            </w:r>
          </w:p>
        </w:tc>
        <w:tc>
          <w:tcPr>
            <w:tcW w:w="1600" w:type="dxa"/>
            <w:vAlign w:val="top"/>
          </w:tcPr>
          <w:p w14:paraId="2249B5EE">
            <w:pPr>
              <w:pStyle w:val="6"/>
              <w:spacing w:before="55" w:line="220" w:lineRule="auto"/>
              <w:ind w:left="381"/>
            </w:pPr>
            <w:r>
              <w:rPr>
                <w:spacing w:val="-2"/>
              </w:rPr>
              <w:t>单回三角</w:t>
            </w:r>
          </w:p>
        </w:tc>
        <w:tc>
          <w:tcPr>
            <w:tcW w:w="108" w:type="dxa"/>
            <w:vMerge w:val="continue"/>
            <w:tcBorders>
              <w:top w:val="nil"/>
              <w:bottom w:val="nil"/>
            </w:tcBorders>
            <w:vAlign w:val="top"/>
          </w:tcPr>
          <w:p w14:paraId="6332B8E4">
            <w:pPr>
              <w:rPr>
                <w:rFonts w:ascii="Arial"/>
                <w:sz w:val="21"/>
              </w:rPr>
            </w:pPr>
          </w:p>
        </w:tc>
      </w:tr>
      <w:tr w14:paraId="077F18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30A41521">
            <w:pPr>
              <w:rPr>
                <w:rFonts w:ascii="Arial"/>
                <w:sz w:val="21"/>
              </w:rPr>
            </w:pPr>
          </w:p>
        </w:tc>
        <w:tc>
          <w:tcPr>
            <w:tcW w:w="109" w:type="dxa"/>
            <w:tcBorders>
              <w:top w:val="nil"/>
              <w:bottom w:val="nil"/>
            </w:tcBorders>
            <w:vAlign w:val="top"/>
          </w:tcPr>
          <w:p w14:paraId="33A3F394">
            <w:pPr>
              <w:rPr>
                <w:rFonts w:ascii="Arial"/>
                <w:sz w:val="21"/>
              </w:rPr>
            </w:pPr>
          </w:p>
        </w:tc>
        <w:tc>
          <w:tcPr>
            <w:tcW w:w="788" w:type="dxa"/>
            <w:vAlign w:val="top"/>
          </w:tcPr>
          <w:p w14:paraId="22B00225">
            <w:pPr>
              <w:spacing w:before="90" w:line="219" w:lineRule="auto"/>
              <w:ind w:left="30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2072" w:type="dxa"/>
            <w:gridSpan w:val="3"/>
            <w:vAlign w:val="top"/>
          </w:tcPr>
          <w:p w14:paraId="0178D977">
            <w:pPr>
              <w:spacing w:before="94" w:line="187" w:lineRule="auto"/>
              <w:ind w:left="435"/>
              <w:rPr>
                <w:rFonts w:ascii="Times New Roman" w:hAnsi="Times New Roman" w:eastAsia="Times New Roman" w:cs="Times New Roman"/>
                <w:sz w:val="21"/>
                <w:szCs w:val="21"/>
              </w:rPr>
            </w:pPr>
            <w:r>
              <w:rPr>
                <w:rFonts w:ascii="Times New Roman" w:hAnsi="Times New Roman" w:eastAsia="Times New Roman" w:cs="Times New Roman"/>
                <w:sz w:val="21"/>
                <w:szCs w:val="21"/>
              </w:rPr>
              <w:t>V3-2D1Ya-J3</w:t>
            </w:r>
          </w:p>
        </w:tc>
        <w:tc>
          <w:tcPr>
            <w:tcW w:w="1986" w:type="dxa"/>
            <w:gridSpan w:val="2"/>
            <w:vAlign w:val="top"/>
          </w:tcPr>
          <w:p w14:paraId="2F69CE1F">
            <w:pPr>
              <w:pStyle w:val="6"/>
              <w:spacing w:before="90" w:line="194" w:lineRule="auto"/>
              <w:ind w:left="550"/>
              <w:rPr>
                <w:rFonts w:ascii="Times New Roman" w:hAnsi="Times New Roman" w:eastAsia="Times New Roman" w:cs="Times New Roman"/>
              </w:rPr>
            </w:pPr>
            <w:r>
              <w:rPr>
                <w:rFonts w:ascii="Times New Roman" w:hAnsi="Times New Roman" w:eastAsia="Times New Roman" w:cs="Times New Roman"/>
                <w:spacing w:val="-7"/>
              </w:rPr>
              <w:t>5.5</w:t>
            </w:r>
            <w:r>
              <w:rPr>
                <w:rFonts w:ascii="Times New Roman" w:hAnsi="Times New Roman" w:eastAsia="Times New Roman" w:cs="Times New Roman"/>
                <w:spacing w:val="-26"/>
              </w:rPr>
              <w:t xml:space="preserve"> </w:t>
            </w:r>
            <w:r>
              <w:rPr>
                <w:spacing w:val="-7"/>
              </w:rPr>
              <w:t>，</w:t>
            </w:r>
            <w:r>
              <w:rPr>
                <w:rFonts w:ascii="Times New Roman" w:hAnsi="Times New Roman" w:eastAsia="Times New Roman" w:cs="Times New Roman"/>
                <w:spacing w:val="-7"/>
              </w:rPr>
              <w:t>0</w:t>
            </w:r>
            <w:r>
              <w:rPr>
                <w:rFonts w:ascii="Times New Roman" w:hAnsi="Times New Roman" w:eastAsia="Times New Roman" w:cs="Times New Roman"/>
                <w:spacing w:val="-29"/>
              </w:rPr>
              <w:t xml:space="preserve"> </w:t>
            </w:r>
            <w:r>
              <w:rPr>
                <w:spacing w:val="-7"/>
              </w:rPr>
              <w:t>，</w:t>
            </w:r>
            <w:r>
              <w:rPr>
                <w:rFonts w:ascii="Times New Roman" w:hAnsi="Times New Roman" w:eastAsia="Times New Roman" w:cs="Times New Roman"/>
                <w:spacing w:val="-7"/>
              </w:rPr>
              <w:t>5</w:t>
            </w:r>
          </w:p>
        </w:tc>
        <w:tc>
          <w:tcPr>
            <w:tcW w:w="1844" w:type="dxa"/>
            <w:gridSpan w:val="2"/>
            <w:vAlign w:val="top"/>
          </w:tcPr>
          <w:p w14:paraId="16E8EEC2">
            <w:pPr>
              <w:pStyle w:val="6"/>
              <w:spacing w:before="55" w:line="224" w:lineRule="auto"/>
              <w:ind w:left="490"/>
            </w:pPr>
            <w:r>
              <w:rPr>
                <w:rFonts w:ascii="Times New Roman" w:hAnsi="Times New Roman" w:eastAsia="Times New Roman" w:cs="Times New Roman"/>
                <w:spacing w:val="-9"/>
              </w:rPr>
              <w:t>D</w:t>
            </w:r>
            <w:r>
              <w:rPr>
                <w:rFonts w:ascii="Times New Roman" w:hAnsi="Times New Roman" w:eastAsia="Times New Roman" w:cs="Times New Roman"/>
                <w:spacing w:val="28"/>
                <w:w w:val="101"/>
              </w:rPr>
              <w:t xml:space="preserve"> </w:t>
            </w:r>
            <w:r>
              <w:rPr>
                <w:spacing w:val="-9"/>
              </w:rPr>
              <w:t>回</w:t>
            </w:r>
            <w:r>
              <w:rPr>
                <w:spacing w:val="-47"/>
              </w:rPr>
              <w:t xml:space="preserve"> </w:t>
            </w:r>
            <w:r>
              <w:rPr>
                <w:rFonts w:ascii="Times New Roman" w:hAnsi="Times New Roman" w:eastAsia="Times New Roman" w:cs="Times New Roman"/>
                <w:spacing w:val="-9"/>
              </w:rPr>
              <w:t>E</w:t>
            </w:r>
            <w:r>
              <w:rPr>
                <w:rFonts w:ascii="Times New Roman" w:hAnsi="Times New Roman" w:eastAsia="Times New Roman" w:cs="Times New Roman"/>
                <w:spacing w:val="27"/>
              </w:rPr>
              <w:t xml:space="preserve"> </w:t>
            </w:r>
            <w:r>
              <w:rPr>
                <w:spacing w:val="-9"/>
              </w:rPr>
              <w:t>回</w:t>
            </w:r>
          </w:p>
        </w:tc>
        <w:tc>
          <w:tcPr>
            <w:tcW w:w="1600" w:type="dxa"/>
            <w:vAlign w:val="top"/>
          </w:tcPr>
          <w:p w14:paraId="69FF6B10">
            <w:pPr>
              <w:pStyle w:val="6"/>
              <w:spacing w:before="55" w:line="220" w:lineRule="auto"/>
              <w:ind w:left="381"/>
            </w:pPr>
            <w:r>
              <w:rPr>
                <w:spacing w:val="-2"/>
              </w:rPr>
              <w:t>单回三角</w:t>
            </w:r>
          </w:p>
        </w:tc>
        <w:tc>
          <w:tcPr>
            <w:tcW w:w="108" w:type="dxa"/>
            <w:vMerge w:val="continue"/>
            <w:tcBorders>
              <w:top w:val="nil"/>
              <w:bottom w:val="nil"/>
            </w:tcBorders>
            <w:vAlign w:val="top"/>
          </w:tcPr>
          <w:p w14:paraId="070A224F">
            <w:pPr>
              <w:rPr>
                <w:rFonts w:ascii="Arial"/>
                <w:sz w:val="21"/>
              </w:rPr>
            </w:pPr>
          </w:p>
        </w:tc>
      </w:tr>
      <w:tr w14:paraId="46A17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13165B14">
            <w:pPr>
              <w:rPr>
                <w:rFonts w:ascii="Arial"/>
                <w:sz w:val="21"/>
              </w:rPr>
            </w:pPr>
          </w:p>
        </w:tc>
        <w:tc>
          <w:tcPr>
            <w:tcW w:w="109" w:type="dxa"/>
            <w:tcBorders>
              <w:top w:val="nil"/>
              <w:bottom w:val="nil"/>
            </w:tcBorders>
            <w:vAlign w:val="top"/>
          </w:tcPr>
          <w:p w14:paraId="265BB43C">
            <w:pPr>
              <w:rPr>
                <w:rFonts w:ascii="Arial"/>
                <w:sz w:val="21"/>
              </w:rPr>
            </w:pPr>
          </w:p>
        </w:tc>
        <w:tc>
          <w:tcPr>
            <w:tcW w:w="788" w:type="dxa"/>
            <w:vAlign w:val="top"/>
          </w:tcPr>
          <w:p w14:paraId="50A5CDAC">
            <w:pPr>
              <w:spacing w:before="90" w:line="217" w:lineRule="auto"/>
              <w:ind w:left="30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11</w:t>
            </w:r>
          </w:p>
        </w:tc>
        <w:tc>
          <w:tcPr>
            <w:tcW w:w="2072" w:type="dxa"/>
            <w:gridSpan w:val="3"/>
            <w:vAlign w:val="top"/>
          </w:tcPr>
          <w:p w14:paraId="176412C6">
            <w:pPr>
              <w:spacing w:before="94" w:line="187" w:lineRule="auto"/>
              <w:ind w:left="435"/>
              <w:rPr>
                <w:rFonts w:ascii="Times New Roman" w:hAnsi="Times New Roman" w:eastAsia="Times New Roman" w:cs="Times New Roman"/>
                <w:sz w:val="21"/>
                <w:szCs w:val="21"/>
              </w:rPr>
            </w:pPr>
            <w:r>
              <w:rPr>
                <w:rFonts w:ascii="Times New Roman" w:hAnsi="Times New Roman" w:eastAsia="Times New Roman" w:cs="Times New Roman"/>
                <w:sz w:val="21"/>
                <w:szCs w:val="21"/>
              </w:rPr>
              <w:t>V3-2D1Ya-J4</w:t>
            </w:r>
          </w:p>
        </w:tc>
        <w:tc>
          <w:tcPr>
            <w:tcW w:w="1986" w:type="dxa"/>
            <w:gridSpan w:val="2"/>
            <w:vAlign w:val="top"/>
          </w:tcPr>
          <w:p w14:paraId="19212137">
            <w:pPr>
              <w:pStyle w:val="6"/>
              <w:spacing w:before="90" w:line="192" w:lineRule="auto"/>
              <w:ind w:left="629"/>
              <w:rPr>
                <w:rFonts w:ascii="Times New Roman" w:hAnsi="Times New Roman" w:eastAsia="Times New Roman" w:cs="Times New Roman"/>
              </w:rPr>
            </w:pPr>
            <w:r>
              <w:rPr>
                <w:rFonts w:ascii="Times New Roman" w:hAnsi="Times New Roman" w:eastAsia="Times New Roman" w:cs="Times New Roman"/>
                <w:spacing w:val="-10"/>
              </w:rPr>
              <w:t>6</w:t>
            </w:r>
            <w:r>
              <w:rPr>
                <w:rFonts w:ascii="Times New Roman" w:hAnsi="Times New Roman" w:eastAsia="Times New Roman" w:cs="Times New Roman"/>
                <w:spacing w:val="-27"/>
              </w:rPr>
              <w:t xml:space="preserve"> </w:t>
            </w:r>
            <w:r>
              <w:rPr>
                <w:spacing w:val="-10"/>
              </w:rPr>
              <w:t>，</w:t>
            </w:r>
            <w:r>
              <w:rPr>
                <w:rFonts w:ascii="Times New Roman" w:hAnsi="Times New Roman" w:eastAsia="Times New Roman" w:cs="Times New Roman"/>
                <w:spacing w:val="-10"/>
              </w:rPr>
              <w:t>0</w:t>
            </w:r>
            <w:r>
              <w:rPr>
                <w:rFonts w:ascii="Times New Roman" w:hAnsi="Times New Roman" w:eastAsia="Times New Roman" w:cs="Times New Roman"/>
                <w:spacing w:val="-27"/>
              </w:rPr>
              <w:t xml:space="preserve"> </w:t>
            </w:r>
            <w:r>
              <w:rPr>
                <w:spacing w:val="-10"/>
              </w:rPr>
              <w:t>，</w:t>
            </w:r>
            <w:r>
              <w:rPr>
                <w:rFonts w:ascii="Times New Roman" w:hAnsi="Times New Roman" w:eastAsia="Times New Roman" w:cs="Times New Roman"/>
                <w:spacing w:val="-10"/>
              </w:rPr>
              <w:t>5</w:t>
            </w:r>
          </w:p>
        </w:tc>
        <w:tc>
          <w:tcPr>
            <w:tcW w:w="1844" w:type="dxa"/>
            <w:gridSpan w:val="2"/>
            <w:vAlign w:val="top"/>
          </w:tcPr>
          <w:p w14:paraId="2DD2837F">
            <w:pPr>
              <w:pStyle w:val="6"/>
              <w:spacing w:before="56" w:line="222" w:lineRule="auto"/>
              <w:ind w:left="711"/>
            </w:pPr>
            <w:r>
              <w:rPr>
                <w:rFonts w:ascii="Times New Roman" w:hAnsi="Times New Roman" w:eastAsia="Times New Roman" w:cs="Times New Roman"/>
                <w:spacing w:val="-2"/>
              </w:rPr>
              <w:t>D</w:t>
            </w:r>
            <w:r>
              <w:rPr>
                <w:rFonts w:ascii="Times New Roman" w:hAnsi="Times New Roman" w:eastAsia="Times New Roman" w:cs="Times New Roman"/>
                <w:spacing w:val="30"/>
                <w:w w:val="101"/>
              </w:rPr>
              <w:t xml:space="preserve"> </w:t>
            </w:r>
            <w:r>
              <w:rPr>
                <w:spacing w:val="-2"/>
              </w:rPr>
              <w:t>回</w:t>
            </w:r>
          </w:p>
        </w:tc>
        <w:tc>
          <w:tcPr>
            <w:tcW w:w="1600" w:type="dxa"/>
            <w:vAlign w:val="top"/>
          </w:tcPr>
          <w:p w14:paraId="39EA1530">
            <w:pPr>
              <w:pStyle w:val="6"/>
              <w:spacing w:before="55" w:line="220" w:lineRule="auto"/>
              <w:ind w:left="381"/>
            </w:pPr>
            <w:r>
              <w:rPr>
                <w:spacing w:val="-2"/>
              </w:rPr>
              <w:t>单回三角</w:t>
            </w:r>
          </w:p>
        </w:tc>
        <w:tc>
          <w:tcPr>
            <w:tcW w:w="108" w:type="dxa"/>
            <w:vMerge w:val="continue"/>
            <w:tcBorders>
              <w:top w:val="nil"/>
              <w:bottom w:val="nil"/>
            </w:tcBorders>
            <w:vAlign w:val="top"/>
          </w:tcPr>
          <w:p w14:paraId="37FEAFA1">
            <w:pPr>
              <w:rPr>
                <w:rFonts w:ascii="Arial"/>
                <w:sz w:val="21"/>
              </w:rPr>
            </w:pPr>
          </w:p>
        </w:tc>
      </w:tr>
      <w:tr w14:paraId="6D28AC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2E7F467">
            <w:pPr>
              <w:rPr>
                <w:rFonts w:ascii="Arial"/>
                <w:sz w:val="21"/>
              </w:rPr>
            </w:pPr>
          </w:p>
        </w:tc>
        <w:tc>
          <w:tcPr>
            <w:tcW w:w="109" w:type="dxa"/>
            <w:tcBorders>
              <w:top w:val="nil"/>
              <w:bottom w:val="nil"/>
            </w:tcBorders>
            <w:vAlign w:val="top"/>
          </w:tcPr>
          <w:p w14:paraId="475A7D44">
            <w:pPr>
              <w:rPr>
                <w:rFonts w:ascii="Arial"/>
                <w:sz w:val="21"/>
              </w:rPr>
            </w:pPr>
          </w:p>
        </w:tc>
        <w:tc>
          <w:tcPr>
            <w:tcW w:w="788" w:type="dxa"/>
            <w:vAlign w:val="top"/>
          </w:tcPr>
          <w:p w14:paraId="58ABBFF1">
            <w:pPr>
              <w:spacing w:before="93" w:line="216" w:lineRule="auto"/>
              <w:ind w:left="30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c>
          <w:tcPr>
            <w:tcW w:w="2072" w:type="dxa"/>
            <w:gridSpan w:val="3"/>
            <w:vAlign w:val="top"/>
          </w:tcPr>
          <w:p w14:paraId="05E0904D">
            <w:pPr>
              <w:spacing w:before="96" w:line="187" w:lineRule="auto"/>
              <w:ind w:left="413"/>
              <w:rPr>
                <w:rFonts w:ascii="Times New Roman" w:hAnsi="Times New Roman" w:eastAsia="Times New Roman" w:cs="Times New Roman"/>
                <w:sz w:val="21"/>
                <w:szCs w:val="21"/>
              </w:rPr>
            </w:pPr>
            <w:r>
              <w:rPr>
                <w:rFonts w:ascii="Times New Roman" w:hAnsi="Times New Roman" w:eastAsia="Times New Roman" w:cs="Times New Roman"/>
                <w:sz w:val="21"/>
                <w:szCs w:val="21"/>
              </w:rPr>
              <w:t>V3-2D1Ya-Z1</w:t>
            </w:r>
          </w:p>
        </w:tc>
        <w:tc>
          <w:tcPr>
            <w:tcW w:w="1986" w:type="dxa"/>
            <w:gridSpan w:val="2"/>
            <w:vAlign w:val="top"/>
          </w:tcPr>
          <w:p w14:paraId="3963B068">
            <w:pPr>
              <w:pStyle w:val="6"/>
              <w:spacing w:before="93" w:line="191" w:lineRule="auto"/>
              <w:ind w:left="361"/>
              <w:rPr>
                <w:rFonts w:ascii="Times New Roman" w:hAnsi="Times New Roman" w:eastAsia="Times New Roman" w:cs="Times New Roman"/>
              </w:rPr>
            </w:pPr>
            <w:r>
              <w:rPr>
                <w:rFonts w:ascii="Times New Roman" w:hAnsi="Times New Roman" w:eastAsia="Times New Roman" w:cs="Times New Roman"/>
                <w:spacing w:val="-5"/>
              </w:rPr>
              <w:t>4.65</w:t>
            </w:r>
            <w:r>
              <w:rPr>
                <w:rFonts w:ascii="Times New Roman" w:hAnsi="Times New Roman" w:eastAsia="Times New Roman" w:cs="Times New Roman"/>
                <w:spacing w:val="-24"/>
              </w:rPr>
              <w:t xml:space="preserve"> </w:t>
            </w:r>
            <w:r>
              <w:rPr>
                <w:spacing w:val="-5"/>
              </w:rPr>
              <w:t>，</w:t>
            </w:r>
            <w:r>
              <w:rPr>
                <w:rFonts w:ascii="Times New Roman" w:hAnsi="Times New Roman" w:eastAsia="Times New Roman" w:cs="Times New Roman"/>
                <w:spacing w:val="-5"/>
              </w:rPr>
              <w:t>0</w:t>
            </w:r>
            <w:r>
              <w:rPr>
                <w:rFonts w:ascii="Times New Roman" w:hAnsi="Times New Roman" w:eastAsia="Times New Roman" w:cs="Times New Roman"/>
                <w:spacing w:val="-27"/>
              </w:rPr>
              <w:t xml:space="preserve"> </w:t>
            </w:r>
            <w:r>
              <w:rPr>
                <w:spacing w:val="-5"/>
              </w:rPr>
              <w:t>，</w:t>
            </w:r>
            <w:r>
              <w:rPr>
                <w:rFonts w:ascii="Times New Roman" w:hAnsi="Times New Roman" w:eastAsia="Times New Roman" w:cs="Times New Roman"/>
                <w:spacing w:val="-5"/>
              </w:rPr>
              <w:t>4.65</w:t>
            </w:r>
          </w:p>
        </w:tc>
        <w:tc>
          <w:tcPr>
            <w:tcW w:w="1844" w:type="dxa"/>
            <w:gridSpan w:val="2"/>
            <w:vAlign w:val="top"/>
          </w:tcPr>
          <w:p w14:paraId="23A307C3">
            <w:pPr>
              <w:pStyle w:val="6"/>
              <w:spacing w:before="58" w:line="222" w:lineRule="auto"/>
              <w:ind w:left="490"/>
            </w:pPr>
            <w:r>
              <w:rPr>
                <w:rFonts w:ascii="Times New Roman" w:hAnsi="Times New Roman" w:eastAsia="Times New Roman" w:cs="Times New Roman"/>
                <w:spacing w:val="-9"/>
              </w:rPr>
              <w:t>D</w:t>
            </w:r>
            <w:r>
              <w:rPr>
                <w:rFonts w:ascii="Times New Roman" w:hAnsi="Times New Roman" w:eastAsia="Times New Roman" w:cs="Times New Roman"/>
                <w:spacing w:val="28"/>
                <w:w w:val="101"/>
              </w:rPr>
              <w:t xml:space="preserve"> </w:t>
            </w:r>
            <w:r>
              <w:rPr>
                <w:spacing w:val="-9"/>
              </w:rPr>
              <w:t>回</w:t>
            </w:r>
            <w:r>
              <w:rPr>
                <w:spacing w:val="-47"/>
              </w:rPr>
              <w:t xml:space="preserve"> </w:t>
            </w:r>
            <w:r>
              <w:rPr>
                <w:rFonts w:ascii="Times New Roman" w:hAnsi="Times New Roman" w:eastAsia="Times New Roman" w:cs="Times New Roman"/>
                <w:spacing w:val="-9"/>
              </w:rPr>
              <w:t>E</w:t>
            </w:r>
            <w:r>
              <w:rPr>
                <w:rFonts w:ascii="Times New Roman" w:hAnsi="Times New Roman" w:eastAsia="Times New Roman" w:cs="Times New Roman"/>
                <w:spacing w:val="27"/>
              </w:rPr>
              <w:t xml:space="preserve"> </w:t>
            </w:r>
            <w:r>
              <w:rPr>
                <w:spacing w:val="-9"/>
              </w:rPr>
              <w:t>回</w:t>
            </w:r>
          </w:p>
        </w:tc>
        <w:tc>
          <w:tcPr>
            <w:tcW w:w="1600" w:type="dxa"/>
            <w:vAlign w:val="top"/>
          </w:tcPr>
          <w:p w14:paraId="65E68C3C">
            <w:pPr>
              <w:pStyle w:val="6"/>
              <w:spacing w:before="58" w:line="220" w:lineRule="auto"/>
              <w:ind w:left="381"/>
            </w:pPr>
            <w:r>
              <w:rPr>
                <w:spacing w:val="-2"/>
              </w:rPr>
              <w:t>单回三角</w:t>
            </w:r>
          </w:p>
        </w:tc>
        <w:tc>
          <w:tcPr>
            <w:tcW w:w="108" w:type="dxa"/>
            <w:vMerge w:val="continue"/>
            <w:tcBorders>
              <w:top w:val="nil"/>
              <w:bottom w:val="nil"/>
            </w:tcBorders>
            <w:vAlign w:val="top"/>
          </w:tcPr>
          <w:p w14:paraId="42920DC5">
            <w:pPr>
              <w:rPr>
                <w:rFonts w:ascii="Arial"/>
                <w:sz w:val="21"/>
              </w:rPr>
            </w:pPr>
          </w:p>
        </w:tc>
      </w:tr>
      <w:tr w14:paraId="4F5EC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538A82E">
            <w:pPr>
              <w:rPr>
                <w:rFonts w:ascii="Arial"/>
                <w:sz w:val="21"/>
              </w:rPr>
            </w:pPr>
          </w:p>
        </w:tc>
        <w:tc>
          <w:tcPr>
            <w:tcW w:w="109" w:type="dxa"/>
            <w:tcBorders>
              <w:top w:val="nil"/>
              <w:bottom w:val="nil"/>
            </w:tcBorders>
            <w:vAlign w:val="top"/>
          </w:tcPr>
          <w:p w14:paraId="359B1CE6">
            <w:pPr>
              <w:rPr>
                <w:rFonts w:ascii="Arial"/>
                <w:sz w:val="21"/>
              </w:rPr>
            </w:pPr>
          </w:p>
        </w:tc>
        <w:tc>
          <w:tcPr>
            <w:tcW w:w="788" w:type="dxa"/>
            <w:vAlign w:val="top"/>
          </w:tcPr>
          <w:p w14:paraId="74B7013A">
            <w:pPr>
              <w:spacing w:before="91" w:line="218" w:lineRule="auto"/>
              <w:ind w:left="30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13</w:t>
            </w:r>
          </w:p>
        </w:tc>
        <w:tc>
          <w:tcPr>
            <w:tcW w:w="2072" w:type="dxa"/>
            <w:gridSpan w:val="3"/>
            <w:vAlign w:val="top"/>
          </w:tcPr>
          <w:p w14:paraId="58F52143">
            <w:pPr>
              <w:spacing w:before="94" w:line="187" w:lineRule="auto"/>
              <w:ind w:left="413"/>
              <w:rPr>
                <w:rFonts w:ascii="Times New Roman" w:hAnsi="Times New Roman" w:eastAsia="Times New Roman" w:cs="Times New Roman"/>
                <w:sz w:val="21"/>
                <w:szCs w:val="21"/>
              </w:rPr>
            </w:pPr>
            <w:r>
              <w:rPr>
                <w:rFonts w:ascii="Times New Roman" w:hAnsi="Times New Roman" w:eastAsia="Times New Roman" w:cs="Times New Roman"/>
                <w:sz w:val="21"/>
                <w:szCs w:val="21"/>
              </w:rPr>
              <w:t>V3-2D1Ya-Z2</w:t>
            </w:r>
          </w:p>
        </w:tc>
        <w:tc>
          <w:tcPr>
            <w:tcW w:w="1986" w:type="dxa"/>
            <w:gridSpan w:val="2"/>
            <w:vAlign w:val="top"/>
          </w:tcPr>
          <w:p w14:paraId="25C85158">
            <w:pPr>
              <w:pStyle w:val="6"/>
              <w:spacing w:before="91" w:line="193" w:lineRule="auto"/>
              <w:ind w:left="361"/>
              <w:rPr>
                <w:rFonts w:ascii="Times New Roman" w:hAnsi="Times New Roman" w:eastAsia="Times New Roman" w:cs="Times New Roman"/>
              </w:rPr>
            </w:pPr>
            <w:r>
              <w:rPr>
                <w:rFonts w:ascii="Times New Roman" w:hAnsi="Times New Roman" w:eastAsia="Times New Roman" w:cs="Times New Roman"/>
                <w:spacing w:val="-5"/>
              </w:rPr>
              <w:t>4.95</w:t>
            </w:r>
            <w:r>
              <w:rPr>
                <w:rFonts w:ascii="Times New Roman" w:hAnsi="Times New Roman" w:eastAsia="Times New Roman" w:cs="Times New Roman"/>
                <w:spacing w:val="-24"/>
              </w:rPr>
              <w:t xml:space="preserve"> </w:t>
            </w:r>
            <w:r>
              <w:rPr>
                <w:spacing w:val="-5"/>
              </w:rPr>
              <w:t>，</w:t>
            </w:r>
            <w:r>
              <w:rPr>
                <w:rFonts w:ascii="Times New Roman" w:hAnsi="Times New Roman" w:eastAsia="Times New Roman" w:cs="Times New Roman"/>
                <w:spacing w:val="-5"/>
              </w:rPr>
              <w:t>0</w:t>
            </w:r>
            <w:r>
              <w:rPr>
                <w:rFonts w:ascii="Times New Roman" w:hAnsi="Times New Roman" w:eastAsia="Times New Roman" w:cs="Times New Roman"/>
                <w:spacing w:val="-27"/>
              </w:rPr>
              <w:t xml:space="preserve"> </w:t>
            </w:r>
            <w:r>
              <w:rPr>
                <w:spacing w:val="-5"/>
              </w:rPr>
              <w:t>，</w:t>
            </w:r>
            <w:r>
              <w:rPr>
                <w:rFonts w:ascii="Times New Roman" w:hAnsi="Times New Roman" w:eastAsia="Times New Roman" w:cs="Times New Roman"/>
                <w:spacing w:val="-5"/>
              </w:rPr>
              <w:t>4.95</w:t>
            </w:r>
          </w:p>
        </w:tc>
        <w:tc>
          <w:tcPr>
            <w:tcW w:w="1844" w:type="dxa"/>
            <w:gridSpan w:val="2"/>
            <w:vAlign w:val="top"/>
          </w:tcPr>
          <w:p w14:paraId="5DEE47C3">
            <w:pPr>
              <w:pStyle w:val="6"/>
              <w:spacing w:before="56" w:line="224" w:lineRule="auto"/>
              <w:ind w:left="724"/>
            </w:pPr>
            <w:r>
              <w:rPr>
                <w:rFonts w:ascii="Times New Roman" w:hAnsi="Times New Roman" w:eastAsia="Times New Roman" w:cs="Times New Roman"/>
                <w:spacing w:val="-2"/>
              </w:rPr>
              <w:t>E</w:t>
            </w:r>
            <w:r>
              <w:rPr>
                <w:rFonts w:ascii="Times New Roman" w:hAnsi="Times New Roman" w:eastAsia="Times New Roman" w:cs="Times New Roman"/>
                <w:spacing w:val="29"/>
                <w:w w:val="101"/>
              </w:rPr>
              <w:t xml:space="preserve"> </w:t>
            </w:r>
            <w:r>
              <w:rPr>
                <w:spacing w:val="-2"/>
              </w:rPr>
              <w:t>回</w:t>
            </w:r>
          </w:p>
        </w:tc>
        <w:tc>
          <w:tcPr>
            <w:tcW w:w="1600" w:type="dxa"/>
            <w:vAlign w:val="top"/>
          </w:tcPr>
          <w:p w14:paraId="24C2ED74">
            <w:pPr>
              <w:pStyle w:val="6"/>
              <w:spacing w:before="56" w:line="220" w:lineRule="auto"/>
              <w:ind w:left="381"/>
            </w:pPr>
            <w:r>
              <w:rPr>
                <w:spacing w:val="-2"/>
              </w:rPr>
              <w:t>单回三角</w:t>
            </w:r>
          </w:p>
        </w:tc>
        <w:tc>
          <w:tcPr>
            <w:tcW w:w="108" w:type="dxa"/>
            <w:vMerge w:val="continue"/>
            <w:tcBorders>
              <w:top w:val="nil"/>
              <w:bottom w:val="nil"/>
            </w:tcBorders>
            <w:vAlign w:val="top"/>
          </w:tcPr>
          <w:p w14:paraId="258851D7">
            <w:pPr>
              <w:rPr>
                <w:rFonts w:ascii="Arial"/>
                <w:sz w:val="21"/>
              </w:rPr>
            </w:pPr>
          </w:p>
        </w:tc>
      </w:tr>
      <w:tr w14:paraId="65B9A0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040F594">
            <w:pPr>
              <w:rPr>
                <w:rFonts w:ascii="Arial"/>
                <w:sz w:val="21"/>
              </w:rPr>
            </w:pPr>
          </w:p>
        </w:tc>
        <w:tc>
          <w:tcPr>
            <w:tcW w:w="109" w:type="dxa"/>
            <w:tcBorders>
              <w:top w:val="nil"/>
              <w:bottom w:val="nil"/>
            </w:tcBorders>
            <w:vAlign w:val="top"/>
          </w:tcPr>
          <w:p w14:paraId="542E3024">
            <w:pPr>
              <w:rPr>
                <w:rFonts w:ascii="Arial"/>
                <w:sz w:val="21"/>
              </w:rPr>
            </w:pPr>
          </w:p>
        </w:tc>
        <w:tc>
          <w:tcPr>
            <w:tcW w:w="788" w:type="dxa"/>
            <w:vAlign w:val="top"/>
          </w:tcPr>
          <w:p w14:paraId="2DDAD608">
            <w:pPr>
              <w:spacing w:before="91" w:line="218" w:lineRule="auto"/>
              <w:ind w:left="30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tc>
        <w:tc>
          <w:tcPr>
            <w:tcW w:w="2072" w:type="dxa"/>
            <w:gridSpan w:val="3"/>
            <w:vAlign w:val="top"/>
          </w:tcPr>
          <w:p w14:paraId="63E5E9E5">
            <w:pPr>
              <w:spacing w:before="95" w:line="187" w:lineRule="auto"/>
              <w:ind w:left="413"/>
              <w:rPr>
                <w:rFonts w:ascii="Times New Roman" w:hAnsi="Times New Roman" w:eastAsia="Times New Roman" w:cs="Times New Roman"/>
                <w:sz w:val="21"/>
                <w:szCs w:val="21"/>
              </w:rPr>
            </w:pPr>
            <w:r>
              <w:rPr>
                <w:rFonts w:ascii="Times New Roman" w:hAnsi="Times New Roman" w:eastAsia="Times New Roman" w:cs="Times New Roman"/>
                <w:sz w:val="21"/>
                <w:szCs w:val="21"/>
              </w:rPr>
              <w:t>V3-2D1Ya-Z3</w:t>
            </w:r>
          </w:p>
        </w:tc>
        <w:tc>
          <w:tcPr>
            <w:tcW w:w="1986" w:type="dxa"/>
            <w:gridSpan w:val="2"/>
            <w:vAlign w:val="top"/>
          </w:tcPr>
          <w:p w14:paraId="798DCAFF">
            <w:pPr>
              <w:pStyle w:val="6"/>
              <w:spacing w:before="91" w:line="193" w:lineRule="auto"/>
              <w:ind w:left="471"/>
              <w:rPr>
                <w:rFonts w:ascii="Times New Roman" w:hAnsi="Times New Roman" w:eastAsia="Times New Roman" w:cs="Times New Roman"/>
              </w:rPr>
            </w:pPr>
            <w:r>
              <w:rPr>
                <w:rFonts w:ascii="Times New Roman" w:hAnsi="Times New Roman" w:eastAsia="Times New Roman" w:cs="Times New Roman"/>
                <w:spacing w:val="-6"/>
              </w:rPr>
              <w:t>5.2</w:t>
            </w:r>
            <w:r>
              <w:rPr>
                <w:rFonts w:ascii="Times New Roman" w:hAnsi="Times New Roman" w:eastAsia="Times New Roman" w:cs="Times New Roman"/>
                <w:spacing w:val="-26"/>
              </w:rPr>
              <w:t xml:space="preserve"> </w:t>
            </w:r>
            <w:r>
              <w:rPr>
                <w:spacing w:val="-6"/>
              </w:rPr>
              <w:t>，</w:t>
            </w:r>
            <w:r>
              <w:rPr>
                <w:rFonts w:ascii="Times New Roman" w:hAnsi="Times New Roman" w:eastAsia="Times New Roman" w:cs="Times New Roman"/>
                <w:spacing w:val="-6"/>
              </w:rPr>
              <w:t>0</w:t>
            </w:r>
            <w:r>
              <w:rPr>
                <w:rFonts w:ascii="Times New Roman" w:hAnsi="Times New Roman" w:eastAsia="Times New Roman" w:cs="Times New Roman"/>
                <w:spacing w:val="-29"/>
              </w:rPr>
              <w:t xml:space="preserve"> </w:t>
            </w:r>
            <w:r>
              <w:rPr>
                <w:spacing w:val="-6"/>
              </w:rPr>
              <w:t>，</w:t>
            </w:r>
            <w:r>
              <w:rPr>
                <w:rFonts w:ascii="Times New Roman" w:hAnsi="Times New Roman" w:eastAsia="Times New Roman" w:cs="Times New Roman"/>
                <w:spacing w:val="-6"/>
              </w:rPr>
              <w:t>5.2</w:t>
            </w:r>
          </w:p>
        </w:tc>
        <w:tc>
          <w:tcPr>
            <w:tcW w:w="1844" w:type="dxa"/>
            <w:gridSpan w:val="2"/>
            <w:vAlign w:val="top"/>
          </w:tcPr>
          <w:p w14:paraId="04AC8793">
            <w:pPr>
              <w:pStyle w:val="6"/>
              <w:spacing w:before="57" w:line="223" w:lineRule="auto"/>
              <w:ind w:left="490"/>
            </w:pPr>
            <w:r>
              <w:rPr>
                <w:rFonts w:ascii="Times New Roman" w:hAnsi="Times New Roman" w:eastAsia="Times New Roman" w:cs="Times New Roman"/>
                <w:spacing w:val="-9"/>
              </w:rPr>
              <w:t>D</w:t>
            </w:r>
            <w:r>
              <w:rPr>
                <w:rFonts w:ascii="Times New Roman" w:hAnsi="Times New Roman" w:eastAsia="Times New Roman" w:cs="Times New Roman"/>
                <w:spacing w:val="28"/>
                <w:w w:val="101"/>
              </w:rPr>
              <w:t xml:space="preserve"> </w:t>
            </w:r>
            <w:r>
              <w:rPr>
                <w:spacing w:val="-9"/>
              </w:rPr>
              <w:t>回</w:t>
            </w:r>
            <w:r>
              <w:rPr>
                <w:spacing w:val="-47"/>
              </w:rPr>
              <w:t xml:space="preserve"> </w:t>
            </w:r>
            <w:r>
              <w:rPr>
                <w:rFonts w:ascii="Times New Roman" w:hAnsi="Times New Roman" w:eastAsia="Times New Roman" w:cs="Times New Roman"/>
                <w:spacing w:val="-9"/>
              </w:rPr>
              <w:t>E</w:t>
            </w:r>
            <w:r>
              <w:rPr>
                <w:rFonts w:ascii="Times New Roman" w:hAnsi="Times New Roman" w:eastAsia="Times New Roman" w:cs="Times New Roman"/>
                <w:spacing w:val="27"/>
              </w:rPr>
              <w:t xml:space="preserve"> </w:t>
            </w:r>
            <w:r>
              <w:rPr>
                <w:spacing w:val="-9"/>
              </w:rPr>
              <w:t>回</w:t>
            </w:r>
          </w:p>
        </w:tc>
        <w:tc>
          <w:tcPr>
            <w:tcW w:w="1600" w:type="dxa"/>
            <w:vAlign w:val="top"/>
          </w:tcPr>
          <w:p w14:paraId="262E2769">
            <w:pPr>
              <w:pStyle w:val="6"/>
              <w:spacing w:before="56" w:line="220" w:lineRule="auto"/>
              <w:ind w:left="381"/>
            </w:pPr>
            <w:r>
              <w:rPr>
                <w:spacing w:val="-2"/>
              </w:rPr>
              <w:t>单回三角</w:t>
            </w:r>
          </w:p>
        </w:tc>
        <w:tc>
          <w:tcPr>
            <w:tcW w:w="108" w:type="dxa"/>
            <w:vMerge w:val="continue"/>
            <w:tcBorders>
              <w:top w:val="nil"/>
              <w:bottom w:val="nil"/>
            </w:tcBorders>
            <w:vAlign w:val="top"/>
          </w:tcPr>
          <w:p w14:paraId="0082C48D">
            <w:pPr>
              <w:rPr>
                <w:rFonts w:ascii="Arial"/>
                <w:sz w:val="21"/>
              </w:rPr>
            </w:pPr>
          </w:p>
        </w:tc>
      </w:tr>
      <w:tr w14:paraId="41A70F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44539519">
            <w:pPr>
              <w:rPr>
                <w:rFonts w:ascii="Arial"/>
                <w:sz w:val="21"/>
              </w:rPr>
            </w:pPr>
          </w:p>
        </w:tc>
        <w:tc>
          <w:tcPr>
            <w:tcW w:w="109" w:type="dxa"/>
            <w:tcBorders>
              <w:top w:val="nil"/>
              <w:bottom w:val="nil"/>
            </w:tcBorders>
            <w:vAlign w:val="top"/>
          </w:tcPr>
          <w:p w14:paraId="082F15E4">
            <w:pPr>
              <w:rPr>
                <w:rFonts w:ascii="Arial"/>
                <w:sz w:val="21"/>
              </w:rPr>
            </w:pPr>
          </w:p>
        </w:tc>
        <w:tc>
          <w:tcPr>
            <w:tcW w:w="788" w:type="dxa"/>
            <w:tcBorders>
              <w:bottom w:val="single" w:color="000000" w:sz="4" w:space="0"/>
            </w:tcBorders>
            <w:vAlign w:val="top"/>
          </w:tcPr>
          <w:p w14:paraId="776C803F">
            <w:pPr>
              <w:spacing w:before="92" w:line="218" w:lineRule="auto"/>
              <w:ind w:left="30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2072" w:type="dxa"/>
            <w:gridSpan w:val="3"/>
            <w:tcBorders>
              <w:bottom w:val="single" w:color="000000" w:sz="4" w:space="0"/>
            </w:tcBorders>
            <w:vAlign w:val="top"/>
          </w:tcPr>
          <w:p w14:paraId="5C51CA5B">
            <w:pPr>
              <w:spacing w:before="95" w:line="187" w:lineRule="auto"/>
              <w:ind w:left="413"/>
              <w:rPr>
                <w:rFonts w:ascii="Times New Roman" w:hAnsi="Times New Roman" w:eastAsia="Times New Roman" w:cs="Times New Roman"/>
                <w:sz w:val="21"/>
                <w:szCs w:val="21"/>
              </w:rPr>
            </w:pPr>
            <w:r>
              <w:rPr>
                <w:rFonts w:ascii="Times New Roman" w:hAnsi="Times New Roman" w:eastAsia="Times New Roman" w:cs="Times New Roman"/>
                <w:sz w:val="21"/>
                <w:szCs w:val="21"/>
              </w:rPr>
              <w:t>V3-2D1Ya-Z4</w:t>
            </w:r>
          </w:p>
        </w:tc>
        <w:tc>
          <w:tcPr>
            <w:tcW w:w="1986" w:type="dxa"/>
            <w:gridSpan w:val="2"/>
            <w:tcBorders>
              <w:bottom w:val="single" w:color="000000" w:sz="4" w:space="0"/>
            </w:tcBorders>
            <w:vAlign w:val="top"/>
          </w:tcPr>
          <w:p w14:paraId="7CD82186">
            <w:pPr>
              <w:pStyle w:val="6"/>
              <w:spacing w:before="92" w:line="193" w:lineRule="auto"/>
              <w:ind w:left="471"/>
              <w:rPr>
                <w:rFonts w:ascii="Times New Roman" w:hAnsi="Times New Roman" w:eastAsia="Times New Roman" w:cs="Times New Roman"/>
              </w:rPr>
            </w:pPr>
            <w:r>
              <w:rPr>
                <w:rFonts w:ascii="Times New Roman" w:hAnsi="Times New Roman" w:eastAsia="Times New Roman" w:cs="Times New Roman"/>
                <w:spacing w:val="-6"/>
              </w:rPr>
              <w:t>5.2</w:t>
            </w:r>
            <w:r>
              <w:rPr>
                <w:rFonts w:ascii="Times New Roman" w:hAnsi="Times New Roman" w:eastAsia="Times New Roman" w:cs="Times New Roman"/>
                <w:spacing w:val="-26"/>
              </w:rPr>
              <w:t xml:space="preserve"> </w:t>
            </w:r>
            <w:r>
              <w:rPr>
                <w:spacing w:val="-6"/>
              </w:rPr>
              <w:t>，</w:t>
            </w:r>
            <w:r>
              <w:rPr>
                <w:rFonts w:ascii="Times New Roman" w:hAnsi="Times New Roman" w:eastAsia="Times New Roman" w:cs="Times New Roman"/>
                <w:spacing w:val="-6"/>
              </w:rPr>
              <w:t>0</w:t>
            </w:r>
            <w:r>
              <w:rPr>
                <w:rFonts w:ascii="Times New Roman" w:hAnsi="Times New Roman" w:eastAsia="Times New Roman" w:cs="Times New Roman"/>
                <w:spacing w:val="-29"/>
              </w:rPr>
              <w:t xml:space="preserve"> </w:t>
            </w:r>
            <w:r>
              <w:rPr>
                <w:spacing w:val="-6"/>
              </w:rPr>
              <w:t>，</w:t>
            </w:r>
            <w:r>
              <w:rPr>
                <w:rFonts w:ascii="Times New Roman" w:hAnsi="Times New Roman" w:eastAsia="Times New Roman" w:cs="Times New Roman"/>
                <w:spacing w:val="-6"/>
              </w:rPr>
              <w:t>5.2</w:t>
            </w:r>
          </w:p>
        </w:tc>
        <w:tc>
          <w:tcPr>
            <w:tcW w:w="1844" w:type="dxa"/>
            <w:gridSpan w:val="2"/>
            <w:tcBorders>
              <w:bottom w:val="single" w:color="000000" w:sz="4" w:space="0"/>
            </w:tcBorders>
            <w:vAlign w:val="top"/>
          </w:tcPr>
          <w:p w14:paraId="6A873D4C">
            <w:pPr>
              <w:pStyle w:val="6"/>
              <w:spacing w:before="57" w:line="224" w:lineRule="auto"/>
              <w:ind w:left="711"/>
            </w:pPr>
            <w:r>
              <w:rPr>
                <w:rFonts w:ascii="Times New Roman" w:hAnsi="Times New Roman" w:eastAsia="Times New Roman" w:cs="Times New Roman"/>
                <w:spacing w:val="-2"/>
              </w:rPr>
              <w:t>D</w:t>
            </w:r>
            <w:r>
              <w:rPr>
                <w:rFonts w:ascii="Times New Roman" w:hAnsi="Times New Roman" w:eastAsia="Times New Roman" w:cs="Times New Roman"/>
                <w:spacing w:val="30"/>
                <w:w w:val="101"/>
              </w:rPr>
              <w:t xml:space="preserve"> </w:t>
            </w:r>
            <w:r>
              <w:rPr>
                <w:spacing w:val="-2"/>
              </w:rPr>
              <w:t>回</w:t>
            </w:r>
          </w:p>
        </w:tc>
        <w:tc>
          <w:tcPr>
            <w:tcW w:w="1600" w:type="dxa"/>
            <w:tcBorders>
              <w:bottom w:val="single" w:color="000000" w:sz="4" w:space="0"/>
            </w:tcBorders>
            <w:vAlign w:val="top"/>
          </w:tcPr>
          <w:p w14:paraId="4ED8B21D">
            <w:pPr>
              <w:pStyle w:val="6"/>
              <w:spacing w:before="57" w:line="220" w:lineRule="auto"/>
              <w:ind w:left="381"/>
            </w:pPr>
            <w:r>
              <w:rPr>
                <w:spacing w:val="-2"/>
              </w:rPr>
              <w:t>单回三角</w:t>
            </w:r>
          </w:p>
        </w:tc>
        <w:tc>
          <w:tcPr>
            <w:tcW w:w="108" w:type="dxa"/>
            <w:vMerge w:val="continue"/>
            <w:tcBorders>
              <w:top w:val="nil"/>
              <w:bottom w:val="nil"/>
            </w:tcBorders>
            <w:vAlign w:val="top"/>
          </w:tcPr>
          <w:p w14:paraId="37DBAD04">
            <w:pPr>
              <w:rPr>
                <w:rFonts w:ascii="Arial"/>
                <w:sz w:val="21"/>
              </w:rPr>
            </w:pPr>
          </w:p>
        </w:tc>
      </w:tr>
      <w:tr w14:paraId="7414F6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571" w:type="dxa"/>
            <w:vMerge w:val="continue"/>
            <w:tcBorders>
              <w:top w:val="nil"/>
              <w:bottom w:val="nil"/>
            </w:tcBorders>
            <w:vAlign w:val="top"/>
          </w:tcPr>
          <w:p w14:paraId="61077026">
            <w:pPr>
              <w:rPr>
                <w:rFonts w:ascii="Arial"/>
                <w:sz w:val="21"/>
              </w:rPr>
            </w:pPr>
          </w:p>
        </w:tc>
        <w:tc>
          <w:tcPr>
            <w:tcW w:w="109" w:type="dxa"/>
            <w:tcBorders>
              <w:top w:val="nil"/>
              <w:bottom w:val="nil"/>
            </w:tcBorders>
            <w:vAlign w:val="top"/>
          </w:tcPr>
          <w:p w14:paraId="549470A6">
            <w:pPr>
              <w:rPr>
                <w:rFonts w:ascii="Arial"/>
                <w:sz w:val="21"/>
              </w:rPr>
            </w:pPr>
          </w:p>
        </w:tc>
        <w:tc>
          <w:tcPr>
            <w:tcW w:w="788" w:type="dxa"/>
            <w:tcBorders>
              <w:top w:val="single" w:color="000000" w:sz="4" w:space="0"/>
            </w:tcBorders>
            <w:vAlign w:val="top"/>
          </w:tcPr>
          <w:p w14:paraId="1738ED98">
            <w:pPr>
              <w:spacing w:before="86" w:line="219" w:lineRule="auto"/>
              <w:ind w:left="30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tc>
        <w:tc>
          <w:tcPr>
            <w:tcW w:w="2072" w:type="dxa"/>
            <w:gridSpan w:val="3"/>
            <w:tcBorders>
              <w:top w:val="single" w:color="000000" w:sz="4" w:space="0"/>
            </w:tcBorders>
            <w:vAlign w:val="top"/>
          </w:tcPr>
          <w:p w14:paraId="06891BA0">
            <w:pPr>
              <w:spacing w:before="90" w:line="187" w:lineRule="auto"/>
              <w:ind w:left="6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2D1R7-J2</w:t>
            </w:r>
          </w:p>
        </w:tc>
        <w:tc>
          <w:tcPr>
            <w:tcW w:w="1986" w:type="dxa"/>
            <w:gridSpan w:val="2"/>
            <w:tcBorders>
              <w:top w:val="single" w:color="000000" w:sz="4" w:space="0"/>
            </w:tcBorders>
            <w:vAlign w:val="top"/>
          </w:tcPr>
          <w:p w14:paraId="72ED6C73">
            <w:pPr>
              <w:pStyle w:val="6"/>
              <w:spacing w:before="87" w:line="193" w:lineRule="auto"/>
              <w:ind w:left="627"/>
              <w:rPr>
                <w:rFonts w:ascii="Times New Roman" w:hAnsi="Times New Roman" w:eastAsia="Times New Roman" w:cs="Times New Roman"/>
              </w:rPr>
            </w:pPr>
            <w:r>
              <w:rPr>
                <w:rFonts w:ascii="Times New Roman" w:hAnsi="Times New Roman" w:eastAsia="Times New Roman" w:cs="Times New Roman"/>
                <w:spacing w:val="-10"/>
              </w:rPr>
              <w:t>7</w:t>
            </w:r>
            <w:r>
              <w:rPr>
                <w:rFonts w:ascii="Times New Roman" w:hAnsi="Times New Roman" w:eastAsia="Times New Roman" w:cs="Times New Roman"/>
                <w:spacing w:val="-27"/>
              </w:rPr>
              <w:t xml:space="preserve"> </w:t>
            </w:r>
            <w:r>
              <w:rPr>
                <w:spacing w:val="-10"/>
              </w:rPr>
              <w:t>，</w:t>
            </w:r>
            <w:r>
              <w:rPr>
                <w:rFonts w:ascii="Times New Roman" w:hAnsi="Times New Roman" w:eastAsia="Times New Roman" w:cs="Times New Roman"/>
                <w:spacing w:val="-10"/>
              </w:rPr>
              <w:t>0</w:t>
            </w:r>
            <w:r>
              <w:rPr>
                <w:rFonts w:ascii="Times New Roman" w:hAnsi="Times New Roman" w:eastAsia="Times New Roman" w:cs="Times New Roman"/>
                <w:spacing w:val="-27"/>
              </w:rPr>
              <w:t xml:space="preserve"> </w:t>
            </w:r>
            <w:r>
              <w:rPr>
                <w:spacing w:val="-10"/>
              </w:rPr>
              <w:t>，</w:t>
            </w:r>
            <w:r>
              <w:rPr>
                <w:rFonts w:ascii="Times New Roman" w:hAnsi="Times New Roman" w:eastAsia="Times New Roman" w:cs="Times New Roman"/>
                <w:spacing w:val="-10"/>
              </w:rPr>
              <w:t>6</w:t>
            </w:r>
          </w:p>
        </w:tc>
        <w:tc>
          <w:tcPr>
            <w:tcW w:w="1844" w:type="dxa"/>
            <w:gridSpan w:val="2"/>
            <w:tcBorders>
              <w:top w:val="single" w:color="000000" w:sz="4" w:space="0"/>
            </w:tcBorders>
            <w:vAlign w:val="top"/>
          </w:tcPr>
          <w:p w14:paraId="7DB37D2D">
            <w:pPr>
              <w:pStyle w:val="6"/>
              <w:spacing w:before="52" w:line="224" w:lineRule="auto"/>
              <w:ind w:left="490"/>
            </w:pPr>
            <w:r>
              <w:rPr>
                <w:rFonts w:ascii="Times New Roman" w:hAnsi="Times New Roman" w:eastAsia="Times New Roman" w:cs="Times New Roman"/>
                <w:spacing w:val="-9"/>
              </w:rPr>
              <w:t>D</w:t>
            </w:r>
            <w:r>
              <w:rPr>
                <w:rFonts w:ascii="Times New Roman" w:hAnsi="Times New Roman" w:eastAsia="Times New Roman" w:cs="Times New Roman"/>
                <w:spacing w:val="28"/>
                <w:w w:val="101"/>
              </w:rPr>
              <w:t xml:space="preserve"> </w:t>
            </w:r>
            <w:r>
              <w:rPr>
                <w:spacing w:val="-9"/>
              </w:rPr>
              <w:t>回</w:t>
            </w:r>
            <w:r>
              <w:rPr>
                <w:spacing w:val="-47"/>
              </w:rPr>
              <w:t xml:space="preserve"> </w:t>
            </w:r>
            <w:r>
              <w:rPr>
                <w:rFonts w:ascii="Times New Roman" w:hAnsi="Times New Roman" w:eastAsia="Times New Roman" w:cs="Times New Roman"/>
                <w:spacing w:val="-9"/>
              </w:rPr>
              <w:t>E</w:t>
            </w:r>
            <w:r>
              <w:rPr>
                <w:rFonts w:ascii="Times New Roman" w:hAnsi="Times New Roman" w:eastAsia="Times New Roman" w:cs="Times New Roman"/>
                <w:spacing w:val="27"/>
              </w:rPr>
              <w:t xml:space="preserve"> </w:t>
            </w:r>
            <w:r>
              <w:rPr>
                <w:spacing w:val="-9"/>
              </w:rPr>
              <w:t>回</w:t>
            </w:r>
          </w:p>
        </w:tc>
        <w:tc>
          <w:tcPr>
            <w:tcW w:w="1600" w:type="dxa"/>
            <w:tcBorders>
              <w:top w:val="single" w:color="000000" w:sz="4" w:space="0"/>
            </w:tcBorders>
            <w:vAlign w:val="top"/>
          </w:tcPr>
          <w:p w14:paraId="24BADE6D">
            <w:pPr>
              <w:pStyle w:val="6"/>
              <w:spacing w:before="51" w:line="220" w:lineRule="auto"/>
              <w:ind w:left="381"/>
            </w:pPr>
            <w:r>
              <w:rPr>
                <w:spacing w:val="-2"/>
              </w:rPr>
              <w:t>单回三角</w:t>
            </w:r>
          </w:p>
        </w:tc>
        <w:tc>
          <w:tcPr>
            <w:tcW w:w="108" w:type="dxa"/>
            <w:vMerge w:val="continue"/>
            <w:tcBorders>
              <w:top w:val="nil"/>
              <w:bottom w:val="nil"/>
            </w:tcBorders>
            <w:vAlign w:val="top"/>
          </w:tcPr>
          <w:p w14:paraId="55738C1C">
            <w:pPr>
              <w:rPr>
                <w:rFonts w:ascii="Arial"/>
                <w:sz w:val="21"/>
              </w:rPr>
            </w:pPr>
          </w:p>
        </w:tc>
      </w:tr>
      <w:tr w14:paraId="50164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4915050F">
            <w:pPr>
              <w:rPr>
                <w:rFonts w:ascii="Arial"/>
                <w:sz w:val="21"/>
              </w:rPr>
            </w:pPr>
          </w:p>
        </w:tc>
        <w:tc>
          <w:tcPr>
            <w:tcW w:w="109" w:type="dxa"/>
            <w:tcBorders>
              <w:top w:val="nil"/>
              <w:bottom w:val="nil"/>
            </w:tcBorders>
            <w:vAlign w:val="top"/>
          </w:tcPr>
          <w:p w14:paraId="58B6D3F7">
            <w:pPr>
              <w:rPr>
                <w:rFonts w:ascii="Arial"/>
                <w:sz w:val="21"/>
              </w:rPr>
            </w:pPr>
          </w:p>
        </w:tc>
        <w:tc>
          <w:tcPr>
            <w:tcW w:w="788" w:type="dxa"/>
            <w:vAlign w:val="top"/>
          </w:tcPr>
          <w:p w14:paraId="4B1F6757">
            <w:pPr>
              <w:spacing w:before="91" w:line="216" w:lineRule="auto"/>
              <w:ind w:left="30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tc>
        <w:tc>
          <w:tcPr>
            <w:tcW w:w="2072" w:type="dxa"/>
            <w:gridSpan w:val="3"/>
            <w:vAlign w:val="top"/>
          </w:tcPr>
          <w:p w14:paraId="265A864A">
            <w:pPr>
              <w:spacing w:before="94" w:line="187" w:lineRule="auto"/>
              <w:ind w:left="60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2D1R7-J3</w:t>
            </w:r>
          </w:p>
        </w:tc>
        <w:tc>
          <w:tcPr>
            <w:tcW w:w="1986" w:type="dxa"/>
            <w:gridSpan w:val="2"/>
            <w:vAlign w:val="top"/>
          </w:tcPr>
          <w:p w14:paraId="44D98B16">
            <w:pPr>
              <w:pStyle w:val="6"/>
              <w:spacing w:before="91" w:line="191" w:lineRule="auto"/>
              <w:ind w:left="548"/>
              <w:rPr>
                <w:rFonts w:ascii="Times New Roman" w:hAnsi="Times New Roman" w:eastAsia="Times New Roman" w:cs="Times New Roman"/>
              </w:rPr>
            </w:pPr>
            <w:r>
              <w:rPr>
                <w:rFonts w:ascii="Times New Roman" w:hAnsi="Times New Roman" w:eastAsia="Times New Roman" w:cs="Times New Roman"/>
                <w:spacing w:val="-7"/>
              </w:rPr>
              <w:t>7.5</w:t>
            </w:r>
            <w:r>
              <w:rPr>
                <w:rFonts w:ascii="Times New Roman" w:hAnsi="Times New Roman" w:eastAsia="Times New Roman" w:cs="Times New Roman"/>
                <w:spacing w:val="-25"/>
              </w:rPr>
              <w:t xml:space="preserve"> </w:t>
            </w:r>
            <w:r>
              <w:rPr>
                <w:spacing w:val="-7"/>
              </w:rPr>
              <w:t>，</w:t>
            </w:r>
            <w:r>
              <w:rPr>
                <w:rFonts w:ascii="Times New Roman" w:hAnsi="Times New Roman" w:eastAsia="Times New Roman" w:cs="Times New Roman"/>
                <w:spacing w:val="-7"/>
              </w:rPr>
              <w:t>0</w:t>
            </w:r>
            <w:r>
              <w:rPr>
                <w:rFonts w:ascii="Times New Roman" w:hAnsi="Times New Roman" w:eastAsia="Times New Roman" w:cs="Times New Roman"/>
                <w:spacing w:val="-29"/>
              </w:rPr>
              <w:t xml:space="preserve"> </w:t>
            </w:r>
            <w:r>
              <w:rPr>
                <w:spacing w:val="-7"/>
              </w:rPr>
              <w:t>，</w:t>
            </w:r>
            <w:r>
              <w:rPr>
                <w:rFonts w:ascii="Times New Roman" w:hAnsi="Times New Roman" w:eastAsia="Times New Roman" w:cs="Times New Roman"/>
                <w:spacing w:val="-7"/>
              </w:rPr>
              <w:t>6</w:t>
            </w:r>
          </w:p>
        </w:tc>
        <w:tc>
          <w:tcPr>
            <w:tcW w:w="1844" w:type="dxa"/>
            <w:gridSpan w:val="2"/>
            <w:vAlign w:val="top"/>
          </w:tcPr>
          <w:p w14:paraId="41C77977">
            <w:pPr>
              <w:pStyle w:val="6"/>
              <w:spacing w:before="56" w:line="222" w:lineRule="auto"/>
              <w:ind w:left="490"/>
            </w:pPr>
            <w:r>
              <w:rPr>
                <w:rFonts w:ascii="Times New Roman" w:hAnsi="Times New Roman" w:eastAsia="Times New Roman" w:cs="Times New Roman"/>
                <w:spacing w:val="-9"/>
              </w:rPr>
              <w:t>D</w:t>
            </w:r>
            <w:r>
              <w:rPr>
                <w:rFonts w:ascii="Times New Roman" w:hAnsi="Times New Roman" w:eastAsia="Times New Roman" w:cs="Times New Roman"/>
                <w:spacing w:val="28"/>
                <w:w w:val="101"/>
              </w:rPr>
              <w:t xml:space="preserve"> </w:t>
            </w:r>
            <w:r>
              <w:rPr>
                <w:spacing w:val="-9"/>
              </w:rPr>
              <w:t>回</w:t>
            </w:r>
            <w:r>
              <w:rPr>
                <w:spacing w:val="-47"/>
              </w:rPr>
              <w:t xml:space="preserve"> </w:t>
            </w:r>
            <w:r>
              <w:rPr>
                <w:rFonts w:ascii="Times New Roman" w:hAnsi="Times New Roman" w:eastAsia="Times New Roman" w:cs="Times New Roman"/>
                <w:spacing w:val="-9"/>
              </w:rPr>
              <w:t>E</w:t>
            </w:r>
            <w:r>
              <w:rPr>
                <w:rFonts w:ascii="Times New Roman" w:hAnsi="Times New Roman" w:eastAsia="Times New Roman" w:cs="Times New Roman"/>
                <w:spacing w:val="27"/>
              </w:rPr>
              <w:t xml:space="preserve"> </w:t>
            </w:r>
            <w:r>
              <w:rPr>
                <w:spacing w:val="-9"/>
              </w:rPr>
              <w:t>回</w:t>
            </w:r>
          </w:p>
        </w:tc>
        <w:tc>
          <w:tcPr>
            <w:tcW w:w="1600" w:type="dxa"/>
            <w:vAlign w:val="top"/>
          </w:tcPr>
          <w:p w14:paraId="5A003420">
            <w:pPr>
              <w:pStyle w:val="6"/>
              <w:spacing w:before="56" w:line="220" w:lineRule="auto"/>
              <w:ind w:left="381"/>
            </w:pPr>
            <w:r>
              <w:rPr>
                <w:spacing w:val="-2"/>
              </w:rPr>
              <w:t>单回三角</w:t>
            </w:r>
          </w:p>
        </w:tc>
        <w:tc>
          <w:tcPr>
            <w:tcW w:w="108" w:type="dxa"/>
            <w:vMerge w:val="continue"/>
            <w:tcBorders>
              <w:top w:val="nil"/>
              <w:bottom w:val="nil"/>
            </w:tcBorders>
            <w:vAlign w:val="top"/>
          </w:tcPr>
          <w:p w14:paraId="729386D0">
            <w:pPr>
              <w:rPr>
                <w:rFonts w:ascii="Arial"/>
                <w:sz w:val="21"/>
              </w:rPr>
            </w:pPr>
          </w:p>
        </w:tc>
      </w:tr>
      <w:tr w14:paraId="3EC26D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418641AD">
            <w:pPr>
              <w:rPr>
                <w:rFonts w:ascii="Arial"/>
                <w:sz w:val="21"/>
              </w:rPr>
            </w:pPr>
          </w:p>
        </w:tc>
        <w:tc>
          <w:tcPr>
            <w:tcW w:w="109" w:type="dxa"/>
            <w:tcBorders>
              <w:top w:val="nil"/>
              <w:bottom w:val="nil"/>
            </w:tcBorders>
            <w:vAlign w:val="top"/>
          </w:tcPr>
          <w:p w14:paraId="54FD5FF1">
            <w:pPr>
              <w:rPr>
                <w:rFonts w:ascii="Arial"/>
                <w:sz w:val="21"/>
              </w:rPr>
            </w:pPr>
          </w:p>
        </w:tc>
        <w:tc>
          <w:tcPr>
            <w:tcW w:w="788" w:type="dxa"/>
            <w:vAlign w:val="top"/>
          </w:tcPr>
          <w:p w14:paraId="4F520063">
            <w:pPr>
              <w:spacing w:before="93" w:line="216" w:lineRule="auto"/>
              <w:ind w:left="30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tc>
        <w:tc>
          <w:tcPr>
            <w:tcW w:w="2072" w:type="dxa"/>
            <w:gridSpan w:val="3"/>
            <w:vAlign w:val="top"/>
          </w:tcPr>
          <w:p w14:paraId="7895E612">
            <w:pPr>
              <w:spacing w:before="97" w:line="187" w:lineRule="auto"/>
              <w:ind w:left="57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2D1R7-Z2</w:t>
            </w:r>
          </w:p>
        </w:tc>
        <w:tc>
          <w:tcPr>
            <w:tcW w:w="1986" w:type="dxa"/>
            <w:gridSpan w:val="2"/>
            <w:vAlign w:val="top"/>
          </w:tcPr>
          <w:p w14:paraId="66DEBC42">
            <w:pPr>
              <w:pStyle w:val="6"/>
              <w:spacing w:before="93" w:line="191" w:lineRule="auto"/>
              <w:ind w:left="469"/>
              <w:rPr>
                <w:rFonts w:ascii="Times New Roman" w:hAnsi="Times New Roman" w:eastAsia="Times New Roman" w:cs="Times New Roman"/>
              </w:rPr>
            </w:pPr>
            <w:r>
              <w:rPr>
                <w:rFonts w:ascii="Times New Roman" w:hAnsi="Times New Roman" w:eastAsia="Times New Roman" w:cs="Times New Roman"/>
                <w:spacing w:val="-6"/>
              </w:rPr>
              <w:t>9.1</w:t>
            </w:r>
            <w:r>
              <w:rPr>
                <w:rFonts w:ascii="Times New Roman" w:hAnsi="Times New Roman" w:eastAsia="Times New Roman" w:cs="Times New Roman"/>
                <w:spacing w:val="-25"/>
              </w:rPr>
              <w:t xml:space="preserve"> </w:t>
            </w:r>
            <w:r>
              <w:rPr>
                <w:spacing w:val="-6"/>
              </w:rPr>
              <w:t>，</w:t>
            </w:r>
            <w:r>
              <w:rPr>
                <w:rFonts w:ascii="Times New Roman" w:hAnsi="Times New Roman" w:eastAsia="Times New Roman" w:cs="Times New Roman"/>
                <w:spacing w:val="-6"/>
              </w:rPr>
              <w:t>0</w:t>
            </w:r>
            <w:r>
              <w:rPr>
                <w:rFonts w:ascii="Times New Roman" w:hAnsi="Times New Roman" w:eastAsia="Times New Roman" w:cs="Times New Roman"/>
                <w:spacing w:val="-29"/>
              </w:rPr>
              <w:t xml:space="preserve"> </w:t>
            </w:r>
            <w:r>
              <w:rPr>
                <w:spacing w:val="-6"/>
              </w:rPr>
              <w:t>，</w:t>
            </w:r>
            <w:r>
              <w:rPr>
                <w:rFonts w:ascii="Times New Roman" w:hAnsi="Times New Roman" w:eastAsia="Times New Roman" w:cs="Times New Roman"/>
                <w:spacing w:val="-6"/>
              </w:rPr>
              <w:t>9.1</w:t>
            </w:r>
          </w:p>
        </w:tc>
        <w:tc>
          <w:tcPr>
            <w:tcW w:w="1844" w:type="dxa"/>
            <w:gridSpan w:val="2"/>
            <w:vAlign w:val="top"/>
          </w:tcPr>
          <w:p w14:paraId="0B99E840">
            <w:pPr>
              <w:pStyle w:val="6"/>
              <w:spacing w:before="58" w:line="222" w:lineRule="auto"/>
              <w:ind w:left="490"/>
            </w:pPr>
            <w:r>
              <w:rPr>
                <w:rFonts w:ascii="Times New Roman" w:hAnsi="Times New Roman" w:eastAsia="Times New Roman" w:cs="Times New Roman"/>
                <w:spacing w:val="-9"/>
              </w:rPr>
              <w:t>D</w:t>
            </w:r>
            <w:r>
              <w:rPr>
                <w:rFonts w:ascii="Times New Roman" w:hAnsi="Times New Roman" w:eastAsia="Times New Roman" w:cs="Times New Roman"/>
                <w:spacing w:val="28"/>
                <w:w w:val="101"/>
              </w:rPr>
              <w:t xml:space="preserve"> </w:t>
            </w:r>
            <w:r>
              <w:rPr>
                <w:spacing w:val="-9"/>
              </w:rPr>
              <w:t>回</w:t>
            </w:r>
            <w:r>
              <w:rPr>
                <w:spacing w:val="-47"/>
              </w:rPr>
              <w:t xml:space="preserve"> </w:t>
            </w:r>
            <w:r>
              <w:rPr>
                <w:rFonts w:ascii="Times New Roman" w:hAnsi="Times New Roman" w:eastAsia="Times New Roman" w:cs="Times New Roman"/>
                <w:spacing w:val="-9"/>
              </w:rPr>
              <w:t>E</w:t>
            </w:r>
            <w:r>
              <w:rPr>
                <w:rFonts w:ascii="Times New Roman" w:hAnsi="Times New Roman" w:eastAsia="Times New Roman" w:cs="Times New Roman"/>
                <w:spacing w:val="27"/>
              </w:rPr>
              <w:t xml:space="preserve"> </w:t>
            </w:r>
            <w:r>
              <w:rPr>
                <w:spacing w:val="-9"/>
              </w:rPr>
              <w:t>回</w:t>
            </w:r>
          </w:p>
        </w:tc>
        <w:tc>
          <w:tcPr>
            <w:tcW w:w="1600" w:type="dxa"/>
            <w:vAlign w:val="top"/>
          </w:tcPr>
          <w:p w14:paraId="115C6157">
            <w:pPr>
              <w:pStyle w:val="6"/>
              <w:spacing w:before="58" w:line="221" w:lineRule="auto"/>
              <w:ind w:left="381"/>
            </w:pPr>
            <w:r>
              <w:rPr>
                <w:spacing w:val="-2"/>
              </w:rPr>
              <w:t>单回水平</w:t>
            </w:r>
          </w:p>
        </w:tc>
        <w:tc>
          <w:tcPr>
            <w:tcW w:w="108" w:type="dxa"/>
            <w:vMerge w:val="continue"/>
            <w:tcBorders>
              <w:top w:val="nil"/>
              <w:bottom w:val="nil"/>
            </w:tcBorders>
            <w:vAlign w:val="top"/>
          </w:tcPr>
          <w:p w14:paraId="6F6FF395">
            <w:pPr>
              <w:rPr>
                <w:rFonts w:ascii="Arial"/>
                <w:sz w:val="21"/>
              </w:rPr>
            </w:pPr>
          </w:p>
        </w:tc>
      </w:tr>
      <w:tr w14:paraId="253827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79AB218F">
            <w:pPr>
              <w:rPr>
                <w:rFonts w:ascii="Arial"/>
                <w:sz w:val="21"/>
              </w:rPr>
            </w:pPr>
          </w:p>
        </w:tc>
        <w:tc>
          <w:tcPr>
            <w:tcW w:w="109" w:type="dxa"/>
            <w:tcBorders>
              <w:top w:val="nil"/>
              <w:bottom w:val="nil"/>
            </w:tcBorders>
            <w:vAlign w:val="top"/>
          </w:tcPr>
          <w:p w14:paraId="68909DD8">
            <w:pPr>
              <w:rPr>
                <w:rFonts w:ascii="Arial"/>
                <w:sz w:val="21"/>
              </w:rPr>
            </w:pPr>
          </w:p>
        </w:tc>
        <w:tc>
          <w:tcPr>
            <w:tcW w:w="788" w:type="dxa"/>
            <w:vAlign w:val="top"/>
          </w:tcPr>
          <w:p w14:paraId="46BE8A36">
            <w:pPr>
              <w:spacing w:before="91" w:line="218" w:lineRule="auto"/>
              <w:ind w:left="30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tc>
        <w:tc>
          <w:tcPr>
            <w:tcW w:w="2072" w:type="dxa"/>
            <w:gridSpan w:val="3"/>
            <w:vAlign w:val="top"/>
          </w:tcPr>
          <w:p w14:paraId="24AB367D">
            <w:pPr>
              <w:spacing w:before="95" w:line="187" w:lineRule="auto"/>
              <w:ind w:left="5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2D2Z5-JD</w:t>
            </w:r>
          </w:p>
        </w:tc>
        <w:tc>
          <w:tcPr>
            <w:tcW w:w="1986" w:type="dxa"/>
            <w:gridSpan w:val="2"/>
            <w:vAlign w:val="top"/>
          </w:tcPr>
          <w:p w14:paraId="5DE73F98">
            <w:pPr>
              <w:pStyle w:val="6"/>
              <w:spacing w:before="91" w:line="193" w:lineRule="auto"/>
              <w:ind w:left="549"/>
              <w:rPr>
                <w:rFonts w:ascii="Times New Roman" w:hAnsi="Times New Roman" w:eastAsia="Times New Roman" w:cs="Times New Roman"/>
              </w:rPr>
            </w:pPr>
            <w:r>
              <w:rPr>
                <w:rFonts w:ascii="Times New Roman" w:hAnsi="Times New Roman" w:eastAsia="Times New Roman" w:cs="Times New Roman"/>
                <w:spacing w:val="-7"/>
              </w:rPr>
              <w:t>6.2</w:t>
            </w:r>
            <w:r>
              <w:rPr>
                <w:rFonts w:ascii="Times New Roman" w:hAnsi="Times New Roman" w:eastAsia="Times New Roman" w:cs="Times New Roman"/>
                <w:spacing w:val="-22"/>
              </w:rPr>
              <w:t xml:space="preserve"> </w:t>
            </w:r>
            <w:r>
              <w:rPr>
                <w:spacing w:val="-7"/>
              </w:rPr>
              <w:t>，</w:t>
            </w:r>
            <w:r>
              <w:rPr>
                <w:rFonts w:ascii="Times New Roman" w:hAnsi="Times New Roman" w:eastAsia="Times New Roman" w:cs="Times New Roman"/>
                <w:spacing w:val="-7"/>
              </w:rPr>
              <w:t>0</w:t>
            </w:r>
            <w:r>
              <w:rPr>
                <w:rFonts w:ascii="Times New Roman" w:hAnsi="Times New Roman" w:eastAsia="Times New Roman" w:cs="Times New Roman"/>
                <w:spacing w:val="-30"/>
              </w:rPr>
              <w:t xml:space="preserve"> </w:t>
            </w:r>
            <w:r>
              <w:rPr>
                <w:spacing w:val="-7"/>
              </w:rPr>
              <w:t>，</w:t>
            </w:r>
            <w:r>
              <w:rPr>
                <w:rFonts w:ascii="Times New Roman" w:hAnsi="Times New Roman" w:eastAsia="Times New Roman" w:cs="Times New Roman"/>
                <w:spacing w:val="-7"/>
              </w:rPr>
              <w:t>8</w:t>
            </w:r>
          </w:p>
        </w:tc>
        <w:tc>
          <w:tcPr>
            <w:tcW w:w="1844" w:type="dxa"/>
            <w:gridSpan w:val="2"/>
            <w:vAlign w:val="top"/>
          </w:tcPr>
          <w:p w14:paraId="42B2A6B5">
            <w:pPr>
              <w:pStyle w:val="6"/>
              <w:spacing w:before="57" w:line="223" w:lineRule="auto"/>
              <w:ind w:left="501"/>
            </w:pPr>
            <w:r>
              <w:rPr>
                <w:rFonts w:ascii="Times New Roman" w:hAnsi="Times New Roman" w:eastAsia="Times New Roman" w:cs="Times New Roman"/>
                <w:spacing w:val="-10"/>
              </w:rPr>
              <w:t>C</w:t>
            </w:r>
            <w:r>
              <w:rPr>
                <w:rFonts w:ascii="Times New Roman" w:hAnsi="Times New Roman" w:eastAsia="Times New Roman" w:cs="Times New Roman"/>
                <w:spacing w:val="30"/>
                <w:w w:val="101"/>
              </w:rPr>
              <w:t xml:space="preserve"> </w:t>
            </w:r>
            <w:r>
              <w:rPr>
                <w:spacing w:val="-10"/>
              </w:rPr>
              <w:t>回</w:t>
            </w:r>
            <w:r>
              <w:rPr>
                <w:spacing w:val="-50"/>
              </w:rPr>
              <w:t xml:space="preserve"> </w:t>
            </w:r>
            <w:r>
              <w:rPr>
                <w:rFonts w:ascii="Times New Roman" w:hAnsi="Times New Roman" w:eastAsia="Times New Roman" w:cs="Times New Roman"/>
                <w:spacing w:val="-10"/>
              </w:rPr>
              <w:t>E</w:t>
            </w:r>
            <w:r>
              <w:rPr>
                <w:rFonts w:ascii="Times New Roman" w:hAnsi="Times New Roman" w:eastAsia="Times New Roman" w:cs="Times New Roman"/>
                <w:spacing w:val="28"/>
              </w:rPr>
              <w:t xml:space="preserve"> </w:t>
            </w:r>
            <w:r>
              <w:rPr>
                <w:spacing w:val="-10"/>
              </w:rPr>
              <w:t>回</w:t>
            </w:r>
          </w:p>
        </w:tc>
        <w:tc>
          <w:tcPr>
            <w:tcW w:w="1600" w:type="dxa"/>
            <w:vAlign w:val="top"/>
          </w:tcPr>
          <w:p w14:paraId="793D1464">
            <w:pPr>
              <w:pStyle w:val="6"/>
              <w:spacing w:before="57" w:line="223" w:lineRule="auto"/>
              <w:ind w:left="379"/>
            </w:pPr>
            <w:r>
              <w:rPr>
                <w:spacing w:val="-2"/>
              </w:rPr>
              <w:t>双回垂直</w:t>
            </w:r>
          </w:p>
        </w:tc>
        <w:tc>
          <w:tcPr>
            <w:tcW w:w="108" w:type="dxa"/>
            <w:vMerge w:val="continue"/>
            <w:tcBorders>
              <w:top w:val="nil"/>
              <w:bottom w:val="nil"/>
            </w:tcBorders>
            <w:vAlign w:val="top"/>
          </w:tcPr>
          <w:p w14:paraId="0F1C9A56">
            <w:pPr>
              <w:rPr>
                <w:rFonts w:ascii="Arial"/>
                <w:sz w:val="21"/>
              </w:rPr>
            </w:pPr>
          </w:p>
        </w:tc>
      </w:tr>
      <w:tr w14:paraId="3E7990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64922175">
            <w:pPr>
              <w:rPr>
                <w:rFonts w:ascii="Arial"/>
                <w:sz w:val="21"/>
              </w:rPr>
            </w:pPr>
          </w:p>
        </w:tc>
        <w:tc>
          <w:tcPr>
            <w:tcW w:w="109" w:type="dxa"/>
            <w:tcBorders>
              <w:top w:val="nil"/>
              <w:bottom w:val="nil"/>
            </w:tcBorders>
            <w:vAlign w:val="top"/>
          </w:tcPr>
          <w:p w14:paraId="412BBCBF">
            <w:pPr>
              <w:rPr>
                <w:rFonts w:ascii="Arial"/>
                <w:sz w:val="21"/>
              </w:rPr>
            </w:pPr>
          </w:p>
        </w:tc>
        <w:tc>
          <w:tcPr>
            <w:tcW w:w="788" w:type="dxa"/>
            <w:vAlign w:val="top"/>
          </w:tcPr>
          <w:p w14:paraId="347C0A55">
            <w:pPr>
              <w:spacing w:before="92" w:line="217" w:lineRule="auto"/>
              <w:ind w:left="2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2072" w:type="dxa"/>
            <w:gridSpan w:val="3"/>
            <w:vAlign w:val="top"/>
          </w:tcPr>
          <w:p w14:paraId="443672F4">
            <w:pPr>
              <w:spacing w:before="95" w:line="187" w:lineRule="auto"/>
              <w:ind w:left="6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2D2Z5-J1</w:t>
            </w:r>
          </w:p>
        </w:tc>
        <w:tc>
          <w:tcPr>
            <w:tcW w:w="1986" w:type="dxa"/>
            <w:gridSpan w:val="2"/>
            <w:vAlign w:val="top"/>
          </w:tcPr>
          <w:p w14:paraId="00B9E629">
            <w:pPr>
              <w:pStyle w:val="6"/>
              <w:spacing w:before="92" w:line="192" w:lineRule="auto"/>
              <w:ind w:left="470"/>
              <w:rPr>
                <w:rFonts w:ascii="Times New Roman" w:hAnsi="Times New Roman" w:eastAsia="Times New Roman" w:cs="Times New Roman"/>
              </w:rPr>
            </w:pPr>
            <w:r>
              <w:rPr>
                <w:rFonts w:ascii="Times New Roman" w:hAnsi="Times New Roman" w:eastAsia="Times New Roman" w:cs="Times New Roman"/>
                <w:spacing w:val="-6"/>
              </w:rPr>
              <w:t>6.7</w:t>
            </w:r>
            <w:r>
              <w:rPr>
                <w:rFonts w:ascii="Times New Roman" w:hAnsi="Times New Roman" w:eastAsia="Times New Roman" w:cs="Times New Roman"/>
                <w:spacing w:val="-25"/>
              </w:rPr>
              <w:t xml:space="preserve"> </w:t>
            </w:r>
            <w:r>
              <w:rPr>
                <w:spacing w:val="-6"/>
              </w:rPr>
              <w:t>，</w:t>
            </w:r>
            <w:r>
              <w:rPr>
                <w:rFonts w:ascii="Times New Roman" w:hAnsi="Times New Roman" w:eastAsia="Times New Roman" w:cs="Times New Roman"/>
                <w:spacing w:val="-6"/>
              </w:rPr>
              <w:t>0</w:t>
            </w:r>
            <w:r>
              <w:rPr>
                <w:rFonts w:ascii="Times New Roman" w:hAnsi="Times New Roman" w:eastAsia="Times New Roman" w:cs="Times New Roman"/>
                <w:spacing w:val="-30"/>
              </w:rPr>
              <w:t xml:space="preserve"> </w:t>
            </w:r>
            <w:r>
              <w:rPr>
                <w:spacing w:val="-6"/>
              </w:rPr>
              <w:t>，</w:t>
            </w:r>
            <w:r>
              <w:rPr>
                <w:rFonts w:ascii="Times New Roman" w:hAnsi="Times New Roman" w:eastAsia="Times New Roman" w:cs="Times New Roman"/>
                <w:spacing w:val="-6"/>
              </w:rPr>
              <w:t>6.7</w:t>
            </w:r>
          </w:p>
        </w:tc>
        <w:tc>
          <w:tcPr>
            <w:tcW w:w="1844" w:type="dxa"/>
            <w:gridSpan w:val="2"/>
            <w:vAlign w:val="top"/>
          </w:tcPr>
          <w:p w14:paraId="374A7189">
            <w:pPr>
              <w:pStyle w:val="6"/>
              <w:spacing w:before="57" w:line="223" w:lineRule="auto"/>
              <w:ind w:left="711"/>
            </w:pPr>
            <w:r>
              <w:rPr>
                <w:rFonts w:ascii="Times New Roman" w:hAnsi="Times New Roman" w:eastAsia="Times New Roman" w:cs="Times New Roman"/>
                <w:spacing w:val="-2"/>
              </w:rPr>
              <w:t>D</w:t>
            </w:r>
            <w:r>
              <w:rPr>
                <w:rFonts w:ascii="Times New Roman" w:hAnsi="Times New Roman" w:eastAsia="Times New Roman" w:cs="Times New Roman"/>
                <w:spacing w:val="30"/>
                <w:w w:val="101"/>
              </w:rPr>
              <w:t xml:space="preserve"> </w:t>
            </w:r>
            <w:r>
              <w:rPr>
                <w:spacing w:val="-2"/>
              </w:rPr>
              <w:t>回</w:t>
            </w:r>
          </w:p>
        </w:tc>
        <w:tc>
          <w:tcPr>
            <w:tcW w:w="1600" w:type="dxa"/>
            <w:vAlign w:val="top"/>
          </w:tcPr>
          <w:p w14:paraId="3D4C7EF6">
            <w:pPr>
              <w:pStyle w:val="6"/>
              <w:spacing w:before="57" w:line="223" w:lineRule="auto"/>
              <w:ind w:left="379"/>
            </w:pPr>
            <w:r>
              <w:rPr>
                <w:spacing w:val="-2"/>
              </w:rPr>
              <w:t>双回垂直</w:t>
            </w:r>
          </w:p>
        </w:tc>
        <w:tc>
          <w:tcPr>
            <w:tcW w:w="108" w:type="dxa"/>
            <w:vMerge w:val="continue"/>
            <w:tcBorders>
              <w:top w:val="nil"/>
              <w:bottom w:val="nil"/>
            </w:tcBorders>
            <w:vAlign w:val="top"/>
          </w:tcPr>
          <w:p w14:paraId="1DF54CCB">
            <w:pPr>
              <w:rPr>
                <w:rFonts w:ascii="Arial"/>
                <w:sz w:val="21"/>
              </w:rPr>
            </w:pPr>
          </w:p>
        </w:tc>
      </w:tr>
      <w:tr w14:paraId="20654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360137F4">
            <w:pPr>
              <w:rPr>
                <w:rFonts w:ascii="Arial"/>
                <w:sz w:val="21"/>
              </w:rPr>
            </w:pPr>
          </w:p>
        </w:tc>
        <w:tc>
          <w:tcPr>
            <w:tcW w:w="109" w:type="dxa"/>
            <w:tcBorders>
              <w:top w:val="nil"/>
              <w:bottom w:val="nil"/>
            </w:tcBorders>
            <w:vAlign w:val="top"/>
          </w:tcPr>
          <w:p w14:paraId="02E43FAF">
            <w:pPr>
              <w:rPr>
                <w:rFonts w:ascii="Arial"/>
                <w:sz w:val="21"/>
              </w:rPr>
            </w:pPr>
          </w:p>
        </w:tc>
        <w:tc>
          <w:tcPr>
            <w:tcW w:w="788" w:type="dxa"/>
            <w:vAlign w:val="top"/>
          </w:tcPr>
          <w:p w14:paraId="4B4D0ED6">
            <w:pPr>
              <w:spacing w:before="92" w:line="217" w:lineRule="auto"/>
              <w:ind w:left="2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c>
          <w:tcPr>
            <w:tcW w:w="2072" w:type="dxa"/>
            <w:gridSpan w:val="3"/>
            <w:vAlign w:val="top"/>
          </w:tcPr>
          <w:p w14:paraId="3A7C558D">
            <w:pPr>
              <w:spacing w:before="96" w:line="187" w:lineRule="auto"/>
              <w:ind w:left="6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2D2Z5-J2</w:t>
            </w:r>
          </w:p>
        </w:tc>
        <w:tc>
          <w:tcPr>
            <w:tcW w:w="1986" w:type="dxa"/>
            <w:gridSpan w:val="2"/>
            <w:vAlign w:val="top"/>
          </w:tcPr>
          <w:p w14:paraId="50720B5C">
            <w:pPr>
              <w:pStyle w:val="6"/>
              <w:spacing w:before="92" w:line="192" w:lineRule="auto"/>
              <w:ind w:left="548"/>
              <w:rPr>
                <w:rFonts w:ascii="Times New Roman" w:hAnsi="Times New Roman" w:eastAsia="Times New Roman" w:cs="Times New Roman"/>
              </w:rPr>
            </w:pPr>
            <w:r>
              <w:rPr>
                <w:rFonts w:ascii="Times New Roman" w:hAnsi="Times New Roman" w:eastAsia="Times New Roman" w:cs="Times New Roman"/>
                <w:spacing w:val="-8"/>
              </w:rPr>
              <w:t>7</w:t>
            </w:r>
            <w:r>
              <w:rPr>
                <w:rFonts w:ascii="Times New Roman" w:hAnsi="Times New Roman" w:eastAsia="Times New Roman" w:cs="Times New Roman"/>
                <w:spacing w:val="-26"/>
              </w:rPr>
              <w:t xml:space="preserve"> </w:t>
            </w:r>
            <w:r>
              <w:rPr>
                <w:spacing w:val="-8"/>
              </w:rPr>
              <w:t>，</w:t>
            </w:r>
            <w:r>
              <w:rPr>
                <w:rFonts w:ascii="Times New Roman" w:hAnsi="Times New Roman" w:eastAsia="Times New Roman" w:cs="Times New Roman"/>
                <w:spacing w:val="-8"/>
              </w:rPr>
              <w:t>0</w:t>
            </w:r>
            <w:r>
              <w:rPr>
                <w:rFonts w:ascii="Times New Roman" w:hAnsi="Times New Roman" w:eastAsia="Times New Roman" w:cs="Times New Roman"/>
                <w:spacing w:val="-27"/>
              </w:rPr>
              <w:t xml:space="preserve"> </w:t>
            </w:r>
            <w:r>
              <w:rPr>
                <w:spacing w:val="-8"/>
              </w:rPr>
              <w:t>，</w:t>
            </w:r>
            <w:r>
              <w:rPr>
                <w:rFonts w:ascii="Times New Roman" w:hAnsi="Times New Roman" w:eastAsia="Times New Roman" w:cs="Times New Roman"/>
                <w:spacing w:val="-8"/>
              </w:rPr>
              <w:t>6.2</w:t>
            </w:r>
          </w:p>
        </w:tc>
        <w:tc>
          <w:tcPr>
            <w:tcW w:w="1844" w:type="dxa"/>
            <w:gridSpan w:val="2"/>
            <w:vAlign w:val="top"/>
          </w:tcPr>
          <w:p w14:paraId="1ACA8891">
            <w:pPr>
              <w:pStyle w:val="6"/>
              <w:spacing w:before="57" w:line="223" w:lineRule="auto"/>
              <w:ind w:left="724"/>
            </w:pPr>
            <w:r>
              <w:rPr>
                <w:rFonts w:ascii="Times New Roman" w:hAnsi="Times New Roman" w:eastAsia="Times New Roman" w:cs="Times New Roman"/>
                <w:spacing w:val="-2"/>
              </w:rPr>
              <w:t>E</w:t>
            </w:r>
            <w:r>
              <w:rPr>
                <w:rFonts w:ascii="Times New Roman" w:hAnsi="Times New Roman" w:eastAsia="Times New Roman" w:cs="Times New Roman"/>
                <w:spacing w:val="29"/>
                <w:w w:val="101"/>
              </w:rPr>
              <w:t xml:space="preserve"> </w:t>
            </w:r>
            <w:r>
              <w:rPr>
                <w:spacing w:val="-2"/>
              </w:rPr>
              <w:t>回</w:t>
            </w:r>
          </w:p>
        </w:tc>
        <w:tc>
          <w:tcPr>
            <w:tcW w:w="1600" w:type="dxa"/>
            <w:vAlign w:val="top"/>
          </w:tcPr>
          <w:p w14:paraId="3A1A9509">
            <w:pPr>
              <w:pStyle w:val="6"/>
              <w:spacing w:before="57" w:line="223" w:lineRule="auto"/>
              <w:ind w:left="379"/>
            </w:pPr>
            <w:r>
              <w:rPr>
                <w:spacing w:val="-2"/>
              </w:rPr>
              <w:t>双回垂直</w:t>
            </w:r>
          </w:p>
        </w:tc>
        <w:tc>
          <w:tcPr>
            <w:tcW w:w="108" w:type="dxa"/>
            <w:vMerge w:val="continue"/>
            <w:tcBorders>
              <w:top w:val="nil"/>
              <w:bottom w:val="nil"/>
            </w:tcBorders>
            <w:vAlign w:val="top"/>
          </w:tcPr>
          <w:p w14:paraId="0AD0118F">
            <w:pPr>
              <w:rPr>
                <w:rFonts w:ascii="Arial"/>
                <w:sz w:val="21"/>
              </w:rPr>
            </w:pPr>
          </w:p>
        </w:tc>
      </w:tr>
      <w:tr w14:paraId="1BDAC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2" w:hRule="atLeast"/>
        </w:trPr>
        <w:tc>
          <w:tcPr>
            <w:tcW w:w="571" w:type="dxa"/>
            <w:vMerge w:val="continue"/>
            <w:tcBorders>
              <w:top w:val="nil"/>
              <w:bottom w:val="nil"/>
            </w:tcBorders>
            <w:vAlign w:val="top"/>
          </w:tcPr>
          <w:p w14:paraId="1995E6A2">
            <w:pPr>
              <w:rPr>
                <w:rFonts w:ascii="Arial"/>
                <w:sz w:val="21"/>
              </w:rPr>
            </w:pPr>
          </w:p>
        </w:tc>
        <w:tc>
          <w:tcPr>
            <w:tcW w:w="8399" w:type="dxa"/>
            <w:gridSpan w:val="10"/>
            <w:tcBorders>
              <w:right w:val="nil"/>
            </w:tcBorders>
            <w:vAlign w:val="top"/>
          </w:tcPr>
          <w:p w14:paraId="0140B7A8">
            <w:pPr>
              <w:pStyle w:val="6"/>
              <w:spacing w:before="122" w:line="233" w:lineRule="auto"/>
              <w:ind w:left="109"/>
              <w:rPr>
                <w:sz w:val="24"/>
                <w:szCs w:val="24"/>
              </w:rPr>
            </w:pPr>
            <w:r>
              <w:rPr>
                <w:rFonts w:ascii="Times New Roman" w:hAnsi="Times New Roman" w:eastAsia="Times New Roman" w:cs="Times New Roman"/>
                <w:b/>
                <w:bCs/>
                <w:spacing w:val="-2"/>
                <w:sz w:val="24"/>
                <w:szCs w:val="24"/>
              </w:rPr>
              <w:t>4</w:t>
            </w:r>
            <w:r>
              <w:rPr>
                <w:b/>
                <w:bCs/>
                <w:spacing w:val="-2"/>
                <w:sz w:val="24"/>
                <w:szCs w:val="24"/>
              </w:rPr>
              <w:t>、线路重要交叉跨越情况</w:t>
            </w:r>
          </w:p>
          <w:p w14:paraId="1D4D216F">
            <w:pPr>
              <w:pStyle w:val="6"/>
              <w:spacing w:before="169" w:line="340" w:lineRule="auto"/>
              <w:ind w:left="108" w:firstLine="484"/>
              <w:rPr>
                <w:sz w:val="24"/>
                <w:szCs w:val="24"/>
              </w:rPr>
            </w:pPr>
            <w:r>
              <w:rPr>
                <w:spacing w:val="-10"/>
                <w:sz w:val="24"/>
                <w:szCs w:val="24"/>
              </w:rPr>
              <w:t>项目全线按《</w:t>
            </w:r>
            <w:r>
              <w:rPr>
                <w:rFonts w:ascii="Times New Roman" w:hAnsi="Times New Roman" w:eastAsia="Times New Roman" w:cs="Times New Roman"/>
                <w:spacing w:val="-10"/>
                <w:sz w:val="24"/>
                <w:szCs w:val="24"/>
              </w:rPr>
              <w:t xml:space="preserve">110kV~750kV </w:t>
            </w:r>
            <w:r>
              <w:rPr>
                <w:spacing w:val="-10"/>
                <w:sz w:val="24"/>
                <w:szCs w:val="24"/>
              </w:rPr>
              <w:t>架空输电线路设计规范》（</w:t>
            </w:r>
            <w:r>
              <w:rPr>
                <w:rFonts w:ascii="Times New Roman" w:hAnsi="Times New Roman" w:eastAsia="Times New Roman" w:cs="Times New Roman"/>
                <w:spacing w:val="-10"/>
                <w:sz w:val="24"/>
                <w:szCs w:val="24"/>
              </w:rPr>
              <w:t>GB5054</w:t>
            </w:r>
            <w:r>
              <w:rPr>
                <w:rFonts w:ascii="Times New Roman" w:hAnsi="Times New Roman" w:eastAsia="Times New Roman" w:cs="Times New Roman"/>
                <w:spacing w:val="-11"/>
                <w:sz w:val="24"/>
                <w:szCs w:val="24"/>
              </w:rPr>
              <w:t>5-2010</w:t>
            </w:r>
            <w:r>
              <w:rPr>
                <w:spacing w:val="-11"/>
                <w:sz w:val="24"/>
                <w:szCs w:val="24"/>
              </w:rPr>
              <w:t>）设计，</w:t>
            </w:r>
            <w:r>
              <w:rPr>
                <w:sz w:val="24"/>
                <w:szCs w:val="24"/>
              </w:rPr>
              <w:t xml:space="preserve"> </w:t>
            </w:r>
            <w:r>
              <w:rPr>
                <w:rFonts w:ascii="Times New Roman" w:hAnsi="Times New Roman" w:eastAsia="Times New Roman" w:cs="Times New Roman"/>
                <w:spacing w:val="-2"/>
                <w:sz w:val="24"/>
                <w:szCs w:val="24"/>
              </w:rPr>
              <w:t xml:space="preserve">220kV </w:t>
            </w:r>
            <w:r>
              <w:rPr>
                <w:spacing w:val="-2"/>
                <w:sz w:val="24"/>
                <w:szCs w:val="24"/>
              </w:rPr>
              <w:t>输电线路导线对地及交叉跨越物最小允许距离见下表。</w:t>
            </w:r>
          </w:p>
          <w:p w14:paraId="325132E4">
            <w:pPr>
              <w:pStyle w:val="6"/>
              <w:spacing w:line="222" w:lineRule="auto"/>
              <w:ind w:left="1661"/>
            </w:pPr>
            <w:r>
              <w:rPr>
                <w:b/>
                <w:bCs/>
                <w:spacing w:val="-1"/>
              </w:rPr>
              <w:t>表</w:t>
            </w:r>
            <w:r>
              <w:rPr>
                <w:spacing w:val="-45"/>
              </w:rPr>
              <w:t xml:space="preserve"> </w:t>
            </w:r>
            <w:r>
              <w:rPr>
                <w:rFonts w:ascii="Times New Roman" w:hAnsi="Times New Roman" w:eastAsia="Times New Roman" w:cs="Times New Roman"/>
                <w:b/>
                <w:bCs/>
                <w:spacing w:val="-1"/>
              </w:rPr>
              <w:t xml:space="preserve">2-4    220kV </w:t>
            </w:r>
            <w:r>
              <w:rPr>
                <w:b/>
                <w:bCs/>
                <w:spacing w:val="-1"/>
              </w:rPr>
              <w:t>线路导线对地及交叉跨</w:t>
            </w:r>
            <w:r>
              <w:rPr>
                <w:b/>
                <w:bCs/>
                <w:spacing w:val="-2"/>
              </w:rPr>
              <w:t>越物最小允许距离</w:t>
            </w:r>
          </w:p>
        </w:tc>
        <w:tc>
          <w:tcPr>
            <w:tcW w:w="108" w:type="dxa"/>
            <w:vMerge w:val="restart"/>
            <w:tcBorders>
              <w:top w:val="nil"/>
              <w:left w:val="dashed" w:color="000000" w:sz="2" w:space="0"/>
              <w:bottom w:val="nil"/>
            </w:tcBorders>
            <w:vAlign w:val="top"/>
          </w:tcPr>
          <w:p w14:paraId="530204B9">
            <w:pPr>
              <w:rPr>
                <w:rFonts w:ascii="Arial"/>
                <w:sz w:val="21"/>
              </w:rPr>
            </w:pPr>
          </w:p>
        </w:tc>
      </w:tr>
      <w:tr w14:paraId="7FF98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6F4A7ADD">
            <w:pPr>
              <w:rPr>
                <w:rFonts w:ascii="Arial"/>
                <w:sz w:val="21"/>
              </w:rPr>
            </w:pPr>
          </w:p>
        </w:tc>
        <w:tc>
          <w:tcPr>
            <w:tcW w:w="109" w:type="dxa"/>
            <w:tcBorders>
              <w:top w:val="nil"/>
              <w:bottom w:val="nil"/>
            </w:tcBorders>
            <w:vAlign w:val="top"/>
          </w:tcPr>
          <w:p w14:paraId="58083110">
            <w:pPr>
              <w:rPr>
                <w:rFonts w:ascii="Arial"/>
                <w:sz w:val="21"/>
              </w:rPr>
            </w:pPr>
          </w:p>
        </w:tc>
        <w:tc>
          <w:tcPr>
            <w:tcW w:w="3713" w:type="dxa"/>
            <w:gridSpan w:val="5"/>
            <w:vAlign w:val="top"/>
          </w:tcPr>
          <w:p w14:paraId="561AC731">
            <w:pPr>
              <w:pStyle w:val="6"/>
              <w:spacing w:before="58" w:line="221" w:lineRule="auto"/>
              <w:ind w:left="1231"/>
            </w:pPr>
            <w:r>
              <w:rPr>
                <w:b/>
                <w:bCs/>
                <w:spacing w:val="-3"/>
              </w:rPr>
              <w:t>线路经过地区</w:t>
            </w:r>
          </w:p>
        </w:tc>
        <w:tc>
          <w:tcPr>
            <w:tcW w:w="2694" w:type="dxa"/>
            <w:gridSpan w:val="2"/>
            <w:vAlign w:val="top"/>
          </w:tcPr>
          <w:p w14:paraId="0F676F70">
            <w:pPr>
              <w:pStyle w:val="6"/>
              <w:spacing w:before="58" w:line="222" w:lineRule="auto"/>
              <w:ind w:left="634"/>
            </w:pPr>
            <w:r>
              <w:rPr>
                <w:b/>
                <w:bCs/>
                <w:spacing w:val="-3"/>
              </w:rPr>
              <w:t>最小距离（</w:t>
            </w:r>
            <w:r>
              <w:rPr>
                <w:rFonts w:ascii="Times New Roman" w:hAnsi="Times New Roman" w:eastAsia="Times New Roman" w:cs="Times New Roman"/>
                <w:b/>
                <w:bCs/>
                <w:spacing w:val="-3"/>
              </w:rPr>
              <w:t>m</w:t>
            </w:r>
            <w:r>
              <w:rPr>
                <w:b/>
                <w:bCs/>
                <w:spacing w:val="-3"/>
              </w:rPr>
              <w:t>）</w:t>
            </w:r>
          </w:p>
        </w:tc>
        <w:tc>
          <w:tcPr>
            <w:tcW w:w="1883" w:type="dxa"/>
            <w:gridSpan w:val="2"/>
            <w:vAlign w:val="top"/>
          </w:tcPr>
          <w:p w14:paraId="4123B3D3">
            <w:pPr>
              <w:pStyle w:val="6"/>
              <w:spacing w:before="58" w:line="222" w:lineRule="auto"/>
              <w:ind w:left="732"/>
            </w:pPr>
            <w:r>
              <w:rPr>
                <w:b/>
                <w:bCs/>
                <w:spacing w:val="-5"/>
              </w:rPr>
              <w:t>备注</w:t>
            </w:r>
          </w:p>
        </w:tc>
        <w:tc>
          <w:tcPr>
            <w:tcW w:w="108" w:type="dxa"/>
            <w:vMerge w:val="continue"/>
            <w:tcBorders>
              <w:top w:val="nil"/>
              <w:left w:val="dashed" w:color="000000" w:sz="2" w:space="0"/>
              <w:bottom w:val="nil"/>
            </w:tcBorders>
            <w:vAlign w:val="top"/>
          </w:tcPr>
          <w:p w14:paraId="7F676C01">
            <w:pPr>
              <w:rPr>
                <w:rFonts w:ascii="Arial"/>
                <w:sz w:val="21"/>
              </w:rPr>
            </w:pPr>
          </w:p>
        </w:tc>
      </w:tr>
      <w:tr w14:paraId="075C43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6DB9F9A6">
            <w:pPr>
              <w:rPr>
                <w:rFonts w:ascii="Arial"/>
                <w:sz w:val="21"/>
              </w:rPr>
            </w:pPr>
          </w:p>
        </w:tc>
        <w:tc>
          <w:tcPr>
            <w:tcW w:w="109" w:type="dxa"/>
            <w:tcBorders>
              <w:top w:val="nil"/>
              <w:bottom w:val="nil"/>
            </w:tcBorders>
            <w:vAlign w:val="top"/>
          </w:tcPr>
          <w:p w14:paraId="103A8DE6">
            <w:pPr>
              <w:rPr>
                <w:rFonts w:ascii="Arial"/>
                <w:sz w:val="21"/>
              </w:rPr>
            </w:pPr>
          </w:p>
        </w:tc>
        <w:tc>
          <w:tcPr>
            <w:tcW w:w="3713" w:type="dxa"/>
            <w:gridSpan w:val="5"/>
            <w:vAlign w:val="top"/>
          </w:tcPr>
          <w:p w14:paraId="115E811D">
            <w:pPr>
              <w:pStyle w:val="6"/>
              <w:spacing w:before="59" w:line="221" w:lineRule="auto"/>
              <w:ind w:left="1127"/>
            </w:pPr>
            <w:r>
              <w:rPr>
                <w:spacing w:val="-3"/>
              </w:rPr>
              <w:t>居民区（对地）</w:t>
            </w:r>
          </w:p>
        </w:tc>
        <w:tc>
          <w:tcPr>
            <w:tcW w:w="2694" w:type="dxa"/>
            <w:gridSpan w:val="2"/>
            <w:vAlign w:val="top"/>
          </w:tcPr>
          <w:p w14:paraId="4CFB7458">
            <w:pPr>
              <w:spacing w:before="94" w:line="215" w:lineRule="auto"/>
              <w:ind w:left="121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7.5</w:t>
            </w:r>
          </w:p>
        </w:tc>
        <w:tc>
          <w:tcPr>
            <w:tcW w:w="1883" w:type="dxa"/>
            <w:gridSpan w:val="2"/>
            <w:vAlign w:val="top"/>
          </w:tcPr>
          <w:p w14:paraId="45373F83">
            <w:pPr>
              <w:spacing w:before="94" w:line="215" w:lineRule="auto"/>
              <w:ind w:left="904"/>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08" w:type="dxa"/>
            <w:vMerge w:val="continue"/>
            <w:tcBorders>
              <w:top w:val="nil"/>
              <w:left w:val="dashed" w:color="000000" w:sz="2" w:space="0"/>
              <w:bottom w:val="nil"/>
            </w:tcBorders>
            <w:vAlign w:val="top"/>
          </w:tcPr>
          <w:p w14:paraId="1DF5244C">
            <w:pPr>
              <w:rPr>
                <w:rFonts w:ascii="Arial"/>
                <w:sz w:val="21"/>
              </w:rPr>
            </w:pPr>
          </w:p>
        </w:tc>
      </w:tr>
      <w:tr w14:paraId="39048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61B14604">
            <w:pPr>
              <w:rPr>
                <w:rFonts w:ascii="Arial"/>
                <w:sz w:val="21"/>
              </w:rPr>
            </w:pPr>
          </w:p>
        </w:tc>
        <w:tc>
          <w:tcPr>
            <w:tcW w:w="109" w:type="dxa"/>
            <w:tcBorders>
              <w:top w:val="nil"/>
              <w:bottom w:val="nil"/>
            </w:tcBorders>
            <w:vAlign w:val="top"/>
          </w:tcPr>
          <w:p w14:paraId="61E7ABBB">
            <w:pPr>
              <w:rPr>
                <w:rFonts w:ascii="Arial"/>
                <w:sz w:val="21"/>
              </w:rPr>
            </w:pPr>
          </w:p>
        </w:tc>
        <w:tc>
          <w:tcPr>
            <w:tcW w:w="3713" w:type="dxa"/>
            <w:gridSpan w:val="5"/>
            <w:vAlign w:val="top"/>
          </w:tcPr>
          <w:p w14:paraId="0621A89B">
            <w:pPr>
              <w:pStyle w:val="6"/>
              <w:spacing w:before="59" w:line="221" w:lineRule="auto"/>
              <w:ind w:left="1025"/>
            </w:pPr>
            <w:r>
              <w:rPr>
                <w:spacing w:val="-1"/>
              </w:rPr>
              <w:t>非居民区（对地）</w:t>
            </w:r>
          </w:p>
        </w:tc>
        <w:tc>
          <w:tcPr>
            <w:tcW w:w="2694" w:type="dxa"/>
            <w:gridSpan w:val="2"/>
            <w:vAlign w:val="top"/>
          </w:tcPr>
          <w:p w14:paraId="5F1292CD">
            <w:pPr>
              <w:spacing w:before="94" w:line="215" w:lineRule="auto"/>
              <w:ind w:left="122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6.5</w:t>
            </w:r>
          </w:p>
        </w:tc>
        <w:tc>
          <w:tcPr>
            <w:tcW w:w="1883" w:type="dxa"/>
            <w:gridSpan w:val="2"/>
            <w:vAlign w:val="top"/>
          </w:tcPr>
          <w:p w14:paraId="407035EF">
            <w:pPr>
              <w:spacing w:before="94" w:line="215" w:lineRule="auto"/>
              <w:ind w:left="904"/>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08" w:type="dxa"/>
            <w:vMerge w:val="continue"/>
            <w:tcBorders>
              <w:top w:val="nil"/>
              <w:left w:val="dashed" w:color="000000" w:sz="2" w:space="0"/>
              <w:bottom w:val="nil"/>
            </w:tcBorders>
            <w:vAlign w:val="top"/>
          </w:tcPr>
          <w:p w14:paraId="2CCA4484">
            <w:pPr>
              <w:rPr>
                <w:rFonts w:ascii="Arial"/>
                <w:sz w:val="21"/>
              </w:rPr>
            </w:pPr>
          </w:p>
        </w:tc>
      </w:tr>
      <w:tr w14:paraId="3D38F7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4BDFA068">
            <w:pPr>
              <w:rPr>
                <w:rFonts w:ascii="Arial"/>
                <w:sz w:val="21"/>
              </w:rPr>
            </w:pPr>
          </w:p>
        </w:tc>
        <w:tc>
          <w:tcPr>
            <w:tcW w:w="109" w:type="dxa"/>
            <w:tcBorders>
              <w:top w:val="nil"/>
              <w:bottom w:val="nil"/>
            </w:tcBorders>
            <w:vAlign w:val="top"/>
          </w:tcPr>
          <w:p w14:paraId="019DA96B">
            <w:pPr>
              <w:rPr>
                <w:rFonts w:ascii="Arial"/>
                <w:sz w:val="21"/>
              </w:rPr>
            </w:pPr>
          </w:p>
        </w:tc>
        <w:tc>
          <w:tcPr>
            <w:tcW w:w="3713" w:type="dxa"/>
            <w:gridSpan w:val="5"/>
            <w:vAlign w:val="top"/>
          </w:tcPr>
          <w:p w14:paraId="78D38DBE">
            <w:pPr>
              <w:pStyle w:val="6"/>
              <w:spacing w:before="59" w:line="219" w:lineRule="auto"/>
              <w:ind w:left="1337"/>
            </w:pPr>
            <w:r>
              <w:rPr>
                <w:spacing w:val="-1"/>
              </w:rPr>
              <w:t>跨越建筑物</w:t>
            </w:r>
          </w:p>
        </w:tc>
        <w:tc>
          <w:tcPr>
            <w:tcW w:w="2694" w:type="dxa"/>
            <w:gridSpan w:val="2"/>
            <w:vAlign w:val="top"/>
          </w:tcPr>
          <w:p w14:paraId="64257168">
            <w:pPr>
              <w:spacing w:before="94" w:line="213" w:lineRule="auto"/>
              <w:ind w:left="122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6.0</w:t>
            </w:r>
          </w:p>
        </w:tc>
        <w:tc>
          <w:tcPr>
            <w:tcW w:w="1883" w:type="dxa"/>
            <w:gridSpan w:val="2"/>
            <w:vAlign w:val="top"/>
          </w:tcPr>
          <w:p w14:paraId="59AEEF7A">
            <w:pPr>
              <w:spacing w:before="94" w:line="213" w:lineRule="auto"/>
              <w:ind w:left="904"/>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08" w:type="dxa"/>
            <w:vMerge w:val="continue"/>
            <w:tcBorders>
              <w:top w:val="nil"/>
              <w:left w:val="dashed" w:color="000000" w:sz="2" w:space="0"/>
              <w:bottom w:val="nil"/>
            </w:tcBorders>
            <w:vAlign w:val="top"/>
          </w:tcPr>
          <w:p w14:paraId="7E66828E">
            <w:pPr>
              <w:rPr>
                <w:rFonts w:ascii="Arial"/>
                <w:sz w:val="21"/>
              </w:rPr>
            </w:pPr>
          </w:p>
        </w:tc>
      </w:tr>
      <w:tr w14:paraId="14C016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204609EC">
            <w:pPr>
              <w:rPr>
                <w:rFonts w:ascii="Arial"/>
                <w:sz w:val="21"/>
              </w:rPr>
            </w:pPr>
          </w:p>
        </w:tc>
        <w:tc>
          <w:tcPr>
            <w:tcW w:w="109" w:type="dxa"/>
            <w:tcBorders>
              <w:top w:val="nil"/>
              <w:bottom w:val="nil"/>
            </w:tcBorders>
            <w:vAlign w:val="top"/>
          </w:tcPr>
          <w:p w14:paraId="67B55BBB">
            <w:pPr>
              <w:rPr>
                <w:rFonts w:ascii="Arial"/>
                <w:sz w:val="21"/>
              </w:rPr>
            </w:pPr>
          </w:p>
        </w:tc>
        <w:tc>
          <w:tcPr>
            <w:tcW w:w="3713" w:type="dxa"/>
            <w:gridSpan w:val="5"/>
            <w:vAlign w:val="top"/>
          </w:tcPr>
          <w:p w14:paraId="51F32986">
            <w:pPr>
              <w:pStyle w:val="6"/>
              <w:spacing w:before="61" w:line="219" w:lineRule="auto"/>
              <w:ind w:left="1231"/>
            </w:pPr>
            <w:r>
              <w:rPr>
                <w:spacing w:val="-1"/>
              </w:rPr>
              <w:t>跨越自然树木</w:t>
            </w:r>
          </w:p>
        </w:tc>
        <w:tc>
          <w:tcPr>
            <w:tcW w:w="2694" w:type="dxa"/>
            <w:gridSpan w:val="2"/>
            <w:vAlign w:val="top"/>
          </w:tcPr>
          <w:p w14:paraId="5BEB2AD4">
            <w:pPr>
              <w:spacing w:before="97" w:line="212" w:lineRule="auto"/>
              <w:ind w:left="121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c>
          <w:tcPr>
            <w:tcW w:w="1883" w:type="dxa"/>
            <w:gridSpan w:val="2"/>
            <w:vAlign w:val="top"/>
          </w:tcPr>
          <w:p w14:paraId="6B067031">
            <w:pPr>
              <w:spacing w:before="97" w:line="212" w:lineRule="auto"/>
              <w:ind w:left="904"/>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08" w:type="dxa"/>
            <w:vMerge w:val="continue"/>
            <w:tcBorders>
              <w:top w:val="nil"/>
              <w:left w:val="dashed" w:color="000000" w:sz="2" w:space="0"/>
              <w:bottom w:val="nil"/>
            </w:tcBorders>
            <w:vAlign w:val="top"/>
          </w:tcPr>
          <w:p w14:paraId="1C948A8F">
            <w:pPr>
              <w:rPr>
                <w:rFonts w:ascii="Arial"/>
                <w:sz w:val="21"/>
              </w:rPr>
            </w:pPr>
          </w:p>
        </w:tc>
      </w:tr>
      <w:tr w14:paraId="22D05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3C2978F6">
            <w:pPr>
              <w:rPr>
                <w:rFonts w:ascii="Arial"/>
                <w:sz w:val="21"/>
              </w:rPr>
            </w:pPr>
          </w:p>
        </w:tc>
        <w:tc>
          <w:tcPr>
            <w:tcW w:w="109" w:type="dxa"/>
            <w:tcBorders>
              <w:top w:val="nil"/>
              <w:bottom w:val="nil"/>
            </w:tcBorders>
            <w:vAlign w:val="top"/>
          </w:tcPr>
          <w:p w14:paraId="0EEEAA55">
            <w:pPr>
              <w:rPr>
                <w:rFonts w:ascii="Arial"/>
                <w:sz w:val="21"/>
              </w:rPr>
            </w:pPr>
          </w:p>
        </w:tc>
        <w:tc>
          <w:tcPr>
            <w:tcW w:w="3713" w:type="dxa"/>
            <w:gridSpan w:val="5"/>
            <w:vAlign w:val="top"/>
          </w:tcPr>
          <w:p w14:paraId="71737D79">
            <w:pPr>
              <w:pStyle w:val="6"/>
              <w:spacing w:before="59" w:line="221" w:lineRule="auto"/>
              <w:ind w:left="916"/>
            </w:pPr>
            <w:r>
              <w:rPr>
                <w:spacing w:val="-1"/>
              </w:rPr>
              <w:t>跨越果树、经济作物</w:t>
            </w:r>
          </w:p>
        </w:tc>
        <w:tc>
          <w:tcPr>
            <w:tcW w:w="2694" w:type="dxa"/>
            <w:gridSpan w:val="2"/>
            <w:vAlign w:val="top"/>
          </w:tcPr>
          <w:p w14:paraId="0CBB2D98">
            <w:pPr>
              <w:spacing w:before="95" w:line="215" w:lineRule="auto"/>
              <w:ind w:left="122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3.5</w:t>
            </w:r>
          </w:p>
        </w:tc>
        <w:tc>
          <w:tcPr>
            <w:tcW w:w="1883" w:type="dxa"/>
            <w:gridSpan w:val="2"/>
            <w:vAlign w:val="top"/>
          </w:tcPr>
          <w:p w14:paraId="2DABE98A">
            <w:pPr>
              <w:spacing w:before="95" w:line="215" w:lineRule="auto"/>
              <w:ind w:left="904"/>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08" w:type="dxa"/>
            <w:vMerge w:val="continue"/>
            <w:tcBorders>
              <w:top w:val="nil"/>
              <w:left w:val="dashed" w:color="000000" w:sz="2" w:space="0"/>
              <w:bottom w:val="nil"/>
            </w:tcBorders>
            <w:vAlign w:val="top"/>
          </w:tcPr>
          <w:p w14:paraId="336D6013">
            <w:pPr>
              <w:rPr>
                <w:rFonts w:ascii="Arial"/>
                <w:sz w:val="21"/>
              </w:rPr>
            </w:pPr>
          </w:p>
        </w:tc>
      </w:tr>
      <w:tr w14:paraId="595F2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71" w:type="dxa"/>
            <w:vMerge w:val="continue"/>
            <w:tcBorders>
              <w:top w:val="nil"/>
            </w:tcBorders>
            <w:vAlign w:val="top"/>
          </w:tcPr>
          <w:p w14:paraId="0C36C7AE">
            <w:pPr>
              <w:rPr>
                <w:rFonts w:ascii="Arial"/>
                <w:sz w:val="21"/>
              </w:rPr>
            </w:pPr>
          </w:p>
        </w:tc>
        <w:tc>
          <w:tcPr>
            <w:tcW w:w="109" w:type="dxa"/>
            <w:tcBorders>
              <w:top w:val="nil"/>
            </w:tcBorders>
            <w:vAlign w:val="top"/>
          </w:tcPr>
          <w:p w14:paraId="61D51710">
            <w:pPr>
              <w:rPr>
                <w:rFonts w:ascii="Arial"/>
                <w:sz w:val="21"/>
              </w:rPr>
            </w:pPr>
          </w:p>
        </w:tc>
        <w:tc>
          <w:tcPr>
            <w:tcW w:w="3713" w:type="dxa"/>
            <w:gridSpan w:val="5"/>
            <w:vAlign w:val="top"/>
          </w:tcPr>
          <w:p w14:paraId="7E1BCA50">
            <w:pPr>
              <w:pStyle w:val="6"/>
              <w:spacing w:before="59" w:line="221" w:lineRule="auto"/>
              <w:ind w:left="1442"/>
            </w:pPr>
            <w:r>
              <w:rPr>
                <w:spacing w:val="-2"/>
              </w:rPr>
              <w:t>跨越铁路</w:t>
            </w:r>
          </w:p>
        </w:tc>
        <w:tc>
          <w:tcPr>
            <w:tcW w:w="2694" w:type="dxa"/>
            <w:gridSpan w:val="2"/>
            <w:vAlign w:val="top"/>
          </w:tcPr>
          <w:p w14:paraId="41033EDD">
            <w:pPr>
              <w:spacing w:before="94" w:line="230" w:lineRule="auto"/>
              <w:ind w:left="122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8.5</w:t>
            </w:r>
          </w:p>
        </w:tc>
        <w:tc>
          <w:tcPr>
            <w:tcW w:w="1883" w:type="dxa"/>
            <w:gridSpan w:val="2"/>
            <w:vAlign w:val="top"/>
          </w:tcPr>
          <w:p w14:paraId="7D843967">
            <w:pPr>
              <w:spacing w:before="94" w:line="230" w:lineRule="auto"/>
              <w:ind w:left="904"/>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08" w:type="dxa"/>
            <w:vMerge w:val="continue"/>
            <w:tcBorders>
              <w:top w:val="nil"/>
              <w:left w:val="dashed" w:color="000000" w:sz="2" w:space="0"/>
            </w:tcBorders>
            <w:vAlign w:val="top"/>
          </w:tcPr>
          <w:p w14:paraId="1F4F05DF">
            <w:pPr>
              <w:rPr>
                <w:rFonts w:ascii="Arial"/>
                <w:sz w:val="21"/>
              </w:rPr>
            </w:pPr>
          </w:p>
        </w:tc>
      </w:tr>
    </w:tbl>
    <w:p w14:paraId="2262411D">
      <w:pPr>
        <w:rPr>
          <w:rFonts w:ascii="Arial"/>
          <w:sz w:val="21"/>
        </w:rPr>
      </w:pPr>
    </w:p>
    <w:p w14:paraId="6362ED71">
      <w:pPr>
        <w:rPr>
          <w:rFonts w:ascii="Arial" w:hAnsi="Arial" w:eastAsia="Arial" w:cs="Arial"/>
          <w:sz w:val="21"/>
          <w:szCs w:val="21"/>
        </w:rPr>
        <w:sectPr>
          <w:footerReference r:id="rId34" w:type="default"/>
          <w:pgSz w:w="11907" w:h="16841"/>
          <w:pgMar w:top="400" w:right="1408" w:bottom="1126" w:left="1414" w:header="0" w:footer="925" w:gutter="0"/>
          <w:cols w:space="720" w:num="1"/>
        </w:sectPr>
      </w:pPr>
    </w:p>
    <w:p w14:paraId="50839777">
      <w:pPr>
        <w:spacing w:before="2"/>
      </w:pPr>
    </w:p>
    <w:p w14:paraId="3A6AC569">
      <w:pPr>
        <w:spacing w:before="2"/>
      </w:pPr>
    </w:p>
    <w:p w14:paraId="5EA0EABD">
      <w:pPr>
        <w:spacing w:before="1"/>
      </w:pPr>
    </w:p>
    <w:p w14:paraId="603AAC65">
      <w:pPr>
        <w:spacing w:before="1"/>
      </w:pPr>
    </w:p>
    <w:p w14:paraId="0AC96C65">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3"/>
        <w:gridCol w:w="727"/>
        <w:gridCol w:w="1555"/>
        <w:gridCol w:w="1133"/>
        <w:gridCol w:w="295"/>
        <w:gridCol w:w="566"/>
        <w:gridCol w:w="273"/>
        <w:gridCol w:w="851"/>
        <w:gridCol w:w="1001"/>
        <w:gridCol w:w="1872"/>
        <w:gridCol w:w="121"/>
      </w:tblGrid>
      <w:tr w14:paraId="50A60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71" w:type="dxa"/>
            <w:vMerge w:val="restart"/>
            <w:tcBorders>
              <w:bottom w:val="nil"/>
            </w:tcBorders>
            <w:vAlign w:val="top"/>
          </w:tcPr>
          <w:p w14:paraId="52FD17B7">
            <w:pPr>
              <w:rPr>
                <w:rFonts w:ascii="Arial"/>
                <w:sz w:val="21"/>
              </w:rPr>
            </w:pPr>
          </w:p>
        </w:tc>
        <w:tc>
          <w:tcPr>
            <w:tcW w:w="113" w:type="dxa"/>
            <w:tcBorders>
              <w:bottom w:val="nil"/>
            </w:tcBorders>
            <w:vAlign w:val="top"/>
          </w:tcPr>
          <w:p w14:paraId="05C995D2">
            <w:pPr>
              <w:rPr>
                <w:rFonts w:ascii="Arial"/>
                <w:sz w:val="21"/>
              </w:rPr>
            </w:pPr>
          </w:p>
        </w:tc>
        <w:tc>
          <w:tcPr>
            <w:tcW w:w="3710" w:type="dxa"/>
            <w:gridSpan w:val="4"/>
            <w:vAlign w:val="top"/>
          </w:tcPr>
          <w:p w14:paraId="02D9D85A">
            <w:pPr>
              <w:pStyle w:val="6"/>
              <w:spacing w:before="70" w:line="221" w:lineRule="auto"/>
              <w:ind w:left="1438"/>
            </w:pPr>
            <w:r>
              <w:rPr>
                <w:spacing w:val="-2"/>
              </w:rPr>
              <w:t>跨越公路</w:t>
            </w:r>
          </w:p>
        </w:tc>
        <w:tc>
          <w:tcPr>
            <w:tcW w:w="2691" w:type="dxa"/>
            <w:gridSpan w:val="4"/>
            <w:vAlign w:val="top"/>
          </w:tcPr>
          <w:p w14:paraId="1164E002">
            <w:pPr>
              <w:spacing w:before="105" w:line="219" w:lineRule="auto"/>
              <w:ind w:left="122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8.0</w:t>
            </w:r>
          </w:p>
        </w:tc>
        <w:tc>
          <w:tcPr>
            <w:tcW w:w="1872" w:type="dxa"/>
            <w:vAlign w:val="top"/>
          </w:tcPr>
          <w:p w14:paraId="50A5F900">
            <w:pPr>
              <w:spacing w:before="105" w:line="219" w:lineRule="auto"/>
              <w:ind w:left="90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21" w:type="dxa"/>
            <w:tcBorders>
              <w:bottom w:val="nil"/>
            </w:tcBorders>
            <w:vAlign w:val="top"/>
          </w:tcPr>
          <w:p w14:paraId="563F3ED7">
            <w:pPr>
              <w:rPr>
                <w:rFonts w:ascii="Arial"/>
                <w:sz w:val="21"/>
              </w:rPr>
            </w:pPr>
          </w:p>
        </w:tc>
      </w:tr>
      <w:tr w14:paraId="53BB6F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55DBBB1F">
            <w:pPr>
              <w:rPr>
                <w:rFonts w:ascii="Arial"/>
                <w:sz w:val="21"/>
              </w:rPr>
            </w:pPr>
          </w:p>
        </w:tc>
        <w:tc>
          <w:tcPr>
            <w:tcW w:w="113" w:type="dxa"/>
            <w:tcBorders>
              <w:top w:val="nil"/>
              <w:bottom w:val="nil"/>
            </w:tcBorders>
            <w:vAlign w:val="top"/>
          </w:tcPr>
          <w:p w14:paraId="2B91FE0E">
            <w:pPr>
              <w:rPr>
                <w:rFonts w:ascii="Arial"/>
                <w:sz w:val="21"/>
              </w:rPr>
            </w:pPr>
          </w:p>
        </w:tc>
        <w:tc>
          <w:tcPr>
            <w:tcW w:w="3710" w:type="dxa"/>
            <w:gridSpan w:val="4"/>
            <w:vAlign w:val="top"/>
          </w:tcPr>
          <w:p w14:paraId="390397C1">
            <w:pPr>
              <w:pStyle w:val="6"/>
              <w:spacing w:before="53" w:line="221" w:lineRule="auto"/>
              <w:ind w:left="492"/>
            </w:pPr>
            <w:r>
              <w:rPr>
                <w:spacing w:val="-1"/>
              </w:rPr>
              <w:t>跨越河流（百年一遇洪水位）</w:t>
            </w:r>
          </w:p>
        </w:tc>
        <w:tc>
          <w:tcPr>
            <w:tcW w:w="2691" w:type="dxa"/>
            <w:gridSpan w:val="4"/>
            <w:vAlign w:val="top"/>
          </w:tcPr>
          <w:p w14:paraId="3A3DE2DD">
            <w:pPr>
              <w:spacing w:before="88" w:line="222" w:lineRule="auto"/>
              <w:ind w:left="121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872" w:type="dxa"/>
            <w:vAlign w:val="top"/>
          </w:tcPr>
          <w:p w14:paraId="348E20D2">
            <w:pPr>
              <w:spacing w:before="88" w:line="222" w:lineRule="auto"/>
              <w:ind w:left="90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21" w:type="dxa"/>
            <w:tcBorders>
              <w:top w:val="nil"/>
              <w:bottom w:val="nil"/>
            </w:tcBorders>
            <w:vAlign w:val="top"/>
          </w:tcPr>
          <w:p w14:paraId="42CB241E">
            <w:pPr>
              <w:rPr>
                <w:rFonts w:ascii="Arial"/>
                <w:sz w:val="21"/>
              </w:rPr>
            </w:pPr>
          </w:p>
        </w:tc>
      </w:tr>
      <w:tr w14:paraId="78EFE6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71F97AB0">
            <w:pPr>
              <w:rPr>
                <w:rFonts w:ascii="Arial"/>
                <w:sz w:val="21"/>
              </w:rPr>
            </w:pPr>
          </w:p>
        </w:tc>
        <w:tc>
          <w:tcPr>
            <w:tcW w:w="113" w:type="dxa"/>
            <w:tcBorders>
              <w:top w:val="nil"/>
              <w:bottom w:val="nil"/>
            </w:tcBorders>
            <w:vAlign w:val="top"/>
          </w:tcPr>
          <w:p w14:paraId="7FC54C7E">
            <w:pPr>
              <w:rPr>
                <w:rFonts w:ascii="Arial"/>
                <w:sz w:val="21"/>
              </w:rPr>
            </w:pPr>
          </w:p>
        </w:tc>
        <w:tc>
          <w:tcPr>
            <w:tcW w:w="3710" w:type="dxa"/>
            <w:gridSpan w:val="4"/>
            <w:vAlign w:val="top"/>
          </w:tcPr>
          <w:p w14:paraId="1F212E9E">
            <w:pPr>
              <w:pStyle w:val="6"/>
              <w:spacing w:before="52" w:line="227" w:lineRule="auto"/>
              <w:ind w:left="1337"/>
            </w:pPr>
            <w:r>
              <w:rPr>
                <w:rFonts w:ascii="Times New Roman" w:hAnsi="Times New Roman" w:eastAsia="Times New Roman" w:cs="Times New Roman"/>
                <w:spacing w:val="-3"/>
              </w:rPr>
              <w:t>500kV</w:t>
            </w:r>
            <w:r>
              <w:rPr>
                <w:rFonts w:ascii="Times New Roman" w:hAnsi="Times New Roman" w:eastAsia="Times New Roman" w:cs="Times New Roman"/>
                <w:spacing w:val="17"/>
              </w:rPr>
              <w:t xml:space="preserve"> </w:t>
            </w:r>
            <w:r>
              <w:rPr>
                <w:spacing w:val="-3"/>
              </w:rPr>
              <w:t>线路</w:t>
            </w:r>
          </w:p>
        </w:tc>
        <w:tc>
          <w:tcPr>
            <w:tcW w:w="2691" w:type="dxa"/>
            <w:gridSpan w:val="4"/>
            <w:vAlign w:val="top"/>
          </w:tcPr>
          <w:p w14:paraId="7FD27BA4">
            <w:pPr>
              <w:pStyle w:val="6"/>
              <w:spacing w:before="52" w:line="227" w:lineRule="auto"/>
              <w:ind w:left="144"/>
            </w:pPr>
            <w:r>
              <w:rPr>
                <w:rFonts w:ascii="Times New Roman" w:hAnsi="Times New Roman" w:eastAsia="Times New Roman" w:cs="Times New Roman"/>
                <w:spacing w:val="-1"/>
              </w:rPr>
              <w:t>6.0</w:t>
            </w:r>
            <w:r>
              <w:rPr>
                <w:spacing w:val="-1"/>
              </w:rPr>
              <w:t>（水平）、</w:t>
            </w:r>
            <w:r>
              <w:rPr>
                <w:rFonts w:ascii="Times New Roman" w:hAnsi="Times New Roman" w:eastAsia="Times New Roman" w:cs="Times New Roman"/>
                <w:spacing w:val="-1"/>
              </w:rPr>
              <w:t>8.5</w:t>
            </w:r>
            <w:r>
              <w:rPr>
                <w:spacing w:val="-1"/>
              </w:rPr>
              <w:t>（三角）</w:t>
            </w:r>
          </w:p>
        </w:tc>
        <w:tc>
          <w:tcPr>
            <w:tcW w:w="1872" w:type="dxa"/>
            <w:vAlign w:val="top"/>
          </w:tcPr>
          <w:p w14:paraId="248239F3">
            <w:pPr>
              <w:spacing w:before="88" w:line="221" w:lineRule="auto"/>
              <w:ind w:left="90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21" w:type="dxa"/>
            <w:tcBorders>
              <w:top w:val="nil"/>
              <w:bottom w:val="nil"/>
            </w:tcBorders>
            <w:vAlign w:val="top"/>
          </w:tcPr>
          <w:p w14:paraId="4CD0016A">
            <w:pPr>
              <w:rPr>
                <w:rFonts w:ascii="Arial"/>
                <w:sz w:val="21"/>
              </w:rPr>
            </w:pPr>
          </w:p>
        </w:tc>
      </w:tr>
      <w:tr w14:paraId="481F8F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4A3DC682">
            <w:pPr>
              <w:rPr>
                <w:rFonts w:ascii="Arial"/>
                <w:sz w:val="21"/>
              </w:rPr>
            </w:pPr>
          </w:p>
        </w:tc>
        <w:tc>
          <w:tcPr>
            <w:tcW w:w="113" w:type="dxa"/>
            <w:tcBorders>
              <w:top w:val="nil"/>
              <w:bottom w:val="nil"/>
            </w:tcBorders>
            <w:vAlign w:val="top"/>
          </w:tcPr>
          <w:p w14:paraId="20D1B793">
            <w:pPr>
              <w:rPr>
                <w:rFonts w:ascii="Arial"/>
                <w:sz w:val="21"/>
              </w:rPr>
            </w:pPr>
          </w:p>
        </w:tc>
        <w:tc>
          <w:tcPr>
            <w:tcW w:w="3710" w:type="dxa"/>
            <w:gridSpan w:val="4"/>
            <w:vAlign w:val="top"/>
          </w:tcPr>
          <w:p w14:paraId="1975964C">
            <w:pPr>
              <w:pStyle w:val="6"/>
              <w:spacing w:before="53" w:line="226" w:lineRule="auto"/>
              <w:ind w:left="1331"/>
            </w:pPr>
            <w:r>
              <w:rPr>
                <w:rFonts w:ascii="Times New Roman" w:hAnsi="Times New Roman" w:eastAsia="Times New Roman" w:cs="Times New Roman"/>
                <w:spacing w:val="-2"/>
              </w:rPr>
              <w:t>220kV</w:t>
            </w:r>
            <w:r>
              <w:rPr>
                <w:rFonts w:ascii="Times New Roman" w:hAnsi="Times New Roman" w:eastAsia="Times New Roman" w:cs="Times New Roman"/>
                <w:spacing w:val="16"/>
              </w:rPr>
              <w:t xml:space="preserve"> </w:t>
            </w:r>
            <w:r>
              <w:rPr>
                <w:spacing w:val="-2"/>
              </w:rPr>
              <w:t>线路</w:t>
            </w:r>
          </w:p>
        </w:tc>
        <w:tc>
          <w:tcPr>
            <w:tcW w:w="2691" w:type="dxa"/>
            <w:gridSpan w:val="4"/>
            <w:vAlign w:val="top"/>
          </w:tcPr>
          <w:p w14:paraId="77FC2C65">
            <w:pPr>
              <w:spacing w:before="88" w:line="221" w:lineRule="auto"/>
              <w:ind w:left="121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872" w:type="dxa"/>
            <w:vAlign w:val="top"/>
          </w:tcPr>
          <w:p w14:paraId="61962926">
            <w:pPr>
              <w:spacing w:before="88" w:line="221" w:lineRule="auto"/>
              <w:ind w:left="90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21" w:type="dxa"/>
            <w:tcBorders>
              <w:top w:val="nil"/>
              <w:bottom w:val="nil"/>
            </w:tcBorders>
            <w:vAlign w:val="top"/>
          </w:tcPr>
          <w:p w14:paraId="4E707953">
            <w:pPr>
              <w:rPr>
                <w:rFonts w:ascii="Arial"/>
                <w:sz w:val="21"/>
              </w:rPr>
            </w:pPr>
          </w:p>
        </w:tc>
      </w:tr>
      <w:tr w14:paraId="7D9DD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F1E3C2C">
            <w:pPr>
              <w:rPr>
                <w:rFonts w:ascii="Arial"/>
                <w:sz w:val="21"/>
              </w:rPr>
            </w:pPr>
          </w:p>
        </w:tc>
        <w:tc>
          <w:tcPr>
            <w:tcW w:w="113" w:type="dxa"/>
            <w:tcBorders>
              <w:top w:val="nil"/>
              <w:bottom w:val="nil"/>
            </w:tcBorders>
            <w:vAlign w:val="top"/>
          </w:tcPr>
          <w:p w14:paraId="0C876D0D">
            <w:pPr>
              <w:rPr>
                <w:rFonts w:ascii="Arial"/>
                <w:sz w:val="21"/>
              </w:rPr>
            </w:pPr>
          </w:p>
        </w:tc>
        <w:tc>
          <w:tcPr>
            <w:tcW w:w="3710" w:type="dxa"/>
            <w:gridSpan w:val="4"/>
            <w:vAlign w:val="top"/>
          </w:tcPr>
          <w:p w14:paraId="18AAD3CF">
            <w:pPr>
              <w:pStyle w:val="6"/>
              <w:spacing w:before="53" w:line="226" w:lineRule="auto"/>
              <w:ind w:left="1352"/>
            </w:pPr>
            <w:r>
              <w:rPr>
                <w:rFonts w:ascii="Times New Roman" w:hAnsi="Times New Roman" w:eastAsia="Times New Roman" w:cs="Times New Roman"/>
                <w:spacing w:val="-5"/>
              </w:rPr>
              <w:t>110kV</w:t>
            </w:r>
            <w:r>
              <w:rPr>
                <w:rFonts w:ascii="Times New Roman" w:hAnsi="Times New Roman" w:eastAsia="Times New Roman" w:cs="Times New Roman"/>
                <w:spacing w:val="16"/>
                <w:w w:val="101"/>
              </w:rPr>
              <w:t xml:space="preserve"> </w:t>
            </w:r>
            <w:r>
              <w:rPr>
                <w:spacing w:val="-5"/>
              </w:rPr>
              <w:t>线路</w:t>
            </w:r>
          </w:p>
        </w:tc>
        <w:tc>
          <w:tcPr>
            <w:tcW w:w="2691" w:type="dxa"/>
            <w:gridSpan w:val="4"/>
            <w:vAlign w:val="top"/>
          </w:tcPr>
          <w:p w14:paraId="7BD91EDA">
            <w:pPr>
              <w:spacing w:before="88" w:line="221" w:lineRule="auto"/>
              <w:ind w:left="121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872" w:type="dxa"/>
            <w:vAlign w:val="top"/>
          </w:tcPr>
          <w:p w14:paraId="52740904">
            <w:pPr>
              <w:spacing w:before="88" w:line="221" w:lineRule="auto"/>
              <w:ind w:left="90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21" w:type="dxa"/>
            <w:tcBorders>
              <w:top w:val="nil"/>
              <w:bottom w:val="nil"/>
            </w:tcBorders>
            <w:vAlign w:val="top"/>
          </w:tcPr>
          <w:p w14:paraId="18007869">
            <w:pPr>
              <w:rPr>
                <w:rFonts w:ascii="Arial"/>
                <w:sz w:val="21"/>
              </w:rPr>
            </w:pPr>
          </w:p>
        </w:tc>
      </w:tr>
      <w:tr w14:paraId="24296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71" w:type="dxa"/>
            <w:vMerge w:val="continue"/>
            <w:tcBorders>
              <w:top w:val="nil"/>
              <w:bottom w:val="nil"/>
            </w:tcBorders>
            <w:vAlign w:val="top"/>
          </w:tcPr>
          <w:p w14:paraId="36725B63">
            <w:pPr>
              <w:rPr>
                <w:rFonts w:ascii="Arial"/>
                <w:sz w:val="21"/>
              </w:rPr>
            </w:pPr>
          </w:p>
        </w:tc>
        <w:tc>
          <w:tcPr>
            <w:tcW w:w="8507" w:type="dxa"/>
            <w:gridSpan w:val="11"/>
            <w:vAlign w:val="top"/>
          </w:tcPr>
          <w:p w14:paraId="174D2AAB">
            <w:pPr>
              <w:spacing w:line="298" w:lineRule="auto"/>
              <w:rPr>
                <w:rFonts w:ascii="Arial"/>
                <w:sz w:val="21"/>
              </w:rPr>
            </w:pPr>
          </w:p>
          <w:p w14:paraId="1F99DE6A">
            <w:pPr>
              <w:pStyle w:val="6"/>
              <w:spacing w:before="69" w:line="226" w:lineRule="auto"/>
              <w:ind w:left="2506"/>
            </w:pPr>
            <w:r>
              <w:rPr>
                <w:b/>
                <w:bCs/>
                <w:spacing w:val="-2"/>
              </w:rPr>
              <w:t>表</w:t>
            </w:r>
            <w:r>
              <w:rPr>
                <w:spacing w:val="-36"/>
              </w:rPr>
              <w:t xml:space="preserve"> </w:t>
            </w:r>
            <w:r>
              <w:rPr>
                <w:rFonts w:ascii="Times New Roman" w:hAnsi="Times New Roman" w:eastAsia="Times New Roman" w:cs="Times New Roman"/>
                <w:b/>
                <w:bCs/>
                <w:spacing w:val="-2"/>
              </w:rPr>
              <w:t xml:space="preserve">2-5    </w:t>
            </w:r>
            <w:r>
              <w:rPr>
                <w:b/>
                <w:bCs/>
                <w:spacing w:val="-2"/>
              </w:rPr>
              <w:t>本工程线路主要交叉跨越情况</w:t>
            </w:r>
          </w:p>
        </w:tc>
      </w:tr>
      <w:tr w14:paraId="5ED787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8FA133F">
            <w:pPr>
              <w:rPr>
                <w:rFonts w:ascii="Arial"/>
                <w:sz w:val="21"/>
              </w:rPr>
            </w:pPr>
          </w:p>
        </w:tc>
        <w:tc>
          <w:tcPr>
            <w:tcW w:w="113" w:type="dxa"/>
            <w:tcBorders>
              <w:top w:val="nil"/>
              <w:bottom w:val="nil"/>
            </w:tcBorders>
            <w:vAlign w:val="top"/>
          </w:tcPr>
          <w:p w14:paraId="3C8EA83C">
            <w:pPr>
              <w:rPr>
                <w:rFonts w:ascii="Arial"/>
                <w:sz w:val="21"/>
              </w:rPr>
            </w:pPr>
          </w:p>
        </w:tc>
        <w:tc>
          <w:tcPr>
            <w:tcW w:w="4276" w:type="dxa"/>
            <w:gridSpan w:val="5"/>
            <w:vAlign w:val="top"/>
          </w:tcPr>
          <w:p w14:paraId="102F2D1E">
            <w:pPr>
              <w:pStyle w:val="6"/>
              <w:spacing w:before="53" w:line="221" w:lineRule="auto"/>
              <w:ind w:left="1512"/>
            </w:pPr>
            <w:r>
              <w:rPr>
                <w:b/>
                <w:bCs/>
                <w:spacing w:val="-3"/>
              </w:rPr>
              <w:t>交叉跨越对象</w:t>
            </w:r>
          </w:p>
        </w:tc>
        <w:tc>
          <w:tcPr>
            <w:tcW w:w="3997" w:type="dxa"/>
            <w:gridSpan w:val="4"/>
            <w:vAlign w:val="top"/>
          </w:tcPr>
          <w:p w14:paraId="078BFAE4">
            <w:pPr>
              <w:pStyle w:val="6"/>
              <w:spacing w:before="53" w:line="221" w:lineRule="auto"/>
              <w:ind w:left="1799"/>
            </w:pPr>
            <w:r>
              <w:rPr>
                <w:b/>
                <w:bCs/>
                <w:spacing w:val="-6"/>
              </w:rPr>
              <w:t>次数</w:t>
            </w:r>
          </w:p>
        </w:tc>
        <w:tc>
          <w:tcPr>
            <w:tcW w:w="121" w:type="dxa"/>
            <w:tcBorders>
              <w:top w:val="nil"/>
              <w:bottom w:val="nil"/>
            </w:tcBorders>
            <w:vAlign w:val="top"/>
          </w:tcPr>
          <w:p w14:paraId="11F43C1D">
            <w:pPr>
              <w:rPr>
                <w:rFonts w:ascii="Arial"/>
                <w:sz w:val="21"/>
              </w:rPr>
            </w:pPr>
          </w:p>
        </w:tc>
      </w:tr>
      <w:tr w14:paraId="583148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591A5815">
            <w:pPr>
              <w:rPr>
                <w:rFonts w:ascii="Arial"/>
                <w:sz w:val="21"/>
              </w:rPr>
            </w:pPr>
          </w:p>
        </w:tc>
        <w:tc>
          <w:tcPr>
            <w:tcW w:w="113" w:type="dxa"/>
            <w:tcBorders>
              <w:top w:val="nil"/>
              <w:bottom w:val="nil"/>
            </w:tcBorders>
            <w:vAlign w:val="top"/>
          </w:tcPr>
          <w:p w14:paraId="2550B56C">
            <w:pPr>
              <w:rPr>
                <w:rFonts w:ascii="Arial"/>
                <w:sz w:val="21"/>
              </w:rPr>
            </w:pPr>
          </w:p>
        </w:tc>
        <w:tc>
          <w:tcPr>
            <w:tcW w:w="4276" w:type="dxa"/>
            <w:gridSpan w:val="5"/>
            <w:vAlign w:val="top"/>
          </w:tcPr>
          <w:p w14:paraId="26900B07">
            <w:pPr>
              <w:pStyle w:val="6"/>
              <w:spacing w:before="54" w:line="222" w:lineRule="auto"/>
              <w:ind w:left="1406"/>
            </w:pPr>
            <w:r>
              <w:rPr>
                <w:rFonts w:ascii="Times New Roman" w:hAnsi="Times New Roman" w:eastAsia="Times New Roman" w:cs="Times New Roman"/>
                <w:spacing w:val="-1"/>
              </w:rPr>
              <w:t xml:space="preserve">220kV </w:t>
            </w:r>
            <w:r>
              <w:rPr>
                <w:spacing w:val="-1"/>
              </w:rPr>
              <w:t>者迤Ⅱ回</w:t>
            </w:r>
          </w:p>
        </w:tc>
        <w:tc>
          <w:tcPr>
            <w:tcW w:w="3997" w:type="dxa"/>
            <w:gridSpan w:val="4"/>
            <w:vAlign w:val="top"/>
          </w:tcPr>
          <w:p w14:paraId="1C43691D">
            <w:pPr>
              <w:pStyle w:val="6"/>
              <w:spacing w:before="55" w:line="225" w:lineRule="auto"/>
              <w:ind w:left="1838"/>
            </w:pPr>
            <w:r>
              <w:rPr>
                <w:rFonts w:ascii="Times New Roman" w:hAnsi="Times New Roman" w:eastAsia="Times New Roman" w:cs="Times New Roman"/>
                <w:spacing w:val="-13"/>
              </w:rPr>
              <w:t>1</w:t>
            </w:r>
            <w:r>
              <w:rPr>
                <w:rFonts w:ascii="Times New Roman" w:hAnsi="Times New Roman" w:eastAsia="Times New Roman" w:cs="Times New Roman"/>
                <w:spacing w:val="15"/>
              </w:rPr>
              <w:t xml:space="preserve"> </w:t>
            </w:r>
            <w:r>
              <w:rPr>
                <w:spacing w:val="-13"/>
              </w:rPr>
              <w:t>次</w:t>
            </w:r>
          </w:p>
        </w:tc>
        <w:tc>
          <w:tcPr>
            <w:tcW w:w="121" w:type="dxa"/>
            <w:tcBorders>
              <w:top w:val="nil"/>
              <w:bottom w:val="nil"/>
            </w:tcBorders>
            <w:vAlign w:val="top"/>
          </w:tcPr>
          <w:p w14:paraId="5E542DDB">
            <w:pPr>
              <w:rPr>
                <w:rFonts w:ascii="Arial"/>
                <w:sz w:val="21"/>
              </w:rPr>
            </w:pPr>
          </w:p>
        </w:tc>
      </w:tr>
      <w:tr w14:paraId="7F20F4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D9AF771">
            <w:pPr>
              <w:rPr>
                <w:rFonts w:ascii="Arial"/>
                <w:sz w:val="21"/>
              </w:rPr>
            </w:pPr>
          </w:p>
        </w:tc>
        <w:tc>
          <w:tcPr>
            <w:tcW w:w="113" w:type="dxa"/>
            <w:tcBorders>
              <w:top w:val="nil"/>
              <w:bottom w:val="nil"/>
            </w:tcBorders>
            <w:vAlign w:val="top"/>
          </w:tcPr>
          <w:p w14:paraId="5EB0AC79">
            <w:pPr>
              <w:rPr>
                <w:rFonts w:ascii="Arial"/>
                <w:sz w:val="21"/>
              </w:rPr>
            </w:pPr>
          </w:p>
        </w:tc>
        <w:tc>
          <w:tcPr>
            <w:tcW w:w="4276" w:type="dxa"/>
            <w:gridSpan w:val="5"/>
            <w:vAlign w:val="top"/>
          </w:tcPr>
          <w:p w14:paraId="57902230">
            <w:pPr>
              <w:pStyle w:val="6"/>
              <w:spacing w:before="54" w:line="221" w:lineRule="auto"/>
              <w:ind w:left="1509"/>
            </w:pPr>
            <w:r>
              <w:rPr>
                <w:rFonts w:ascii="Times New Roman" w:hAnsi="Times New Roman" w:eastAsia="Times New Roman" w:cs="Times New Roman"/>
                <w:spacing w:val="-1"/>
              </w:rPr>
              <w:t xml:space="preserve">220kV </w:t>
            </w:r>
            <w:r>
              <w:rPr>
                <w:spacing w:val="-1"/>
              </w:rPr>
              <w:t>赖迤线</w:t>
            </w:r>
          </w:p>
        </w:tc>
        <w:tc>
          <w:tcPr>
            <w:tcW w:w="3997" w:type="dxa"/>
            <w:gridSpan w:val="4"/>
            <w:vAlign w:val="top"/>
          </w:tcPr>
          <w:p w14:paraId="38D23B9E">
            <w:pPr>
              <w:pStyle w:val="6"/>
              <w:spacing w:before="55" w:line="225" w:lineRule="auto"/>
              <w:ind w:left="1818"/>
            </w:pPr>
            <w:r>
              <w:rPr>
                <w:rFonts w:ascii="Times New Roman" w:hAnsi="Times New Roman" w:eastAsia="Times New Roman" w:cs="Times New Roman"/>
                <w:spacing w:val="-2"/>
              </w:rPr>
              <w:t>2</w:t>
            </w:r>
            <w:r>
              <w:rPr>
                <w:rFonts w:ascii="Times New Roman" w:hAnsi="Times New Roman" w:eastAsia="Times New Roman" w:cs="Times New Roman"/>
                <w:spacing w:val="14"/>
              </w:rPr>
              <w:t xml:space="preserve"> </w:t>
            </w:r>
            <w:r>
              <w:rPr>
                <w:spacing w:val="-2"/>
              </w:rPr>
              <w:t>次</w:t>
            </w:r>
          </w:p>
        </w:tc>
        <w:tc>
          <w:tcPr>
            <w:tcW w:w="121" w:type="dxa"/>
            <w:tcBorders>
              <w:top w:val="nil"/>
              <w:bottom w:val="nil"/>
            </w:tcBorders>
            <w:vAlign w:val="top"/>
          </w:tcPr>
          <w:p w14:paraId="0F01C8FF">
            <w:pPr>
              <w:rPr>
                <w:rFonts w:ascii="Arial"/>
                <w:sz w:val="21"/>
              </w:rPr>
            </w:pPr>
          </w:p>
        </w:tc>
      </w:tr>
      <w:tr w14:paraId="5BFE57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671EE6B1">
            <w:pPr>
              <w:rPr>
                <w:rFonts w:ascii="Arial"/>
                <w:sz w:val="21"/>
              </w:rPr>
            </w:pPr>
          </w:p>
        </w:tc>
        <w:tc>
          <w:tcPr>
            <w:tcW w:w="113" w:type="dxa"/>
            <w:tcBorders>
              <w:top w:val="nil"/>
              <w:bottom w:val="nil"/>
            </w:tcBorders>
            <w:vAlign w:val="top"/>
          </w:tcPr>
          <w:p w14:paraId="79F5BA07">
            <w:pPr>
              <w:rPr>
                <w:rFonts w:ascii="Arial"/>
                <w:sz w:val="21"/>
              </w:rPr>
            </w:pPr>
          </w:p>
        </w:tc>
        <w:tc>
          <w:tcPr>
            <w:tcW w:w="4276" w:type="dxa"/>
            <w:gridSpan w:val="5"/>
            <w:vAlign w:val="top"/>
          </w:tcPr>
          <w:p w14:paraId="4D3D49F4">
            <w:pPr>
              <w:pStyle w:val="6"/>
              <w:spacing w:before="55" w:line="221" w:lineRule="auto"/>
              <w:ind w:left="1534"/>
            </w:pPr>
            <w:r>
              <w:rPr>
                <w:rFonts w:ascii="Times New Roman" w:hAnsi="Times New Roman" w:eastAsia="Times New Roman" w:cs="Times New Roman"/>
                <w:spacing w:val="-5"/>
              </w:rPr>
              <w:t>110kV</w:t>
            </w:r>
            <w:r>
              <w:rPr>
                <w:rFonts w:ascii="Times New Roman" w:hAnsi="Times New Roman" w:eastAsia="Times New Roman" w:cs="Times New Roman"/>
                <w:spacing w:val="9"/>
              </w:rPr>
              <w:t xml:space="preserve"> </w:t>
            </w:r>
            <w:r>
              <w:rPr>
                <w:spacing w:val="-5"/>
              </w:rPr>
              <w:t>大迤线</w:t>
            </w:r>
          </w:p>
        </w:tc>
        <w:tc>
          <w:tcPr>
            <w:tcW w:w="3997" w:type="dxa"/>
            <w:gridSpan w:val="4"/>
            <w:vAlign w:val="top"/>
          </w:tcPr>
          <w:p w14:paraId="14AF480B">
            <w:pPr>
              <w:pStyle w:val="6"/>
              <w:spacing w:before="55" w:line="223" w:lineRule="auto"/>
              <w:ind w:left="1822"/>
            </w:pPr>
            <w:r>
              <w:rPr>
                <w:rFonts w:ascii="Times New Roman" w:hAnsi="Times New Roman" w:eastAsia="Times New Roman" w:cs="Times New Roman"/>
                <w:spacing w:val="-5"/>
              </w:rPr>
              <w:t>3</w:t>
            </w:r>
            <w:r>
              <w:rPr>
                <w:rFonts w:ascii="Times New Roman" w:hAnsi="Times New Roman" w:eastAsia="Times New Roman" w:cs="Times New Roman"/>
                <w:spacing w:val="15"/>
              </w:rPr>
              <w:t xml:space="preserve"> </w:t>
            </w:r>
            <w:r>
              <w:rPr>
                <w:spacing w:val="-5"/>
              </w:rPr>
              <w:t>次</w:t>
            </w:r>
          </w:p>
        </w:tc>
        <w:tc>
          <w:tcPr>
            <w:tcW w:w="121" w:type="dxa"/>
            <w:tcBorders>
              <w:top w:val="nil"/>
              <w:bottom w:val="nil"/>
            </w:tcBorders>
            <w:vAlign w:val="top"/>
          </w:tcPr>
          <w:p w14:paraId="35D7FC86">
            <w:pPr>
              <w:rPr>
                <w:rFonts w:ascii="Arial"/>
                <w:sz w:val="21"/>
              </w:rPr>
            </w:pPr>
          </w:p>
        </w:tc>
      </w:tr>
      <w:tr w14:paraId="12B348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5214E8C1">
            <w:pPr>
              <w:rPr>
                <w:rFonts w:ascii="Arial"/>
                <w:sz w:val="21"/>
              </w:rPr>
            </w:pPr>
          </w:p>
        </w:tc>
        <w:tc>
          <w:tcPr>
            <w:tcW w:w="113" w:type="dxa"/>
            <w:tcBorders>
              <w:top w:val="nil"/>
              <w:bottom w:val="nil"/>
            </w:tcBorders>
            <w:vAlign w:val="top"/>
          </w:tcPr>
          <w:p w14:paraId="7473A5CE">
            <w:pPr>
              <w:rPr>
                <w:rFonts w:ascii="Arial"/>
                <w:sz w:val="21"/>
              </w:rPr>
            </w:pPr>
          </w:p>
        </w:tc>
        <w:tc>
          <w:tcPr>
            <w:tcW w:w="4276" w:type="dxa"/>
            <w:gridSpan w:val="5"/>
            <w:vAlign w:val="top"/>
          </w:tcPr>
          <w:p w14:paraId="165E0C26">
            <w:pPr>
              <w:pStyle w:val="6"/>
              <w:spacing w:before="57" w:line="221" w:lineRule="auto"/>
              <w:ind w:left="1146"/>
            </w:pPr>
            <w:r>
              <w:rPr>
                <w:rFonts w:ascii="Times New Roman" w:hAnsi="Times New Roman" w:eastAsia="Times New Roman" w:cs="Times New Roman"/>
                <w:spacing w:val="-1"/>
              </w:rPr>
              <w:t xml:space="preserve">35kV </w:t>
            </w:r>
            <w:r>
              <w:rPr>
                <w:spacing w:val="-1"/>
              </w:rPr>
              <w:t>及以下电力线路</w:t>
            </w:r>
          </w:p>
        </w:tc>
        <w:tc>
          <w:tcPr>
            <w:tcW w:w="3997" w:type="dxa"/>
            <w:gridSpan w:val="4"/>
            <w:vAlign w:val="top"/>
          </w:tcPr>
          <w:p w14:paraId="51487CAE">
            <w:pPr>
              <w:pStyle w:val="6"/>
              <w:spacing w:before="58" w:line="223" w:lineRule="auto"/>
              <w:ind w:left="1786"/>
            </w:pPr>
            <w:r>
              <w:rPr>
                <w:rFonts w:ascii="Times New Roman" w:hAnsi="Times New Roman" w:eastAsia="Times New Roman" w:cs="Times New Roman"/>
                <w:spacing w:val="-8"/>
              </w:rPr>
              <w:t>14</w:t>
            </w:r>
            <w:r>
              <w:rPr>
                <w:rFonts w:ascii="Times New Roman" w:hAnsi="Times New Roman" w:eastAsia="Times New Roman" w:cs="Times New Roman"/>
                <w:spacing w:val="14"/>
              </w:rPr>
              <w:t xml:space="preserve"> </w:t>
            </w:r>
            <w:r>
              <w:rPr>
                <w:spacing w:val="-8"/>
              </w:rPr>
              <w:t>次</w:t>
            </w:r>
          </w:p>
        </w:tc>
        <w:tc>
          <w:tcPr>
            <w:tcW w:w="121" w:type="dxa"/>
            <w:tcBorders>
              <w:top w:val="nil"/>
              <w:bottom w:val="nil"/>
            </w:tcBorders>
            <w:vAlign w:val="top"/>
          </w:tcPr>
          <w:p w14:paraId="3480ABF8">
            <w:pPr>
              <w:rPr>
                <w:rFonts w:ascii="Arial"/>
                <w:sz w:val="21"/>
              </w:rPr>
            </w:pPr>
          </w:p>
        </w:tc>
      </w:tr>
      <w:tr w14:paraId="70A24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058FE414">
            <w:pPr>
              <w:rPr>
                <w:rFonts w:ascii="Arial"/>
                <w:sz w:val="21"/>
              </w:rPr>
            </w:pPr>
          </w:p>
        </w:tc>
        <w:tc>
          <w:tcPr>
            <w:tcW w:w="113" w:type="dxa"/>
            <w:tcBorders>
              <w:top w:val="nil"/>
              <w:bottom w:val="nil"/>
            </w:tcBorders>
            <w:vAlign w:val="top"/>
          </w:tcPr>
          <w:p w14:paraId="4C55E0C6">
            <w:pPr>
              <w:rPr>
                <w:rFonts w:ascii="Arial"/>
                <w:sz w:val="21"/>
              </w:rPr>
            </w:pPr>
          </w:p>
        </w:tc>
        <w:tc>
          <w:tcPr>
            <w:tcW w:w="4276" w:type="dxa"/>
            <w:gridSpan w:val="5"/>
            <w:vAlign w:val="top"/>
          </w:tcPr>
          <w:p w14:paraId="0DA71A06">
            <w:pPr>
              <w:pStyle w:val="6"/>
              <w:spacing w:before="54" w:line="221" w:lineRule="auto"/>
              <w:ind w:left="1615"/>
            </w:pPr>
            <w:r>
              <w:rPr>
                <w:spacing w:val="-1"/>
              </w:rPr>
              <w:t>低压照明线</w:t>
            </w:r>
          </w:p>
        </w:tc>
        <w:tc>
          <w:tcPr>
            <w:tcW w:w="3997" w:type="dxa"/>
            <w:gridSpan w:val="4"/>
            <w:vAlign w:val="top"/>
          </w:tcPr>
          <w:p w14:paraId="22B810FE">
            <w:pPr>
              <w:pStyle w:val="6"/>
              <w:spacing w:before="55" w:line="225" w:lineRule="auto"/>
              <w:ind w:left="1824"/>
            </w:pPr>
            <w:r>
              <w:rPr>
                <w:rFonts w:ascii="Times New Roman" w:hAnsi="Times New Roman" w:eastAsia="Times New Roman" w:cs="Times New Roman"/>
                <w:spacing w:val="-5"/>
              </w:rPr>
              <w:t>5</w:t>
            </w:r>
            <w:r>
              <w:rPr>
                <w:rFonts w:ascii="Times New Roman" w:hAnsi="Times New Roman" w:eastAsia="Times New Roman" w:cs="Times New Roman"/>
                <w:spacing w:val="14"/>
              </w:rPr>
              <w:t xml:space="preserve"> </w:t>
            </w:r>
            <w:r>
              <w:rPr>
                <w:spacing w:val="-5"/>
              </w:rPr>
              <w:t>次</w:t>
            </w:r>
          </w:p>
        </w:tc>
        <w:tc>
          <w:tcPr>
            <w:tcW w:w="121" w:type="dxa"/>
            <w:tcBorders>
              <w:top w:val="nil"/>
              <w:bottom w:val="nil"/>
            </w:tcBorders>
            <w:vAlign w:val="top"/>
          </w:tcPr>
          <w:p w14:paraId="0EB855B6">
            <w:pPr>
              <w:rPr>
                <w:rFonts w:ascii="Arial"/>
                <w:sz w:val="21"/>
              </w:rPr>
            </w:pPr>
          </w:p>
        </w:tc>
      </w:tr>
      <w:tr w14:paraId="59812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5129C15B">
            <w:pPr>
              <w:rPr>
                <w:rFonts w:ascii="Arial"/>
                <w:sz w:val="21"/>
              </w:rPr>
            </w:pPr>
          </w:p>
        </w:tc>
        <w:tc>
          <w:tcPr>
            <w:tcW w:w="113" w:type="dxa"/>
            <w:tcBorders>
              <w:top w:val="nil"/>
              <w:bottom w:val="nil"/>
            </w:tcBorders>
            <w:vAlign w:val="top"/>
          </w:tcPr>
          <w:p w14:paraId="3AA6FF75">
            <w:pPr>
              <w:rPr>
                <w:rFonts w:ascii="Arial"/>
                <w:sz w:val="21"/>
              </w:rPr>
            </w:pPr>
          </w:p>
        </w:tc>
        <w:tc>
          <w:tcPr>
            <w:tcW w:w="4276" w:type="dxa"/>
            <w:gridSpan w:val="5"/>
            <w:vAlign w:val="top"/>
          </w:tcPr>
          <w:p w14:paraId="7898326A">
            <w:pPr>
              <w:pStyle w:val="6"/>
              <w:spacing w:before="55" w:line="221" w:lineRule="auto"/>
              <w:ind w:left="1825"/>
            </w:pPr>
            <w:r>
              <w:rPr>
                <w:spacing w:val="-2"/>
              </w:rPr>
              <w:t>通信线</w:t>
            </w:r>
          </w:p>
        </w:tc>
        <w:tc>
          <w:tcPr>
            <w:tcW w:w="3997" w:type="dxa"/>
            <w:gridSpan w:val="4"/>
            <w:vAlign w:val="top"/>
          </w:tcPr>
          <w:p w14:paraId="5C1EB8AD">
            <w:pPr>
              <w:pStyle w:val="6"/>
              <w:spacing w:before="56" w:line="224" w:lineRule="auto"/>
              <w:ind w:left="1824"/>
            </w:pPr>
            <w:r>
              <w:rPr>
                <w:rFonts w:ascii="Times New Roman" w:hAnsi="Times New Roman" w:eastAsia="Times New Roman" w:cs="Times New Roman"/>
                <w:spacing w:val="-5"/>
              </w:rPr>
              <w:t>5</w:t>
            </w:r>
            <w:r>
              <w:rPr>
                <w:rFonts w:ascii="Times New Roman" w:hAnsi="Times New Roman" w:eastAsia="Times New Roman" w:cs="Times New Roman"/>
                <w:spacing w:val="14"/>
              </w:rPr>
              <w:t xml:space="preserve"> </w:t>
            </w:r>
            <w:r>
              <w:rPr>
                <w:spacing w:val="-5"/>
              </w:rPr>
              <w:t>次</w:t>
            </w:r>
          </w:p>
        </w:tc>
        <w:tc>
          <w:tcPr>
            <w:tcW w:w="121" w:type="dxa"/>
            <w:tcBorders>
              <w:top w:val="nil"/>
              <w:bottom w:val="nil"/>
            </w:tcBorders>
            <w:vAlign w:val="top"/>
          </w:tcPr>
          <w:p w14:paraId="6CE68508">
            <w:pPr>
              <w:rPr>
                <w:rFonts w:ascii="Arial"/>
                <w:sz w:val="21"/>
              </w:rPr>
            </w:pPr>
          </w:p>
        </w:tc>
      </w:tr>
      <w:tr w14:paraId="4730C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673CE719">
            <w:pPr>
              <w:rPr>
                <w:rFonts w:ascii="Arial"/>
                <w:sz w:val="21"/>
              </w:rPr>
            </w:pPr>
          </w:p>
        </w:tc>
        <w:tc>
          <w:tcPr>
            <w:tcW w:w="113" w:type="dxa"/>
            <w:tcBorders>
              <w:top w:val="nil"/>
              <w:bottom w:val="nil"/>
            </w:tcBorders>
            <w:vAlign w:val="top"/>
          </w:tcPr>
          <w:p w14:paraId="66A61A99">
            <w:pPr>
              <w:rPr>
                <w:rFonts w:ascii="Arial"/>
                <w:sz w:val="21"/>
              </w:rPr>
            </w:pPr>
          </w:p>
        </w:tc>
        <w:tc>
          <w:tcPr>
            <w:tcW w:w="4276" w:type="dxa"/>
            <w:gridSpan w:val="5"/>
            <w:vAlign w:val="top"/>
          </w:tcPr>
          <w:p w14:paraId="451B1787">
            <w:pPr>
              <w:pStyle w:val="6"/>
              <w:spacing w:before="55" w:line="221" w:lineRule="auto"/>
              <w:ind w:left="1930"/>
            </w:pPr>
            <w:r>
              <w:rPr>
                <w:spacing w:val="-2"/>
              </w:rPr>
              <w:t>铁路</w:t>
            </w:r>
          </w:p>
        </w:tc>
        <w:tc>
          <w:tcPr>
            <w:tcW w:w="3997" w:type="dxa"/>
            <w:gridSpan w:val="4"/>
            <w:vAlign w:val="top"/>
          </w:tcPr>
          <w:p w14:paraId="17B1A69F">
            <w:pPr>
              <w:pStyle w:val="6"/>
              <w:spacing w:before="56" w:line="224" w:lineRule="auto"/>
              <w:ind w:left="1186"/>
            </w:pPr>
            <w:r>
              <w:rPr>
                <w:rFonts w:ascii="Times New Roman" w:hAnsi="Times New Roman" w:eastAsia="Times New Roman" w:cs="Times New Roman"/>
                <w:spacing w:val="-2"/>
              </w:rPr>
              <w:t>2</w:t>
            </w:r>
            <w:r>
              <w:rPr>
                <w:rFonts w:ascii="Times New Roman" w:hAnsi="Times New Roman" w:eastAsia="Times New Roman" w:cs="Times New Roman"/>
                <w:spacing w:val="14"/>
                <w:w w:val="101"/>
              </w:rPr>
              <w:t xml:space="preserve"> </w:t>
            </w:r>
            <w:r>
              <w:rPr>
                <w:spacing w:val="-2"/>
              </w:rPr>
              <w:t>次（隧道上方）</w:t>
            </w:r>
          </w:p>
        </w:tc>
        <w:tc>
          <w:tcPr>
            <w:tcW w:w="121" w:type="dxa"/>
            <w:tcBorders>
              <w:top w:val="nil"/>
              <w:bottom w:val="nil"/>
            </w:tcBorders>
            <w:vAlign w:val="top"/>
          </w:tcPr>
          <w:p w14:paraId="5BA6B58C">
            <w:pPr>
              <w:rPr>
                <w:rFonts w:ascii="Arial"/>
                <w:sz w:val="21"/>
              </w:rPr>
            </w:pPr>
          </w:p>
        </w:tc>
      </w:tr>
      <w:tr w14:paraId="24F2C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356029DC">
            <w:pPr>
              <w:rPr>
                <w:rFonts w:ascii="Arial"/>
                <w:sz w:val="21"/>
              </w:rPr>
            </w:pPr>
          </w:p>
        </w:tc>
        <w:tc>
          <w:tcPr>
            <w:tcW w:w="113" w:type="dxa"/>
            <w:tcBorders>
              <w:top w:val="nil"/>
              <w:bottom w:val="nil"/>
            </w:tcBorders>
            <w:vAlign w:val="top"/>
          </w:tcPr>
          <w:p w14:paraId="5C2FFD75">
            <w:pPr>
              <w:rPr>
                <w:rFonts w:ascii="Arial"/>
                <w:sz w:val="21"/>
              </w:rPr>
            </w:pPr>
          </w:p>
        </w:tc>
        <w:tc>
          <w:tcPr>
            <w:tcW w:w="4276" w:type="dxa"/>
            <w:gridSpan w:val="5"/>
            <w:vAlign w:val="top"/>
          </w:tcPr>
          <w:p w14:paraId="57B7E39F">
            <w:pPr>
              <w:pStyle w:val="6"/>
              <w:spacing w:before="56" w:line="221" w:lineRule="auto"/>
              <w:ind w:left="1936"/>
            </w:pPr>
            <w:r>
              <w:rPr>
                <w:spacing w:val="-3"/>
              </w:rPr>
              <w:t>高速</w:t>
            </w:r>
          </w:p>
        </w:tc>
        <w:tc>
          <w:tcPr>
            <w:tcW w:w="3997" w:type="dxa"/>
            <w:gridSpan w:val="4"/>
            <w:vAlign w:val="top"/>
          </w:tcPr>
          <w:p w14:paraId="15E9A996">
            <w:pPr>
              <w:spacing w:before="91" w:line="218" w:lineRule="auto"/>
              <w:ind w:left="1967"/>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21" w:type="dxa"/>
            <w:tcBorders>
              <w:top w:val="nil"/>
              <w:bottom w:val="nil"/>
            </w:tcBorders>
            <w:vAlign w:val="top"/>
          </w:tcPr>
          <w:p w14:paraId="353C3D67">
            <w:pPr>
              <w:rPr>
                <w:rFonts w:ascii="Arial"/>
                <w:sz w:val="21"/>
              </w:rPr>
            </w:pPr>
          </w:p>
        </w:tc>
      </w:tr>
      <w:tr w14:paraId="0B155D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48F54619">
            <w:pPr>
              <w:rPr>
                <w:rFonts w:ascii="Arial"/>
                <w:sz w:val="21"/>
              </w:rPr>
            </w:pPr>
          </w:p>
        </w:tc>
        <w:tc>
          <w:tcPr>
            <w:tcW w:w="113" w:type="dxa"/>
            <w:tcBorders>
              <w:top w:val="nil"/>
              <w:bottom w:val="nil"/>
            </w:tcBorders>
            <w:vAlign w:val="top"/>
          </w:tcPr>
          <w:p w14:paraId="177FE87F">
            <w:pPr>
              <w:rPr>
                <w:rFonts w:ascii="Arial"/>
                <w:sz w:val="21"/>
              </w:rPr>
            </w:pPr>
          </w:p>
        </w:tc>
        <w:tc>
          <w:tcPr>
            <w:tcW w:w="4276" w:type="dxa"/>
            <w:gridSpan w:val="5"/>
            <w:vAlign w:val="top"/>
          </w:tcPr>
          <w:p w14:paraId="62191091">
            <w:pPr>
              <w:pStyle w:val="6"/>
              <w:spacing w:before="56" w:line="221" w:lineRule="auto"/>
              <w:ind w:left="1514"/>
            </w:pPr>
            <w:r>
              <w:rPr>
                <w:spacing w:val="-2"/>
              </w:rPr>
              <w:t>一、二级公路</w:t>
            </w:r>
          </w:p>
        </w:tc>
        <w:tc>
          <w:tcPr>
            <w:tcW w:w="3997" w:type="dxa"/>
            <w:gridSpan w:val="4"/>
            <w:vAlign w:val="top"/>
          </w:tcPr>
          <w:p w14:paraId="144C8BE8">
            <w:pPr>
              <w:spacing w:before="91" w:line="216" w:lineRule="auto"/>
              <w:ind w:left="1967"/>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21" w:type="dxa"/>
            <w:tcBorders>
              <w:top w:val="nil"/>
              <w:bottom w:val="nil"/>
            </w:tcBorders>
            <w:vAlign w:val="top"/>
          </w:tcPr>
          <w:p w14:paraId="5C78329F">
            <w:pPr>
              <w:rPr>
                <w:rFonts w:ascii="Arial"/>
                <w:sz w:val="21"/>
              </w:rPr>
            </w:pPr>
          </w:p>
        </w:tc>
      </w:tr>
      <w:tr w14:paraId="769A75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4E345C18">
            <w:pPr>
              <w:rPr>
                <w:rFonts w:ascii="Arial"/>
                <w:sz w:val="21"/>
              </w:rPr>
            </w:pPr>
          </w:p>
        </w:tc>
        <w:tc>
          <w:tcPr>
            <w:tcW w:w="113" w:type="dxa"/>
            <w:tcBorders>
              <w:top w:val="nil"/>
              <w:bottom w:val="nil"/>
            </w:tcBorders>
            <w:vAlign w:val="top"/>
          </w:tcPr>
          <w:p w14:paraId="58A3EBC2">
            <w:pPr>
              <w:rPr>
                <w:rFonts w:ascii="Arial"/>
                <w:sz w:val="21"/>
              </w:rPr>
            </w:pPr>
          </w:p>
        </w:tc>
        <w:tc>
          <w:tcPr>
            <w:tcW w:w="4276" w:type="dxa"/>
            <w:gridSpan w:val="5"/>
            <w:vAlign w:val="top"/>
          </w:tcPr>
          <w:p w14:paraId="3118AB5E">
            <w:pPr>
              <w:pStyle w:val="6"/>
              <w:spacing w:before="59" w:line="220" w:lineRule="auto"/>
              <w:ind w:left="1731"/>
            </w:pPr>
            <w:r>
              <w:rPr>
                <w:spacing w:val="-4"/>
              </w:rPr>
              <w:t>乡村公路</w:t>
            </w:r>
          </w:p>
        </w:tc>
        <w:tc>
          <w:tcPr>
            <w:tcW w:w="3997" w:type="dxa"/>
            <w:gridSpan w:val="4"/>
            <w:vAlign w:val="top"/>
          </w:tcPr>
          <w:p w14:paraId="7ACAC8F3">
            <w:pPr>
              <w:spacing w:before="94" w:line="216" w:lineRule="auto"/>
              <w:ind w:left="1953"/>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21" w:type="dxa"/>
            <w:tcBorders>
              <w:top w:val="nil"/>
              <w:bottom w:val="nil"/>
            </w:tcBorders>
            <w:vAlign w:val="top"/>
          </w:tcPr>
          <w:p w14:paraId="6DA432E8">
            <w:pPr>
              <w:rPr>
                <w:rFonts w:ascii="Arial"/>
                <w:sz w:val="21"/>
              </w:rPr>
            </w:pPr>
          </w:p>
        </w:tc>
      </w:tr>
      <w:tr w14:paraId="6B587E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2" w:hRule="atLeast"/>
        </w:trPr>
        <w:tc>
          <w:tcPr>
            <w:tcW w:w="571" w:type="dxa"/>
            <w:vMerge w:val="continue"/>
            <w:tcBorders>
              <w:top w:val="nil"/>
              <w:bottom w:val="nil"/>
            </w:tcBorders>
            <w:vAlign w:val="top"/>
          </w:tcPr>
          <w:p w14:paraId="6FE23FAE">
            <w:pPr>
              <w:rPr>
                <w:rFonts w:ascii="Arial"/>
                <w:sz w:val="21"/>
              </w:rPr>
            </w:pPr>
          </w:p>
        </w:tc>
        <w:tc>
          <w:tcPr>
            <w:tcW w:w="8507" w:type="dxa"/>
            <w:gridSpan w:val="11"/>
            <w:vAlign w:val="top"/>
          </w:tcPr>
          <w:p w14:paraId="48006558">
            <w:pPr>
              <w:pStyle w:val="6"/>
              <w:spacing w:before="118" w:line="363" w:lineRule="auto"/>
              <w:ind w:left="111" w:right="52" w:firstLine="484"/>
              <w:jc w:val="both"/>
              <w:rPr>
                <w:sz w:val="24"/>
                <w:szCs w:val="24"/>
              </w:rPr>
            </w:pPr>
            <w:r>
              <w:rPr>
                <w:spacing w:val="-1"/>
                <w:sz w:val="24"/>
                <w:szCs w:val="24"/>
              </w:rPr>
              <w:t>设计严格按照《</w:t>
            </w:r>
            <w:r>
              <w:rPr>
                <w:rFonts w:ascii="Times New Roman" w:hAnsi="Times New Roman" w:eastAsia="Times New Roman" w:cs="Times New Roman"/>
                <w:spacing w:val="-1"/>
                <w:sz w:val="24"/>
                <w:szCs w:val="24"/>
              </w:rPr>
              <w:t>110kV</w:t>
            </w:r>
            <w:r>
              <w:rPr>
                <w:spacing w:val="-1"/>
                <w:sz w:val="24"/>
                <w:szCs w:val="24"/>
              </w:rPr>
              <w:t>～</w:t>
            </w:r>
            <w:r>
              <w:rPr>
                <w:rFonts w:ascii="Times New Roman" w:hAnsi="Times New Roman" w:eastAsia="Times New Roman" w:cs="Times New Roman"/>
                <w:spacing w:val="-1"/>
                <w:sz w:val="24"/>
                <w:szCs w:val="24"/>
              </w:rPr>
              <w:t xml:space="preserve">750kV </w:t>
            </w:r>
            <w:r>
              <w:rPr>
                <w:spacing w:val="-1"/>
                <w:sz w:val="24"/>
                <w:szCs w:val="24"/>
              </w:rPr>
              <w:t>架空输电</w:t>
            </w:r>
            <w:r>
              <w:rPr>
                <w:spacing w:val="-2"/>
                <w:sz w:val="24"/>
                <w:szCs w:val="24"/>
              </w:rPr>
              <w:t>线路设计规范》的要求控制交叉跨越点的距离，电力线路在有条件的交叉点采用系统停电、索桥封网等方式跨越，</w:t>
            </w:r>
            <w:r>
              <w:rPr>
                <w:spacing w:val="-4"/>
                <w:sz w:val="24"/>
                <w:szCs w:val="24"/>
              </w:rPr>
              <w:t>其余采用搭设跨越架的方式。</w:t>
            </w:r>
          </w:p>
          <w:p w14:paraId="4E66265D">
            <w:pPr>
              <w:pStyle w:val="6"/>
              <w:spacing w:before="9" w:line="234" w:lineRule="auto"/>
              <w:ind w:left="111"/>
              <w:rPr>
                <w:sz w:val="24"/>
                <w:szCs w:val="24"/>
              </w:rPr>
            </w:pPr>
            <w:r>
              <w:rPr>
                <w:rFonts w:ascii="Times New Roman" w:hAnsi="Times New Roman" w:eastAsia="Times New Roman" w:cs="Times New Roman"/>
                <w:b/>
                <w:bCs/>
                <w:spacing w:val="-3"/>
                <w:sz w:val="24"/>
                <w:szCs w:val="24"/>
              </w:rPr>
              <w:t>5</w:t>
            </w:r>
            <w:r>
              <w:rPr>
                <w:b/>
                <w:bCs/>
                <w:spacing w:val="-3"/>
                <w:sz w:val="24"/>
                <w:szCs w:val="24"/>
              </w:rPr>
              <w:t>、工程占地情况</w:t>
            </w:r>
          </w:p>
          <w:p w14:paraId="79B3424A">
            <w:pPr>
              <w:pStyle w:val="6"/>
              <w:spacing w:before="170" w:line="352" w:lineRule="auto"/>
              <w:ind w:left="111" w:right="19" w:firstLine="481"/>
              <w:jc w:val="both"/>
              <w:rPr>
                <w:sz w:val="24"/>
                <w:szCs w:val="24"/>
              </w:rPr>
            </w:pPr>
            <w:r>
              <w:rPr>
                <w:spacing w:val="-4"/>
                <w:sz w:val="24"/>
                <w:szCs w:val="24"/>
              </w:rPr>
              <w:t>本项目建设区共占地</w:t>
            </w:r>
            <w:r>
              <w:rPr>
                <w:spacing w:val="-31"/>
                <w:sz w:val="24"/>
                <w:szCs w:val="24"/>
              </w:rPr>
              <w:t xml:space="preserve"> </w:t>
            </w:r>
            <w:r>
              <w:rPr>
                <w:rFonts w:ascii="Times New Roman" w:hAnsi="Times New Roman" w:eastAsia="Times New Roman" w:cs="Times New Roman"/>
                <w:spacing w:val="-4"/>
                <w:sz w:val="24"/>
                <w:szCs w:val="24"/>
              </w:rPr>
              <w:t>19426m</w:t>
            </w:r>
            <w:r>
              <w:rPr>
                <w:rFonts w:ascii="Times New Roman" w:hAnsi="Times New Roman" w:eastAsia="Times New Roman" w:cs="Times New Roman"/>
                <w:spacing w:val="-4"/>
                <w:position w:val="8"/>
                <w:sz w:val="16"/>
                <w:szCs w:val="16"/>
              </w:rPr>
              <w:t>2</w:t>
            </w:r>
            <w:r>
              <w:rPr>
                <w:rFonts w:ascii="Times New Roman" w:hAnsi="Times New Roman" w:eastAsia="Times New Roman" w:cs="Times New Roman"/>
                <w:spacing w:val="-10"/>
                <w:position w:val="8"/>
                <w:sz w:val="16"/>
                <w:szCs w:val="16"/>
              </w:rPr>
              <w:t xml:space="preserve"> </w:t>
            </w:r>
            <w:r>
              <w:rPr>
                <w:spacing w:val="-4"/>
                <w:sz w:val="24"/>
                <w:szCs w:val="24"/>
              </w:rPr>
              <w:t>，其中永久占地</w:t>
            </w:r>
            <w:r>
              <w:rPr>
                <w:spacing w:val="-32"/>
                <w:sz w:val="24"/>
                <w:szCs w:val="24"/>
              </w:rPr>
              <w:t xml:space="preserve"> </w:t>
            </w:r>
            <w:r>
              <w:rPr>
                <w:rFonts w:ascii="Times New Roman" w:hAnsi="Times New Roman" w:eastAsia="Times New Roman" w:cs="Times New Roman"/>
                <w:spacing w:val="-4"/>
                <w:sz w:val="24"/>
                <w:szCs w:val="24"/>
              </w:rPr>
              <w:t>1226m</w:t>
            </w:r>
            <w:r>
              <w:rPr>
                <w:rFonts w:ascii="Times New Roman" w:hAnsi="Times New Roman" w:eastAsia="Times New Roman" w:cs="Times New Roman"/>
                <w:spacing w:val="-4"/>
                <w:position w:val="8"/>
                <w:sz w:val="16"/>
                <w:szCs w:val="16"/>
              </w:rPr>
              <w:t>2</w:t>
            </w:r>
            <w:r>
              <w:rPr>
                <w:spacing w:val="-4"/>
                <w:sz w:val="24"/>
                <w:szCs w:val="24"/>
              </w:rPr>
              <w:t>、临时占地</w:t>
            </w:r>
            <w:r>
              <w:rPr>
                <w:spacing w:val="-32"/>
                <w:sz w:val="24"/>
                <w:szCs w:val="24"/>
              </w:rPr>
              <w:t xml:space="preserve"> </w:t>
            </w:r>
            <w:r>
              <w:rPr>
                <w:rFonts w:ascii="Times New Roman" w:hAnsi="Times New Roman" w:eastAsia="Times New Roman" w:cs="Times New Roman"/>
                <w:spacing w:val="-4"/>
                <w:sz w:val="24"/>
                <w:szCs w:val="24"/>
              </w:rPr>
              <w:t>18200m</w:t>
            </w:r>
            <w:r>
              <w:rPr>
                <w:rFonts w:ascii="Times New Roman" w:hAnsi="Times New Roman" w:eastAsia="Times New Roman" w:cs="Times New Roman"/>
                <w:spacing w:val="-4"/>
                <w:position w:val="8"/>
                <w:sz w:val="16"/>
                <w:szCs w:val="16"/>
              </w:rPr>
              <w:t>2</w:t>
            </w:r>
            <w:r>
              <w:rPr>
                <w:spacing w:val="-4"/>
                <w:sz w:val="24"/>
                <w:szCs w:val="24"/>
              </w:rPr>
              <w:t>。</w:t>
            </w:r>
            <w:r>
              <w:rPr>
                <w:spacing w:val="3"/>
                <w:sz w:val="24"/>
                <w:szCs w:val="24"/>
              </w:rPr>
              <w:t>输电线路工程占地主要为塔基占地，真正的永久占地仅为铁塔四个脚的基础占</w:t>
            </w:r>
            <w:r>
              <w:rPr>
                <w:spacing w:val="-4"/>
                <w:sz w:val="24"/>
                <w:szCs w:val="24"/>
              </w:rPr>
              <w:t>地，面积很小，每个基础约</w:t>
            </w:r>
            <w:r>
              <w:rPr>
                <w:spacing w:val="-31"/>
                <w:sz w:val="24"/>
                <w:szCs w:val="24"/>
              </w:rPr>
              <w:t xml:space="preserve"> </w:t>
            </w:r>
            <w:r>
              <w:rPr>
                <w:rFonts w:ascii="Times New Roman" w:hAnsi="Times New Roman" w:eastAsia="Times New Roman" w:cs="Times New Roman"/>
                <w:spacing w:val="-4"/>
                <w:sz w:val="24"/>
                <w:szCs w:val="24"/>
              </w:rPr>
              <w:t>1m</w:t>
            </w:r>
            <w:r>
              <w:rPr>
                <w:rFonts w:ascii="Times New Roman" w:hAnsi="Times New Roman" w:eastAsia="Times New Roman" w:cs="Times New Roman"/>
                <w:spacing w:val="-4"/>
                <w:position w:val="9"/>
                <w:sz w:val="16"/>
                <w:szCs w:val="16"/>
              </w:rPr>
              <w:t>2</w:t>
            </w:r>
            <w:r>
              <w:rPr>
                <w:rFonts w:ascii="Times New Roman" w:hAnsi="Times New Roman" w:eastAsia="Times New Roman" w:cs="Times New Roman"/>
                <w:spacing w:val="-10"/>
                <w:position w:val="9"/>
                <w:sz w:val="16"/>
                <w:szCs w:val="16"/>
              </w:rPr>
              <w:t xml:space="preserve"> </w:t>
            </w:r>
            <w:r>
              <w:rPr>
                <w:spacing w:val="-4"/>
                <w:sz w:val="24"/>
                <w:szCs w:val="24"/>
              </w:rPr>
              <w:t>，四个基础范围内的土地在施工时作为</w:t>
            </w:r>
            <w:r>
              <w:rPr>
                <w:spacing w:val="-5"/>
                <w:sz w:val="24"/>
                <w:szCs w:val="24"/>
              </w:rPr>
              <w:t>施工临时</w:t>
            </w:r>
            <w:r>
              <w:rPr>
                <w:spacing w:val="-3"/>
                <w:sz w:val="24"/>
                <w:szCs w:val="24"/>
              </w:rPr>
              <w:t>用地，施工结束后，可恢复土地原有功能。</w:t>
            </w:r>
          </w:p>
          <w:p w14:paraId="5CB52423">
            <w:pPr>
              <w:pStyle w:val="6"/>
              <w:spacing w:line="222" w:lineRule="auto"/>
              <w:ind w:left="3139"/>
            </w:pPr>
            <w:r>
              <w:rPr>
                <w:b/>
                <w:bCs/>
                <w:spacing w:val="-2"/>
              </w:rPr>
              <w:t>表</w:t>
            </w:r>
            <w:r>
              <w:rPr>
                <w:spacing w:val="-39"/>
              </w:rPr>
              <w:t xml:space="preserve"> </w:t>
            </w:r>
            <w:r>
              <w:rPr>
                <w:rFonts w:ascii="Times New Roman" w:hAnsi="Times New Roman" w:eastAsia="Times New Roman" w:cs="Times New Roman"/>
                <w:b/>
                <w:bCs/>
                <w:spacing w:val="-2"/>
              </w:rPr>
              <w:t xml:space="preserve">2-6    </w:t>
            </w:r>
            <w:r>
              <w:rPr>
                <w:b/>
                <w:bCs/>
                <w:spacing w:val="-2"/>
              </w:rPr>
              <w:t>工程占地一览表</w:t>
            </w:r>
          </w:p>
        </w:tc>
      </w:tr>
      <w:tr w14:paraId="4EEA2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571" w:type="dxa"/>
            <w:vMerge w:val="continue"/>
            <w:tcBorders>
              <w:top w:val="nil"/>
              <w:bottom w:val="nil"/>
            </w:tcBorders>
            <w:vAlign w:val="top"/>
          </w:tcPr>
          <w:p w14:paraId="4DF8F63E">
            <w:pPr>
              <w:rPr>
                <w:rFonts w:ascii="Arial"/>
                <w:sz w:val="21"/>
              </w:rPr>
            </w:pPr>
          </w:p>
        </w:tc>
        <w:tc>
          <w:tcPr>
            <w:tcW w:w="113" w:type="dxa"/>
            <w:tcBorders>
              <w:top w:val="nil"/>
              <w:bottom w:val="nil"/>
            </w:tcBorders>
            <w:vAlign w:val="top"/>
          </w:tcPr>
          <w:p w14:paraId="288D0223">
            <w:pPr>
              <w:rPr>
                <w:rFonts w:ascii="Arial"/>
                <w:sz w:val="21"/>
              </w:rPr>
            </w:pPr>
          </w:p>
        </w:tc>
        <w:tc>
          <w:tcPr>
            <w:tcW w:w="727" w:type="dxa"/>
            <w:vMerge w:val="restart"/>
            <w:tcBorders>
              <w:bottom w:val="nil"/>
            </w:tcBorders>
            <w:vAlign w:val="top"/>
          </w:tcPr>
          <w:p w14:paraId="012B584B">
            <w:pPr>
              <w:pStyle w:val="6"/>
              <w:spacing w:before="221" w:line="222" w:lineRule="auto"/>
              <w:ind w:left="155"/>
            </w:pPr>
            <w:r>
              <w:rPr>
                <w:b/>
                <w:bCs/>
                <w:spacing w:val="-4"/>
              </w:rPr>
              <w:t>序号</w:t>
            </w:r>
          </w:p>
        </w:tc>
        <w:tc>
          <w:tcPr>
            <w:tcW w:w="1555" w:type="dxa"/>
            <w:vMerge w:val="restart"/>
            <w:tcBorders>
              <w:bottom w:val="nil"/>
            </w:tcBorders>
            <w:vAlign w:val="top"/>
          </w:tcPr>
          <w:p w14:paraId="12B2225E">
            <w:pPr>
              <w:pStyle w:val="6"/>
              <w:spacing w:before="221" w:line="221" w:lineRule="auto"/>
              <w:ind w:left="575"/>
            </w:pPr>
            <w:r>
              <w:rPr>
                <w:b/>
                <w:bCs/>
                <w:spacing w:val="-5"/>
              </w:rPr>
              <w:t>分区</w:t>
            </w:r>
          </w:p>
        </w:tc>
        <w:tc>
          <w:tcPr>
            <w:tcW w:w="3118" w:type="dxa"/>
            <w:gridSpan w:val="5"/>
            <w:vAlign w:val="top"/>
          </w:tcPr>
          <w:p w14:paraId="252C2E92">
            <w:pPr>
              <w:pStyle w:val="6"/>
              <w:spacing w:before="58" w:line="210" w:lineRule="auto"/>
              <w:ind w:left="528"/>
            </w:pPr>
            <w:r>
              <w:rPr>
                <w:b/>
                <w:bCs/>
                <w:spacing w:val="-5"/>
              </w:rPr>
              <w:t>占地性质及面积（</w:t>
            </w:r>
            <w:r>
              <w:rPr>
                <w:rFonts w:ascii="Times New Roman" w:hAnsi="Times New Roman" w:eastAsia="Times New Roman" w:cs="Times New Roman"/>
                <w:b/>
                <w:bCs/>
                <w:spacing w:val="-5"/>
              </w:rPr>
              <w:t>m</w:t>
            </w:r>
            <w:r>
              <w:rPr>
                <w:rFonts w:ascii="Times New Roman" w:hAnsi="Times New Roman" w:eastAsia="Times New Roman" w:cs="Times New Roman"/>
                <w:b/>
                <w:bCs/>
                <w:spacing w:val="-5"/>
                <w:position w:val="1"/>
                <w:sz w:val="13"/>
                <w:szCs w:val="13"/>
              </w:rPr>
              <w:t>2</w:t>
            </w:r>
            <w:r>
              <w:rPr>
                <w:b/>
                <w:bCs/>
                <w:spacing w:val="-5"/>
                <w:position w:val="1"/>
              </w:rPr>
              <w:t>）</w:t>
            </w:r>
          </w:p>
        </w:tc>
        <w:tc>
          <w:tcPr>
            <w:tcW w:w="2873" w:type="dxa"/>
            <w:gridSpan w:val="2"/>
            <w:vMerge w:val="restart"/>
            <w:tcBorders>
              <w:bottom w:val="nil"/>
            </w:tcBorders>
            <w:vAlign w:val="top"/>
          </w:tcPr>
          <w:p w14:paraId="58B3AB7A">
            <w:pPr>
              <w:pStyle w:val="6"/>
              <w:spacing w:before="221" w:line="222" w:lineRule="auto"/>
              <w:ind w:left="1236"/>
            </w:pPr>
            <w:r>
              <w:rPr>
                <w:b/>
                <w:bCs/>
                <w:spacing w:val="-5"/>
              </w:rPr>
              <w:t>备注</w:t>
            </w:r>
          </w:p>
        </w:tc>
        <w:tc>
          <w:tcPr>
            <w:tcW w:w="121" w:type="dxa"/>
            <w:tcBorders>
              <w:top w:val="nil"/>
              <w:bottom w:val="nil"/>
            </w:tcBorders>
            <w:vAlign w:val="top"/>
          </w:tcPr>
          <w:p w14:paraId="1FAC6F18">
            <w:pPr>
              <w:rPr>
                <w:rFonts w:ascii="Arial"/>
                <w:sz w:val="21"/>
              </w:rPr>
            </w:pPr>
          </w:p>
        </w:tc>
      </w:tr>
      <w:tr w14:paraId="5E3058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571" w:type="dxa"/>
            <w:vMerge w:val="continue"/>
            <w:tcBorders>
              <w:top w:val="nil"/>
              <w:bottom w:val="nil"/>
            </w:tcBorders>
            <w:vAlign w:val="top"/>
          </w:tcPr>
          <w:p w14:paraId="0CA99D44">
            <w:pPr>
              <w:rPr>
                <w:rFonts w:ascii="Arial"/>
                <w:sz w:val="21"/>
              </w:rPr>
            </w:pPr>
          </w:p>
        </w:tc>
        <w:tc>
          <w:tcPr>
            <w:tcW w:w="113" w:type="dxa"/>
            <w:tcBorders>
              <w:top w:val="nil"/>
              <w:bottom w:val="nil"/>
            </w:tcBorders>
            <w:vAlign w:val="top"/>
          </w:tcPr>
          <w:p w14:paraId="1B03AAFA">
            <w:pPr>
              <w:rPr>
                <w:rFonts w:ascii="Arial"/>
                <w:sz w:val="21"/>
              </w:rPr>
            </w:pPr>
          </w:p>
        </w:tc>
        <w:tc>
          <w:tcPr>
            <w:tcW w:w="727" w:type="dxa"/>
            <w:vMerge w:val="continue"/>
            <w:tcBorders>
              <w:top w:val="nil"/>
            </w:tcBorders>
            <w:vAlign w:val="top"/>
          </w:tcPr>
          <w:p w14:paraId="7D94EDE5">
            <w:pPr>
              <w:rPr>
                <w:rFonts w:ascii="Arial"/>
                <w:sz w:val="21"/>
              </w:rPr>
            </w:pPr>
          </w:p>
        </w:tc>
        <w:tc>
          <w:tcPr>
            <w:tcW w:w="1555" w:type="dxa"/>
            <w:vMerge w:val="continue"/>
            <w:tcBorders>
              <w:top w:val="nil"/>
            </w:tcBorders>
            <w:vAlign w:val="top"/>
          </w:tcPr>
          <w:p w14:paraId="7AFC1E29">
            <w:pPr>
              <w:rPr>
                <w:rFonts w:ascii="Arial"/>
                <w:sz w:val="21"/>
              </w:rPr>
            </w:pPr>
          </w:p>
        </w:tc>
        <w:tc>
          <w:tcPr>
            <w:tcW w:w="1133" w:type="dxa"/>
            <w:vAlign w:val="top"/>
          </w:tcPr>
          <w:p w14:paraId="6E9ECCBC">
            <w:pPr>
              <w:pStyle w:val="6"/>
              <w:spacing w:before="62" w:line="222" w:lineRule="auto"/>
              <w:ind w:left="152"/>
            </w:pPr>
            <w:r>
              <w:rPr>
                <w:b/>
                <w:bCs/>
                <w:spacing w:val="-4"/>
              </w:rPr>
              <w:t>永久占地</w:t>
            </w:r>
          </w:p>
        </w:tc>
        <w:tc>
          <w:tcPr>
            <w:tcW w:w="1134" w:type="dxa"/>
            <w:gridSpan w:val="3"/>
            <w:vAlign w:val="top"/>
          </w:tcPr>
          <w:p w14:paraId="09425608">
            <w:pPr>
              <w:pStyle w:val="6"/>
              <w:spacing w:before="62" w:line="221" w:lineRule="auto"/>
              <w:ind w:left="164"/>
            </w:pPr>
            <w:r>
              <w:rPr>
                <w:b/>
                <w:bCs/>
                <w:spacing w:val="-6"/>
              </w:rPr>
              <w:t>临时占地</w:t>
            </w:r>
          </w:p>
        </w:tc>
        <w:tc>
          <w:tcPr>
            <w:tcW w:w="851" w:type="dxa"/>
            <w:vAlign w:val="top"/>
          </w:tcPr>
          <w:p w14:paraId="3AA19A05">
            <w:pPr>
              <w:pStyle w:val="6"/>
              <w:spacing w:before="62" w:line="222" w:lineRule="auto"/>
              <w:ind w:left="222"/>
            </w:pPr>
            <w:r>
              <w:rPr>
                <w:b/>
                <w:bCs/>
                <w:spacing w:val="-4"/>
              </w:rPr>
              <w:t>合计</w:t>
            </w:r>
          </w:p>
        </w:tc>
        <w:tc>
          <w:tcPr>
            <w:tcW w:w="2873" w:type="dxa"/>
            <w:gridSpan w:val="2"/>
            <w:vMerge w:val="continue"/>
            <w:tcBorders>
              <w:top w:val="nil"/>
            </w:tcBorders>
            <w:vAlign w:val="top"/>
          </w:tcPr>
          <w:p w14:paraId="22CCF292">
            <w:pPr>
              <w:rPr>
                <w:rFonts w:ascii="Arial"/>
                <w:sz w:val="21"/>
              </w:rPr>
            </w:pPr>
          </w:p>
        </w:tc>
        <w:tc>
          <w:tcPr>
            <w:tcW w:w="121" w:type="dxa"/>
            <w:tcBorders>
              <w:top w:val="nil"/>
              <w:bottom w:val="nil"/>
            </w:tcBorders>
            <w:vAlign w:val="top"/>
          </w:tcPr>
          <w:p w14:paraId="068BFE63">
            <w:pPr>
              <w:rPr>
                <w:rFonts w:ascii="Arial"/>
                <w:sz w:val="21"/>
              </w:rPr>
            </w:pPr>
          </w:p>
        </w:tc>
      </w:tr>
      <w:tr w14:paraId="0C21B1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7EDCB016">
            <w:pPr>
              <w:rPr>
                <w:rFonts w:ascii="Arial"/>
                <w:sz w:val="21"/>
              </w:rPr>
            </w:pPr>
          </w:p>
        </w:tc>
        <w:tc>
          <w:tcPr>
            <w:tcW w:w="113" w:type="dxa"/>
            <w:tcBorders>
              <w:top w:val="nil"/>
              <w:bottom w:val="nil"/>
            </w:tcBorders>
            <w:vAlign w:val="top"/>
          </w:tcPr>
          <w:p w14:paraId="24545102">
            <w:pPr>
              <w:rPr>
                <w:rFonts w:ascii="Arial"/>
                <w:sz w:val="21"/>
              </w:rPr>
            </w:pPr>
          </w:p>
        </w:tc>
        <w:tc>
          <w:tcPr>
            <w:tcW w:w="727" w:type="dxa"/>
            <w:vAlign w:val="top"/>
          </w:tcPr>
          <w:p w14:paraId="370BC20C">
            <w:pPr>
              <w:spacing w:before="90" w:line="220" w:lineRule="auto"/>
              <w:ind w:left="331"/>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555" w:type="dxa"/>
            <w:vAlign w:val="top"/>
          </w:tcPr>
          <w:p w14:paraId="57C30A4E">
            <w:pPr>
              <w:pStyle w:val="6"/>
              <w:spacing w:before="57" w:line="223" w:lineRule="auto"/>
              <w:ind w:left="152"/>
            </w:pPr>
            <w:r>
              <w:rPr>
                <w:spacing w:val="-1"/>
              </w:rPr>
              <w:t>塔基及施工区</w:t>
            </w:r>
          </w:p>
        </w:tc>
        <w:tc>
          <w:tcPr>
            <w:tcW w:w="1133" w:type="dxa"/>
            <w:vAlign w:val="top"/>
          </w:tcPr>
          <w:p w14:paraId="5DBACE3A">
            <w:pPr>
              <w:spacing w:before="90" w:line="220" w:lineRule="auto"/>
              <w:ind w:left="41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216</w:t>
            </w:r>
          </w:p>
        </w:tc>
        <w:tc>
          <w:tcPr>
            <w:tcW w:w="1134" w:type="dxa"/>
            <w:gridSpan w:val="3"/>
            <w:vAlign w:val="top"/>
          </w:tcPr>
          <w:p w14:paraId="3CE89477">
            <w:pPr>
              <w:spacing w:before="92" w:line="218" w:lineRule="auto"/>
              <w:ind w:left="36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7800</w:t>
            </w:r>
          </w:p>
        </w:tc>
        <w:tc>
          <w:tcPr>
            <w:tcW w:w="851" w:type="dxa"/>
            <w:vAlign w:val="top"/>
          </w:tcPr>
          <w:p w14:paraId="0C48C405">
            <w:pPr>
              <w:spacing w:before="92" w:line="218" w:lineRule="auto"/>
              <w:ind w:left="22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8016</w:t>
            </w:r>
          </w:p>
        </w:tc>
        <w:tc>
          <w:tcPr>
            <w:tcW w:w="2873" w:type="dxa"/>
            <w:gridSpan w:val="2"/>
            <w:vAlign w:val="top"/>
          </w:tcPr>
          <w:p w14:paraId="0A3C7CA1">
            <w:pPr>
              <w:pStyle w:val="6"/>
              <w:spacing w:before="58" w:line="223" w:lineRule="auto"/>
              <w:ind w:left="186"/>
            </w:pPr>
            <w:r>
              <w:rPr>
                <w:spacing w:val="-1"/>
              </w:rPr>
              <w:t>永久占地为铁塔</w:t>
            </w:r>
            <w:r>
              <w:rPr>
                <w:spacing w:val="-47"/>
              </w:rPr>
              <w:t xml:space="preserve"> </w:t>
            </w:r>
            <w:r>
              <w:rPr>
                <w:rFonts w:ascii="Times New Roman" w:hAnsi="Times New Roman" w:eastAsia="Times New Roman" w:cs="Times New Roman"/>
                <w:spacing w:val="-1"/>
              </w:rPr>
              <w:t xml:space="preserve">4 </w:t>
            </w:r>
            <w:r>
              <w:rPr>
                <w:spacing w:val="-1"/>
              </w:rPr>
              <w:t>个支撑脚</w:t>
            </w:r>
          </w:p>
        </w:tc>
        <w:tc>
          <w:tcPr>
            <w:tcW w:w="121" w:type="dxa"/>
            <w:tcBorders>
              <w:top w:val="nil"/>
              <w:bottom w:val="nil"/>
            </w:tcBorders>
            <w:vAlign w:val="top"/>
          </w:tcPr>
          <w:p w14:paraId="2AD27F61">
            <w:pPr>
              <w:rPr>
                <w:rFonts w:ascii="Arial"/>
                <w:sz w:val="21"/>
              </w:rPr>
            </w:pPr>
          </w:p>
        </w:tc>
      </w:tr>
      <w:tr w14:paraId="31D82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571" w:type="dxa"/>
            <w:vMerge w:val="continue"/>
            <w:tcBorders>
              <w:top w:val="nil"/>
              <w:bottom w:val="nil"/>
            </w:tcBorders>
            <w:vAlign w:val="top"/>
          </w:tcPr>
          <w:p w14:paraId="70E69827">
            <w:pPr>
              <w:rPr>
                <w:rFonts w:ascii="Arial"/>
                <w:sz w:val="21"/>
              </w:rPr>
            </w:pPr>
          </w:p>
        </w:tc>
        <w:tc>
          <w:tcPr>
            <w:tcW w:w="113" w:type="dxa"/>
            <w:tcBorders>
              <w:top w:val="nil"/>
              <w:bottom w:val="nil"/>
            </w:tcBorders>
            <w:vAlign w:val="top"/>
          </w:tcPr>
          <w:p w14:paraId="2927C5C9">
            <w:pPr>
              <w:rPr>
                <w:rFonts w:ascii="Arial"/>
                <w:sz w:val="21"/>
              </w:rPr>
            </w:pPr>
          </w:p>
        </w:tc>
        <w:tc>
          <w:tcPr>
            <w:tcW w:w="727" w:type="dxa"/>
            <w:vAlign w:val="top"/>
          </w:tcPr>
          <w:p w14:paraId="1CDA864D">
            <w:pPr>
              <w:spacing w:before="90" w:line="218" w:lineRule="auto"/>
              <w:ind w:left="311"/>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555" w:type="dxa"/>
            <w:vAlign w:val="top"/>
          </w:tcPr>
          <w:p w14:paraId="0EAE0B25">
            <w:pPr>
              <w:pStyle w:val="6"/>
              <w:spacing w:before="58" w:line="221" w:lineRule="auto"/>
              <w:ind w:left="379"/>
            </w:pPr>
            <w:r>
              <w:rPr>
                <w:spacing w:val="-6"/>
              </w:rPr>
              <w:t>间隔扩建</w:t>
            </w:r>
          </w:p>
        </w:tc>
        <w:tc>
          <w:tcPr>
            <w:tcW w:w="1133" w:type="dxa"/>
            <w:vAlign w:val="top"/>
          </w:tcPr>
          <w:p w14:paraId="358BB5E9">
            <w:pPr>
              <w:spacing w:before="90" w:line="218" w:lineRule="auto"/>
              <w:ind w:left="378"/>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1010</w:t>
            </w:r>
          </w:p>
        </w:tc>
        <w:tc>
          <w:tcPr>
            <w:tcW w:w="1134" w:type="dxa"/>
            <w:gridSpan w:val="3"/>
            <w:vAlign w:val="top"/>
          </w:tcPr>
          <w:p w14:paraId="7D024222">
            <w:pPr>
              <w:spacing w:before="92" w:line="216" w:lineRule="auto"/>
              <w:ind w:left="522"/>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851" w:type="dxa"/>
            <w:vAlign w:val="top"/>
          </w:tcPr>
          <w:p w14:paraId="45E38B38">
            <w:pPr>
              <w:spacing w:before="92" w:line="216" w:lineRule="auto"/>
              <w:ind w:left="24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1010</w:t>
            </w:r>
          </w:p>
        </w:tc>
        <w:tc>
          <w:tcPr>
            <w:tcW w:w="2873" w:type="dxa"/>
            <w:gridSpan w:val="2"/>
            <w:vAlign w:val="top"/>
          </w:tcPr>
          <w:p w14:paraId="77B737DD">
            <w:pPr>
              <w:pStyle w:val="6"/>
              <w:spacing w:before="57" w:line="221" w:lineRule="auto"/>
              <w:ind w:left="183"/>
            </w:pPr>
            <w:r>
              <w:rPr>
                <w:rFonts w:ascii="Times New Roman" w:hAnsi="Times New Roman" w:eastAsia="Times New Roman" w:cs="Times New Roman"/>
                <w:spacing w:val="-1"/>
              </w:rPr>
              <w:t xml:space="preserve">220kV </w:t>
            </w:r>
            <w:r>
              <w:rPr>
                <w:spacing w:val="-1"/>
              </w:rPr>
              <w:t>迤车变间隔扩建征地</w:t>
            </w:r>
          </w:p>
        </w:tc>
        <w:tc>
          <w:tcPr>
            <w:tcW w:w="121" w:type="dxa"/>
            <w:tcBorders>
              <w:top w:val="nil"/>
              <w:bottom w:val="nil"/>
            </w:tcBorders>
            <w:vAlign w:val="top"/>
          </w:tcPr>
          <w:p w14:paraId="7066AF82">
            <w:pPr>
              <w:rPr>
                <w:rFonts w:ascii="Arial"/>
                <w:sz w:val="21"/>
              </w:rPr>
            </w:pPr>
          </w:p>
        </w:tc>
      </w:tr>
      <w:tr w14:paraId="59DD9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0B30BDFD">
            <w:pPr>
              <w:rPr>
                <w:rFonts w:ascii="Arial"/>
                <w:sz w:val="21"/>
              </w:rPr>
            </w:pPr>
          </w:p>
        </w:tc>
        <w:tc>
          <w:tcPr>
            <w:tcW w:w="113" w:type="dxa"/>
            <w:tcBorders>
              <w:top w:val="nil"/>
              <w:bottom w:val="nil"/>
            </w:tcBorders>
            <w:vAlign w:val="top"/>
          </w:tcPr>
          <w:p w14:paraId="444D2842">
            <w:pPr>
              <w:rPr>
                <w:rFonts w:ascii="Arial"/>
                <w:sz w:val="21"/>
              </w:rPr>
            </w:pPr>
          </w:p>
        </w:tc>
        <w:tc>
          <w:tcPr>
            <w:tcW w:w="727" w:type="dxa"/>
            <w:vAlign w:val="top"/>
          </w:tcPr>
          <w:p w14:paraId="1D0523DC">
            <w:pPr>
              <w:spacing w:before="91" w:line="218" w:lineRule="auto"/>
              <w:ind w:left="315"/>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555" w:type="dxa"/>
            <w:vAlign w:val="top"/>
          </w:tcPr>
          <w:p w14:paraId="2E1093A9">
            <w:pPr>
              <w:pStyle w:val="6"/>
              <w:spacing w:before="59" w:line="220" w:lineRule="auto"/>
              <w:ind w:left="365"/>
            </w:pPr>
            <w:r>
              <w:rPr>
                <w:spacing w:val="-2"/>
              </w:rPr>
              <w:t>牵张场地</w:t>
            </w:r>
          </w:p>
        </w:tc>
        <w:tc>
          <w:tcPr>
            <w:tcW w:w="1133" w:type="dxa"/>
            <w:vAlign w:val="top"/>
          </w:tcPr>
          <w:p w14:paraId="57BA66D0">
            <w:pPr>
              <w:spacing w:before="91" w:line="218" w:lineRule="auto"/>
              <w:ind w:left="519"/>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134" w:type="dxa"/>
            <w:gridSpan w:val="3"/>
            <w:vAlign w:val="top"/>
          </w:tcPr>
          <w:p w14:paraId="4145CFD5">
            <w:pPr>
              <w:spacing w:before="94" w:line="215" w:lineRule="auto"/>
              <w:ind w:left="38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1200</w:t>
            </w:r>
          </w:p>
        </w:tc>
        <w:tc>
          <w:tcPr>
            <w:tcW w:w="851" w:type="dxa"/>
            <w:vAlign w:val="top"/>
          </w:tcPr>
          <w:p w14:paraId="55D35E9B">
            <w:pPr>
              <w:spacing w:before="94" w:line="215" w:lineRule="auto"/>
              <w:ind w:left="240"/>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1200</w:t>
            </w:r>
          </w:p>
        </w:tc>
        <w:tc>
          <w:tcPr>
            <w:tcW w:w="2873" w:type="dxa"/>
            <w:gridSpan w:val="2"/>
            <w:vAlign w:val="top"/>
          </w:tcPr>
          <w:p w14:paraId="1DC805CC">
            <w:pPr>
              <w:pStyle w:val="6"/>
              <w:spacing w:before="59" w:line="221" w:lineRule="auto"/>
              <w:ind w:left="1028"/>
            </w:pPr>
            <w:r>
              <w:rPr>
                <w:spacing w:val="-3"/>
              </w:rPr>
              <w:t>设置</w:t>
            </w:r>
            <w:r>
              <w:rPr>
                <w:spacing w:val="-49"/>
              </w:rPr>
              <w:t xml:space="preserve"> </w:t>
            </w:r>
            <w:r>
              <w:rPr>
                <w:rFonts w:ascii="Times New Roman" w:hAnsi="Times New Roman" w:eastAsia="Times New Roman" w:cs="Times New Roman"/>
                <w:spacing w:val="-3"/>
              </w:rPr>
              <w:t>4</w:t>
            </w:r>
            <w:r>
              <w:rPr>
                <w:rFonts w:ascii="Times New Roman" w:hAnsi="Times New Roman" w:eastAsia="Times New Roman" w:cs="Times New Roman"/>
                <w:spacing w:val="10"/>
              </w:rPr>
              <w:t xml:space="preserve"> </w:t>
            </w:r>
            <w:r>
              <w:rPr>
                <w:spacing w:val="-3"/>
              </w:rPr>
              <w:t>处</w:t>
            </w:r>
          </w:p>
        </w:tc>
        <w:tc>
          <w:tcPr>
            <w:tcW w:w="121" w:type="dxa"/>
            <w:tcBorders>
              <w:top w:val="nil"/>
              <w:bottom w:val="nil"/>
            </w:tcBorders>
            <w:vAlign w:val="top"/>
          </w:tcPr>
          <w:p w14:paraId="47AA08BA">
            <w:pPr>
              <w:rPr>
                <w:rFonts w:ascii="Arial"/>
                <w:sz w:val="21"/>
              </w:rPr>
            </w:pPr>
          </w:p>
        </w:tc>
      </w:tr>
      <w:tr w14:paraId="739CFB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37E8243F">
            <w:pPr>
              <w:rPr>
                <w:rFonts w:ascii="Arial"/>
                <w:sz w:val="21"/>
              </w:rPr>
            </w:pPr>
          </w:p>
        </w:tc>
        <w:tc>
          <w:tcPr>
            <w:tcW w:w="113" w:type="dxa"/>
            <w:tcBorders>
              <w:top w:val="nil"/>
              <w:bottom w:val="nil"/>
            </w:tcBorders>
            <w:vAlign w:val="top"/>
          </w:tcPr>
          <w:p w14:paraId="68245189">
            <w:pPr>
              <w:rPr>
                <w:rFonts w:ascii="Arial"/>
                <w:sz w:val="21"/>
              </w:rPr>
            </w:pPr>
          </w:p>
        </w:tc>
        <w:tc>
          <w:tcPr>
            <w:tcW w:w="727" w:type="dxa"/>
            <w:vAlign w:val="top"/>
          </w:tcPr>
          <w:p w14:paraId="79B6AA42">
            <w:pPr>
              <w:spacing w:before="89" w:line="220" w:lineRule="auto"/>
              <w:ind w:left="310"/>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555" w:type="dxa"/>
            <w:vAlign w:val="top"/>
          </w:tcPr>
          <w:p w14:paraId="533981BF">
            <w:pPr>
              <w:pStyle w:val="6"/>
              <w:spacing w:before="57" w:line="221" w:lineRule="auto"/>
              <w:ind w:left="363"/>
            </w:pPr>
            <w:r>
              <w:rPr>
                <w:spacing w:val="-2"/>
              </w:rPr>
              <w:t>跨越场地</w:t>
            </w:r>
          </w:p>
        </w:tc>
        <w:tc>
          <w:tcPr>
            <w:tcW w:w="1133" w:type="dxa"/>
            <w:vAlign w:val="top"/>
          </w:tcPr>
          <w:p w14:paraId="5316F875">
            <w:pPr>
              <w:spacing w:before="89" w:line="220" w:lineRule="auto"/>
              <w:ind w:left="519"/>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134" w:type="dxa"/>
            <w:gridSpan w:val="3"/>
            <w:vAlign w:val="top"/>
          </w:tcPr>
          <w:p w14:paraId="518C19AF">
            <w:pPr>
              <w:spacing w:before="92" w:line="217" w:lineRule="auto"/>
              <w:ind w:left="385"/>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1100</w:t>
            </w:r>
          </w:p>
        </w:tc>
        <w:tc>
          <w:tcPr>
            <w:tcW w:w="851" w:type="dxa"/>
            <w:vAlign w:val="top"/>
          </w:tcPr>
          <w:p w14:paraId="0811DEC3">
            <w:pPr>
              <w:spacing w:before="92" w:line="217" w:lineRule="auto"/>
              <w:ind w:left="242"/>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1100</w:t>
            </w:r>
          </w:p>
        </w:tc>
        <w:tc>
          <w:tcPr>
            <w:tcW w:w="2873" w:type="dxa"/>
            <w:gridSpan w:val="2"/>
            <w:vAlign w:val="top"/>
          </w:tcPr>
          <w:p w14:paraId="2AE48D42">
            <w:pPr>
              <w:pStyle w:val="6"/>
              <w:spacing w:before="57" w:line="223" w:lineRule="auto"/>
              <w:ind w:left="658"/>
            </w:pPr>
            <w:r>
              <w:rPr>
                <w:spacing w:val="-2"/>
              </w:rPr>
              <w:t>搭设</w:t>
            </w:r>
            <w:r>
              <w:rPr>
                <w:spacing w:val="-42"/>
              </w:rPr>
              <w:t xml:space="preserve"> </w:t>
            </w:r>
            <w:r>
              <w:rPr>
                <w:rFonts w:ascii="Times New Roman" w:hAnsi="Times New Roman" w:eastAsia="Times New Roman" w:cs="Times New Roman"/>
                <w:spacing w:val="-2"/>
              </w:rPr>
              <w:t xml:space="preserve">22 </w:t>
            </w:r>
            <w:r>
              <w:rPr>
                <w:spacing w:val="-2"/>
              </w:rPr>
              <w:t>个跨越架</w:t>
            </w:r>
          </w:p>
        </w:tc>
        <w:tc>
          <w:tcPr>
            <w:tcW w:w="121" w:type="dxa"/>
            <w:tcBorders>
              <w:top w:val="nil"/>
              <w:bottom w:val="nil"/>
            </w:tcBorders>
            <w:vAlign w:val="top"/>
          </w:tcPr>
          <w:p w14:paraId="1E1755FD">
            <w:pPr>
              <w:rPr>
                <w:rFonts w:ascii="Arial"/>
                <w:sz w:val="21"/>
              </w:rPr>
            </w:pPr>
          </w:p>
        </w:tc>
      </w:tr>
      <w:tr w14:paraId="6D782F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AE75E7D">
            <w:pPr>
              <w:rPr>
                <w:rFonts w:ascii="Arial"/>
                <w:sz w:val="21"/>
              </w:rPr>
            </w:pPr>
          </w:p>
        </w:tc>
        <w:tc>
          <w:tcPr>
            <w:tcW w:w="113" w:type="dxa"/>
            <w:tcBorders>
              <w:top w:val="nil"/>
              <w:bottom w:val="nil"/>
            </w:tcBorders>
            <w:vAlign w:val="top"/>
          </w:tcPr>
          <w:p w14:paraId="2B674482">
            <w:pPr>
              <w:rPr>
                <w:rFonts w:ascii="Arial"/>
                <w:sz w:val="21"/>
              </w:rPr>
            </w:pPr>
          </w:p>
        </w:tc>
        <w:tc>
          <w:tcPr>
            <w:tcW w:w="727" w:type="dxa"/>
            <w:vAlign w:val="top"/>
          </w:tcPr>
          <w:p w14:paraId="6AB42E25">
            <w:pPr>
              <w:spacing w:before="90" w:line="219" w:lineRule="auto"/>
              <w:ind w:left="317"/>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555" w:type="dxa"/>
            <w:vAlign w:val="top"/>
          </w:tcPr>
          <w:p w14:paraId="464A022A">
            <w:pPr>
              <w:pStyle w:val="6"/>
              <w:spacing w:before="57" w:line="221" w:lineRule="auto"/>
              <w:ind w:left="362"/>
            </w:pPr>
            <w:r>
              <w:rPr>
                <w:spacing w:val="-1"/>
              </w:rPr>
              <w:t>施工便道</w:t>
            </w:r>
          </w:p>
        </w:tc>
        <w:tc>
          <w:tcPr>
            <w:tcW w:w="1133" w:type="dxa"/>
            <w:vAlign w:val="top"/>
          </w:tcPr>
          <w:p w14:paraId="3356F960">
            <w:pPr>
              <w:spacing w:before="90" w:line="219" w:lineRule="auto"/>
              <w:ind w:left="519"/>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134" w:type="dxa"/>
            <w:gridSpan w:val="3"/>
            <w:vAlign w:val="top"/>
          </w:tcPr>
          <w:p w14:paraId="0EFE5293">
            <w:pPr>
              <w:spacing w:before="92" w:line="217" w:lineRule="auto"/>
              <w:ind w:left="36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8100</w:t>
            </w:r>
          </w:p>
        </w:tc>
        <w:tc>
          <w:tcPr>
            <w:tcW w:w="851" w:type="dxa"/>
            <w:vAlign w:val="top"/>
          </w:tcPr>
          <w:p w14:paraId="4E867EF4">
            <w:pPr>
              <w:spacing w:before="92" w:line="217" w:lineRule="auto"/>
              <w:ind w:left="22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8100</w:t>
            </w:r>
          </w:p>
        </w:tc>
        <w:tc>
          <w:tcPr>
            <w:tcW w:w="2873" w:type="dxa"/>
            <w:gridSpan w:val="2"/>
            <w:vAlign w:val="top"/>
          </w:tcPr>
          <w:p w14:paraId="1BE288AB">
            <w:pPr>
              <w:pStyle w:val="6"/>
              <w:spacing w:before="57" w:line="223" w:lineRule="auto"/>
              <w:ind w:left="627"/>
            </w:pPr>
            <w:r>
              <w:rPr>
                <w:spacing w:val="-1"/>
              </w:rPr>
              <w:t>道路宽度按</w:t>
            </w:r>
            <w:r>
              <w:rPr>
                <w:spacing w:val="-42"/>
              </w:rPr>
              <w:t xml:space="preserve"> </w:t>
            </w:r>
            <w:r>
              <w:rPr>
                <w:rFonts w:ascii="Times New Roman" w:hAnsi="Times New Roman" w:eastAsia="Times New Roman" w:cs="Times New Roman"/>
                <w:spacing w:val="-1"/>
              </w:rPr>
              <w:t xml:space="preserve">3m </w:t>
            </w:r>
            <w:r>
              <w:rPr>
                <w:spacing w:val="-1"/>
              </w:rPr>
              <w:t>计</w:t>
            </w:r>
          </w:p>
        </w:tc>
        <w:tc>
          <w:tcPr>
            <w:tcW w:w="121" w:type="dxa"/>
            <w:tcBorders>
              <w:top w:val="nil"/>
              <w:bottom w:val="nil"/>
            </w:tcBorders>
            <w:vAlign w:val="top"/>
          </w:tcPr>
          <w:p w14:paraId="0DB8EDE9">
            <w:pPr>
              <w:rPr>
                <w:rFonts w:ascii="Arial"/>
                <w:sz w:val="21"/>
              </w:rPr>
            </w:pPr>
          </w:p>
        </w:tc>
      </w:tr>
      <w:tr w14:paraId="314C9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0EBC9B3F">
            <w:pPr>
              <w:rPr>
                <w:rFonts w:ascii="Arial"/>
                <w:sz w:val="21"/>
              </w:rPr>
            </w:pPr>
          </w:p>
        </w:tc>
        <w:tc>
          <w:tcPr>
            <w:tcW w:w="113" w:type="dxa"/>
            <w:tcBorders>
              <w:top w:val="nil"/>
              <w:bottom w:val="nil"/>
            </w:tcBorders>
            <w:vAlign w:val="top"/>
          </w:tcPr>
          <w:p w14:paraId="2E185894">
            <w:pPr>
              <w:rPr>
                <w:rFonts w:ascii="Arial"/>
                <w:sz w:val="21"/>
              </w:rPr>
            </w:pPr>
          </w:p>
        </w:tc>
        <w:tc>
          <w:tcPr>
            <w:tcW w:w="2282" w:type="dxa"/>
            <w:gridSpan w:val="2"/>
            <w:vAlign w:val="top"/>
          </w:tcPr>
          <w:p w14:paraId="2729B919">
            <w:pPr>
              <w:pStyle w:val="6"/>
              <w:spacing w:before="58" w:line="222" w:lineRule="auto"/>
              <w:ind w:left="937"/>
            </w:pPr>
            <w:r>
              <w:rPr>
                <w:spacing w:val="-2"/>
              </w:rPr>
              <w:t>合计</w:t>
            </w:r>
          </w:p>
        </w:tc>
        <w:tc>
          <w:tcPr>
            <w:tcW w:w="1133" w:type="dxa"/>
            <w:vAlign w:val="top"/>
          </w:tcPr>
          <w:p w14:paraId="49F6F445">
            <w:pPr>
              <w:spacing w:before="90" w:line="219" w:lineRule="auto"/>
              <w:ind w:left="378"/>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1226</w:t>
            </w:r>
          </w:p>
        </w:tc>
        <w:tc>
          <w:tcPr>
            <w:tcW w:w="1134" w:type="dxa"/>
            <w:gridSpan w:val="3"/>
            <w:vAlign w:val="top"/>
          </w:tcPr>
          <w:p w14:paraId="73EE9518">
            <w:pPr>
              <w:spacing w:before="90" w:line="219" w:lineRule="auto"/>
              <w:ind w:left="328"/>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18200</w:t>
            </w:r>
          </w:p>
        </w:tc>
        <w:tc>
          <w:tcPr>
            <w:tcW w:w="851" w:type="dxa"/>
            <w:vAlign w:val="top"/>
          </w:tcPr>
          <w:p w14:paraId="433F91CC">
            <w:pPr>
              <w:spacing w:before="90" w:line="219" w:lineRule="auto"/>
              <w:ind w:left="18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19426</w:t>
            </w:r>
          </w:p>
        </w:tc>
        <w:tc>
          <w:tcPr>
            <w:tcW w:w="2873" w:type="dxa"/>
            <w:gridSpan w:val="2"/>
            <w:vAlign w:val="top"/>
          </w:tcPr>
          <w:p w14:paraId="48DDC1FC">
            <w:pPr>
              <w:spacing w:before="93" w:line="216" w:lineRule="auto"/>
              <w:ind w:left="1407"/>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21" w:type="dxa"/>
            <w:tcBorders>
              <w:top w:val="nil"/>
              <w:bottom w:val="nil"/>
            </w:tcBorders>
            <w:vAlign w:val="top"/>
          </w:tcPr>
          <w:p w14:paraId="61C62236">
            <w:pPr>
              <w:rPr>
                <w:rFonts w:ascii="Arial"/>
                <w:sz w:val="21"/>
              </w:rPr>
            </w:pPr>
          </w:p>
        </w:tc>
      </w:tr>
      <w:tr w14:paraId="177D95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571" w:type="dxa"/>
            <w:vMerge w:val="continue"/>
            <w:tcBorders>
              <w:top w:val="nil"/>
            </w:tcBorders>
            <w:vAlign w:val="top"/>
          </w:tcPr>
          <w:p w14:paraId="48A7C46D">
            <w:pPr>
              <w:rPr>
                <w:rFonts w:ascii="Arial"/>
                <w:sz w:val="21"/>
              </w:rPr>
            </w:pPr>
          </w:p>
        </w:tc>
        <w:tc>
          <w:tcPr>
            <w:tcW w:w="8507" w:type="dxa"/>
            <w:gridSpan w:val="11"/>
            <w:vAlign w:val="top"/>
          </w:tcPr>
          <w:p w14:paraId="082ED02E">
            <w:pPr>
              <w:rPr>
                <w:rFonts w:ascii="Arial"/>
                <w:sz w:val="21"/>
              </w:rPr>
            </w:pPr>
          </w:p>
        </w:tc>
      </w:tr>
    </w:tbl>
    <w:p w14:paraId="2E61822B">
      <w:pPr>
        <w:rPr>
          <w:rFonts w:ascii="Arial"/>
          <w:sz w:val="21"/>
        </w:rPr>
      </w:pPr>
    </w:p>
    <w:p w14:paraId="136FD144">
      <w:pPr>
        <w:rPr>
          <w:rFonts w:ascii="Arial" w:hAnsi="Arial" w:eastAsia="Arial" w:cs="Arial"/>
          <w:sz w:val="21"/>
          <w:szCs w:val="21"/>
        </w:rPr>
        <w:sectPr>
          <w:footerReference r:id="rId35" w:type="default"/>
          <w:pgSz w:w="11907" w:h="16841"/>
          <w:pgMar w:top="400" w:right="1408" w:bottom="1126" w:left="1414" w:header="0" w:footer="925" w:gutter="0"/>
          <w:cols w:space="720" w:num="1"/>
        </w:sectPr>
      </w:pPr>
    </w:p>
    <w:p w14:paraId="73DDFB11">
      <w:pPr>
        <w:spacing w:before="2"/>
      </w:pPr>
    </w:p>
    <w:p w14:paraId="324007FA">
      <w:pPr>
        <w:spacing w:before="2"/>
      </w:pPr>
    </w:p>
    <w:p w14:paraId="37253398">
      <w:pPr>
        <w:spacing w:before="1"/>
      </w:pPr>
    </w:p>
    <w:p w14:paraId="6F99894D">
      <w:pPr>
        <w:spacing w:before="1"/>
      </w:pPr>
    </w:p>
    <w:p w14:paraId="172CADCA">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3B8472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5EC7D497">
            <w:pPr>
              <w:spacing w:line="248" w:lineRule="auto"/>
              <w:rPr>
                <w:rFonts w:ascii="Arial"/>
                <w:sz w:val="21"/>
              </w:rPr>
            </w:pPr>
          </w:p>
          <w:p w14:paraId="268FE5DB">
            <w:pPr>
              <w:spacing w:line="248" w:lineRule="auto"/>
              <w:rPr>
                <w:rFonts w:ascii="Arial"/>
                <w:sz w:val="21"/>
              </w:rPr>
            </w:pPr>
          </w:p>
          <w:p w14:paraId="69EAB228">
            <w:pPr>
              <w:spacing w:line="248" w:lineRule="auto"/>
              <w:rPr>
                <w:rFonts w:ascii="Arial"/>
                <w:sz w:val="21"/>
              </w:rPr>
            </w:pPr>
          </w:p>
          <w:p w14:paraId="1CEEC0E0">
            <w:pPr>
              <w:spacing w:line="248" w:lineRule="auto"/>
              <w:rPr>
                <w:rFonts w:ascii="Arial"/>
                <w:sz w:val="21"/>
              </w:rPr>
            </w:pPr>
          </w:p>
          <w:p w14:paraId="4DE12615">
            <w:pPr>
              <w:spacing w:line="248" w:lineRule="auto"/>
              <w:rPr>
                <w:rFonts w:ascii="Arial"/>
                <w:sz w:val="21"/>
              </w:rPr>
            </w:pPr>
          </w:p>
          <w:p w14:paraId="2DF308D8">
            <w:pPr>
              <w:spacing w:line="248" w:lineRule="auto"/>
              <w:rPr>
                <w:rFonts w:ascii="Arial"/>
                <w:sz w:val="21"/>
              </w:rPr>
            </w:pPr>
          </w:p>
          <w:p w14:paraId="263CA031">
            <w:pPr>
              <w:spacing w:line="248" w:lineRule="auto"/>
              <w:rPr>
                <w:rFonts w:ascii="Arial"/>
                <w:sz w:val="21"/>
              </w:rPr>
            </w:pPr>
          </w:p>
          <w:p w14:paraId="570D3158">
            <w:pPr>
              <w:spacing w:line="248" w:lineRule="auto"/>
              <w:rPr>
                <w:rFonts w:ascii="Arial"/>
                <w:sz w:val="21"/>
              </w:rPr>
            </w:pPr>
          </w:p>
          <w:p w14:paraId="3F3CE304">
            <w:pPr>
              <w:spacing w:line="248" w:lineRule="auto"/>
              <w:rPr>
                <w:rFonts w:ascii="Arial"/>
                <w:sz w:val="21"/>
              </w:rPr>
            </w:pPr>
          </w:p>
          <w:p w14:paraId="28EDFC74">
            <w:pPr>
              <w:spacing w:line="248" w:lineRule="auto"/>
              <w:rPr>
                <w:rFonts w:ascii="Arial"/>
                <w:sz w:val="21"/>
              </w:rPr>
            </w:pPr>
          </w:p>
          <w:p w14:paraId="4B575E6C">
            <w:pPr>
              <w:spacing w:line="248" w:lineRule="auto"/>
              <w:rPr>
                <w:rFonts w:ascii="Arial"/>
                <w:sz w:val="21"/>
              </w:rPr>
            </w:pPr>
          </w:p>
          <w:p w14:paraId="24F450E9">
            <w:pPr>
              <w:spacing w:line="248" w:lineRule="auto"/>
              <w:rPr>
                <w:rFonts w:ascii="Arial"/>
                <w:sz w:val="21"/>
              </w:rPr>
            </w:pPr>
          </w:p>
          <w:p w14:paraId="7C6B03D9">
            <w:pPr>
              <w:spacing w:line="248" w:lineRule="auto"/>
              <w:rPr>
                <w:rFonts w:ascii="Arial"/>
                <w:sz w:val="21"/>
              </w:rPr>
            </w:pPr>
          </w:p>
          <w:p w14:paraId="45C287EE">
            <w:pPr>
              <w:spacing w:line="248" w:lineRule="auto"/>
              <w:rPr>
                <w:rFonts w:ascii="Arial"/>
                <w:sz w:val="21"/>
              </w:rPr>
            </w:pPr>
          </w:p>
          <w:p w14:paraId="62775192">
            <w:pPr>
              <w:spacing w:line="248" w:lineRule="auto"/>
              <w:rPr>
                <w:rFonts w:ascii="Arial"/>
                <w:sz w:val="21"/>
              </w:rPr>
            </w:pPr>
          </w:p>
          <w:p w14:paraId="741DFCFE">
            <w:pPr>
              <w:spacing w:line="248" w:lineRule="auto"/>
              <w:rPr>
                <w:rFonts w:ascii="Arial"/>
                <w:sz w:val="21"/>
              </w:rPr>
            </w:pPr>
          </w:p>
          <w:p w14:paraId="57774D74">
            <w:pPr>
              <w:spacing w:line="248" w:lineRule="auto"/>
              <w:rPr>
                <w:rFonts w:ascii="Arial"/>
                <w:sz w:val="21"/>
              </w:rPr>
            </w:pPr>
          </w:p>
          <w:p w14:paraId="202EB363">
            <w:pPr>
              <w:spacing w:line="248" w:lineRule="auto"/>
              <w:rPr>
                <w:rFonts w:ascii="Arial"/>
                <w:sz w:val="21"/>
              </w:rPr>
            </w:pPr>
          </w:p>
          <w:p w14:paraId="6A2FF5A3">
            <w:pPr>
              <w:spacing w:line="248" w:lineRule="auto"/>
              <w:rPr>
                <w:rFonts w:ascii="Arial"/>
                <w:sz w:val="21"/>
              </w:rPr>
            </w:pPr>
          </w:p>
          <w:p w14:paraId="37158D37">
            <w:pPr>
              <w:spacing w:line="249" w:lineRule="auto"/>
              <w:rPr>
                <w:rFonts w:ascii="Arial"/>
                <w:sz w:val="21"/>
              </w:rPr>
            </w:pPr>
          </w:p>
          <w:p w14:paraId="641CB111">
            <w:pPr>
              <w:spacing w:line="249" w:lineRule="auto"/>
              <w:rPr>
                <w:rFonts w:ascii="Arial"/>
                <w:sz w:val="21"/>
              </w:rPr>
            </w:pPr>
          </w:p>
          <w:p w14:paraId="0A5B822B">
            <w:pPr>
              <w:spacing w:line="249" w:lineRule="auto"/>
              <w:rPr>
                <w:rFonts w:ascii="Arial"/>
                <w:sz w:val="21"/>
              </w:rPr>
            </w:pPr>
          </w:p>
          <w:p w14:paraId="6580F330">
            <w:pPr>
              <w:spacing w:line="249" w:lineRule="auto"/>
              <w:rPr>
                <w:rFonts w:ascii="Arial"/>
                <w:sz w:val="21"/>
              </w:rPr>
            </w:pPr>
          </w:p>
          <w:p w14:paraId="04593F25">
            <w:pPr>
              <w:spacing w:line="249" w:lineRule="auto"/>
              <w:rPr>
                <w:rFonts w:ascii="Arial"/>
                <w:sz w:val="21"/>
              </w:rPr>
            </w:pPr>
          </w:p>
          <w:p w14:paraId="16B2F152">
            <w:pPr>
              <w:pStyle w:val="6"/>
              <w:spacing w:before="68" w:line="279" w:lineRule="auto"/>
              <w:ind w:left="80" w:right="71" w:firstLine="5"/>
              <w:jc w:val="both"/>
            </w:pPr>
            <w:r>
              <w:rPr>
                <w:spacing w:val="-6"/>
              </w:rPr>
              <w:t>总平</w:t>
            </w:r>
            <w:r>
              <w:rPr>
                <w:spacing w:val="-3"/>
              </w:rPr>
              <w:t>面及现场布置</w:t>
            </w:r>
          </w:p>
        </w:tc>
        <w:tc>
          <w:tcPr>
            <w:tcW w:w="8507" w:type="dxa"/>
            <w:vAlign w:val="top"/>
          </w:tcPr>
          <w:p w14:paraId="647216F8">
            <w:pPr>
              <w:pStyle w:val="6"/>
              <w:spacing w:before="124" w:line="233" w:lineRule="auto"/>
              <w:ind w:left="118"/>
              <w:rPr>
                <w:sz w:val="24"/>
                <w:szCs w:val="24"/>
              </w:rPr>
            </w:pPr>
            <w:r>
              <w:rPr>
                <w:rFonts w:ascii="Times New Roman" w:hAnsi="Times New Roman" w:eastAsia="Times New Roman" w:cs="Times New Roman"/>
                <w:b/>
                <w:bCs/>
                <w:spacing w:val="-5"/>
                <w:sz w:val="24"/>
                <w:szCs w:val="24"/>
              </w:rPr>
              <w:t>1</w:t>
            </w:r>
            <w:r>
              <w:rPr>
                <w:b/>
                <w:bCs/>
                <w:spacing w:val="-5"/>
                <w:sz w:val="24"/>
                <w:szCs w:val="24"/>
              </w:rPr>
              <w:t>、总平面布置</w:t>
            </w:r>
          </w:p>
          <w:p w14:paraId="0C542D5B">
            <w:pPr>
              <w:pStyle w:val="6"/>
              <w:spacing w:before="170"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w:t>
            </w:r>
            <w:r>
              <w:rPr>
                <w:rFonts w:ascii="Times New Roman" w:hAnsi="Times New Roman" w:eastAsia="Times New Roman" w:cs="Times New Roman"/>
                <w:b/>
                <w:bCs/>
                <w:spacing w:val="-4"/>
                <w:sz w:val="24"/>
                <w:szCs w:val="24"/>
              </w:rPr>
              <w:t>C</w:t>
            </w:r>
            <w:r>
              <w:rPr>
                <w:rFonts w:ascii="Times New Roman" w:hAnsi="Times New Roman" w:eastAsia="Times New Roman" w:cs="Times New Roman"/>
                <w:b/>
                <w:bCs/>
                <w:spacing w:val="48"/>
                <w:sz w:val="24"/>
                <w:szCs w:val="24"/>
              </w:rPr>
              <w:t xml:space="preserve"> </w:t>
            </w:r>
            <w:r>
              <w:rPr>
                <w:b/>
                <w:bCs/>
                <w:spacing w:val="-4"/>
                <w:sz w:val="24"/>
                <w:szCs w:val="24"/>
              </w:rPr>
              <w:t>回：乐业变</w:t>
            </w:r>
            <w:r>
              <w:rPr>
                <w:rFonts w:ascii="Times New Roman" w:hAnsi="Times New Roman" w:eastAsia="Times New Roman" w:cs="Times New Roman"/>
                <w:b/>
                <w:bCs/>
                <w:spacing w:val="-4"/>
                <w:sz w:val="24"/>
                <w:szCs w:val="24"/>
              </w:rPr>
              <w:t>~</w:t>
            </w:r>
            <w:r>
              <w:rPr>
                <w:b/>
                <w:bCs/>
                <w:spacing w:val="-4"/>
                <w:sz w:val="24"/>
                <w:szCs w:val="24"/>
              </w:rPr>
              <w:t>迤车变</w:t>
            </w:r>
            <w:r>
              <w:rPr>
                <w:spacing w:val="-51"/>
                <w:sz w:val="24"/>
                <w:szCs w:val="24"/>
              </w:rPr>
              <w:t xml:space="preserve"> </w:t>
            </w:r>
            <w:r>
              <w:rPr>
                <w:rFonts w:ascii="Times New Roman" w:hAnsi="Times New Roman" w:eastAsia="Times New Roman" w:cs="Times New Roman"/>
                <w:b/>
                <w:bCs/>
                <w:spacing w:val="-4"/>
                <w:sz w:val="24"/>
                <w:szCs w:val="24"/>
              </w:rPr>
              <w:t xml:space="preserve">220kV </w:t>
            </w:r>
            <w:r>
              <w:rPr>
                <w:b/>
                <w:bCs/>
                <w:spacing w:val="-4"/>
                <w:sz w:val="24"/>
                <w:szCs w:val="24"/>
              </w:rPr>
              <w:t>线路</w:t>
            </w:r>
          </w:p>
          <w:p w14:paraId="6BFFBF1A">
            <w:pPr>
              <w:pStyle w:val="6"/>
              <w:spacing w:before="167" w:line="365" w:lineRule="auto"/>
              <w:ind w:left="111" w:right="5" w:firstLine="483"/>
              <w:jc w:val="both"/>
              <w:rPr>
                <w:sz w:val="24"/>
                <w:szCs w:val="24"/>
              </w:rPr>
            </w:pPr>
            <w:r>
              <w:rPr>
                <w:spacing w:val="-5"/>
                <w:sz w:val="24"/>
                <w:szCs w:val="24"/>
              </w:rPr>
              <w:t>线路从</w:t>
            </w:r>
            <w:r>
              <w:rPr>
                <w:spacing w:val="-42"/>
                <w:sz w:val="24"/>
                <w:szCs w:val="24"/>
              </w:rPr>
              <w:t xml:space="preserve"> </w:t>
            </w:r>
            <w:r>
              <w:rPr>
                <w:rFonts w:ascii="Times New Roman" w:hAnsi="Times New Roman" w:eastAsia="Times New Roman" w:cs="Times New Roman"/>
                <w:spacing w:val="-5"/>
                <w:sz w:val="24"/>
                <w:szCs w:val="24"/>
              </w:rPr>
              <w:t>500kV</w:t>
            </w:r>
            <w:r>
              <w:rPr>
                <w:rFonts w:ascii="Times New Roman" w:hAnsi="Times New Roman" w:eastAsia="Times New Roman" w:cs="Times New Roman"/>
                <w:spacing w:val="16"/>
                <w:sz w:val="24"/>
                <w:szCs w:val="24"/>
              </w:rPr>
              <w:t xml:space="preserve"> </w:t>
            </w:r>
            <w:r>
              <w:rPr>
                <w:spacing w:val="-5"/>
                <w:sz w:val="24"/>
                <w:szCs w:val="24"/>
              </w:rPr>
              <w:t>乐业变电站</w:t>
            </w:r>
            <w:r>
              <w:rPr>
                <w:spacing w:val="-55"/>
                <w:sz w:val="24"/>
                <w:szCs w:val="24"/>
              </w:rPr>
              <w:t xml:space="preserve"> </w:t>
            </w:r>
            <w:r>
              <w:rPr>
                <w:rFonts w:ascii="Times New Roman" w:hAnsi="Times New Roman" w:eastAsia="Times New Roman" w:cs="Times New Roman"/>
                <w:spacing w:val="-5"/>
                <w:sz w:val="24"/>
                <w:szCs w:val="24"/>
              </w:rPr>
              <w:t xml:space="preserve">220kV </w:t>
            </w:r>
            <w:r>
              <w:rPr>
                <w:spacing w:val="-5"/>
                <w:sz w:val="24"/>
                <w:szCs w:val="24"/>
              </w:rPr>
              <w:t>侧出线间隔采用</w:t>
            </w:r>
            <w:r>
              <w:rPr>
                <w:spacing w:val="-31"/>
                <w:sz w:val="24"/>
                <w:szCs w:val="24"/>
              </w:rPr>
              <w:t xml:space="preserve"> </w:t>
            </w:r>
            <w:r>
              <w:rPr>
                <w:rFonts w:ascii="Times New Roman" w:hAnsi="Times New Roman" w:eastAsia="Times New Roman" w:cs="Times New Roman"/>
                <w:spacing w:val="-5"/>
                <w:sz w:val="24"/>
                <w:szCs w:val="24"/>
              </w:rPr>
              <w:t xml:space="preserve">1 </w:t>
            </w:r>
            <w:r>
              <w:rPr>
                <w:spacing w:val="-5"/>
                <w:sz w:val="24"/>
                <w:szCs w:val="24"/>
              </w:rPr>
              <w:t>基双回路塔（单边挂线）</w:t>
            </w:r>
            <w:r>
              <w:rPr>
                <w:spacing w:val="-3"/>
                <w:sz w:val="24"/>
                <w:szCs w:val="24"/>
              </w:rPr>
              <w:t>向东出线后转为单回路架设，经连续左转后线</w:t>
            </w:r>
            <w:r>
              <w:rPr>
                <w:spacing w:val="-4"/>
                <w:sz w:val="24"/>
                <w:szCs w:val="24"/>
              </w:rPr>
              <w:t>路转向西北方向走线，在下碗花厂</w:t>
            </w:r>
            <w:r>
              <w:rPr>
                <w:spacing w:val="-5"/>
                <w:sz w:val="24"/>
                <w:szCs w:val="24"/>
              </w:rPr>
              <w:t xml:space="preserve">附近连续跨越乐业变电站 </w:t>
            </w:r>
            <w:r>
              <w:rPr>
                <w:rFonts w:ascii="Times New Roman" w:hAnsi="Times New Roman" w:eastAsia="Times New Roman" w:cs="Times New Roman"/>
                <w:spacing w:val="-5"/>
                <w:sz w:val="24"/>
                <w:szCs w:val="24"/>
              </w:rPr>
              <w:t>35kV</w:t>
            </w:r>
            <w:r>
              <w:rPr>
                <w:rFonts w:ascii="Times New Roman" w:hAnsi="Times New Roman" w:eastAsia="Times New Roman" w:cs="Times New Roman"/>
                <w:spacing w:val="44"/>
                <w:w w:val="101"/>
                <w:sz w:val="24"/>
                <w:szCs w:val="24"/>
              </w:rPr>
              <w:t xml:space="preserve"> </w:t>
            </w:r>
            <w:r>
              <w:rPr>
                <w:spacing w:val="-5"/>
                <w:sz w:val="24"/>
                <w:szCs w:val="24"/>
              </w:rPr>
              <w:t>站用电源线（拟建）、</w:t>
            </w:r>
            <w:r>
              <w:rPr>
                <w:rFonts w:ascii="Times New Roman" w:hAnsi="Times New Roman" w:eastAsia="Times New Roman" w:cs="Times New Roman"/>
                <w:spacing w:val="-5"/>
                <w:sz w:val="24"/>
                <w:szCs w:val="24"/>
              </w:rPr>
              <w:t>110kV</w:t>
            </w:r>
            <w:r>
              <w:rPr>
                <w:rFonts w:ascii="Times New Roman" w:hAnsi="Times New Roman" w:eastAsia="Times New Roman" w:cs="Times New Roman"/>
                <w:spacing w:val="43"/>
                <w:sz w:val="24"/>
                <w:szCs w:val="24"/>
              </w:rPr>
              <w:t xml:space="preserve"> </w:t>
            </w:r>
            <w:r>
              <w:rPr>
                <w:spacing w:val="-5"/>
                <w:sz w:val="24"/>
                <w:szCs w:val="24"/>
              </w:rPr>
              <w:t>大迤双回线，经田</w:t>
            </w:r>
            <w:r>
              <w:rPr>
                <w:spacing w:val="-1"/>
                <w:sz w:val="24"/>
                <w:szCs w:val="24"/>
              </w:rPr>
              <w:t>边，在小清河附近跨越本期拟建的</w:t>
            </w:r>
            <w:r>
              <w:rPr>
                <w:spacing w:val="-19"/>
                <w:sz w:val="24"/>
                <w:szCs w:val="24"/>
              </w:rPr>
              <w:t xml:space="preserve"> </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37"/>
                <w:w w:val="101"/>
                <w:sz w:val="24"/>
                <w:szCs w:val="24"/>
              </w:rPr>
              <w:t xml:space="preserve"> </w:t>
            </w:r>
            <w:r>
              <w:rPr>
                <w:spacing w:val="-1"/>
                <w:sz w:val="24"/>
                <w:szCs w:val="24"/>
              </w:rPr>
              <w:t>者迤Ⅰ回线改接入迤车牵引变</w:t>
            </w:r>
            <w:r>
              <w:rPr>
                <w:spacing w:val="-28"/>
                <w:sz w:val="24"/>
                <w:szCs w:val="24"/>
              </w:rPr>
              <w:t xml:space="preserve"> </w:t>
            </w:r>
            <w:r>
              <w:rPr>
                <w:rFonts w:ascii="Times New Roman" w:hAnsi="Times New Roman" w:eastAsia="Times New Roman" w:cs="Times New Roman"/>
                <w:spacing w:val="-1"/>
                <w:sz w:val="24"/>
                <w:szCs w:val="24"/>
              </w:rPr>
              <w:t>220kV</w:t>
            </w:r>
            <w:r>
              <w:rPr>
                <w:spacing w:val="-1"/>
                <w:sz w:val="24"/>
                <w:szCs w:val="24"/>
              </w:rPr>
              <w:t>线路后，最终接入迤车变电站原</w:t>
            </w:r>
            <w:r>
              <w:rPr>
                <w:spacing w:val="-54"/>
                <w:sz w:val="24"/>
                <w:szCs w:val="24"/>
              </w:rPr>
              <w:t xml:space="preserve"> </w:t>
            </w:r>
            <w:r>
              <w:rPr>
                <w:rFonts w:ascii="Times New Roman" w:hAnsi="Times New Roman" w:eastAsia="Times New Roman" w:cs="Times New Roman"/>
                <w:spacing w:val="-1"/>
                <w:sz w:val="24"/>
                <w:szCs w:val="24"/>
              </w:rPr>
              <w:t xml:space="preserve">220kV </w:t>
            </w:r>
            <w:r>
              <w:rPr>
                <w:spacing w:val="-1"/>
                <w:sz w:val="24"/>
                <w:szCs w:val="24"/>
              </w:rPr>
              <w:t>者迤Ⅱ线腾</w:t>
            </w:r>
            <w:r>
              <w:rPr>
                <w:spacing w:val="-2"/>
                <w:sz w:val="24"/>
                <w:szCs w:val="24"/>
              </w:rPr>
              <w:t>退出的</w:t>
            </w:r>
            <w:r>
              <w:rPr>
                <w:spacing w:val="-54"/>
                <w:sz w:val="24"/>
                <w:szCs w:val="24"/>
              </w:rPr>
              <w:t xml:space="preserve">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30"/>
                <w:sz w:val="24"/>
                <w:szCs w:val="24"/>
              </w:rPr>
              <w:t xml:space="preserve"> </w:t>
            </w:r>
            <w:r>
              <w:rPr>
                <w:spacing w:val="-2"/>
                <w:sz w:val="24"/>
                <w:szCs w:val="24"/>
              </w:rPr>
              <w:t>出线间隔。</w:t>
            </w:r>
          </w:p>
          <w:p w14:paraId="5C0EE0D4">
            <w:pPr>
              <w:pStyle w:val="6"/>
              <w:spacing w:before="1" w:line="232" w:lineRule="auto"/>
              <w:ind w:left="601"/>
              <w:rPr>
                <w:sz w:val="24"/>
                <w:szCs w:val="24"/>
              </w:rPr>
            </w:pPr>
            <w:r>
              <w:rPr>
                <w:b/>
                <w:bCs/>
                <w:spacing w:val="-3"/>
                <w:sz w:val="24"/>
                <w:szCs w:val="24"/>
              </w:rPr>
              <w:t>（</w:t>
            </w:r>
            <w:r>
              <w:rPr>
                <w:rFonts w:ascii="Times New Roman" w:hAnsi="Times New Roman" w:eastAsia="Times New Roman" w:cs="Times New Roman"/>
                <w:b/>
                <w:bCs/>
                <w:spacing w:val="-3"/>
                <w:sz w:val="24"/>
                <w:szCs w:val="24"/>
              </w:rPr>
              <w:t>2</w:t>
            </w:r>
            <w:r>
              <w:rPr>
                <w:b/>
                <w:bCs/>
                <w:spacing w:val="-3"/>
                <w:sz w:val="24"/>
                <w:szCs w:val="24"/>
              </w:rPr>
              <w:t>）</w:t>
            </w:r>
            <w:r>
              <w:rPr>
                <w:rFonts w:ascii="Times New Roman" w:hAnsi="Times New Roman" w:eastAsia="Times New Roman" w:cs="Times New Roman"/>
                <w:b/>
                <w:bCs/>
                <w:spacing w:val="-3"/>
                <w:sz w:val="24"/>
                <w:szCs w:val="24"/>
              </w:rPr>
              <w:t>D</w:t>
            </w:r>
            <w:r>
              <w:rPr>
                <w:rFonts w:ascii="Times New Roman" w:hAnsi="Times New Roman" w:eastAsia="Times New Roman" w:cs="Times New Roman"/>
                <w:b/>
                <w:bCs/>
                <w:spacing w:val="33"/>
                <w:sz w:val="24"/>
                <w:szCs w:val="24"/>
              </w:rPr>
              <w:t xml:space="preserve"> </w:t>
            </w:r>
            <w:r>
              <w:rPr>
                <w:b/>
                <w:bCs/>
                <w:spacing w:val="-3"/>
                <w:sz w:val="24"/>
                <w:szCs w:val="24"/>
              </w:rPr>
              <w:t>回：迤车变</w:t>
            </w:r>
            <w:r>
              <w:rPr>
                <w:rFonts w:ascii="Times New Roman" w:hAnsi="Times New Roman" w:eastAsia="Times New Roman" w:cs="Times New Roman"/>
                <w:b/>
                <w:bCs/>
                <w:spacing w:val="-3"/>
                <w:sz w:val="24"/>
                <w:szCs w:val="24"/>
              </w:rPr>
              <w:t>~</w:t>
            </w:r>
            <w:r>
              <w:rPr>
                <w:b/>
                <w:bCs/>
                <w:spacing w:val="-3"/>
                <w:sz w:val="24"/>
                <w:szCs w:val="24"/>
              </w:rPr>
              <w:t>迤车牵引变</w:t>
            </w:r>
            <w:r>
              <w:rPr>
                <w:spacing w:val="-51"/>
                <w:sz w:val="24"/>
                <w:szCs w:val="24"/>
              </w:rPr>
              <w:t xml:space="preserve"> </w:t>
            </w:r>
            <w:r>
              <w:rPr>
                <w:rFonts w:ascii="Times New Roman" w:hAnsi="Times New Roman" w:eastAsia="Times New Roman" w:cs="Times New Roman"/>
                <w:b/>
                <w:bCs/>
                <w:spacing w:val="-3"/>
                <w:sz w:val="24"/>
                <w:szCs w:val="24"/>
              </w:rPr>
              <w:t>220k</w:t>
            </w:r>
            <w:r>
              <w:rPr>
                <w:rFonts w:ascii="Times New Roman" w:hAnsi="Times New Roman" w:eastAsia="Times New Roman" w:cs="Times New Roman"/>
                <w:b/>
                <w:bCs/>
                <w:spacing w:val="-4"/>
                <w:sz w:val="24"/>
                <w:szCs w:val="24"/>
              </w:rPr>
              <w:t xml:space="preserve">V </w:t>
            </w:r>
            <w:r>
              <w:rPr>
                <w:b/>
                <w:bCs/>
                <w:spacing w:val="-4"/>
                <w:sz w:val="24"/>
                <w:szCs w:val="24"/>
              </w:rPr>
              <w:t>线路</w:t>
            </w:r>
          </w:p>
          <w:p w14:paraId="43EB3156">
            <w:pPr>
              <w:pStyle w:val="6"/>
              <w:spacing w:before="169" w:line="365" w:lineRule="auto"/>
              <w:ind w:left="111" w:right="156" w:firstLine="483"/>
              <w:jc w:val="both"/>
              <w:rPr>
                <w:sz w:val="24"/>
                <w:szCs w:val="24"/>
              </w:rPr>
            </w:pPr>
            <w:r>
              <w:rPr>
                <w:spacing w:val="2"/>
                <w:sz w:val="24"/>
                <w:szCs w:val="24"/>
              </w:rPr>
              <w:t xml:space="preserve">线路从 </w:t>
            </w:r>
            <w:r>
              <w:rPr>
                <w:rFonts w:ascii="Times New Roman" w:hAnsi="Times New Roman" w:eastAsia="Times New Roman" w:cs="Times New Roman"/>
                <w:spacing w:val="2"/>
                <w:sz w:val="24"/>
                <w:szCs w:val="24"/>
              </w:rPr>
              <w:t>220</w:t>
            </w:r>
            <w:r>
              <w:rPr>
                <w:rFonts w:ascii="Times New Roman" w:hAnsi="Times New Roman" w:eastAsia="Times New Roman" w:cs="Times New Roman"/>
                <w:sz w:val="24"/>
                <w:szCs w:val="24"/>
              </w:rPr>
              <w:t>kV</w:t>
            </w:r>
            <w:r>
              <w:rPr>
                <w:rFonts w:ascii="Times New Roman" w:hAnsi="Times New Roman" w:eastAsia="Times New Roman" w:cs="Times New Roman"/>
                <w:spacing w:val="2"/>
                <w:sz w:val="24"/>
                <w:szCs w:val="24"/>
              </w:rPr>
              <w:t xml:space="preserve">  </w:t>
            </w:r>
            <w:r>
              <w:rPr>
                <w:spacing w:val="2"/>
                <w:sz w:val="24"/>
                <w:szCs w:val="24"/>
              </w:rPr>
              <w:t>迤车变电站新扩建间隔向东南方向出线后转</w:t>
            </w:r>
            <w:r>
              <w:rPr>
                <w:spacing w:val="1"/>
                <w:sz w:val="24"/>
                <w:szCs w:val="24"/>
              </w:rPr>
              <w:t>向西南方向走</w:t>
            </w:r>
            <w:r>
              <w:rPr>
                <w:spacing w:val="-2"/>
                <w:sz w:val="24"/>
                <w:szCs w:val="24"/>
              </w:rPr>
              <w:t>线，跨越</w:t>
            </w:r>
            <w:r>
              <w:rPr>
                <w:spacing w:val="-21"/>
                <w:sz w:val="24"/>
                <w:szCs w:val="24"/>
              </w:rPr>
              <w:t xml:space="preserve"> </w:t>
            </w:r>
            <w:r>
              <w:rPr>
                <w:rFonts w:ascii="Times New Roman" w:hAnsi="Times New Roman" w:eastAsia="Times New Roman" w:cs="Times New Roman"/>
                <w:spacing w:val="-2"/>
                <w:sz w:val="24"/>
                <w:szCs w:val="24"/>
              </w:rPr>
              <w:t>110kV</w:t>
            </w:r>
            <w:r>
              <w:rPr>
                <w:rFonts w:ascii="Times New Roman" w:hAnsi="Times New Roman" w:eastAsia="Times New Roman" w:cs="Times New Roman"/>
                <w:spacing w:val="19"/>
                <w:w w:val="101"/>
                <w:sz w:val="24"/>
                <w:szCs w:val="24"/>
              </w:rPr>
              <w:t xml:space="preserve"> </w:t>
            </w:r>
            <w:r>
              <w:rPr>
                <w:spacing w:val="-2"/>
                <w:sz w:val="24"/>
                <w:szCs w:val="24"/>
              </w:rPr>
              <w:t>大迤双回线后连续右转后向西北方向走线，连续跨越</w:t>
            </w:r>
            <w:r>
              <w:rPr>
                <w:spacing w:val="-42"/>
                <w:sz w:val="24"/>
                <w:szCs w:val="24"/>
              </w:rPr>
              <w:t xml:space="preserve"> </w:t>
            </w:r>
            <w:r>
              <w:rPr>
                <w:rFonts w:ascii="Times New Roman" w:hAnsi="Times New Roman" w:eastAsia="Times New Roman" w:cs="Times New Roman"/>
                <w:spacing w:val="-2"/>
                <w:sz w:val="24"/>
                <w:szCs w:val="24"/>
              </w:rPr>
              <w:t>35kV</w:t>
            </w:r>
            <w:r>
              <w:rPr>
                <w:rFonts w:ascii="Times New Roman" w:hAnsi="Times New Roman" w:eastAsia="Times New Roman" w:cs="Times New Roman"/>
                <w:spacing w:val="17"/>
                <w:w w:val="101"/>
                <w:sz w:val="24"/>
                <w:szCs w:val="24"/>
              </w:rPr>
              <w:t xml:space="preserve"> </w:t>
            </w:r>
            <w:r>
              <w:rPr>
                <w:spacing w:val="-2"/>
                <w:sz w:val="24"/>
                <w:szCs w:val="24"/>
              </w:rPr>
              <w:t>石</w:t>
            </w:r>
            <w:r>
              <w:rPr>
                <w:spacing w:val="-7"/>
                <w:sz w:val="24"/>
                <w:szCs w:val="24"/>
              </w:rPr>
              <w:t>板沟光伏送出线、</w:t>
            </w:r>
            <w:r>
              <w:rPr>
                <w:rFonts w:ascii="Times New Roman" w:hAnsi="Times New Roman" w:eastAsia="Times New Roman" w:cs="Times New Roman"/>
                <w:spacing w:val="-7"/>
                <w:sz w:val="24"/>
                <w:szCs w:val="24"/>
              </w:rPr>
              <w:t>35kV</w:t>
            </w:r>
            <w:r>
              <w:rPr>
                <w:rFonts w:ascii="Times New Roman" w:hAnsi="Times New Roman" w:eastAsia="Times New Roman" w:cs="Times New Roman"/>
                <w:spacing w:val="12"/>
                <w:sz w:val="24"/>
                <w:szCs w:val="24"/>
              </w:rPr>
              <w:t xml:space="preserve"> </w:t>
            </w:r>
            <w:r>
              <w:rPr>
                <w:spacing w:val="-7"/>
                <w:sz w:val="24"/>
                <w:szCs w:val="24"/>
              </w:rPr>
              <w:t>半边街线、</w:t>
            </w:r>
            <w:r>
              <w:rPr>
                <w:rFonts w:ascii="Times New Roman" w:hAnsi="Times New Roman" w:eastAsia="Times New Roman" w:cs="Times New Roman"/>
                <w:spacing w:val="-7"/>
                <w:sz w:val="24"/>
                <w:szCs w:val="24"/>
              </w:rPr>
              <w:t xml:space="preserve">220kV </w:t>
            </w:r>
            <w:r>
              <w:rPr>
                <w:spacing w:val="-7"/>
                <w:sz w:val="24"/>
                <w:szCs w:val="24"/>
              </w:rPr>
              <w:t>赖迤线后转向东北，经</w:t>
            </w:r>
            <w:r>
              <w:rPr>
                <w:spacing w:val="-8"/>
                <w:sz w:val="24"/>
                <w:szCs w:val="24"/>
              </w:rPr>
              <w:t>刺梨沟、张家，</w:t>
            </w:r>
            <w:r>
              <w:rPr>
                <w:spacing w:val="-1"/>
                <w:sz w:val="24"/>
                <w:szCs w:val="24"/>
              </w:rPr>
              <w:t>在罗家里头附近转向西，经连续左转，最终接入</w:t>
            </w:r>
            <w:r>
              <w:rPr>
                <w:spacing w:val="-54"/>
                <w:sz w:val="24"/>
                <w:szCs w:val="24"/>
              </w:rPr>
              <w:t xml:space="preserve"> </w:t>
            </w:r>
            <w:r>
              <w:rPr>
                <w:rFonts w:ascii="Times New Roman" w:hAnsi="Times New Roman" w:eastAsia="Times New Roman" w:cs="Times New Roman"/>
                <w:spacing w:val="-1"/>
                <w:sz w:val="24"/>
                <w:szCs w:val="24"/>
              </w:rPr>
              <w:t>220</w:t>
            </w:r>
            <w:r>
              <w:rPr>
                <w:rFonts w:ascii="Times New Roman" w:hAnsi="Times New Roman" w:eastAsia="Times New Roman" w:cs="Times New Roman"/>
                <w:spacing w:val="-2"/>
                <w:sz w:val="24"/>
                <w:szCs w:val="24"/>
              </w:rPr>
              <w:t xml:space="preserve">kV </w:t>
            </w:r>
            <w:r>
              <w:rPr>
                <w:spacing w:val="-2"/>
                <w:sz w:val="24"/>
                <w:szCs w:val="24"/>
              </w:rPr>
              <w:t>迤车牵引变。</w:t>
            </w:r>
          </w:p>
          <w:p w14:paraId="5A8A0E5A">
            <w:pPr>
              <w:pStyle w:val="6"/>
              <w:spacing w:before="1" w:line="232" w:lineRule="auto"/>
              <w:ind w:left="601"/>
              <w:rPr>
                <w:sz w:val="24"/>
                <w:szCs w:val="24"/>
              </w:rPr>
            </w:pPr>
            <w:r>
              <w:rPr>
                <w:b/>
                <w:bCs/>
                <w:spacing w:val="-2"/>
                <w:sz w:val="24"/>
                <w:szCs w:val="24"/>
              </w:rPr>
              <w:t>（</w:t>
            </w:r>
            <w:r>
              <w:rPr>
                <w:rFonts w:ascii="Times New Roman" w:hAnsi="Times New Roman" w:eastAsia="Times New Roman" w:cs="Times New Roman"/>
                <w:b/>
                <w:bCs/>
                <w:spacing w:val="-2"/>
                <w:sz w:val="24"/>
                <w:szCs w:val="24"/>
              </w:rPr>
              <w:t>3</w:t>
            </w:r>
            <w:r>
              <w:rPr>
                <w:b/>
                <w:bCs/>
                <w:spacing w:val="-2"/>
                <w:sz w:val="24"/>
                <w:szCs w:val="24"/>
              </w:rPr>
              <w:t>）</w:t>
            </w:r>
            <w:r>
              <w:rPr>
                <w:rFonts w:ascii="Times New Roman" w:hAnsi="Times New Roman" w:eastAsia="Times New Roman" w:cs="Times New Roman"/>
                <w:b/>
                <w:bCs/>
                <w:spacing w:val="-2"/>
                <w:sz w:val="24"/>
                <w:szCs w:val="24"/>
              </w:rPr>
              <w:t>E</w:t>
            </w:r>
            <w:r>
              <w:rPr>
                <w:rFonts w:ascii="Times New Roman" w:hAnsi="Times New Roman" w:eastAsia="Times New Roman" w:cs="Times New Roman"/>
                <w:b/>
                <w:bCs/>
                <w:spacing w:val="32"/>
                <w:sz w:val="24"/>
                <w:szCs w:val="24"/>
              </w:rPr>
              <w:t xml:space="preserve"> </w:t>
            </w:r>
            <w:r>
              <w:rPr>
                <w:b/>
                <w:bCs/>
                <w:spacing w:val="-2"/>
                <w:sz w:val="24"/>
                <w:szCs w:val="24"/>
              </w:rPr>
              <w:t>回：</w:t>
            </w:r>
            <w:r>
              <w:rPr>
                <w:rFonts w:ascii="Times New Roman" w:hAnsi="Times New Roman" w:eastAsia="Times New Roman" w:cs="Times New Roman"/>
                <w:b/>
                <w:bCs/>
                <w:spacing w:val="-2"/>
                <w:sz w:val="24"/>
                <w:szCs w:val="24"/>
              </w:rPr>
              <w:t xml:space="preserve">220kV </w:t>
            </w:r>
            <w:r>
              <w:rPr>
                <w:b/>
                <w:bCs/>
                <w:spacing w:val="-2"/>
                <w:sz w:val="24"/>
                <w:szCs w:val="24"/>
              </w:rPr>
              <w:t>者迤Ⅰ回线改接</w:t>
            </w:r>
            <w:r>
              <w:rPr>
                <w:b/>
                <w:bCs/>
                <w:spacing w:val="-3"/>
                <w:sz w:val="24"/>
                <w:szCs w:val="24"/>
              </w:rPr>
              <w:t>入迤车牵引变</w:t>
            </w:r>
            <w:r>
              <w:rPr>
                <w:spacing w:val="-50"/>
                <w:sz w:val="24"/>
                <w:szCs w:val="24"/>
              </w:rPr>
              <w:t xml:space="preserve"> </w:t>
            </w:r>
            <w:r>
              <w:rPr>
                <w:rFonts w:ascii="Times New Roman" w:hAnsi="Times New Roman" w:eastAsia="Times New Roman" w:cs="Times New Roman"/>
                <w:b/>
                <w:bCs/>
                <w:spacing w:val="-3"/>
                <w:sz w:val="24"/>
                <w:szCs w:val="24"/>
              </w:rPr>
              <w:t xml:space="preserve">220kV </w:t>
            </w:r>
            <w:r>
              <w:rPr>
                <w:b/>
                <w:bCs/>
                <w:spacing w:val="-3"/>
                <w:sz w:val="24"/>
                <w:szCs w:val="24"/>
              </w:rPr>
              <w:t>线路</w:t>
            </w:r>
          </w:p>
          <w:p w14:paraId="1ADD2423">
            <w:pPr>
              <w:pStyle w:val="6"/>
              <w:spacing w:before="171" w:line="364" w:lineRule="auto"/>
              <w:ind w:left="111" w:right="108" w:firstLine="483"/>
              <w:jc w:val="both"/>
              <w:rPr>
                <w:sz w:val="24"/>
                <w:szCs w:val="24"/>
              </w:rPr>
            </w:pPr>
            <w:r>
              <w:rPr>
                <w:spacing w:val="-1"/>
                <w:sz w:val="24"/>
                <w:szCs w:val="24"/>
              </w:rPr>
              <w:t xml:space="preserve">线路在原 </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57"/>
                <w:sz w:val="24"/>
                <w:szCs w:val="24"/>
              </w:rPr>
              <w:t xml:space="preserve"> </w:t>
            </w:r>
            <w:r>
              <w:rPr>
                <w:spacing w:val="-1"/>
                <w:sz w:val="24"/>
                <w:szCs w:val="24"/>
              </w:rPr>
              <w:t xml:space="preserve">者迤Ⅰ回线 </w:t>
            </w:r>
            <w:r>
              <w:rPr>
                <w:rFonts w:ascii="Times New Roman" w:hAnsi="Times New Roman" w:eastAsia="Times New Roman" w:cs="Times New Roman"/>
                <w:spacing w:val="-1"/>
                <w:sz w:val="24"/>
                <w:szCs w:val="24"/>
              </w:rPr>
              <w:t>68#</w:t>
            </w:r>
            <w:r>
              <w:rPr>
                <w:spacing w:val="-1"/>
                <w:sz w:val="24"/>
                <w:szCs w:val="24"/>
              </w:rPr>
              <w:t>塔附</w:t>
            </w:r>
            <w:r>
              <w:rPr>
                <w:spacing w:val="-2"/>
                <w:sz w:val="24"/>
                <w:szCs w:val="24"/>
              </w:rPr>
              <w:t>近将原线路断开，接至本期新建线路</w:t>
            </w:r>
            <w:r>
              <w:rPr>
                <w:spacing w:val="-1"/>
                <w:sz w:val="24"/>
                <w:szCs w:val="24"/>
              </w:rPr>
              <w:t>向西走线，连续跨越</w:t>
            </w:r>
            <w:r>
              <w:rPr>
                <w:spacing w:val="-33"/>
                <w:sz w:val="24"/>
                <w:szCs w:val="24"/>
              </w:rPr>
              <w:t xml:space="preserve"> </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33"/>
                <w:sz w:val="24"/>
                <w:szCs w:val="24"/>
              </w:rPr>
              <w:t xml:space="preserve"> </w:t>
            </w:r>
            <w:r>
              <w:rPr>
                <w:spacing w:val="-1"/>
                <w:sz w:val="24"/>
                <w:szCs w:val="24"/>
              </w:rPr>
              <w:t>者迤Ⅱ回线、</w:t>
            </w:r>
            <w:r>
              <w:rPr>
                <w:rFonts w:ascii="Times New Roman" w:hAnsi="Times New Roman" w:eastAsia="Times New Roman" w:cs="Times New Roman"/>
                <w:spacing w:val="-1"/>
                <w:sz w:val="24"/>
                <w:szCs w:val="24"/>
              </w:rPr>
              <w:t>35kV</w:t>
            </w:r>
            <w:r>
              <w:rPr>
                <w:rFonts w:ascii="Times New Roman" w:hAnsi="Times New Roman" w:eastAsia="Times New Roman" w:cs="Times New Roman"/>
                <w:spacing w:val="32"/>
                <w:sz w:val="24"/>
                <w:szCs w:val="24"/>
              </w:rPr>
              <w:t xml:space="preserve"> </w:t>
            </w:r>
            <w:r>
              <w:rPr>
                <w:spacing w:val="-1"/>
                <w:sz w:val="24"/>
                <w:szCs w:val="24"/>
              </w:rPr>
              <w:t>火红Ⅰ回线、乐</w:t>
            </w:r>
            <w:r>
              <w:rPr>
                <w:spacing w:val="-2"/>
                <w:sz w:val="24"/>
                <w:szCs w:val="24"/>
              </w:rPr>
              <w:t>业变电站</w:t>
            </w:r>
            <w:r>
              <w:rPr>
                <w:spacing w:val="-28"/>
                <w:sz w:val="24"/>
                <w:szCs w:val="24"/>
              </w:rPr>
              <w:t xml:space="preserve"> </w:t>
            </w:r>
            <w:r>
              <w:rPr>
                <w:rFonts w:ascii="Times New Roman" w:hAnsi="Times New Roman" w:eastAsia="Times New Roman" w:cs="Times New Roman"/>
                <w:spacing w:val="-2"/>
                <w:sz w:val="24"/>
                <w:szCs w:val="24"/>
              </w:rPr>
              <w:t>35kV</w:t>
            </w:r>
            <w:r>
              <w:rPr>
                <w:spacing w:val="-4"/>
                <w:sz w:val="24"/>
                <w:szCs w:val="24"/>
              </w:rPr>
              <w:t>站用电源线（拟建）、</w:t>
            </w:r>
            <w:r>
              <w:rPr>
                <w:rFonts w:ascii="Times New Roman" w:hAnsi="Times New Roman" w:eastAsia="Times New Roman" w:cs="Times New Roman"/>
                <w:spacing w:val="-4"/>
                <w:sz w:val="24"/>
                <w:szCs w:val="24"/>
              </w:rPr>
              <w:t>110kV</w:t>
            </w:r>
            <w:r>
              <w:rPr>
                <w:rFonts w:ascii="Times New Roman" w:hAnsi="Times New Roman" w:eastAsia="Times New Roman" w:cs="Times New Roman"/>
                <w:spacing w:val="38"/>
                <w:w w:val="101"/>
                <w:sz w:val="24"/>
                <w:szCs w:val="24"/>
              </w:rPr>
              <w:t xml:space="preserve"> </w:t>
            </w:r>
            <w:r>
              <w:rPr>
                <w:spacing w:val="-4"/>
                <w:sz w:val="24"/>
                <w:szCs w:val="24"/>
              </w:rPr>
              <w:t>大迤双回线，钻越本期拟建</w:t>
            </w:r>
            <w:r>
              <w:rPr>
                <w:spacing w:val="-5"/>
                <w:sz w:val="24"/>
                <w:szCs w:val="24"/>
              </w:rPr>
              <w:t>的乐业</w:t>
            </w:r>
            <w:r>
              <w:rPr>
                <w:rFonts w:ascii="Times New Roman" w:hAnsi="Times New Roman" w:eastAsia="Times New Roman" w:cs="Times New Roman"/>
                <w:spacing w:val="-5"/>
                <w:sz w:val="24"/>
                <w:szCs w:val="24"/>
              </w:rPr>
              <w:t>~</w:t>
            </w:r>
            <w:r>
              <w:rPr>
                <w:spacing w:val="-5"/>
                <w:sz w:val="24"/>
                <w:szCs w:val="24"/>
              </w:rPr>
              <w:t>迤车</w:t>
            </w:r>
            <w:r>
              <w:rPr>
                <w:spacing w:val="-29"/>
                <w:sz w:val="24"/>
                <w:szCs w:val="24"/>
              </w:rPr>
              <w:t xml:space="preserve"> </w:t>
            </w:r>
            <w:r>
              <w:rPr>
                <w:rFonts w:ascii="Times New Roman" w:hAnsi="Times New Roman" w:eastAsia="Times New Roman" w:cs="Times New Roman"/>
                <w:spacing w:val="-5"/>
                <w:sz w:val="24"/>
                <w:szCs w:val="24"/>
              </w:rPr>
              <w:t>220kV</w:t>
            </w:r>
            <w:r>
              <w:rPr>
                <w:rFonts w:ascii="Times New Roman" w:hAnsi="Times New Roman" w:eastAsia="Times New Roman" w:cs="Times New Roman"/>
                <w:spacing w:val="39"/>
                <w:sz w:val="24"/>
                <w:szCs w:val="24"/>
              </w:rPr>
              <w:t xml:space="preserve"> </w:t>
            </w:r>
            <w:r>
              <w:rPr>
                <w:spacing w:val="-5"/>
                <w:sz w:val="24"/>
                <w:szCs w:val="24"/>
              </w:rPr>
              <w:t>线</w:t>
            </w:r>
            <w:r>
              <w:rPr>
                <w:spacing w:val="-1"/>
                <w:sz w:val="24"/>
                <w:szCs w:val="24"/>
              </w:rPr>
              <w:t>路，转向西北连续跨越</w:t>
            </w:r>
            <w:r>
              <w:rPr>
                <w:spacing w:val="-28"/>
                <w:sz w:val="24"/>
                <w:szCs w:val="24"/>
              </w:rPr>
              <w:t xml:space="preserve"> </w:t>
            </w:r>
            <w:r>
              <w:rPr>
                <w:rFonts w:ascii="Times New Roman" w:hAnsi="Times New Roman" w:eastAsia="Times New Roman" w:cs="Times New Roman"/>
                <w:spacing w:val="-1"/>
                <w:sz w:val="24"/>
                <w:szCs w:val="24"/>
              </w:rPr>
              <w:t>35kV</w:t>
            </w:r>
            <w:r>
              <w:rPr>
                <w:rFonts w:ascii="Times New Roman" w:hAnsi="Times New Roman" w:eastAsia="Times New Roman" w:cs="Times New Roman"/>
                <w:spacing w:val="31"/>
                <w:w w:val="101"/>
                <w:sz w:val="24"/>
                <w:szCs w:val="24"/>
              </w:rPr>
              <w:t xml:space="preserve"> </w:t>
            </w:r>
            <w:r>
              <w:rPr>
                <w:spacing w:val="-1"/>
                <w:sz w:val="24"/>
                <w:szCs w:val="24"/>
              </w:rPr>
              <w:t>石板沟光伏送出线、</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30"/>
                <w:sz w:val="24"/>
                <w:szCs w:val="24"/>
              </w:rPr>
              <w:t xml:space="preserve"> </w:t>
            </w:r>
            <w:r>
              <w:rPr>
                <w:spacing w:val="-1"/>
                <w:sz w:val="24"/>
                <w:szCs w:val="24"/>
              </w:rPr>
              <w:t>赖</w:t>
            </w:r>
            <w:r>
              <w:rPr>
                <w:spacing w:val="-2"/>
                <w:sz w:val="24"/>
                <w:szCs w:val="24"/>
              </w:rPr>
              <w:t>迤线、</w:t>
            </w:r>
            <w:r>
              <w:rPr>
                <w:rFonts w:ascii="Times New Roman" w:hAnsi="Times New Roman" w:eastAsia="Times New Roman" w:cs="Times New Roman"/>
                <w:spacing w:val="-2"/>
                <w:sz w:val="24"/>
                <w:szCs w:val="24"/>
              </w:rPr>
              <w:t>35kV</w:t>
            </w:r>
            <w:r>
              <w:rPr>
                <w:rFonts w:ascii="Times New Roman" w:hAnsi="Times New Roman" w:eastAsia="Times New Roman" w:cs="Times New Roman"/>
                <w:spacing w:val="34"/>
                <w:w w:val="101"/>
                <w:sz w:val="24"/>
                <w:szCs w:val="24"/>
              </w:rPr>
              <w:t xml:space="preserve"> </w:t>
            </w:r>
            <w:r>
              <w:rPr>
                <w:spacing w:val="-2"/>
                <w:sz w:val="24"/>
                <w:szCs w:val="24"/>
              </w:rPr>
              <w:t>半边街</w:t>
            </w:r>
            <w:r>
              <w:rPr>
                <w:spacing w:val="-7"/>
                <w:sz w:val="24"/>
                <w:szCs w:val="24"/>
              </w:rPr>
              <w:t>线后转向东北，经刺梨沟、张家， 在罗家里头附近转向西，经连续左转，最终接</w:t>
            </w:r>
            <w:r>
              <w:rPr>
                <w:spacing w:val="-4"/>
                <w:sz w:val="24"/>
                <w:szCs w:val="24"/>
              </w:rPr>
              <w:t>入</w:t>
            </w:r>
            <w:r>
              <w:rPr>
                <w:spacing w:val="-46"/>
                <w:sz w:val="24"/>
                <w:szCs w:val="24"/>
              </w:rPr>
              <w:t xml:space="preserve"> </w:t>
            </w:r>
            <w:r>
              <w:rPr>
                <w:rFonts w:ascii="Times New Roman" w:hAnsi="Times New Roman" w:eastAsia="Times New Roman" w:cs="Times New Roman"/>
                <w:spacing w:val="-4"/>
                <w:sz w:val="24"/>
                <w:szCs w:val="24"/>
              </w:rPr>
              <w:t xml:space="preserve">220kV </w:t>
            </w:r>
            <w:r>
              <w:rPr>
                <w:spacing w:val="-4"/>
                <w:sz w:val="24"/>
                <w:szCs w:val="24"/>
              </w:rPr>
              <w:t>迤车牵引变。</w:t>
            </w:r>
          </w:p>
          <w:p w14:paraId="650D6CCD">
            <w:pPr>
              <w:pStyle w:val="6"/>
              <w:spacing w:before="7" w:line="233" w:lineRule="auto"/>
              <w:ind w:left="601"/>
              <w:rPr>
                <w:sz w:val="24"/>
                <w:szCs w:val="24"/>
              </w:rPr>
            </w:pPr>
            <w:r>
              <w:rPr>
                <w:b/>
                <w:bCs/>
                <w:spacing w:val="-2"/>
                <w:sz w:val="24"/>
                <w:szCs w:val="24"/>
              </w:rPr>
              <w:t>（</w:t>
            </w:r>
            <w:r>
              <w:rPr>
                <w:rFonts w:ascii="Times New Roman" w:hAnsi="Times New Roman" w:eastAsia="Times New Roman" w:cs="Times New Roman"/>
                <w:b/>
                <w:bCs/>
                <w:spacing w:val="-2"/>
                <w:sz w:val="24"/>
                <w:szCs w:val="24"/>
              </w:rPr>
              <w:t>4</w:t>
            </w:r>
            <w:r>
              <w:rPr>
                <w:b/>
                <w:bCs/>
                <w:spacing w:val="-2"/>
                <w:sz w:val="24"/>
                <w:szCs w:val="24"/>
              </w:rPr>
              <w:t>）</w:t>
            </w:r>
            <w:r>
              <w:rPr>
                <w:rFonts w:ascii="Times New Roman" w:hAnsi="Times New Roman" w:eastAsia="Times New Roman" w:cs="Times New Roman"/>
                <w:b/>
                <w:bCs/>
                <w:spacing w:val="-2"/>
                <w:sz w:val="24"/>
                <w:szCs w:val="24"/>
              </w:rPr>
              <w:t xml:space="preserve">220kV </w:t>
            </w:r>
            <w:r>
              <w:rPr>
                <w:b/>
                <w:bCs/>
                <w:spacing w:val="-2"/>
                <w:sz w:val="24"/>
                <w:szCs w:val="24"/>
              </w:rPr>
              <w:t>迤车变间隔扩建</w:t>
            </w:r>
          </w:p>
          <w:p w14:paraId="4DC32298">
            <w:pPr>
              <w:pStyle w:val="6"/>
              <w:spacing w:before="171" w:line="365" w:lineRule="auto"/>
              <w:ind w:left="108" w:right="107" w:firstLine="483"/>
              <w:jc w:val="both"/>
              <w:rPr>
                <w:sz w:val="24"/>
                <w:szCs w:val="24"/>
              </w:rPr>
            </w:pPr>
            <w:r>
              <w:rPr>
                <w:spacing w:val="-3"/>
                <w:sz w:val="24"/>
                <w:szCs w:val="24"/>
              </w:rPr>
              <w:t>在</w:t>
            </w:r>
            <w:r>
              <w:rPr>
                <w:spacing w:val="-29"/>
                <w:sz w:val="24"/>
                <w:szCs w:val="24"/>
              </w:rPr>
              <w:t xml:space="preserve"> </w:t>
            </w:r>
            <w:r>
              <w:rPr>
                <w:rFonts w:ascii="Times New Roman" w:hAnsi="Times New Roman" w:eastAsia="Times New Roman" w:cs="Times New Roman"/>
                <w:spacing w:val="-3"/>
                <w:sz w:val="24"/>
                <w:szCs w:val="24"/>
              </w:rPr>
              <w:t>220kV</w:t>
            </w:r>
            <w:r>
              <w:rPr>
                <w:rFonts w:ascii="Times New Roman" w:hAnsi="Times New Roman" w:eastAsia="Times New Roman" w:cs="Times New Roman"/>
                <w:spacing w:val="34"/>
                <w:w w:val="101"/>
                <w:sz w:val="24"/>
                <w:szCs w:val="24"/>
              </w:rPr>
              <w:t xml:space="preserve"> </w:t>
            </w:r>
            <w:r>
              <w:rPr>
                <w:spacing w:val="-3"/>
                <w:sz w:val="24"/>
                <w:szCs w:val="24"/>
              </w:rPr>
              <w:t>迤车变</w:t>
            </w:r>
            <w:r>
              <w:rPr>
                <w:spacing w:val="-29"/>
                <w:sz w:val="24"/>
                <w:szCs w:val="24"/>
              </w:rPr>
              <w:t xml:space="preserve"> </w:t>
            </w:r>
            <w:r>
              <w:rPr>
                <w:rFonts w:ascii="Times New Roman" w:hAnsi="Times New Roman" w:eastAsia="Times New Roman" w:cs="Times New Roman"/>
                <w:spacing w:val="-3"/>
                <w:sz w:val="24"/>
                <w:szCs w:val="24"/>
              </w:rPr>
              <w:t>220kV</w:t>
            </w:r>
            <w:r>
              <w:rPr>
                <w:rFonts w:ascii="Times New Roman" w:hAnsi="Times New Roman" w:eastAsia="Times New Roman" w:cs="Times New Roman"/>
                <w:spacing w:val="35"/>
                <w:sz w:val="24"/>
                <w:szCs w:val="24"/>
              </w:rPr>
              <w:t xml:space="preserve"> </w:t>
            </w:r>
            <w:r>
              <w:rPr>
                <w:spacing w:val="-3"/>
                <w:sz w:val="24"/>
                <w:szCs w:val="24"/>
              </w:rPr>
              <w:t xml:space="preserve">配电装置场地新增 </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36"/>
                <w:sz w:val="24"/>
                <w:szCs w:val="24"/>
              </w:rPr>
              <w:t xml:space="preserve"> </w:t>
            </w:r>
            <w:r>
              <w:rPr>
                <w:spacing w:val="-3"/>
                <w:sz w:val="24"/>
                <w:szCs w:val="24"/>
              </w:rPr>
              <w:t>个</w:t>
            </w:r>
            <w:r>
              <w:rPr>
                <w:spacing w:val="-28"/>
                <w:sz w:val="24"/>
                <w:szCs w:val="24"/>
              </w:rPr>
              <w:t xml:space="preserve"> </w:t>
            </w:r>
            <w:r>
              <w:rPr>
                <w:rFonts w:ascii="Times New Roman" w:hAnsi="Times New Roman" w:eastAsia="Times New Roman" w:cs="Times New Roman"/>
                <w:spacing w:val="-3"/>
                <w:sz w:val="24"/>
                <w:szCs w:val="24"/>
              </w:rPr>
              <w:t>220kV</w:t>
            </w:r>
            <w:r>
              <w:rPr>
                <w:rFonts w:ascii="Times New Roman" w:hAnsi="Times New Roman" w:eastAsia="Times New Roman" w:cs="Times New Roman"/>
                <w:spacing w:val="56"/>
                <w:sz w:val="24"/>
                <w:szCs w:val="24"/>
              </w:rPr>
              <w:t xml:space="preserve"> </w:t>
            </w:r>
            <w:r>
              <w:rPr>
                <w:spacing w:val="-3"/>
                <w:sz w:val="24"/>
                <w:szCs w:val="24"/>
              </w:rPr>
              <w:t>出线间隔（超期扩</w:t>
            </w:r>
            <w:r>
              <w:rPr>
                <w:spacing w:val="-5"/>
                <w:sz w:val="24"/>
                <w:szCs w:val="24"/>
              </w:rPr>
              <w:t>建，采用者迤Ⅱ线南侧扩建</w:t>
            </w:r>
            <w:r>
              <w:rPr>
                <w:spacing w:val="2"/>
                <w:sz w:val="24"/>
                <w:szCs w:val="24"/>
              </w:rPr>
              <w:t>），</w:t>
            </w:r>
            <w:r>
              <w:rPr>
                <w:spacing w:val="-5"/>
                <w:sz w:val="24"/>
                <w:szCs w:val="24"/>
              </w:rPr>
              <w:t>用于出线至迤车牵引变；并将原</w:t>
            </w:r>
            <w:r>
              <w:rPr>
                <w:spacing w:val="-53"/>
                <w:sz w:val="24"/>
                <w:szCs w:val="24"/>
              </w:rPr>
              <w:t xml:space="preserve"> </w:t>
            </w:r>
            <w:r>
              <w:rPr>
                <w:rFonts w:ascii="Times New Roman" w:hAnsi="Times New Roman" w:eastAsia="Times New Roman" w:cs="Times New Roman"/>
                <w:spacing w:val="-5"/>
                <w:sz w:val="24"/>
                <w:szCs w:val="24"/>
              </w:rPr>
              <w:t xml:space="preserve">220kV </w:t>
            </w:r>
            <w:r>
              <w:rPr>
                <w:spacing w:val="-5"/>
                <w:sz w:val="24"/>
                <w:szCs w:val="24"/>
              </w:rPr>
              <w:t>者迤Ⅰ线</w:t>
            </w:r>
            <w:r>
              <w:rPr>
                <w:spacing w:val="-1"/>
                <w:sz w:val="24"/>
                <w:szCs w:val="24"/>
              </w:rPr>
              <w:t xml:space="preserve">间隔调整改接为者迤Ⅱ线，原设备及间隔内导线均沿用；并原 </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49"/>
                <w:sz w:val="24"/>
                <w:szCs w:val="24"/>
              </w:rPr>
              <w:t xml:space="preserve"> </w:t>
            </w:r>
            <w:r>
              <w:rPr>
                <w:spacing w:val="-1"/>
                <w:sz w:val="24"/>
                <w:szCs w:val="24"/>
              </w:rPr>
              <w:t>者迤Ⅱ线</w:t>
            </w:r>
            <w:r>
              <w:rPr>
                <w:spacing w:val="-5"/>
                <w:sz w:val="24"/>
                <w:szCs w:val="24"/>
              </w:rPr>
              <w:t>间隔调整改接至</w:t>
            </w:r>
            <w:r>
              <w:rPr>
                <w:spacing w:val="-47"/>
                <w:sz w:val="24"/>
                <w:szCs w:val="24"/>
              </w:rPr>
              <w:t xml:space="preserve"> </w:t>
            </w:r>
            <w:r>
              <w:rPr>
                <w:rFonts w:ascii="Times New Roman" w:hAnsi="Times New Roman" w:eastAsia="Times New Roman" w:cs="Times New Roman"/>
                <w:spacing w:val="-5"/>
                <w:sz w:val="24"/>
                <w:szCs w:val="24"/>
              </w:rPr>
              <w:t>500kV</w:t>
            </w:r>
            <w:r>
              <w:rPr>
                <w:rFonts w:ascii="Times New Roman" w:hAnsi="Times New Roman" w:eastAsia="Times New Roman" w:cs="Times New Roman"/>
                <w:spacing w:val="17"/>
                <w:sz w:val="24"/>
                <w:szCs w:val="24"/>
              </w:rPr>
              <w:t xml:space="preserve"> </w:t>
            </w:r>
            <w:r>
              <w:rPr>
                <w:spacing w:val="-5"/>
                <w:sz w:val="24"/>
                <w:szCs w:val="24"/>
              </w:rPr>
              <w:t>乐业变（未建成</w:t>
            </w:r>
            <w:r>
              <w:rPr>
                <w:spacing w:val="-6"/>
                <w:sz w:val="24"/>
                <w:szCs w:val="24"/>
              </w:rPr>
              <w:t>），</w:t>
            </w:r>
            <w:r>
              <w:rPr>
                <w:spacing w:val="-5"/>
                <w:sz w:val="24"/>
                <w:szCs w:val="24"/>
              </w:rPr>
              <w:t>原</w:t>
            </w:r>
            <w:r>
              <w:rPr>
                <w:spacing w:val="-6"/>
                <w:sz w:val="24"/>
                <w:szCs w:val="24"/>
              </w:rPr>
              <w:t>设备沿用，更换间隔内导线。扩建</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37"/>
                <w:w w:val="101"/>
                <w:sz w:val="24"/>
                <w:szCs w:val="24"/>
              </w:rPr>
              <w:t xml:space="preserve"> </w:t>
            </w:r>
            <w:r>
              <w:rPr>
                <w:spacing w:val="-1"/>
                <w:sz w:val="24"/>
                <w:szCs w:val="24"/>
              </w:rPr>
              <w:t>主母线及融冰母线。本次扩建间隔一、二次</w:t>
            </w:r>
            <w:r>
              <w:rPr>
                <w:spacing w:val="-2"/>
                <w:sz w:val="24"/>
                <w:szCs w:val="24"/>
              </w:rPr>
              <w:t xml:space="preserve">设备与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34"/>
                <w:w w:val="101"/>
                <w:sz w:val="24"/>
                <w:szCs w:val="24"/>
              </w:rPr>
              <w:t xml:space="preserve"> </w:t>
            </w:r>
            <w:r>
              <w:rPr>
                <w:spacing w:val="-2"/>
                <w:sz w:val="24"/>
                <w:szCs w:val="24"/>
              </w:rPr>
              <w:t>迤车变站内现有设备保持一致，主接线方式跟前期保持一致。</w:t>
            </w:r>
          </w:p>
        </w:tc>
      </w:tr>
    </w:tbl>
    <w:p w14:paraId="6FCD90E1">
      <w:pPr>
        <w:rPr>
          <w:rFonts w:ascii="Arial"/>
          <w:sz w:val="21"/>
        </w:rPr>
      </w:pPr>
    </w:p>
    <w:p w14:paraId="50825B86">
      <w:pPr>
        <w:rPr>
          <w:rFonts w:ascii="Arial" w:hAnsi="Arial" w:eastAsia="Arial" w:cs="Arial"/>
          <w:sz w:val="21"/>
          <w:szCs w:val="21"/>
        </w:rPr>
        <w:sectPr>
          <w:footerReference r:id="rId36" w:type="default"/>
          <w:pgSz w:w="11907" w:h="16841"/>
          <w:pgMar w:top="400" w:right="1408" w:bottom="1126" w:left="1414" w:header="0" w:footer="925" w:gutter="0"/>
          <w:cols w:space="720" w:num="1"/>
        </w:sectPr>
      </w:pPr>
    </w:p>
    <w:p w14:paraId="37D160FB">
      <w:pPr>
        <w:spacing w:before="2"/>
      </w:pPr>
    </w:p>
    <w:p w14:paraId="10CF1B3C">
      <w:pPr>
        <w:spacing w:before="2"/>
      </w:pPr>
    </w:p>
    <w:p w14:paraId="20AD368E">
      <w:pPr>
        <w:spacing w:before="1"/>
      </w:pPr>
    </w:p>
    <w:p w14:paraId="68870E1E">
      <w:pPr>
        <w:spacing w:before="1"/>
      </w:pPr>
    </w:p>
    <w:p w14:paraId="721FB293">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451814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41" w:hRule="atLeast"/>
        </w:trPr>
        <w:tc>
          <w:tcPr>
            <w:tcW w:w="571" w:type="dxa"/>
            <w:vAlign w:val="top"/>
          </w:tcPr>
          <w:p w14:paraId="3379C644">
            <w:pPr>
              <w:rPr>
                <w:rFonts w:ascii="Arial"/>
                <w:sz w:val="21"/>
              </w:rPr>
            </w:pPr>
          </w:p>
        </w:tc>
        <w:tc>
          <w:tcPr>
            <w:tcW w:w="8507" w:type="dxa"/>
            <w:vAlign w:val="top"/>
          </w:tcPr>
          <w:p w14:paraId="3EBF0FB1">
            <w:pPr>
              <w:spacing w:before="116" w:line="3568" w:lineRule="exact"/>
              <w:ind w:firstLine="151"/>
            </w:pPr>
            <w:r>
              <w:rPr>
                <w:position w:val="-71"/>
              </w:rPr>
              <w:pict>
                <v:group id="_x0000_s1028" o:spid="_x0000_s1028" o:spt="203" style="height:178.4pt;width:409.65pt;" coordsize="8192,3567">
                  <o:lock v:ext="edit"/>
                  <v:shape id="_x0000_s1029" o:spid="_x0000_s1029" style="position:absolute;left:204;top:1593;height:200;width:885;" fillcolor="#FF0000" filled="t" stroked="f" coordsize="885,200" path="m73,148l64,148,64,148,64,160,64,177,63,199,74,194,74,184,73,168,73,148xem98,132l91,143,73,143,64,143,29,143,34,149,39,148,64,148,73,148,108,148,98,132xem57,59l52,75,46,91,39,105,32,118,25,130,17,142,9,152,0,162,0,165,1,164,11,156,21,146,29,136,37,125,45,112,52,99,58,84,64,69,57,59xem59,54l57,59,64,69,64,143,73,143,73,54,76,54,59,54xem79,54l59,54,76,54,78,63,82,81,88,97,94,112,100,125,107,136,115,146,124,155,125,150,136,145,136,142,130,139,121,132,112,124,104,113,97,101,90,87,84,72,79,54xem121,37l113,49,73,49,64,49,4,49,10,57,12,56,24,54,59,54,79,54,133,54,121,37xem63,0l64,16,64,33,64,49,73,49,73,16,79,10,63,0xem250,174l250,178,266,177,263,177,250,174xem199,137l198,139,205,153,210,166,213,173,216,168,218,160,216,153,212,148,199,137xem180,134l179,135,174,150,167,164,167,165,159,177,151,190,152,192,159,185,168,175,177,164,185,150,190,148,180,134xem220,117l213,126,213,126,204,126,180,126,172,126,153,126,157,132,166,131,230,131,220,117xem172,43l172,126,180,126,180,99,204,99,180,94,180,70,204,70,180,64,180,43,204,43,172,43xem213,43l172,43,204,43,204,64,180,64,204,70,204,94,180,94,204,99,204,126,213,126,213,43xem221,28l215,37,213,37,172,37,154,37,158,44,167,43,172,43,213,43,231,43,221,28xem234,21l234,36,234,54,234,75,234,90,234,109,233,125,231,136,231,138,227,155,222,169,222,170,215,182,205,195,207,197,215,190,224,179,231,166,231,165,237,152,241,136,242,118,271,118,242,113,242,105,242,88,242,70,271,70,242,65,242,23,271,23,234,21xem234,11l234,21,271,23,271,65,242,65,271,70,271,113,242,113,271,118,271,168,266,177,250,178,263,185,267,196,267,195,277,186,279,172,279,25,284,20,242,18,234,11xem274,10l270,18,242,18,284,20,274,10xem204,2l204,3,204,22,204,37,180,37,172,37,213,37,213,17,217,12,204,2xem172,2l172,3,172,19,172,37,180,37,180,18,185,13,172,2xem305,173l305,176,324,176,320,175,305,173xem336,101l328,107,328,166,324,176,305,176,308,177,320,186,323,196,332,187,336,174,336,101xem358,82l336,94,328,97,320,101,308,107,300,110,307,126,307,125,314,117,328,107,336,101,359,85,358,82xem336,55l328,55,328,97,336,94,336,55xem350,40l343,50,336,50,328,50,300,50,305,57,312,55,328,55,336,55,361,55,350,40xem363,36l363,39,364,61,364,81,364,98,363,114,361,128,360,139,358,153,353,168,347,182,339,195,341,197,345,192,354,179,360,165,366,151,369,137,369,134,370,121,371,106,372,88,372,70,372,48,437,48,372,43,363,36xem426,33l418,43,372,43,437,48,426,33xem386,5l384,7,391,19,396,32,401,39,404,37,406,28,404,19,399,14,386,5xem327,1l328,15,328,32,328,50,336,50,336,16,341,11,327,1xem588,176l583,177,570,179,558,180,546,181,504,185,504,185,514,189,526,192,539,193,542,193,555,193,567,193,578,192,579,189,588,180,588,176xem476,159l469,171,461,183,452,194,453,196,453,196,464,186,474,176,481,165,476,159xem538,143l531,143,531,143,531,159,530,177,539,172,538,159,538,143xem572,127l565,137,538,137,531,137,493,137,498,144,503,143,531,143,538,143,582,143,572,127xem531,137l538,137,538,116,531,116,531,137xem465,114l462,116,466,129,470,144,476,159,481,165,484,169,494,179,504,185,546,181,537,181,528,180,516,177,505,173,504,173,493,166,484,157,479,149,476,144,470,130,465,114xem560,101l554,110,538,110,531,110,502,110,506,117,512,116,531,116,538,116,570,116,560,101xem501,91l488,93,488,102,485,121,482,137,479,149,484,157,487,148,490,134,493,117,496,96,501,91xem531,87l531,110,538,110,538,87,560,87,531,87xem502,82l506,89,512,87,531,87,502,82xem493,80l488,88,471,88,458,90,465,100,470,93,488,93,501,91,493,80xem531,82l538,82,538,61,531,61,531,82xem568,61l560,61,560,82,538,82,531,82,502,82,531,87,560,87,560,94,569,89,569,81,568,61xem576,47l570,56,568,56,560,56,538,56,531,56,494,56,498,62,503,61,531,61,538,61,560,61,568,61,586,61,576,47xem531,56l538,56,538,35,531,35,531,56xem573,34l560,36,560,56,568,56,568,39,573,34xem498,33l484,33,464,85,458,90,471,88,492,37,498,33xem565,23l559,31,538,31,531,31,503,31,508,37,512,36,531,36,538,36,560,36,573,34,565,23xem490,21l484,28,454,28,458,35,464,33,484,33,498,33,490,21xem530,1l531,13,531,31,538,31,538,16,543,10,530,1xem694,172l694,175,710,175,694,172xem646,142l645,159,653,153,653,144,684,144,646,142xem696,62l684,65,684,98,653,98,684,103,684,138,653,138,692,140,692,126,692,110,692,90,692,69,696,62xem645,53l645,54,646,71,646,88,646,105,646,108,646,124,646,142,684,144,684,157,692,150,692,140,653,138,653,103,684,103,653,98,653,65,684,65,696,62,654,60,645,53xem689,52l683,60,654,60,696,62,689,52xem612,27l613,34,613,46,613,62,613,84,613,110,613,135,613,157,613,174,613,186,612,194,622,188,621,179,621,162,621,43,626,37,612,27xem731,25l718,26,718,168,715,175,710,175,694,175,695,175,705,183,712,195,714,194,723,184,723,184,726,168,726,30,731,25xem722,13l716,21,651,21,656,29,659,28,670,26,718,26,731,25,722,13xem625,1l623,3,629,18,634,33,637,42,641,37,643,27,641,19,636,13,625,1xem852,175l852,179,867,179,865,178,852,175xem845,142l838,142,838,153,837,171,837,186,845,181,845,176,845,161,845,142xem771,135l771,138,781,136,771,135xem860,128l854,136,816,136,821,144,824,144,836,142,838,142,845,142,868,142,860,128xem823,99l822,102,824,108,828,123,830,131,834,127,836,121,834,113,833,112,823,99xem853,99l852,102,848,118,848,119,843,134,845,135,851,125,858,110,863,108,853,99xem884,94l872,96,872,172,867,179,852,179,860,183,867,196,876,186,878,173,878,99,884,94xem805,85l805,91,805,108,805,124,805,142,805,146,805,163,805,181,805,196,812,191,812,96,872,96,884,94,812,91,805,85xem876,83l871,91,812,91,884,94,876,83xem868,42l857,43,857,69,825,69,857,74,857,81,865,75,864,62,864,46,868,42xem817,33l818,41,825,38,817,33xem861,32l857,38,825,38,818,41,818,58,818,68,817,85,825,80,825,74,857,74,825,69,825,43,857,43,868,42,861,32xem805,20l790,21,776,74,779,81,786,97,789,110,789,112,791,127,789,134,781,136,771,138,777,143,783,154,787,151,796,142,796,142,799,126,799,122,796,105,795,101,788,89,779,74,799,24,805,20xem760,8l760,12,760,18,768,16,760,8xem796,7l790,16,768,16,760,18,760,28,760,40,760,56,761,74,761,95,761,119,761,146,761,176,760,195,768,188,768,21,790,21,805,20,796,7xem871,6l864,15,806,15,812,23,814,21,826,20,880,20,871,6xe">
                    <v:path/>
                    <v:fill on="t" focussize="0,0"/>
                    <v:stroke on="f"/>
                    <v:imagedata o:title=""/>
                    <o:lock v:ext="edit"/>
                  </v:shape>
                  <v:shape id="_x0000_s1030" o:spid="_x0000_s1030" style="position:absolute;left:56;top:1112;height:1156;width:8082;" filled="f" stroked="t" coordsize="8082,1156" path="m0,1155l0,0m0,0l8081,0m1170,1155l1170,0m0,385l8081,385m0,770l8081,770m0,1155l8081,1155e">
                    <v:fill on="f" focussize="0,0"/>
                    <v:stroke weight="0.09pt" color="#000000" miterlimit="10"/>
                    <v:imagedata o:title=""/>
                    <o:lock v:ext="edit"/>
                  </v:shape>
                  <v:shape id="_x0000_s1031" o:spid="_x0000_s1031" style="position:absolute;left:571;top:1230;height:158;width:133;" fillcolor="#000000" filled="t" stroked="f" coordsize="133,158" path="m59,15l35,15,41,17,50,28,51,29,54,40,56,56,56,79,56,81,56,102,54,118,50,129,45,136,35,141,14,146,23,154,35,157,45,155,55,148,61,138,66,122,68,113,69,97,70,79,70,75,69,56,67,42,66,34,61,19,59,15xem35,0l25,1,15,9,9,19,3,34,2,43,0,59,0,79,0,98,2,115,5,130,10,141,14,146,35,141,28,139,20,129,19,128,16,117,14,100,13,79,13,74,14,53,17,37,20,26,24,20,35,15,59,15,50,5,47,2,35,0xem104,30l94,38,94,57,97,55,107,47,111,44,120,34,104,30xem133,0l125,0,122,7,113,20,104,30,120,34,120,154,133,154,133,0xe">
                    <v:path/>
                    <v:fill on="t" focussize="0,0"/>
                    <v:stroke on="f"/>
                    <v:imagedata o:title=""/>
                    <o:lock v:ext="edit"/>
                  </v:shape>
                  <v:shape id="_x0000_s1032" o:spid="_x0000_s1032" style="position:absolute;left:133;top:1977;height:201;width:1031;" fillcolor="#FF0000" filled="t" stroked="f" coordsize="1031,201" path="m39,17l28,27,22,33,14,46,7,60,2,73,0,89,0,107,1,120,4,135,10,149,12,152,20,164,29,174,31,176,40,182,40,182,32,170,32,169,23,158,16,144,12,136,9,120,8,102,9,86,12,69,16,56,17,54,25,40,32,29,40,17,39,17xem162,150l154,161,145,171,136,180,125,189,114,196,114,199,116,198,128,192,139,185,149,177,158,167,167,157,162,150xem136,140l88,167,77,173,84,187,84,186,89,180,97,173,107,165,121,155,137,143,136,140xem129,90l121,90,121,98,129,90xem79,79l79,82,79,99,80,116,80,155,80,158,77,173,88,167,88,90,121,90,129,90,129,90,89,86,79,79xem149,63l146,69,148,88,150,105,154,121,158,135,163,149,162,150,167,157,170,163,179,176,187,187,196,196,198,192,207,186,207,182,201,180,191,173,181,163,172,149,174,141,167,140,163,130,159,117,155,102,151,84,149,63xem188,59l180,59,179,77,177,95,174,112,171,126,167,140,174,141,179,128,182,113,185,96,187,79,188,59xem195,45l188,54,151,54,205,59,195,45xem133,33l121,36,121,86,89,86,129,90,129,78,129,61,129,39,133,33xem125,22l120,31,74,31,79,38,86,36,121,36,133,33,125,22xem154,3l153,10,150,29,146,46,142,62,137,77,133,90,128,103,129,104,134,95,141,81,146,69,149,63,150,59,180,59,188,59,205,59,151,54,154,47,158,30,162,17,167,12,154,3xem226,174l226,178,242,177,240,177,226,174xem331,165l315,166,321,171,331,178,333,180,342,192,347,196,349,194,350,190,349,181,348,181,339,171,331,165xem298,122l290,122,284,135,278,150,285,152,296,157,311,155,310,155,299,151,287,147,292,136,298,122xem334,122l324,122,323,126,317,142,311,155,296,157,307,162,302,168,292,177,281,184,279,186,267,191,256,194,256,197,258,197,271,194,283,191,292,187,295,184,306,176,315,166,331,165,319,159,321,154,327,141,334,122xem229,109l219,114,227,128,232,122,245,110,229,109xem348,107l341,117,299,117,291,117,258,117,263,123,268,122,290,122,298,122,324,122,334,122,358,122,348,107xem269,86l253,96,245,100,241,103,229,109,245,110,245,170,242,177,226,178,238,187,241,196,249,189,253,176,253,104,270,89,269,86xem301,82l300,82,300,85,296,100,291,117,299,117,307,95,312,91,301,82xem346,67l339,77,317,77,314,77,264,77,269,84,275,82,300,82,301,82,356,82,346,67xem253,53l245,53,245,100,253,96,253,53xem287,42l285,44,290,54,294,68,297,76,300,71,302,65,301,58,298,54,287,42xem324,39l322,45,318,60,318,61,314,77,317,77,322,69,330,53,335,51,324,39xem267,39l260,49,253,49,245,49,221,49,225,55,232,53,245,53,253,53,277,53,267,39xem341,24l335,33,272,33,278,41,279,41,291,39,352,39,341,24xem298,2l297,3,302,12,307,26,309,32,313,29,315,21,312,14,310,11,298,2xem244,0l244,10,245,27,245,49,253,49,253,15,257,9,244,0xem495,163l484,177,444,177,435,177,371,177,377,184,379,184,391,182,507,182,495,163xem435,177l444,177,444,131,435,131,435,177xem481,113l472,126,444,126,435,126,386,126,391,133,393,132,405,131,435,131,444,131,493,131,481,113xem444,86l435,86,435,126,444,126,444,86xem422,81l411,81,399,82,462,83,476,81,422,81xem449,42l447,44,457,54,465,65,473,76,470,77,458,78,446,79,434,80,422,81,476,81,476,81,484,94,485,97,489,91,490,79,483,67,482,66,474,60,464,52,449,42xem441,23l428,23,426,28,419,42,412,55,406,63,398,73,397,75,386,80,393,99,395,97,408,92,410,91,421,89,435,86,444,86,451,84,462,83,399,82,403,78,412,67,419,56,423,51,431,39,441,23xem489,6l480,18,377,18,382,26,385,25,396,23,428,23,441,23,502,23,489,6xem659,173l648,174,636,175,624,176,613,176,659,176,659,173xem540,155l530,164,521,174,529,184,531,180,538,167,547,159,540,155xem649,120l646,120,646,132,644,146,635,153,596,153,584,158,594,162,644,162,647,162,656,152,655,152,649,140,649,136,649,120xem616,117l616,120,622,123,627,133,630,132,637,122,638,118,627,118,616,117xem561,92l568,99,571,95,580,92,561,92xem556,78l543,81,543,153,540,155,547,159,557,169,563,174,575,181,578,183,589,187,602,188,610,189,621,189,633,189,648,189,649,184,659,176,613,176,602,176,601,176,586,174,575,172,567,168,560,163,551,153,551,84,556,78xem546,68l542,76,520,76,525,84,536,81,543,81,556,78,546,68xem635,65l631,73,613,79,632,79,632,93,631,107,627,118,638,118,639,103,640,81,644,75,635,65xem579,58l580,73,580,87,561,92,580,92,580,141,580,145,584,158,596,153,592,151,587,137,587,90,605,86,587,86,587,72,594,66,579,58xem605,46l605,81,587,86,605,86,605,93,605,110,605,127,605,143,613,139,613,135,613,119,613,102,613,84,632,79,613,79,613,61,619,56,605,46xem641,24l633,35,587,35,579,35,574,49,568,63,561,78,563,80,563,79,571,69,578,55,586,40,651,40,641,24xem539,7l537,9,542,23,545,38,549,47,551,44,555,35,551,22,548,18,539,7xem588,2l588,4,585,17,579,35,587,35,589,31,595,16,600,12,588,2xem745,147l737,147,737,148,737,163,736,180,736,199,746,194,746,181,746,165,745,147xem798,129l788,142,745,142,737,142,672,142,677,150,689,147,737,147,745,147,809,147,798,129xem737,142l745,142,745,100,737,100,737,142xem781,83l773,95,745,95,690,96,699,109,704,100,737,100,745,100,792,100,781,83xem736,50l736,58,737,74,737,95,704,95,745,95,745,65,750,58,736,50xem726,40l715,40,713,46,708,62,703,76,697,87,690,96,745,95,704,95,726,40xem788,23l779,35,727,35,717,35,682,35,688,43,699,40,715,40,726,40,799,40,788,23xem726,1l726,2,723,14,717,35,727,35,733,20,739,12,726,1xem895,153l887,153,887,170,886,188,886,200,895,196,895,190,895,175,895,153xem947,135l937,147,895,147,887,147,823,147,828,155,830,155,843,153,887,153,895,153,959,153,947,135xem887,147l895,147,895,118,887,118,887,147xem926,102l917,113,895,113,849,113,844,128,838,142,839,143,840,143,847,132,855,118,887,118,895,118,937,118,926,102xem855,84l853,97,849,113,895,113,857,113,860,103,868,95,855,84xem886,83l887,96,887,113,857,113,895,113,895,97,899,91,886,83xem947,66l942,76,836,76,942,81,936,100,938,102,940,98,950,85,958,81,947,66xem836,65l833,65,830,81,825,95,822,103,828,105,835,98,836,97,836,81,942,81,836,76,836,65xem891,36l890,40,900,47,911,56,917,65,925,72,927,65,922,52,917,49,906,43,891,36xem893,30l884,30,882,36,876,47,868,56,857,64,843,71,843,73,852,71,864,66,875,59,883,50,890,40,891,36,893,30xem932,14l925,25,893,25,884,25,837,25,843,32,845,32,857,30,884,30,893,30,944,30,932,14xem884,1l885,8,884,25,893,25,894,12,898,8,884,1xem988,14l988,15,997,26,998,28,1005,39,1013,54,1016,64,1020,79,1022,97,1021,113,1019,129,1014,143,1012,147,1004,161,997,171,996,172,988,182,988,183,1000,175,1004,171,1013,161,1021,147,1026,136,1029,120,1031,103,1031,101,1030,84,1026,68,1021,54,1016,45,1008,32,999,23,996,20,988,14xe">
                    <v:path/>
                    <v:fill on="t" focussize="0,0"/>
                    <v:stroke on="f"/>
                    <v:imagedata o:title=""/>
                    <o:lock v:ext="edit"/>
                  </v:shape>
                  <v:shape id="_x0000_s1033" o:spid="_x0000_s1033" style="position:absolute;left:1615;top:1593;height:197;width:517;" fillcolor="#000000" filled="t" stroked="f" coordsize="517,197" path="m31,120l21,129,11,137,0,146,1,148,5,146,16,139,27,132,38,123,31,120xem110,107l97,110,97,138,46,138,97,144,97,174,46,174,97,180,97,194,105,188,105,181,105,163,105,150,105,134,105,113,110,107xem37,98l38,113,31,120,38,123,38,137,38,154,38,169,38,182,37,196,46,191,46,180,97,180,46,174,46,144,97,144,46,138,46,114,51,110,97,110,110,107,55,106,46,105,37,98xem100,96l95,106,55,106,110,107,100,96xem80,76l70,76,65,83,56,94,46,105,55,106,62,98,71,88,80,76xem124,58l115,71,83,71,56,71,0,71,5,79,7,77,20,76,70,76,80,76,136,76,124,58xem56,71l64,71,64,40,56,40,56,71xem80,24l72,36,64,36,56,36,18,36,23,43,25,43,37,40,56,40,64,40,91,40,80,24xem106,11l101,22,95,36,88,48,80,60,73,71,64,71,56,71,83,71,87,66,95,54,103,41,111,27,117,24,106,11xem55,3l56,16,56,36,64,36,64,18,69,11,55,3xem287,172l276,173,264,174,252,174,241,174,287,175,287,172xem168,155l158,163,149,173,157,183,159,180,167,166,176,159,168,155xem277,119l274,119,273,131,272,145,264,151,225,151,212,157,222,161,272,161,275,161,284,151,283,150,277,138,277,135,277,119xem244,116l244,119,250,122,255,132,258,131,265,121,266,117,255,117,244,116xem190,91l196,98,199,94,208,91,190,91xem184,77l172,80,172,151,168,155,176,159,185,168,192,173,203,181,207,182,218,185,230,187,238,187,249,187,261,187,276,188,277,183,287,175,241,174,230,174,229,174,215,173,203,171,195,167,188,162,179,151,179,83,184,77xem175,67l170,75,148,75,153,83,164,80,172,80,184,77,175,67xem263,64l259,72,241,77,260,77,260,92,259,107,255,117,266,117,267,102,268,80,272,74,263,64xem207,57l208,72,208,86,190,91,208,91,208,140,208,144,212,157,225,151,220,149,216,136,216,90,233,85,216,85,216,71,222,65,207,57xem233,45l233,80,216,85,233,85,233,92,233,109,233,126,233,143,242,137,242,134,241,118,241,100,241,83,260,77,241,77,241,60,247,55,233,45xem269,23l261,34,215,34,207,35,203,48,196,62,189,77,191,79,192,78,199,68,207,54,214,39,279,39,269,23xem167,6l165,8,170,22,173,37,177,46,180,43,183,35,179,21,177,17,167,6xem216,1l216,3,213,16,207,35,215,34,217,29,223,15,228,11,216,1xem307,176l321,176,321,22,307,22,307,176xem349,176l363,176,363,22,349,22,349,176xem465,152l456,162,446,170,435,178,424,184,424,188,430,185,442,180,451,174,453,174,463,167,473,158,465,152xem444,148l432,151,420,155,411,158,409,158,398,161,384,163,390,180,393,177,406,169,409,167,418,163,429,158,444,151,444,148xem512,138l504,179,494,185,501,191,510,196,517,194,516,191,515,188,513,171,514,158,515,139,512,138xem437,113l435,113,420,118,408,121,401,122,414,126,424,122,437,117,437,113xem497,103l492,112,485,126,476,138,485,143,494,131,502,119,508,118,497,103xem470,97l462,99,464,115,466,132,470,148,465,152,473,158,477,164,486,177,494,185,504,179,497,173,488,163,479,149,485,143,476,138,474,132,472,116,470,97xem505,76l497,89,470,93,462,94,427,99,433,107,438,103,462,99,470,97,517,90,505,76xem468,62l460,62,461,80,462,94,470,93,469,76,468,62xem501,42l494,54,468,57,460,58,434,61,440,68,444,64,460,62,468,62,513,57,501,42xem430,37l429,39,425,55,419,70,395,74,418,74,417,76,410,90,403,105,396,115,388,122,395,140,402,134,413,127,414,126,401,122,407,112,414,97,421,84,427,72,435,56,441,48,430,37xem478,11l477,14,486,25,493,37,496,43,499,39,500,31,498,23,493,18,478,11xem413,3l410,18,406,34,400,49,400,49,392,66,385,72,391,89,394,86,405,78,407,77,418,74,395,74,396,73,404,56,410,42,415,31,417,24,424,14,413,3xem459,0l459,8,460,24,460,42,460,58,468,57,468,47,468,30,468,15,473,9,459,0xe">
                    <v:path/>
                    <v:fill on="t" focussize="0,0"/>
                    <v:stroke on="f"/>
                    <v:imagedata o:title=""/>
                    <o:lock v:ext="edit"/>
                  </v:shape>
                  <v:shape id="_x0000_s1034" o:spid="_x0000_s1034" style="position:absolute;left:2464;top:1113;height:1155;width:2;" filled="f" stroked="t" coordsize="2,1155" path="m0,1154l0,0e">
                    <v:fill on="f" focussize="0,0"/>
                    <v:stroke weight="0.09pt" color="#000000" miterlimit="10"/>
                    <v:imagedata o:title=""/>
                    <o:lock v:ext="edit"/>
                  </v:shape>
                  <v:shape id="_x0000_s1035" o:spid="_x0000_s1035" style="position:absolute;left:1798;top:1230;height:158;width:153;" fillcolor="#000000" filled="t" stroked="f" coordsize="153,158" path="m59,15l34,15,41,17,50,28,51,29,53,40,55,56,56,79,56,81,55,102,53,118,50,129,45,136,35,141,14,146,23,154,35,157,44,155,55,148,61,138,66,122,68,113,69,97,70,79,70,75,69,56,67,42,66,34,61,19,59,15xem35,0l25,1,15,9,9,19,3,34,2,43,0,59,0,79,0,98,2,115,5,130,10,141,14,146,35,141,28,139,20,129,19,128,16,117,14,100,13,79,13,74,14,53,16,37,20,26,24,20,34,15,59,15,50,5,47,2,35,0xem93,14l87,27,84,44,98,46,98,37,104,23,107,19,119,15,93,14xem119,0l115,0,104,3,94,11,93,14,119,15,124,16,134,23,136,26,139,42,138,49,133,65,128,72,120,84,109,97,109,97,99,110,92,121,89,127,83,141,81,154,153,154,153,136,100,136,106,126,110,120,121,107,125,101,135,89,141,80,144,74,150,60,150,59,153,43,153,41,150,25,144,12,141,9,131,2,119,0xe">
                    <v:path/>
                    <v:fill on="t" focussize="0,0"/>
                    <v:stroke on="f"/>
                    <v:imagedata o:title=""/>
                    <o:lock v:ext="edit"/>
                  </v:shape>
                  <v:shape id="_x0000_s1036" o:spid="_x0000_s1036" style="position:absolute;left:2841;top:1593;height:197;width:475;" fillcolor="#FF0000" filled="t" stroked="f" coordsize="475,197" path="m31,120l21,129,11,137,0,146,1,148,5,146,16,139,27,132,38,123,31,120xem110,107l97,110,97,138,46,138,97,144,97,174,46,174,97,180,97,194,105,188,105,181,105,163,105,150,105,134,105,113,110,107xem37,98l38,113,31,120,38,123,38,137,38,154,38,169,38,182,37,196,46,191,46,180,97,180,46,174,46,144,97,144,46,138,46,114,51,110,97,110,110,107,55,106,46,105,37,98xem100,96l95,106,55,106,110,107,100,96xem80,76l70,76,65,83,55,94,46,105,55,106,62,98,71,88,80,76xem124,58l115,71,84,71,56,71,0,71,5,79,8,77,20,76,70,76,80,76,136,76,124,58xem56,71l64,71,64,40,56,40,56,71xem80,24l72,36,64,36,56,36,17,36,23,43,25,43,37,40,56,40,64,40,91,40,80,24xem107,11l102,22,95,36,88,48,80,60,73,71,64,71,56,71,84,71,87,66,95,54,103,41,111,27,116,24,107,11xem55,3l55,16,56,36,64,36,64,18,69,11,55,3xem288,172l277,173,264,174,253,174,241,174,288,175,288,172xem168,155l158,163,149,173,157,183,159,180,166,166,176,159,168,155xem277,119l274,119,274,131,272,145,264,151,225,151,212,157,222,161,272,161,275,161,284,151,283,150,277,138,277,135,277,119xem244,116l244,119,250,122,255,132,257,131,265,121,266,117,255,117,244,116xem190,91l196,98,200,94,208,91,190,91xem184,77l172,80,172,151,168,155,176,159,185,168,191,173,203,181,206,182,218,185,230,187,238,187,249,187,262,187,276,188,277,183,288,175,241,174,230,174,229,174,215,173,203,171,195,167,188,162,179,151,179,83,184,77xem175,67l170,75,148,75,153,83,164,80,172,80,184,77,175,67xem263,64l259,72,241,77,260,77,260,92,259,107,255,117,266,117,267,102,268,80,272,74,263,64xem207,57l208,72,208,86,190,91,208,91,208,140,208,144,212,157,225,151,220,149,216,136,216,90,233,85,216,85,216,71,222,65,207,57xem233,45l233,80,216,85,233,85,233,92,233,109,233,126,233,143,241,137,241,134,241,118,241,100,241,83,260,77,241,77,241,60,247,55,233,45xem269,23l261,34,215,34,207,35,202,48,196,62,189,77,191,79,191,78,199,68,206,54,214,39,279,39,269,23xem167,6l165,8,170,22,174,37,177,46,180,43,183,35,179,21,177,17,167,6xem217,1l216,3,213,16,207,35,215,34,217,29,223,15,228,11,217,1xem307,176l321,176,321,22,307,22,307,176xem423,152l414,162,404,170,393,178,382,184,383,188,388,185,401,180,410,174,410,174,421,167,431,158,423,152xem402,148l390,151,378,155,369,158,367,158,356,161,343,163,349,180,351,177,364,169,367,167,376,163,388,158,402,151,402,148xem471,138l463,179,453,185,459,191,469,196,475,194,474,191,473,188,472,171,472,158,473,139,471,138xem396,113l393,113,378,118,367,121,359,122,372,126,383,122,396,117,396,113xem455,103l451,112,443,126,434,138,443,143,452,131,460,119,466,118,455,103xem429,97l420,99,422,115,424,132,427,148,423,152,431,158,435,164,444,177,453,185,463,179,455,173,446,163,438,149,443,143,434,138,433,132,430,116,429,97xem463,76l456,89,428,93,420,94,385,99,391,107,396,103,420,99,429,97,475,90,463,76xem427,62l419,62,419,80,420,94,428,93,427,76,427,62xem459,42l452,54,427,57,419,58,393,61,398,68,402,64,419,62,427,62,471,57,459,42xem389,37l388,39,383,55,378,70,353,74,376,74,375,76,369,90,361,105,355,115,346,122,353,140,360,134,371,127,372,126,359,122,365,112,372,97,379,84,385,72,393,56,399,48,389,37xem436,11l436,14,444,25,451,37,455,43,457,39,458,31,456,23,451,18,436,11xem371,3l368,18,364,34,358,49,358,49,350,66,343,72,350,89,352,86,363,78,365,77,376,74,353,74,353,73,362,56,369,42,372,31,376,24,383,14,371,3xem418,0l418,8,418,24,418,42,419,58,427,57,427,47,426,30,426,15,431,9,418,0xe">
                    <v:path/>
                    <v:fill on="t" focussize="0,0"/>
                    <v:stroke on="f"/>
                    <v:imagedata o:title=""/>
                    <o:lock v:ext="edit"/>
                  </v:shape>
                  <v:shape id="_x0000_s1037" o:spid="_x0000_s1037" style="position:absolute;left:3649;top:1113;height:1155;width:2;" filled="f" stroked="t" coordsize="2,1155" path="m0,1154l0,0e">
                    <v:fill on="f" focussize="0,0"/>
                    <v:stroke weight="0.09pt" color="#000000" miterlimit="10"/>
                    <v:imagedata o:title=""/>
                    <o:lock v:ext="edit"/>
                  </v:shape>
                  <v:shape id="_x0000_s1038" o:spid="_x0000_s1038" style="position:absolute;left:3003;top:1230;height:560;width:1313;" fillcolor="#000000" filled="t" stroked="f" coordsize="1313,560" path="m59,15l34,15,41,17,50,28,51,29,54,40,56,56,56,79,56,81,56,102,54,118,50,129,45,136,35,141,14,146,23,154,35,157,44,155,54,148,61,138,66,122,68,113,69,97,70,79,70,75,69,56,67,42,66,34,61,19,59,15xem35,0l25,1,15,9,9,19,3,34,2,43,0,59,0,79,1,98,2,115,5,130,10,141,14,146,35,141,28,139,20,129,19,128,16,117,14,100,13,79,13,74,14,53,17,37,20,26,24,20,34,15,59,15,50,5,46,2,35,0xem97,111l83,113,83,117,87,132,94,145,95,147,106,155,117,157,124,157,134,152,144,143,117,141,115,141,104,134,101,128,97,111xem144,78l119,79,124,80,134,88,137,93,140,109,139,118,133,132,128,137,117,141,144,143,146,139,152,125,154,109,153,98,149,84,144,78xem111,65l109,82,119,79,144,78,133,71,137,69,113,65,111,65xem95,11l89,23,84,39,98,43,99,36,105,22,106,20,117,15,95,11xem117,0l105,2,95,10,95,11,117,15,120,15,130,22,132,24,135,39,135,46,128,59,125,62,113,65,137,69,145,58,146,56,149,39,148,36,145,20,143,15,133,5,128,2,117,0xem879,534l879,538,899,537,894,536,879,534xem893,451l878,453,876,463,871,479,865,495,859,509,853,522,845,535,837,546,839,549,839,548,848,539,856,529,863,517,870,504,876,489,882,473,887,456,893,451xem883,439l878,449,842,449,848,456,850,455,862,453,878,453,893,451,883,439xem913,420l912,430,913,431,916,450,920,468,926,484,931,499,937,511,944,523,951,533,960,541,962,537,973,530,973,526,968,524,958,519,950,510,942,499,934,484,927,467,925,463,922,452,917,437,913,420xem918,413l904,416,904,526,899,537,879,538,884,539,895,547,898,558,908,549,912,536,912,430,913,420,918,413xem951,411l947,421,941,433,934,448,925,463,927,467,931,462,940,450,948,439,953,433,962,426,951,411xem908,402l903,411,868,411,874,419,876,418,887,416,904,416,918,413,908,402xem890,364l889,367,891,369,901,381,907,392,912,400,914,394,915,386,911,375,904,371,890,364xem1125,535l1115,536,1102,537,1090,538,1079,538,1125,538,1125,535xem1006,518l996,526,987,536,995,547,997,543,1005,529,1014,522,1006,518xem1115,482l1113,482,1111,494,1110,508,1102,515,1062,515,1050,520,1060,524,1110,524,1113,524,1122,514,1121,514,1116,502,1115,499,1115,482xem1082,479l1082,482,1088,486,1093,496,1096,495,1103,484,1104,480,1093,480,1082,479xem1028,454l1033,461,1037,457,1046,454,1028,454xem1022,440l1010,443,1010,515,1006,518,1014,522,1023,531,1029,537,1041,544,1045,546,1055,549,1068,550,1076,551,1087,551,1099,551,1114,551,1115,546,1125,538,1079,538,1068,538,1067,538,1052,537,1041,534,1033,530,1026,525,1017,515,1017,446,1022,440xem1013,430l1008,438,986,438,991,446,1002,443,1010,443,1022,440,1013,430xem1102,428l1097,436,1079,441,1098,441,1098,455,1097,470,1093,480,1104,480,1105,465,1106,443,1110,437,1102,428xem1045,421l1045,436,1046,449,1028,454,1046,454,1046,503,1046,508,1050,520,1062,515,1057,513,1054,500,1054,453,1071,449,1054,448,1054,434,1059,428,1045,421xem1071,408l1071,443,1054,448,1071,449,1071,455,1071,472,1071,489,1071,506,1080,500,1080,497,1079,481,1079,464,1079,446,1098,441,1079,441,1079,423,1085,418,1071,408xem1106,386l1099,397,1053,397,1045,398,1041,411,1034,426,1027,440,1029,442,1029,441,1037,431,1044,417,1052,402,1117,402,1106,386xem1005,369l1003,371,1008,385,1011,400,1015,409,1018,406,1021,398,1017,384,1015,380,1005,369xem1054,364l1054,366,1051,379,1045,398,1053,397,1055,393,1061,378,1066,375,1054,364xem1145,539l1159,539,1159,385,1145,385,1145,539xem1261,515l1252,525,1242,534,1231,541,1220,548,1221,551,1226,549,1238,543,1248,538,1249,537,1259,530,1269,521,1261,515xem1240,512l1228,515,1216,518,1207,521,1205,522,1194,524,1181,526,1186,543,1189,540,1202,532,1205,530,1214,526,1226,521,1240,515,1240,512xem1309,502l1300,542,1290,549,1297,554,1307,559,1313,557,1312,554,1311,551,1309,534,1310,521,1311,502,1309,502xem1233,476l1232,477,1216,481,1205,484,1197,486,1210,489,1220,485,1233,480,1233,476xem1293,466l1288,476,1281,489,1272,502,1281,506,1290,494,1298,482,1304,481,1293,466xem1267,460l1258,462,1260,478,1262,495,1266,511,1261,515,1269,521,1273,527,1282,540,1290,549,1300,542,1293,536,1284,526,1276,512,1281,506,1272,502,1271,495,1269,479,1267,460xem1301,439l1293,452,1266,456,1258,458,1223,463,1230,470,1234,466,1258,462,1267,460,1313,453,1301,439xem1265,425l1256,426,1257,443,1258,458,1266,456,1265,440,1265,425xem1298,405l1290,417,1265,421,1256,422,1231,424,1236,431,1240,428,1256,426,1265,425,1309,420,1298,405xem1226,400l1226,403,1221,418,1215,433,1192,437,1214,437,1213,440,1207,453,1199,468,1192,478,1184,486,1192,503,1198,497,1209,490,1210,489,1197,486,1203,475,1210,461,1217,447,1223,435,1231,419,1237,411,1226,400xem1274,375l1273,377,1283,389,1289,400,1292,406,1295,402,1296,394,1294,386,1289,381,1274,375xem1209,366l1206,381,1202,397,1196,412,1196,412,1189,429,1181,436,1188,452,1191,449,1201,441,1203,440,1214,437,1192,437,1192,436,1200,419,1206,405,1211,394,1213,387,1221,377,1209,366xem1255,363l1255,371,1256,388,1256,405,1256,422,1265,421,1264,411,1264,393,1264,378,1269,372,1255,363xe">
                    <v:path/>
                    <v:fill on="t" focussize="0,0"/>
                    <v:stroke on="f"/>
                    <v:imagedata o:title=""/>
                    <o:lock v:ext="edit"/>
                  </v:shape>
                  <v:shape id="_x0000_s1039" o:spid="_x0000_s1039" style="position:absolute;left:4631;top:1113;height:1155;width:2;" filled="f" stroked="t" coordsize="2,1155" path="m0,1154l0,0e">
                    <v:fill on="f" focussize="0,0"/>
                    <v:stroke weight="0.09pt" color="#000000" miterlimit="10"/>
                    <v:imagedata o:title=""/>
                    <o:lock v:ext="edit"/>
                  </v:shape>
                  <v:shape id="_x0000_s1040" o:spid="_x0000_s1040" style="position:absolute;left:4004;top:1230;height:560;width:1506;" fillcolor="#000000" filled="t" stroked="f" coordsize="1506,560" path="m59,15l34,15,41,17,50,28,50,29,53,40,55,56,56,79,56,81,55,102,53,118,50,129,44,136,34,141,14,146,23,154,34,157,44,155,54,148,60,138,66,122,67,113,69,97,70,79,70,75,69,56,67,42,65,34,61,19,59,15xem34,0l25,1,15,9,9,19,3,34,1,43,0,59,0,79,0,98,2,115,5,130,10,141,14,146,34,141,28,139,19,129,18,128,16,117,14,100,13,79,13,74,14,53,16,37,20,26,24,20,34,15,59,15,50,5,46,2,34,0xem139,0l128,0,79,100,79,118,126,118,126,154,139,154,139,118,153,118,153,100,139,100,91,100,126,31,139,0xem139,0l126,31,126,100,91,100,139,100,139,0xem1030,534l1030,538,1050,537,1045,536,1030,534xem1043,451l1029,453,1026,463,1021,479,1016,495,1010,509,1003,522,996,535,988,546,990,549,990,548,999,539,1006,529,1014,517,1021,504,1027,489,1033,473,1038,456,1043,451xem1033,439l1029,449,993,449,999,456,1001,455,1013,453,1029,453,1043,451,1033,439xem1063,420l1063,430,1063,431,1067,450,1071,468,1076,484,1082,499,1088,511,1095,523,1102,533,1110,541,1113,537,1123,530,1123,526,1118,524,1109,519,1101,510,1093,499,1085,484,1078,467,1076,463,1072,452,1068,437,1063,420xem1068,413l1055,416,1055,526,1050,537,1030,538,1034,539,1045,547,1049,558,1059,549,1063,536,1063,430,1063,420,1068,413xem1101,411l1098,421,1092,433,1085,448,1076,463,1078,467,1082,462,1091,450,1099,439,1103,433,1112,426,1101,411xem1059,402l1054,411,1019,411,1024,419,1026,418,1038,416,1055,416,1068,413,1059,402xem1041,364l1040,367,1042,369,1052,381,1058,392,1063,400,1065,394,1066,386,1062,375,1054,371,1041,364xem1276,535l1266,536,1253,537,1241,538,1229,538,1276,538,1276,535xem1157,518l1146,526,1137,536,1145,547,1147,543,1155,529,1165,522,1157,518xem1266,482l1263,482,1262,494,1260,508,1253,515,1213,515,1201,520,1211,524,1261,524,1264,524,1272,514,1272,514,1266,502,1266,499,1266,482xem1232,479l1232,482,1239,486,1244,496,1246,495,1254,484,1255,480,1244,480,1232,479xem1178,454l1184,461,1188,457,1196,454,1178,454xem1173,440l1160,443,1160,515,1157,518,1165,522,1174,531,1180,537,1192,544,1195,546,1206,549,1219,550,1227,551,1238,551,1250,551,1265,551,1266,546,1276,538,1229,538,1219,538,1218,538,1203,537,1192,534,1183,530,1177,525,1168,515,1168,446,1173,440xem1163,430l1159,438,1137,438,1142,446,1153,443,1160,443,1173,440,1163,430xem1252,428l1247,436,1229,441,1249,441,1248,455,1247,470,1244,480,1255,480,1256,465,1257,443,1261,437,1252,428xem1196,421l1196,436,1196,449,1178,454,1196,454,1196,503,1196,508,1201,520,1213,515,1208,513,1205,500,1205,453,1222,449,1205,448,1205,434,1210,428,1196,421xem1222,408l1222,443,1205,448,1222,449,1222,455,1222,472,1222,489,1221,506,1231,500,1230,497,1230,481,1230,464,1229,446,1249,441,1229,441,1229,423,1235,418,1222,408xem1257,386l1250,397,1204,397,1196,398,1191,411,1185,426,1178,440,1180,442,1180,441,1187,431,1195,417,1203,402,1268,402,1257,386xem1155,369l1154,371,1158,385,1162,400,1166,409,1169,406,1172,398,1168,384,1165,380,1155,369xem1205,364l1205,366,1202,379,1196,398,1204,397,1206,393,1211,378,1217,375,1205,364xem1296,539l1310,539,1310,385,1296,385,1296,539xem1338,539l1352,539,1352,385,1338,385,1338,539xem1454,515l1444,525,1434,534,1424,541,1413,548,1413,551,1419,549,1431,543,1441,538,1441,537,1452,530,1462,521,1454,515xem1432,512l1420,515,1408,518,1399,521,1397,522,1386,524,1373,526,1379,543,1382,540,1394,532,1397,530,1407,526,1418,521,1433,515,1432,512xem1501,502l1493,542,1483,549,1489,554,1499,559,1506,557,1505,554,1504,551,1502,534,1503,521,1503,502,1501,502xem1426,476l1424,477,1408,481,1397,484,1389,486,1403,489,1413,485,1426,480,1426,476xem1486,466l1481,476,1473,489,1465,502,1473,506,1482,494,1491,482,1496,481,1486,466xem1459,460l1451,462,1452,478,1455,495,1458,511,1454,515,1462,521,1466,527,1474,540,1483,549,1493,542,1486,536,1476,526,1469,512,1473,506,1465,502,1463,495,1461,479,1459,460xem1494,439l1486,452,1458,456,1450,458,1415,463,1422,470,1426,466,1451,462,1459,460,1506,453,1494,439xem1457,425l1449,426,1450,443,1450,458,1458,456,1457,440,1457,425xem1490,405l1483,417,1457,421,1449,422,1423,424,1429,431,1432,428,1449,426,1457,425,1502,420,1490,405xem1419,400l1418,403,1414,418,1408,433,1384,437,1407,437,1406,440,1399,453,1392,468,1385,478,1377,486,1384,503,1391,497,1402,490,1403,489,1389,486,1396,475,1403,461,1410,447,1415,435,1423,419,1430,411,1419,400xem1467,375l1466,377,1475,389,1481,400,1485,406,1487,402,1488,394,1487,386,1482,381,1467,375xem1402,366l1398,381,1394,397,1389,412,1389,412,1381,429,1374,436,1380,452,1383,449,1393,441,1395,440,1407,437,1384,437,1384,436,1393,419,1398,405,1403,394,1406,387,1413,377,1402,366xem1448,363l1448,371,1448,388,1449,405,1449,422,1457,421,1457,411,1457,393,1457,378,1461,372,1448,363xe">
                    <v:path/>
                    <v:fill on="t" focussize="0,0"/>
                    <v:stroke on="f"/>
                    <v:imagedata o:title=""/>
                    <o:lock v:ext="edit"/>
                  </v:shape>
                  <v:shape id="_x0000_s1041" o:spid="_x0000_s1041" style="position:absolute;left:5890;top:1113;height:1155;width:2;" filled="f" stroked="t" coordsize="2,1155" path="m0,1154l0,0e">
                    <v:fill on="f" focussize="0,0"/>
                    <v:stroke weight="0.09pt" color="#000000" miterlimit="10"/>
                    <v:imagedata o:title=""/>
                    <o:lock v:ext="edit"/>
                  </v:shape>
                  <v:shape id="_x0000_s1042" o:spid="_x0000_s1042" style="position:absolute;left:5175;top:1230;height:562;width:1561;" fillcolor="#000000" filled="t" stroked="f" coordsize="1561,562" path="m59,15l35,15,41,17,50,28,50,29,54,40,55,56,56,79,56,81,55,102,53,118,50,129,45,136,35,141,14,146,23,154,35,157,44,155,54,148,60,138,66,122,67,113,69,97,69,79,69,75,69,56,67,42,65,34,60,19,59,15xem35,0l25,1,15,9,9,19,3,34,1,43,0,59,0,79,0,98,2,115,6,130,10,141,14,146,35,141,28,139,19,129,19,128,16,117,14,100,13,79,13,74,14,53,16,37,20,26,24,20,35,15,59,15,50,5,46,2,35,0xem97,112l83,114,83,117,87,133,94,145,117,141,115,141,104,134,101,129,97,112xem145,66l117,69,125,70,134,78,138,87,140,104,139,118,134,131,129,137,117,141,94,145,96,147,106,155,117,157,128,155,138,149,146,138,149,134,153,119,154,102,154,95,152,79,145,66xem121,52l112,54,101,62,142,63,133,55,121,52xem150,2l96,2,86,82,98,84,106,73,106,73,117,69,145,66,142,63,101,62,106,20,150,20,150,2xem1189,443l1187,460,1184,476,1179,491,1175,506,1173,510,1166,521,1159,532,1149,541,1139,550,1126,558,1126,561,1137,556,1149,549,1159,540,1168,532,1175,522,1181,512,1187,499,1191,484,1195,466,1198,448,1189,443xem1161,419l1159,419,1156,430,1151,445,1144,455,1144,455,1137,468,1138,472,1144,473,1147,473,1155,461,1157,455,1159,440,1161,419xem1236,411l1235,414,1231,427,1224,440,1216,454,1207,469,1208,472,1215,464,1224,453,1232,442,1242,429,1248,427,1236,411xem1188,363l1188,365,1189,380,1189,396,1189,414,1189,433,1189,443,1198,448,1198,448,1202,465,1206,481,1212,496,1218,509,1225,522,1232,534,1241,544,1251,554,1253,548,1264,543,1264,539,1259,538,1250,533,1241,525,1232,515,1224,503,1216,489,1208,472,1207,469,1204,460,1198,441,1199,394,1199,379,1204,373,1188,363xem1414,535l1403,536,1391,537,1379,538,1367,538,1414,538,1414,535xem1295,518l1284,526,1275,536,1283,547,1285,543,1293,529,1302,522,1295,518xem1403,482l1401,482,1400,494,1398,508,1390,515,1351,515,1339,520,1349,524,1399,524,1402,524,1410,514,1409,514,1404,502,1404,499,1403,482xem1370,479l1370,482,1377,486,1381,496,1384,495,1392,484,1393,480,1381,480,1370,479xem1316,454l1322,461,1326,457,1334,454,1316,454xem1310,440l1298,443,1298,515,1295,518,1302,522,1312,531,1318,537,1329,544,1333,546,1344,549,1357,550,1364,551,1375,551,1388,551,1402,551,1403,546,1414,538,1367,538,1357,538,1356,538,1341,537,1329,534,1321,530,1315,525,1306,515,1306,446,1310,440xem1301,430l1297,438,1275,438,1280,446,1291,443,1298,443,1310,440,1301,430xem1390,428l1385,436,1367,441,1386,441,1386,455,1385,470,1381,480,1393,480,1394,465,1394,443,1399,437,1390,428xem1334,421l1334,436,1334,449,1316,454,1334,454,1334,503,1334,508,1339,520,1351,515,1346,513,1342,500,1342,453,1360,449,1342,448,1342,434,1348,428,1334,421xem1360,408l1360,443,1342,448,1360,449,1360,455,1360,472,1359,489,1359,506,1368,500,1368,497,1367,481,1367,464,1367,446,1386,441,1367,441,1367,423,1373,418,1360,408xem1395,386l1387,397,1342,397,1334,398,1329,411,1323,426,1316,440,1317,442,1318,441,1325,431,1333,417,1341,402,1405,402,1395,386xem1293,369l1291,371,1296,385,1300,400,1304,409,1306,406,1309,398,1306,384,1303,380,1293,369xem1343,364l1343,366,1340,379,1334,398,1342,397,1344,393,1349,378,1355,375,1343,364xem1508,515l1498,525,1488,534,1478,541,1467,548,1467,551,1473,549,1485,543,1495,538,1495,537,1506,530,1516,521,1508,515xem1486,512l1475,515,1462,518,1454,521,1451,522,1441,524,1427,526,1433,543,1436,540,1448,532,1451,530,1460,526,1472,521,1487,515,1486,512xem1555,502l1547,542,1537,549,1544,554,1553,559,1560,557,1559,554,1558,551,1556,534,1557,521,1558,502,1555,502xem1480,476l1478,477,1462,481,1451,484,1444,486,1457,489,1467,485,1480,480,1480,476xem1539,466l1535,476,1528,489,1519,502,1528,506,1536,494,1545,482,1550,481,1539,466xem1513,460l1505,462,1507,478,1509,495,1512,511,1508,515,1516,521,1520,527,1528,540,1537,549,1547,542,1539,536,1530,526,1522,512,1528,506,1519,502,1517,495,1515,479,1513,460xem1548,439l1540,452,1513,456,1504,458,1470,463,1476,470,1481,466,1505,462,1513,460,1560,453,1548,439xem1511,425l1503,426,1504,443,1504,458,1513,456,1512,440,1511,425xem1544,405l1536,417,1511,421,1503,422,1477,424,1482,431,1486,428,1503,426,1511,425,1556,420,1544,405xem1473,400l1472,403,1468,418,1462,433,1438,437,1461,437,1460,440,1453,453,1446,468,1439,478,1431,486,1438,503,1445,497,1456,490,1457,489,1444,486,1449,475,1457,461,1464,447,1470,435,1478,419,1484,411,1473,400xem1521,375l1520,377,1529,389,1535,400,1539,406,1542,402,1543,394,1541,386,1535,381,1521,375xem1456,366l1453,381,1448,397,1443,412,1443,412,1435,429,1428,436,1434,452,1437,449,1447,441,1449,440,1461,437,1438,437,1438,436,1446,419,1453,405,1458,394,1460,387,1467,377,1456,366xem1502,363l1502,371,1503,388,1503,405,1503,422,1511,421,1511,411,1511,393,1511,378,1515,372,1502,363xe">
                    <v:path/>
                    <v:fill on="t" focussize="0,0"/>
                    <v:stroke on="f"/>
                    <v:imagedata o:title=""/>
                    <o:lock v:ext="edit"/>
                  </v:shape>
                  <v:shape id="_x0000_s1043" o:spid="_x0000_s1043" style="position:absolute;left:7139;top:1113;height:1155;width:2;" filled="f" stroked="t" coordsize="2,1155" path="m0,1154l0,0e">
                    <v:fill on="f" focussize="0,0"/>
                    <v:stroke weight="0.09pt" color="#000000" miterlimit="10"/>
                    <v:imagedata o:title=""/>
                    <o:lock v:ext="edit"/>
                  </v:shape>
                  <v:shape id="_x0000_s1044" o:spid="_x0000_s1044" style="position:absolute;left:6443;top:1230;height:562;width:1411;" fillcolor="#000000" filled="t" stroked="f" coordsize="1411,562" path="m58,15l34,15,41,17,50,28,50,29,54,40,55,56,56,79,56,81,55,102,53,118,50,129,44,136,34,141,14,146,23,154,34,157,44,155,54,148,60,138,66,122,67,113,69,97,70,79,70,75,69,56,67,42,65,34,61,19,58,15xem34,0l25,1,15,9,8,19,3,34,1,43,0,59,0,79,0,98,2,115,5,130,10,141,14,146,34,141,28,139,19,129,18,128,16,117,14,100,13,79,13,74,14,53,16,37,20,26,24,20,34,15,58,15,50,5,46,2,34,0xem144,69l119,71,124,72,134,80,138,89,140,105,139,118,134,132,130,137,119,141,142,145,149,131,152,121,153,105,153,97,150,82,144,69xem122,54l118,55,107,59,104,62,95,75,108,75,119,71,144,69,143,66,133,57,122,54xem142,10l120,15,123,16,133,23,134,24,139,39,152,38,149,22,142,10xem121,0l113,1,102,7,94,17,93,18,89,30,85,45,83,62,82,82,83,95,84,113,88,128,93,139,99,147,108,155,120,157,127,156,137,150,142,145,119,141,109,137,108,136,101,123,100,121,98,105,99,94,104,80,108,75,95,75,95,72,97,53,99,39,102,32,109,20,109,20,120,15,142,10,133,2,121,0xem1080,514l1079,517,1087,525,1095,535,1098,540,1106,553,1109,558,1111,553,1112,545,1112,544,1105,531,1103,529,1094,522,1080,514xem1016,486l1016,489,1017,491,1026,503,1026,504,1034,517,1037,521,1039,517,1040,510,1039,502,1038,502,1031,495,1016,486xem1004,470l1001,484,995,499,989,514,982,527,975,540,976,543,981,536,990,524,997,512,1003,498,1008,482,1004,470xem1016,470l1004,470,1008,482,1008,493,1008,511,1008,528,1008,545,1008,561,1017,555,1016,542,1016,526,1016,509,1016,489,1016,486,1016,470xem1074,443l1074,444,1074,462,1074,478,1072,495,1071,504,1066,519,1060,532,1059,533,1051,542,1041,550,1028,559,1029,561,1040,556,1051,549,1060,542,1068,532,1072,526,1077,514,1080,499,1082,481,1083,460,1088,453,1074,443xem1008,465l1016,465,1016,433,1008,433,1008,465xem1109,432l1097,433,1097,442,1097,463,1097,481,1097,496,1096,507,1105,502,1104,494,1104,480,1104,462,1104,437,1109,432xem987,431l987,449,987,465,986,481,994,476,994,470,1004,470,1016,470,1029,470,994,465,994,433,1008,433,1016,433,1029,433,987,431xem1054,423l1054,424,1054,426,1054,446,1053,464,1053,481,1053,497,1053,510,1061,502,1061,502,1061,491,1061,477,1061,458,1061,433,1097,433,1109,432,1062,428,1054,423xem986,422l987,431,1029,433,1029,465,1016,465,1008,465,994,465,1029,470,1029,480,1036,475,1036,472,1036,457,1036,436,1041,430,994,428,986,422xem1032,421l1028,428,1016,428,1008,428,994,428,1041,430,1032,421xem1100,421l1096,428,1082,428,1078,428,1062,428,1109,432,1100,421xem1008,428l1016,428,1016,403,1008,403,1008,428xem1038,388l1031,398,1016,398,1008,398,977,398,982,406,993,403,1008,403,1016,403,1048,403,1038,388xem1094,386l1088,394,1065,394,1089,399,1078,428,1082,428,1088,416,1096,404,1103,400,1094,386xem1008,364l1008,379,1008,398,1016,398,1016,379,1021,373,1008,364xem1065,364l1063,373,1059,389,1054,406,1050,417,1045,432,1038,446,1040,448,1045,439,1054,424,1054,423,1058,414,1064,399,1089,399,1065,394,1066,392,1072,378,1077,375,1065,364xem1264,535l1254,536,1241,537,1229,538,1218,538,1264,538,1264,535xem1145,518l1135,526,1126,536,1134,547,1136,543,1144,529,1153,522,1145,518xem1254,482l1252,482,1251,494,1249,508,1241,515,1202,515,1189,520,1199,524,1249,524,1252,524,1261,514,1260,514,1255,502,1254,499,1254,482xem1221,479l1221,482,1227,486,1232,496,1235,495,1243,484,1243,480,1232,480,1221,479xem1167,454l1173,461,1176,457,1185,454,1167,454xem1161,440l1149,443,1149,515,1145,518,1153,522,1162,531,1168,537,1180,544,1183,546,1194,549,1208,550,1215,551,1226,551,1238,551,1253,551,1254,546,1264,538,1218,538,1207,538,1207,538,1192,537,1180,534,1172,530,1165,525,1157,515,1157,446,1161,440xem1152,430l1147,438,1125,438,1131,446,1141,443,1149,443,1161,440,1152,430xem1241,428l1236,436,1218,441,1237,441,1236,455,1236,470,1232,480,1243,480,1245,465,1245,443,1249,437,1241,428xem1184,421l1185,436,1185,449,1167,454,1185,454,1185,503,1185,508,1189,520,1202,515,1196,513,1193,500,1193,453,1210,449,1193,448,1193,434,1198,428,1184,421xem1210,408l1210,443,1193,448,1210,449,1210,455,1210,472,1210,489,1210,506,1219,500,1219,497,1218,481,1218,464,1218,446,1237,441,1218,441,1218,423,1224,418,1210,408xem1246,386l1238,397,1192,397,1184,398,1180,411,1173,426,1166,440,1168,442,1169,441,1176,431,1183,417,1191,402,1256,402,1246,386xem1144,369l1142,371,1147,385,1150,400,1154,409,1157,406,1160,398,1157,384,1154,380,1144,369xem1194,364l1193,366,1190,379,1184,398,1192,397,1194,393,1200,378,1205,375,1194,364xem1359,515l1349,525,1339,534,1329,541,1318,548,1318,551,1324,549,1335,543,1345,538,1346,537,1357,530,1367,521,1359,515xem1337,512l1325,515,1313,518,1304,521,1302,522,1291,524,1278,526,1284,543,1286,540,1299,532,1302,530,1311,526,1323,521,1337,515,1337,512xem1406,502l1398,542,1387,549,1394,554,1404,559,1410,557,1410,554,1409,551,1407,534,1408,521,1409,502,1406,502xem1331,476l1329,477,1313,481,1302,484,1294,486,1308,489,1318,485,1331,480,1331,476xem1390,466l1386,476,1378,489,1370,502,1378,506,1387,494,1396,482,1400,481,1390,466xem1363,460l1356,462,1357,478,1359,495,1363,511,1359,515,1367,521,1371,527,1379,540,1387,549,1398,542,1390,536,1381,526,1373,512,1378,506,1370,502,1368,495,1366,479,1363,460xem1398,439l1391,452,1363,456,1355,458,1320,463,1327,470,1332,466,1356,462,1363,460,1410,453,1398,439xem1362,425l1354,426,1355,443,1355,458,1363,456,1363,440,1362,425xem1395,405l1387,417,1362,421,1354,422,1328,424,1333,431,1337,428,1354,426,1362,425,1407,420,1395,405xem1324,400l1323,403,1319,418,1312,433,1289,437,1311,437,1310,440,1304,453,1296,468,1290,478,1282,486,1289,503,1296,497,1306,490,1308,489,1294,486,1300,475,1308,461,1314,447,1320,435,1328,419,1334,411,1324,400xem1371,375l1371,377,1380,389,1386,400,1389,406,1392,402,1393,394,1391,386,1386,381,1371,375xem1306,366l1303,381,1299,397,1294,412,1294,412,1286,429,1279,436,1285,452,1287,449,1298,441,1300,440,1311,437,1289,437,1289,436,1297,419,1303,405,1308,394,1310,387,1318,377,1306,366xem1352,363l1353,371,1353,388,1354,405,1354,422,1362,421,1361,411,1361,393,1361,378,1366,372,1352,363xe">
                    <v:path/>
                    <v:fill on="t" focussize="0,0"/>
                    <v:stroke on="f"/>
                    <v:imagedata o:title=""/>
                    <o:lock v:ext="edit"/>
                  </v:shape>
                  <v:shape id="_x0000_s1045" o:spid="_x0000_s1045" style="position:absolute;left:8137;top:1113;height:1155;width:2;" filled="f" stroked="t" coordsize="2,1155" path="m0,1154l0,0e">
                    <v:fill on="f" focussize="0,0"/>
                    <v:stroke weight="0.09pt" color="#000000" miterlimit="10"/>
                    <v:imagedata o:title=""/>
                    <o:lock v:ext="edit"/>
                  </v:shape>
                  <v:shape id="_x0000_s1046" o:spid="_x0000_s1046" style="position:absolute;left:169;top:377;height:3137;width:7515;" fillcolor="#000000" filled="t" stroked="f" coordsize="7515,3137" path="m7418,868l7394,868,7401,870,7410,881,7410,882,7413,893,7415,910,7416,932,7416,934,7415,955,7413,971,7410,982,7404,990,7394,995,7373,999,7383,1007,7394,1010,7404,1008,7414,1001,7420,991,7425,975,7427,967,7429,950,7429,932,7429,928,7429,910,7427,895,7425,887,7420,872,7418,868xem7394,853l7385,855,7375,862,7368,872,7363,888,7362,896,7359,912,7359,932,7360,951,7362,968,7365,983,7369,994,7373,999,7394,995,7388,992,7379,982,7378,981,7375,970,7373,953,7373,932,7373,927,7374,906,7376,891,7380,879,7384,874,7394,868,7418,868,7410,858,7406,856,7394,853xem7514,855l7443,855,7443,874,7496,874,7490,884,7484,898,7477,914,7476,916,7471,932,7467,948,7464,964,7462,975,7460,992,7459,1007,7472,1007,7473,998,7475,981,7477,965,7479,958,7483,942,7488,927,7493,912,7493,912,7500,895,7507,881,7514,870,7514,855xem934,3051l932,3058,926,3079,916,3095,915,3096,902,3106,886,3110,931,3116,941,3101,950,3081,955,3058,934,3051xem842,2918l830,2932,822,2951,817,2969,813,2991,812,3014,813,3033,816,3056,821,3077,825,3088,834,3107,846,3121,856,3128,871,3134,888,3136,903,3134,918,3128,931,3116,931,3116,886,3110,874,3108,859,3099,848,3086,840,3066,838,3060,836,3039,834,3014,836,2992,839,2970,846,2951,857,2936,858,2935,872,2926,888,2923,842,2918xem888,2897l879,2897,864,2902,849,2911,842,2918,888,2923,901,2925,915,2934,924,2949,931,2971,952,2964,949,2949,940,2930,929,2914,919,2907,905,2899,888,2897xem522,3019l475,3025,484,3025,499,3029,499,3029,512,3042,512,3043,517,3065,513,3084,505,3097,493,3104,478,3105,438,3105,524,3114,534,3095,536,3087,538,3065,537,3050,531,3030,522,3019xem520,2921l470,2928,481,2929,495,2932,506,2944,509,2964,505,2984,493,2995,490,2996,473,2998,438,2998,514,3004,525,2988,527,2982,531,2960,530,2950,524,2929,520,2921xem477,2901l417,2901,417,3132,478,3132,490,3131,504,3128,508,3127,522,3117,524,3114,438,3105,438,3025,475,3025,522,3019,508,3009,514,3004,438,2998,438,2928,470,2928,520,2921,507,2908,495,2903,477,2901xem84,2901l61,2901,0,3132,22,3132,40,3062,107,3062,46,3037,64,2969,64,2969,69,2947,72,2925,84,2901xem84,2901l72,2925,73,2929,78,2949,84,2973,101,3037,46,3037,107,3062,126,3132,151,3132,84,2901xem462,282l455,282,454,293,446,318,445,319,428,330,356,330,343,334,343,356,455,356,462,282xem383,63l365,77,361,81,350,103,347,132,352,151,362,158,372,153,375,141,371,127,366,110,367,104,377,81,381,77,401,70,383,63xem404,58l403,58,383,63,401,70,414,72,430,86,436,103,439,134,438,154,430,182,426,191,415,214,400,237,390,252,375,274,364,294,354,312,343,334,356,330,363,317,379,289,387,277,399,258,415,236,432,211,444,195,454,172,457,158,460,130,457,103,447,79,443,73,425,62,404,58xem617,282l609,282,608,293,599,318,599,319,582,330,510,330,497,334,497,356,609,356,617,282xem537,63l519,77,515,81,505,103,501,132,506,151,517,158,526,153,529,141,525,127,520,110,521,104,531,81,535,77,555,70,537,63xem558,58l557,58,537,63,555,70,568,72,584,86,590,103,594,134,592,154,584,182,581,191,569,214,554,237,544,252,529,274,518,294,507,312,497,334,510,330,517,317,534,289,541,277,553,258,569,236,586,211,597,195,608,172,611,158,614,130,611,103,601,79,596,73,580,62,558,58xem731,63l713,72,715,72,731,82,742,108,744,119,748,144,750,174,751,208,751,227,749,259,746,286,742,310,741,313,728,337,713,346,695,354,713,359,727,356,743,342,758,318,764,298,770,272,773,242,774,208,773,176,770,146,764,120,758,98,746,79,731,63xem713,58l697,62,682,76,668,99,661,120,655,146,651,176,650,208,650,208,651,242,655,272,660,298,668,320,679,339,695,354,713,346,712,346,697,336,685,310,682,298,677,272,674,242,673,208,673,191,675,159,679,132,685,108,686,107,698,81,713,72,731,63,713,58xem870,232l858,251,896,334,897,342,889,346,885,346,885,356,934,356,934,346,929,346,923,342,916,334,870,232xem925,163l874,163,874,173,881,173,887,177,885,189,835,266,835,285,858,251,870,232,899,185,910,176,918,173,925,173,925,163xem835,47l832,47,823,58,810,61,800,61,800,72,807,72,815,76,817,86,817,332,815,342,807,346,801,346,801,356,851,356,851,346,845,346,838,342,835,332,835,285,835,266,835,47xem1001,61l949,61,949,72,954,72,964,77,968,96,1012,356,1021,292,987,91,988,77,995,72,1001,72,1001,61xem1089,61l1046,61,1046,72,1050,72,1059,76,1060,86,1059,96,1023,292,1021,292,1012,356,1020,356,1069,96,1076,77,1085,72,1089,72,1089,61xem1394,354l1378,356,1356,357,1335,359,1315,359,1296,360,1200,360,1220,372,1234,377,1255,383,1277,385,1285,386,1302,386,1322,387,1345,387,1370,387,1374,374,1394,361,1394,354xem1143,324l1126,339,1110,356,1127,378,1133,365,1147,342,1150,338,1165,327,1143,324xem1372,246l1367,246,1365,276,1362,299,1362,302,1345,313,1265,313,1242,326,1260,332,1362,332,1372,329,1386,311,1382,309,1373,285,1373,274,1372,246xem1305,239l1305,246,1329,241,1327,241,1305,239xem1194,189l1206,203,1213,194,1232,189,1194,189xem1182,160l1156,167,1156,313,1143,324,1165,327,1167,328,1184,346,1200,360,1296,360,1277,359,1260,358,1236,355,1218,351,1205,343,1187,330,1172,313,1172,172,1182,160xem1163,139l1155,156,1108,156,1119,172,1121,171,1141,167,1156,167,1182,160,1163,139xem1344,134l1336,151,1299,161,1337,161,1337,196,1336,220,1329,241,1305,246,1321,255,1328,273,1337,268,1349,250,1351,234,1353,205,1354,165,1362,153,1344,134xem1230,120l1231,156,1232,178,1194,189,1232,189,1232,289,1232,308,1242,326,1265,313,1252,306,1247,282,1247,185,1283,177,1247,176,1247,147,1259,136,1230,120xem1283,94l1283,167,1247,176,1283,177,1283,206,1283,236,1283,265,1282,294,1300,284,1299,261,1299,232,1299,203,1299,172,1337,161,1299,161,1299,125,1311,115,1283,94xem1355,50l1340,72,1246,72,1377,82,1355,50xem1147,15l1143,19,1145,24,1155,52,1160,77,1168,96,1174,91,1181,72,1181,70,1172,45,1165,34,1147,15xem1248,5l1247,14,1240,40,1230,72,1226,85,1216,110,1205,135,1193,160,1196,163,1204,153,1217,133,1230,109,1244,82,1377,82,1246,72,1252,58,1261,32,1272,25,1248,5xem1571,301l1552,301,1552,317,1552,343,1552,374,1551,408,1572,399,1572,390,1571,361,1571,332,1571,301xem1676,265l1658,290,1571,290,1552,290,1420,290,1431,306,1434,304,1454,301,1552,301,1571,301,1700,301,1676,265xem1552,290l1571,290,1571,206,1552,206,1552,290xem1643,170l1626,196,1571,196,1456,198,1474,224,1486,206,1552,206,1571,206,1666,206,1643,170xem1551,103l1551,106,1552,128,1552,158,1552,196,1486,196,1571,196,1571,134,1580,120,1551,103xem1531,82l1509,82,1502,105,1492,131,1483,155,1470,181,1456,198,1571,196,1486,196,1531,82xem1657,47l1639,72,1532,72,1511,72,1441,72,1452,87,1455,86,1474,82,1509,82,1531,82,1680,82,1657,47xem1531,2l1529,10,1523,35,1511,72,1532,72,1534,67,1548,36,1558,24,1531,2xem1860,318l1846,332,1829,346,1812,358,1793,369,1773,379,1752,389,1729,397,1731,404,1741,401,1763,395,1785,387,1804,378,1823,368,1841,357,1857,345,1873,332,1860,318xem1824,220l1815,220,1815,221,1826,248,1837,273,1849,295,1862,316,1860,318,1873,332,1874,333,1888,348,1904,361,1922,374,1941,385,1962,394,1984,402,1990,393,2009,382,2009,375,1996,373,1973,368,1953,362,1933,354,1915,343,1899,332,1884,318,1890,310,1873,304,1862,289,1848,268,1835,245,1824,220xem1959,218l1927,220,1913,244,1899,266,1885,287,1873,304,1890,310,1905,289,1920,268,1934,247,1946,227,1959,218xem1939,191l1927,210,1906,210,1829,210,1770,210,1780,224,1793,220,1815,220,1824,220,1927,220,1959,218,1939,191xem1923,108l1919,113,1938,133,1956,154,1969,172,1978,187,1979,188,1993,206,1998,199,2000,185,1994,165,1987,157,1973,144,1952,128,1923,108xem1795,98l1790,109,1780,133,1767,160,1754,182,1740,204,1726,224,1729,229,1744,212,1760,194,1775,174,1790,154,1804,132,1816,125,1795,98xem1829,72l1829,210,1846,210,1846,72,1889,72,1829,72xem1906,72l1829,72,1889,72,1889,210,1846,210,1829,210,1906,210,1906,72xem1980,34l1961,61,1873,61,1863,61,1732,61,1743,77,1751,74,1772,72,1829,72,1906,72,2006,72,1980,34xem1844,0l1841,5,1846,12,1858,38,1863,61,1873,61,1882,39,1874,24,1865,15,1844,0xem2157,282l2150,282,2148,293,2140,318,2140,319,2121,330,2051,330,2038,334,2038,356,2150,356,2157,282xem2077,63l2059,77,2055,81,2045,103,2041,132,2046,151,2057,158,2066,153,2069,141,2065,127,2060,110,2061,104,2071,81,2076,77,2095,70,2077,63xem2098,58l2096,58,2077,63,2095,70,2108,72,2124,86,2131,103,2134,134,2132,154,2124,182,2121,191,2109,214,2094,237,2084,252,2070,274,2058,294,2048,312,2038,334,2051,330,2057,317,2074,289,2081,277,2094,258,2109,236,2127,211,2137,195,2148,172,2152,158,2154,130,2151,103,2141,79,2136,73,2120,62,2098,58xem2310,282l2304,282,2302,293,2294,318,2294,319,2276,330,2205,330,2192,334,2192,356,2304,356,2310,282xem2232,63l2213,77,2209,81,2199,103,2195,132,2200,151,2211,158,2220,153,2223,141,2219,127,2214,110,2215,104,2225,81,2230,77,2249,70,2232,63xem2252,58l2251,58,2232,63,2249,70,2262,72,2278,86,2285,103,2288,134,2286,154,2278,182,2274,191,2263,214,2248,237,2238,252,2223,274,2212,294,2202,312,2192,334,2205,330,2211,317,2228,289,2235,277,2248,258,2263,236,2281,211,2292,195,2302,172,2306,158,2308,130,2305,103,2295,79,2290,73,2274,62,2252,58xem2425,63l2407,72,2409,72,2424,82,2436,108,2438,119,2442,144,2445,174,2445,208,2445,227,2444,259,2440,286,2436,310,2435,313,2422,337,2407,346,2389,354,2407,359,2422,356,2438,342,2451,318,2459,298,2464,272,2467,242,2468,208,2468,176,2464,146,2459,120,2451,98,2441,79,2425,63xem2407,58l2392,62,2375,76,2362,99,2355,120,2349,146,2345,176,2345,208,2345,208,2345,242,2349,272,2355,298,2362,320,2373,339,2389,354,2407,346,2406,346,2391,336,2380,310,2376,298,2371,272,2369,242,2367,208,2367,191,2369,159,2373,132,2380,108,2380,107,2392,81,2407,72,2425,63,2407,58xem2564,232l2553,251,2590,334,2591,342,2583,346,2579,346,2579,356,2628,356,2628,346,2624,346,2617,342,2610,334,2564,232xem2618,163l2568,163,2568,173,2575,173,2582,177,2579,189,2528,266,2528,285,2553,251,2564,232,2594,185,2604,176,2613,173,2618,173,2618,163xem2528,47l2526,47,2518,58,2505,61,2493,61,2493,72,2501,72,2509,76,2512,86,2512,332,2509,342,2501,346,2495,346,2495,356,2545,356,2545,346,2539,346,2532,342,2528,332,2528,285,2528,266,2528,47xem2694,61l2643,61,2643,72,2649,72,2659,77,2662,96,2707,356,2715,292,2681,91,2682,77,2690,72,2694,72,2694,61xem2784,61l2740,61,2740,72,2744,72,2754,76,2755,86,2754,96,2717,292,2715,292,2707,356,2714,356,2763,96,2770,77,2779,72,2784,72,2784,61xem2831,364l2847,384,2855,372,3036,372,2831,364xem3035,232l3036,257,3036,285,3036,361,2953,361,2831,364,3036,372,3036,399,3055,390,3054,387,3054,358,3053,328,3053,265,3063,254,3035,232xem2838,229l2839,257,2839,285,2839,352,2831,364,2953,361,2855,361,2855,261,2866,250,2838,229xem2937,194l2937,361,2855,361,2953,361,2953,194,3024,194,2937,194xem2840,187l2857,206,2867,194,2937,194,2840,187xem2847,61l2848,78,2848,107,2848,177,2840,187,2866,184,2866,93,2876,82,2847,61xem3023,58l3024,79,3024,107,3024,184,2953,184,2937,184,2866,184,2840,187,2937,194,3024,194,3024,215,3043,204,3042,182,3041,156,3041,89,3050,77,3023,58xem2935,10l2935,12,2936,41,2937,70,2937,184,2953,184,2953,45,2963,29,2935,10xem3285,309l3269,326,3252,341,3234,356,3216,369,3196,380,3197,387,3218,378,3237,369,3254,359,3262,354,3279,341,3297,325,3285,309xem3236,306l3228,308,3204,315,3185,321,3170,325,3159,327,3139,332,3116,337,3128,369,3136,361,3159,347,3172,341,3190,332,3212,323,3237,313,3236,306xem3378,285l3361,368,3341,382,3358,395,3374,402,3386,399,3385,394,3382,383,3380,352,3381,347,3381,320,3383,287,3378,285xem3224,234l3204,239,3180,245,3161,250,3149,252,3182,257,3201,250,3224,241,3224,234xem3346,213l3343,218,3332,241,3319,264,3303,285,3326,286,3342,266,3356,246,3367,244,3346,213xem3292,201l3274,204,3276,219,3279,249,3283,277,3289,304,3285,309,3297,325,3311,347,3326,367,3341,382,3361,368,3356,365,3339,351,3324,331,3311,308,3312,306,3326,286,3303,285,3299,263,3295,235,3292,201xem3362,158l3347,184,3290,192,3273,196,3202,206,3216,220,3225,213,3274,204,3292,201,3386,187,3362,158xem3288,129l3271,130,3271,139,3272,171,3273,196,3290,192,3290,186,3288,154,3288,129xem3355,87l3339,113,3288,120,3271,121,3218,127,3229,141,3236,134,3271,130,3288,129,3379,119,3355,87xem3209,77l3205,93,3197,120,3187,146,3137,153,3184,153,3178,167,3167,191,3154,215,3153,216,3137,241,3123,252,3137,289,3137,289,3155,273,3173,261,3182,257,3149,252,3155,243,3168,216,3181,192,3192,170,3202,150,3207,141,3221,113,3231,99,3209,77xem3307,25l3306,31,3310,36,3326,58,3337,77,3344,91,3349,82,3351,65,3348,47,3347,46,3334,37,3307,25xem3173,8l3171,20,3165,47,3157,74,3148,102,3142,116,3128,141,3117,151,3130,184,3139,174,3157,161,3164,158,3184,153,3137,153,3146,135,3159,108,3170,85,3177,65,3185,47,3197,31,3173,8xem3268,2l3269,5,3269,34,3270,63,3270,92,3271,121,3288,120,3287,88,3286,58,3286,32,3296,20,3268,2xem3612,354l3612,361,3654,360,3640,360,3612,354xem3607,295l3591,295,3591,323,3608,310,3607,295xem3616,130l3591,136,3591,203,3528,203,3591,213,3591,285,3528,285,3607,295,3607,273,3607,245,3606,215,3606,180,3606,142,3616,130xem3511,110l3512,128,3529,125,3511,110xem3600,108l3589,125,3529,125,3512,128,3512,158,3513,187,3513,216,3513,239,3512,268,3512,298,3511,327,3528,315,3528,295,3591,295,3607,295,3528,285,3528,213,3591,213,3528,203,3528,136,3591,136,3616,130,3600,108xem3444,58l3445,67,3445,86,3445,111,3446,143,3446,182,3446,229,3446,266,3446,307,3445,341,3445,367,3445,387,3444,399,3463,389,3463,363,3462,334,3462,89,3473,79,3444,58xem3686,53l3660,56,3660,346,3654,359,3654,360,3612,361,3621,365,3638,379,3649,401,3656,395,3671,380,3673,377,3676,347,3676,63,3686,53xem3669,29l3657,46,3523,46,3535,61,3543,59,3563,56,3660,56,3686,53,3669,29xem3469,5l3466,10,3470,18,3481,45,3488,69,3496,87,3501,77,3507,58,3501,41,3501,41,3491,26,3469,5xem3935,361l3935,368,3967,366,3958,365,3935,361xem3919,292l3905,292,3905,296,3905,327,3904,357,3904,384,3920,373,3920,355,3919,326,3919,292xem3769,278l3769,285,3791,282,3789,282,3769,278xem3951,265l3939,282,3862,282,3872,298,3880,295,3901,292,3905,292,3919,292,3969,292,3951,265xem3876,206l3874,211,3880,228,3885,254,3891,269,3896,263,3901,250,3896,234,3893,228,3876,206xem3936,204l3933,216,3928,242,3926,250,3917,277,3920,278,3922,276,3934,253,3947,229,3957,224,3936,204xem4000,194l3975,199,3975,354,3967,366,3935,368,3936,368,3955,381,3965,402,3969,400,3984,384,3984,384,3989,356,3989,204,4000,194xem3837,176l3838,204,3839,232,3839,262,3839,292,3839,317,3839,348,3838,377,3837,404,3853,394,3853,199,3975,199,4000,194,3853,189,3837,176xem3984,172l3972,189,3853,189,4000,194,3984,172xem3865,146l3864,176,3880,165,3880,153,3946,153,3865,146xem3865,91l3865,120,3865,146,3880,142,3880,91,3946,91,3865,91xem3864,69l3865,91,3946,91,3946,142,3880,142,3865,146,3946,153,3946,168,3961,156,3961,155,3960,125,3960,96,3969,87,3880,81,3864,69xem3955,67l3945,81,3880,81,3969,87,3955,67xem3837,43l3808,45,3779,155,3791,179,3801,205,3806,227,3808,238,3811,263,3806,277,3791,282,3769,285,3785,296,3794,318,3805,309,3819,292,3822,287,3827,259,3826,246,3819,216,3814,203,3802,181,3785,155,3827,51,3837,43xem3746,19l3746,23,3746,32,3747,46,3747,65,3747,87,3747,114,3747,144,3747,179,3747,219,3747,263,3747,311,3747,363,3746,401,3763,387,3763,45,3808,45,3837,43,3762,34,3746,19xem3819,17l3807,34,3762,34,3837,43,3819,17xem3974,13l3960,32,3841,32,3852,47,3860,45,3881,43,3993,43,3974,13xe">
                    <v:path/>
                    <v:fill on="t" focussize="0,0"/>
                    <v:stroke on="f"/>
                    <v:imagedata o:title=""/>
                    <o:lock v:ext="edit"/>
                  </v:shape>
                  <v:shape id="_x0000_s1047" o:spid="_x0000_s1047" style="position:absolute;left:7003;top:66;height:674;width:771;" filled="f" stroked="t" coordsize="771,674" path="m770,78l0,383m770,78l195,673,321,377,0,383m666,117l653,102,641,89,627,76,613,64,597,53,581,43,565,34,549,26,531,19,514,13,496,9,477,5,459,2,440,1,422,0,403,1,385,4,366,7,348,11,330,16,313,22,296,30,279,38,263,48,247,58,233,69,219,82,205,95,193,109,182,123,170,139,161,155,152,171,145,188,138,205,133,223,128,241,124,259,122,278,121,297,121,316,122,334m130,380l135,398,141,414,147,431,155,446,163,462,173,477,183,491,194,505,206,518,219,530,232,542,246,553m286,577l303,586,320,593,338,598,356,603,374,607,393,609,412,611,429,611,449,611,467,609,486,606,504,601,521,596,539,590,556,583,573,574,589,564,604,554,619,543,633,530,646,518,659,504,671,489,681,474,691,458,700,442,708,425,714,407,720,390,724,371,728,353,730,334,731,316,731,297,730,279,728,260,725,242,720,224,715,206,708,189,700,172,691,155e">
                    <v:fill on="f" focussize="0,0"/>
                    <v:stroke weight="0.09pt" color="#000000" miterlimit="10"/>
                    <v:imagedata o:title=""/>
                    <o:lock v:ext="edit"/>
                  </v:shape>
                  <v:shape id="_x0000_s1048" o:spid="_x0000_s1048" style="position:absolute;left:7860;top:54;height:111;width:55;" fillcolor="#000000" filled="t" stroked="f" coordsize="55,111" path="m7,9l7,101,6,105,3,106,0,106,0,110,17,110,17,106,14,106,11,105,10,101,10,13,11,13,7,9xem14,0l0,0,0,4,3,4,6,5,7,9,11,13,45,110,44,85,14,0xem55,0l37,0,37,4,41,4,44,5,45,9,45,85,44,85,45,110,48,110,48,9,49,5,52,4,55,4,55,0xe">
                    <v:path/>
                    <v:fill on="t" focussize="0,0"/>
                    <v:stroke on="f"/>
                    <v:imagedata o:title=""/>
                    <o:lock v:ext="edit"/>
                  </v:shape>
                  <v:shape id="_x0000_s1049" o:spid="_x0000_s1049" style="position:absolute;left:7003;top:144;height:307;width:771;" filled="f" stroked="t" coordsize="771,307" path="m770,0l0,306,321,299m321,299l770,0e">
                    <v:fill on="f" focussize="0,0"/>
                    <v:stroke weight="0.09pt" color="#000000" miterlimit="10"/>
                    <v:imagedata o:title=""/>
                    <o:lock v:ext="edit"/>
                  </v:shape>
                  <v:shape id="_x0000_s1050" o:spid="_x0000_s1050" style="position:absolute;left:7001;top:142;height:306;width:770;" fillcolor="#000000" filled="t" stroked="f" coordsize="770,306" path="m770,0l15,299,320,299,770,0xem15,299l320,299,0,305,15,299xe">
                    <v:path/>
                    <v:fill on="t" focussize="0,0"/>
                    <v:stroke on="f"/>
                    <v:imagedata o:title=""/>
                    <o:lock v:ext="edit"/>
                  </v:shape>
                  <v:shape id="_x0000_s1051" o:spid="_x0000_s1051" style="position:absolute;left:7003;top:66;height:674;width:771;" filled="f" stroked="t" coordsize="771,674" path="m770,78l0,383,321,377,770,78xm770,78l0,383m770,78l195,673,321,377,0,383m666,117l653,102,641,89,627,76,613,64,597,53,581,43,565,34,549,26,531,19,514,13,496,9,477,5,459,2,440,1,422,0,403,1,385,4,366,7,348,11,330,16,313,22,296,30,279,38,263,48,247,58,233,69,219,82,205,95,193,109,182,123,170,139,161,155,152,171,145,188,138,205,133,223,128,241,124,259,122,278,121,297,121,316,122,334m130,380l135,398,141,414,147,431,155,446,163,462,173,477,183,491,194,505,206,518,219,530,232,542,246,553m286,577l303,586,320,593,338,598,356,603,374,607,393,609,412,611,429,611,449,611,467,609,486,606,504,601,521,596,539,590,556,583,573,574,589,564,604,554,619,543,633,530,646,518,659,504,671,489,681,474,691,458,700,442,708,425,714,407,720,390,724,371,728,353,730,334,731,316,731,297,730,279,728,260,725,242,720,224,715,206,708,189,700,172,691,155m321,377l770,78e">
                    <v:fill on="f" focussize="0,0"/>
                    <v:stroke weight="0.09pt" color="#000000" miterlimit="10"/>
                    <v:imagedata o:title=""/>
                    <o:lock v:ext="edit"/>
                  </v:shape>
                  <v:shape id="_x0000_s1052" o:spid="_x0000_s1052" style="position:absolute;left:2708;top:1983;height:197;width:664;" fillcolor="#FF0000" filled="t" stroked="f" coordsize="664,197" path="m39,16l28,26,22,33,14,45,7,59,2,73,0,88,0,105,1,119,5,134,10,148,12,150,21,163,29,173,32,175,40,182,40,181,33,169,32,169,23,158,16,144,12,135,9,119,8,100,9,85,12,69,16,55,17,53,25,39,33,27,40,16,39,16xem102,120l92,129,82,137,71,146,71,148,76,146,87,139,98,132,109,123,102,120xem181,107l168,110,168,138,117,138,168,144,168,174,117,174,168,179,168,194,176,189,176,181,176,163,176,151,176,134,176,113,181,107xem108,98l109,113,102,120,109,123,109,137,109,154,109,169,108,182,108,196,117,191,117,179,168,179,117,174,117,144,168,144,117,138,117,115,122,110,168,110,181,107,126,105,117,105,108,98xem171,96l166,105,126,105,181,107,171,96xem151,76l141,76,136,83,127,94,117,105,126,105,133,99,142,88,151,76xem195,58l186,71,154,71,127,71,71,71,76,78,78,78,91,76,141,76,151,76,207,76,195,58xem127,71l135,71,135,41,127,41,127,71xem151,24l143,36,135,36,127,36,89,36,94,44,96,43,108,41,127,41,135,41,162,41,151,24xem177,11l172,22,165,36,159,48,151,60,144,71,135,71,127,71,154,71,158,66,165,54,174,41,182,27,187,24,177,11xem126,3l127,16,127,36,135,36,135,18,140,11,126,3xem358,172l347,173,335,174,323,174,312,175,358,175,358,172xem240,155l229,164,220,173,228,184,230,179,238,166,247,159,240,155xem348,119l345,119,345,131,343,145,335,152,296,152,283,157,293,161,343,161,346,161,355,151,354,150,349,138,349,136,348,119xem315,115l315,119,321,122,326,132,329,131,336,121,337,117,327,117,315,115xem261,91l267,98,270,94,279,91,261,91xem255,77l242,81,242,152,240,155,247,159,256,168,262,174,274,181,277,182,289,185,301,187,309,187,320,187,332,188,347,188,348,183,358,175,312,175,301,174,300,174,286,173,274,171,266,167,259,162,250,152,250,83,255,77xem246,67l242,75,219,75,224,83,235,81,242,81,255,77,246,67xem334,64l330,73,312,78,331,78,331,92,330,107,327,117,337,117,338,102,339,80,343,74,334,64xem279,58l279,73,279,86,261,91,279,91,279,140,279,144,283,157,296,152,291,150,287,137,287,90,304,85,287,85,287,71,293,65,279,58xem304,45l304,81,287,85,304,85,304,92,304,109,304,126,304,142,313,137,313,134,313,118,312,101,312,83,331,78,312,78,312,60,318,55,304,45xem340,23l332,34,286,34,279,35,274,48,267,63,260,77,262,78,262,78,270,67,277,55,285,39,351,39,340,23xem238,7l236,8,241,22,245,37,248,46,251,44,254,35,250,21,248,17,238,7xem287,1l287,3,284,16,279,35,286,34,288,30,294,15,299,11,287,1xem378,176l393,176,393,22,378,22,378,176xem420,176l434,176,434,22,420,22,420,176xem536,152l527,162,517,170,506,178,495,184,495,188,501,185,513,180,523,174,524,174,534,167,544,158,536,152xem515,148l503,152,491,155,482,158,480,158,469,161,456,164,461,179,464,177,477,169,480,167,489,163,501,158,515,152,515,148xem584,138l575,179,565,186,572,191,581,196,588,194,587,191,586,188,584,171,585,158,586,139,584,138xem508,113l506,113,491,118,480,121,472,122,485,126,495,122,508,117,508,113xem568,103l563,113,556,126,547,138,556,142,565,131,573,119,578,118,568,103xem541,97l533,99,535,115,537,132,540,148,536,152,544,158,548,164,556,177,565,186,575,179,568,173,558,163,551,149,556,142,547,138,546,132,543,116,541,97xem576,76l568,89,541,93,533,95,498,100,505,107,509,103,533,99,541,97,588,90,576,76xem540,62l531,63,532,80,533,95,541,93,540,77,540,62xem573,41l565,54,540,58,531,58,505,61,511,68,515,64,531,63,540,62,584,57,573,41xem501,37l501,39,496,55,490,71,466,74,489,74,488,76,481,90,474,104,467,115,459,122,466,140,474,134,483,127,485,126,472,122,478,112,485,97,492,84,498,72,506,56,512,48,501,37xem549,11l548,14,557,25,564,37,567,44,570,39,571,31,569,23,564,18,549,11xem483,3l481,18,477,34,471,49,471,49,464,66,456,73,463,89,465,86,476,78,478,77,489,74,466,74,466,74,475,56,481,42,486,31,488,24,495,14,483,3xem530,0l530,8,531,25,531,41,531,58,540,58,540,48,540,30,539,15,544,9,530,0xem620,14l620,14,629,26,630,27,638,39,645,53,649,63,652,78,654,96,654,112,651,128,646,142,644,146,636,161,629,170,629,171,620,182,621,182,632,174,636,170,645,160,653,147,658,135,662,119,663,101,663,100,662,83,659,67,653,53,648,44,640,31,632,22,629,19,620,14xe">
                    <v:path/>
                    <v:fill on="t" focussize="0,0"/>
                    <v:stroke on="f"/>
                    <v:imagedata o:title=""/>
                    <o:lock v:ext="edit"/>
                  </v:shape>
                  <v:shape id="_x0000_s1053" o:spid="_x0000_s1053" style="position:absolute;left:1015;top:2265;height:472;width:16;" fillcolor="#000000" filled="t" stroked="f" coordsize="16,472" path="m15,0l0,0,15,471,15,0xem0,0l15,471,0,471,0,0xe">
                    <v:path/>
                    <v:fill on="t" focussize="0,0"/>
                    <v:stroke on="f"/>
                    <v:imagedata o:title=""/>
                    <o:lock v:ext="edit"/>
                  </v:shape>
                  <v:shape id="_x0000_s1054" o:spid="_x0000_s1054" style="position:absolute;left:1017;top:2267;height:474;width:17;" filled="f" stroked="t" coordsize="17,474" path="m0,472l15,472,15,0,0,0,0,472xe">
                    <v:fill on="f" focussize="0,0"/>
                    <v:stroke weight="0.09pt" color="#000000" miterlimit="10"/>
                    <v:imagedata o:title=""/>
                    <o:lock v:ext="edit"/>
                  </v:shape>
                  <v:shape id="_x0000_s1055" o:spid="_x0000_s1055" style="position:absolute;left:961;top:2736;height:404;width:123;" fillcolor="#000000" filled="t" stroked="f" coordsize="123,404" path="m61,403l0,0,123,0,61,403xe">
                    <v:path/>
                    <v:fill on="t" focussize="0,0"/>
                    <v:stroke on="f"/>
                    <v:imagedata o:title=""/>
                    <o:lock v:ext="edit"/>
                  </v:shape>
                  <v:shape id="_x0000_s1056" o:spid="_x0000_s1056" style="position:absolute;left:963;top:2738;height:405;width:125;" filled="f" stroked="t" coordsize="125,405" path="m62,404l0,0,124,0,62,404xe">
                    <v:fill on="f" focussize="0,0"/>
                    <v:stroke weight="0.09pt" color="#000000" miterlimit="10"/>
                    <v:imagedata o:title=""/>
                    <o:lock v:ext="edit"/>
                  </v:shape>
                  <v:shape id="_x0000_s1057" o:spid="_x0000_s1057" style="position:absolute;left:660;top:2265;height:500;width:16;" fillcolor="#000000" filled="t" stroked="f" coordsize="16,500" path="m15,0l0,0,15,499,15,0xem0,0l15,499,0,499,0,0xe">
                    <v:path/>
                    <v:fill on="t" focussize="0,0"/>
                    <v:stroke on="f"/>
                    <v:imagedata o:title=""/>
                    <o:lock v:ext="edit"/>
                  </v:shape>
                  <v:shape id="_x0000_s1058" o:spid="_x0000_s1058" style="position:absolute;left:662;top:2267;height:502;width:17;" filled="f" stroked="t" coordsize="17,502" path="m0,500l16,500,16,0,0,0,0,500xe">
                    <v:fill on="f" focussize="0,0"/>
                    <v:stroke weight="0.09pt" color="#000000" miterlimit="10"/>
                    <v:imagedata o:title=""/>
                    <o:lock v:ext="edit"/>
                  </v:shape>
                  <v:shape id="_x0000_s1059" o:spid="_x0000_s1059" style="position:absolute;left:606;top:2736;height:404;width:123;" fillcolor="#000000" filled="t" stroked="f" coordsize="123,404" path="m61,403l0,0,123,0,61,403xe">
                    <v:path/>
                    <v:fill on="t" focussize="0,0"/>
                    <v:stroke on="f"/>
                    <v:imagedata o:title=""/>
                    <o:lock v:ext="edit"/>
                  </v:shape>
                  <v:shape id="_x0000_s1060" o:spid="_x0000_s1060" style="position:absolute;left:608;top:2738;height:405;width:125;" filled="f" stroked="t" coordsize="125,405" path="m62,404l0,0,124,0,62,404xe">
                    <v:fill on="f" focussize="0,0"/>
                    <v:stroke weight="0.09pt" color="#000000" miterlimit="10"/>
                    <v:imagedata o:title=""/>
                    <o:lock v:ext="edit"/>
                  </v:shape>
                  <v:shape id="_x0000_s1061" o:spid="_x0000_s1061" style="position:absolute;left:268;top:2265;height:472;width:16;" fillcolor="#000000" filled="t" stroked="f" coordsize="16,472" path="m15,0l0,0,15,471,15,0xem0,0l15,471,0,471,0,0xe">
                    <v:path/>
                    <v:fill on="t" focussize="0,0"/>
                    <v:stroke on="f"/>
                    <v:imagedata o:title=""/>
                    <o:lock v:ext="edit"/>
                  </v:shape>
                  <v:shape id="_x0000_s1062" o:spid="_x0000_s1062" style="position:absolute;left:270;top:2267;height:474;width:17;" filled="f" stroked="t" coordsize="17,474" path="m16,0l0,0,1,472,16,472,16,0xe">
                    <v:fill on="f" focussize="0,0"/>
                    <v:stroke weight="0.09pt" color="#000000" miterlimit="10"/>
                    <v:imagedata o:title=""/>
                    <o:lock v:ext="edit"/>
                  </v:shape>
                  <v:shape id="_x0000_s1063" o:spid="_x0000_s1063" style="position:absolute;left:214;top:2736;height:404;width:123;" fillcolor="#000000" filled="t" stroked="f" coordsize="123,404" path="m61,403l0,0,123,0,61,403xe">
                    <v:path/>
                    <v:fill on="t" focussize="0,0"/>
                    <v:stroke on="f"/>
                    <v:imagedata o:title=""/>
                    <o:lock v:ext="edit"/>
                  </v:shape>
                  <v:shape id="_x0000_s1064" o:spid="_x0000_s1064" style="position:absolute;left:216;top:2738;height:405;width:125;" filled="f" stroked="t" coordsize="125,405" path="m62,404l0,0,124,0,62,404xe">
                    <v:fill on="f" focussize="0,0"/>
                    <v:stroke weight="0.09pt" color="#000000" miterlimit="10"/>
                    <v:imagedata o:title=""/>
                    <o:lock v:ext="edit"/>
                  </v:shape>
                  <v:shape id="_x0000_s1065" o:spid="_x0000_s1065" style="position:absolute;left:2605;top:2265;height:1249;width:955;" fillcolor="#000000" filled="t" stroked="f" coordsize="955,1249" path="m934,1163l933,1170,926,1192,917,1207,916,1208,902,1219,887,1222,931,1228,942,1213,950,1194,955,1171,934,1163xem842,1030l831,1045,822,1064,817,1081,814,1103,812,1127,813,1146,816,1168,821,1189,825,1201,834,1219,846,1233,856,1240,871,1246,888,1248,903,1246,918,1240,931,1228,931,1228,887,1222,874,1220,859,1211,849,1198,841,1178,839,1172,836,1151,835,1127,836,1104,839,1082,846,1064,857,1048,858,1047,872,1039,888,1036,842,1030xem889,1009l879,1010,864,1014,850,1024,842,1030,888,1036,901,1038,915,1047,924,1062,931,1084,953,1077,949,1061,940,1042,929,1027,919,1019,905,1012,889,1009xem523,1131l475,1137,485,1138,499,1141,499,1141,512,1155,512,1156,517,1177,513,1197,505,1209,493,1216,479,1217,438,1217,525,1226,534,1207,536,1200,539,1177,537,1162,531,1142,523,1131xem520,1033l470,1041,482,1041,495,1044,506,1056,510,1076,506,1097,493,1108,490,1109,473,1111,438,1111,514,1116,525,1100,528,1094,531,1073,530,1063,525,1042,520,1033xem477,1013l417,1013,417,1244,479,1244,490,1244,504,1240,508,1239,522,1229,525,1226,438,1217,438,1137,475,1137,523,1131,508,1121,514,1116,438,1111,438,1041,470,1041,520,1033,507,1020,495,1015,477,1013xem84,1013l62,1013,0,1244,22,1244,40,1174,108,1174,46,1150,64,1082,64,1082,69,1060,73,1038,84,1013xem84,1013l73,1038,73,1041,78,1062,84,1085,101,1150,46,1150,108,1174,127,1244,151,1244,84,1013xem861,0l845,0,861,471,861,0xem845,0l861,471,845,471,845,0xe">
                    <v:path/>
                    <v:fill on="t" focussize="0,0"/>
                    <v:stroke on="f"/>
                    <v:imagedata o:title=""/>
                    <o:lock v:ext="edit"/>
                  </v:shape>
                  <v:shape id="_x0000_s1066" o:spid="_x0000_s1066" style="position:absolute;left:3452;top:2267;height:474;width:17;" filled="f" stroked="t" coordsize="17,474" path="m0,472l16,472,16,0,0,0,0,472xe">
                    <v:fill on="f" focussize="0,0"/>
                    <v:stroke weight="0.09pt" color="#000000" miterlimit="10"/>
                    <v:imagedata o:title=""/>
                    <o:lock v:ext="edit"/>
                  </v:shape>
                  <v:shape id="_x0000_s1067" o:spid="_x0000_s1067" style="position:absolute;left:3397;top:2736;height:404;width:123;" fillcolor="#000000" filled="t" stroked="f" coordsize="123,404" path="m61,403l0,0,123,0,61,403xe">
                    <v:path/>
                    <v:fill on="t" focussize="0,0"/>
                    <v:stroke on="f"/>
                    <v:imagedata o:title=""/>
                    <o:lock v:ext="edit"/>
                  </v:shape>
                  <v:shape id="_x0000_s1068" o:spid="_x0000_s1068" style="position:absolute;left:3399;top:2738;height:405;width:125;" filled="f" stroked="t" coordsize="125,405" path="m62,404l0,0,123,0,62,404xe">
                    <v:fill on="f" focussize="0,0"/>
                    <v:stroke weight="0.09pt" color="#000000" miterlimit="10"/>
                    <v:imagedata o:title=""/>
                    <o:lock v:ext="edit"/>
                  </v:shape>
                  <v:shape id="_x0000_s1069" o:spid="_x0000_s1069" style="position:absolute;left:3096;top:2265;height:500;width:16;" fillcolor="#000000" filled="t" stroked="f" coordsize="16,500" path="m15,0l0,0,15,499,15,0xem0,0l15,499,0,499,0,0xe">
                    <v:path/>
                    <v:fill on="t" focussize="0,0"/>
                    <v:stroke on="f"/>
                    <v:imagedata o:title=""/>
                    <o:lock v:ext="edit"/>
                  </v:shape>
                  <v:shape id="_x0000_s1070" o:spid="_x0000_s1070" style="position:absolute;left:3098;top:2267;height:502;width:17;" filled="f" stroked="t" coordsize="17,502" path="m0,500l15,500,15,0,0,0,0,500xe">
                    <v:fill on="f" focussize="0,0"/>
                    <v:stroke weight="0.09pt" color="#000000" miterlimit="10"/>
                    <v:imagedata o:title=""/>
                    <o:lock v:ext="edit"/>
                  </v:shape>
                  <v:shape id="_x0000_s1071" o:spid="_x0000_s1071" style="position:absolute;left:3042;top:2736;height:404;width:123;" fillcolor="#000000" filled="t" stroked="f" coordsize="123,404" path="m61,403l0,0,123,0,61,403xe">
                    <v:path/>
                    <v:fill on="t" focussize="0,0"/>
                    <v:stroke on="f"/>
                    <v:imagedata o:title=""/>
                    <o:lock v:ext="edit"/>
                  </v:shape>
                  <v:shape id="_x0000_s1072" o:spid="_x0000_s1072" style="position:absolute;left:3044;top:2738;height:405;width:126;" filled="f" stroked="t" coordsize="126,405" path="m62,404l0,0,124,0,62,404xe">
                    <v:fill on="f" focussize="0,0"/>
                    <v:stroke weight="0.09pt" color="#000000" miterlimit="10"/>
                    <v:imagedata o:title=""/>
                    <o:lock v:ext="edit"/>
                  </v:shape>
                  <v:shape id="_x0000_s1073" o:spid="_x0000_s1073" style="position:absolute;left:2704;top:2265;height:472;width:16;" fillcolor="#000000" filled="t" stroked="f" coordsize="16,472" path="m15,0l0,0,15,471,15,0xem0,0l15,471,0,471,0,0xe">
                    <v:path/>
                    <v:fill on="t" focussize="0,0"/>
                    <v:stroke on="f"/>
                    <v:imagedata o:title=""/>
                    <o:lock v:ext="edit"/>
                  </v:shape>
                  <v:shape id="_x0000_s1074" o:spid="_x0000_s1074" style="position:absolute;left:2706;top:2267;height:474;width:17;" filled="f" stroked="t" coordsize="17,474" path="m0,472l15,472,15,0,0,0,0,472xe">
                    <v:fill on="f" focussize="0,0"/>
                    <v:stroke weight="0.09pt" color="#000000" miterlimit="10"/>
                    <v:imagedata o:title=""/>
                    <o:lock v:ext="edit"/>
                  </v:shape>
                  <v:shape id="_x0000_s1075" o:spid="_x0000_s1075" style="position:absolute;left:2650;top:2736;height:404;width:123;" fillcolor="#000000" filled="t" stroked="f" coordsize="123,404" path="m61,403l0,0,123,0,61,403xe">
                    <v:path/>
                    <v:fill on="t" focussize="0,0"/>
                    <v:stroke on="f"/>
                    <v:imagedata o:title=""/>
                    <o:lock v:ext="edit"/>
                  </v:shape>
                  <v:shape id="_x0000_s1076" o:spid="_x0000_s1076" style="position:absolute;left:2652;top:2738;height:405;width:126;" filled="f" stroked="t" coordsize="126,405" path="m62,404l0,0,124,0,62,404xe">
                    <v:fill on="f" focussize="0,0"/>
                    <v:stroke weight="0.09pt" color="#000000" miterlimit="10"/>
                    <v:imagedata o:title=""/>
                    <o:lock v:ext="edit"/>
                  </v:shape>
                  <v:shape id="_x0000_s1077" o:spid="_x0000_s1077" style="position:absolute;left:1597;top:1984;height:192;width:580;" fillcolor="#FF0000" filled="t" stroked="f" coordsize="580,192" path="m40,11l28,21,22,27,14,39,7,54,3,67,0,83,0,100,1,113,5,129,10,143,12,145,20,158,30,168,31,170,41,176,41,176,33,164,32,163,23,152,16,138,12,130,9,114,8,95,9,80,11,63,16,50,17,48,24,34,33,22,40,11,40,11xem195,157l184,171,143,171,134,171,71,171,75,178,78,178,90,176,206,176,195,157xem134,171l143,171,143,125,134,125,134,171xem180,107l171,120,143,120,134,120,85,120,90,127,93,126,105,125,134,125,143,125,192,125,180,107xem143,80l134,80,134,120,143,120,143,80xem122,74l110,75,98,76,161,76,175,74,122,74xem148,36l147,38,156,48,165,59,172,70,169,70,157,72,145,72,133,74,122,74,175,74,175,74,183,88,185,91,188,85,189,73,182,61,181,60,174,54,163,46,148,36xem140,17l127,17,125,22,119,36,112,49,106,57,98,67,97,69,86,74,93,93,95,91,107,86,110,85,120,83,134,80,143,80,150,78,161,76,98,76,101,72,112,60,119,50,123,45,130,32,140,17xem188,0l179,12,76,12,82,20,84,19,96,17,127,17,140,17,201,17,188,0xem265,168l265,172,285,170,279,170,265,168xem313,109l312,112,316,120,325,134,331,147,335,159,336,162,342,174,345,170,348,158,346,147,344,144,339,137,328,125,313,109xem265,105l263,112,257,126,249,140,242,151,234,163,224,173,225,176,225,176,235,168,244,158,253,147,262,135,271,122,277,120,265,105xem300,90l291,90,291,163,285,170,265,172,272,174,282,182,286,192,286,192,296,182,300,169,300,90xem342,74l334,85,300,85,237,87,246,98,250,90,291,90,300,90,353,90,342,74xem291,34l291,34,291,47,291,63,291,85,250,85,300,85,300,50,305,44,291,34xem248,12l248,14,246,32,245,48,243,65,242,82,237,87,300,85,250,85,255,25,256,25,269,25,280,24,292,22,255,21,248,12xem327,0l326,1,316,7,302,13,302,13,293,15,282,17,270,19,255,21,292,22,304,20,316,18,329,16,337,15,327,0xem496,158l487,171,459,171,419,171,370,171,375,178,377,178,389,176,510,176,496,158xem379,46l378,47,383,62,389,82,393,98,396,111,398,121,398,123,402,136,407,131,408,128,408,111,407,107,404,98,398,84,390,67,379,46xem490,43l490,45,487,60,483,75,478,90,473,105,466,121,459,136,459,143,464,136,471,125,477,112,484,97,491,80,498,62,504,57,490,43xem418,0l419,14,419,30,419,171,427,171,427,16,433,10,418,0xem451,0l451,17,451,32,451,171,427,171,419,171,459,171,459,143,459,136,459,15,465,10,451,0xem537,8l537,9,545,20,546,22,554,33,562,48,565,58,569,73,571,91,570,107,568,123,563,137,561,141,553,155,545,165,545,166,537,176,538,177,549,169,553,165,561,155,570,141,575,130,578,114,580,96,580,95,578,77,575,62,569,48,565,39,556,26,548,17,545,14,537,8xe">
                    <v:path/>
                    <v:fill on="t" focussize="0,0"/>
                    <v:stroke on="f"/>
                    <v:imagedata o:title=""/>
                    <o:lock v:ext="edit"/>
                  </v:shape>
                  <v:shape id="_x0000_s1078" o:spid="_x0000_s1078" style="position:absolute;left:1407;top:2265;height:1249;width:955;" fillcolor="#000000" filled="t" stroked="f" coordsize="955,1249" path="m934,1163l933,1170,926,1192,917,1207,916,1208,902,1219,887,1222,931,1228,941,1213,949,1194,955,1171,934,1163xem842,1030l831,1045,822,1064,817,1081,814,1103,812,1127,813,1146,816,1168,821,1189,825,1201,834,1219,845,1233,856,1240,871,1246,888,1248,903,1246,918,1240,931,1228,931,1228,887,1222,874,1220,859,1211,849,1198,841,1178,839,1172,836,1151,834,1127,836,1104,839,1082,846,1064,857,1048,858,1047,871,1039,888,1036,842,1030xem889,1009l879,1010,864,1014,850,1024,842,1030,888,1036,901,1038,915,1047,924,1062,931,1084,952,1077,948,1061,940,1042,929,1027,919,1019,905,1012,889,1009xem523,1131l475,1137,485,1138,499,1141,499,1141,512,1155,512,1156,516,1177,513,1197,505,1209,493,1216,478,1217,438,1217,524,1226,534,1207,536,1200,538,1177,537,1162,531,1142,523,1131xem520,1033l470,1041,482,1041,495,1044,506,1056,510,1076,506,1097,493,1108,490,1109,473,1111,438,1111,514,1116,525,1100,527,1094,531,1073,530,1063,524,1042,520,1033xem477,1013l417,1013,417,1244,478,1244,489,1244,504,1240,508,1239,522,1229,524,1226,438,1217,438,1137,475,1137,523,1131,508,1121,514,1116,438,1111,438,1041,470,1041,520,1033,507,1020,495,1015,477,1013xem84,1013l62,1013,0,1244,22,1244,40,1174,108,1174,46,1150,64,1082,64,1082,69,1060,73,1038,84,1013xem84,1013l73,1038,73,1041,78,1062,84,1085,101,1150,46,1150,108,1174,127,1244,151,1244,84,1013xem861,0l845,0,861,471,861,0xem845,0l861,471,845,471,845,0xe">
                    <v:path/>
                    <v:fill on="t" focussize="0,0"/>
                    <v:stroke on="f"/>
                    <v:imagedata o:title=""/>
                    <o:lock v:ext="edit"/>
                  </v:shape>
                  <v:shape id="_x0000_s1079" o:spid="_x0000_s1079" style="position:absolute;left:2255;top:2267;height:474;width:17;" filled="f" stroked="t" coordsize="17,474" path="m0,472l16,472,16,0,0,0,0,472xe">
                    <v:fill on="f" focussize="0,0"/>
                    <v:stroke weight="0.09pt" color="#000000" miterlimit="10"/>
                    <v:imagedata o:title=""/>
                    <o:lock v:ext="edit"/>
                  </v:shape>
                  <v:shape id="_x0000_s1080" o:spid="_x0000_s1080" style="position:absolute;left:2199;top:2736;height:404;width:123;" fillcolor="#000000" filled="t" stroked="f" coordsize="123,404" path="m61,403l0,0,123,0,61,403xe">
                    <v:path/>
                    <v:fill on="t" focussize="0,0"/>
                    <v:stroke on="f"/>
                    <v:imagedata o:title=""/>
                    <o:lock v:ext="edit"/>
                  </v:shape>
                  <v:shape id="_x0000_s1081" o:spid="_x0000_s1081" style="position:absolute;left:2201;top:2738;height:405;width:126;" filled="f" stroked="t" coordsize="126,405" path="m62,404l0,0,124,0,62,404xe">
                    <v:fill on="f" focussize="0,0"/>
                    <v:stroke weight="0.09pt" color="#000000" miterlimit="10"/>
                    <v:imagedata o:title=""/>
                    <o:lock v:ext="edit"/>
                  </v:shape>
                  <v:shape id="_x0000_s1082" o:spid="_x0000_s1082" style="position:absolute;left:1898;top:2265;height:500;width:16;" fillcolor="#000000" filled="t" stroked="f" coordsize="16,500" path="m15,0l0,0,15,499,15,0xem0,0l15,499,0,499,0,0xe">
                    <v:path/>
                    <v:fill on="t" focussize="0,0"/>
                    <v:stroke on="f"/>
                    <v:imagedata o:title=""/>
                    <o:lock v:ext="edit"/>
                  </v:shape>
                  <v:shape id="_x0000_s1083" o:spid="_x0000_s1083" style="position:absolute;left:1900;top:2267;height:502;width:17;" filled="f" stroked="t" coordsize="17,502" path="m0,500l16,500,16,0,0,0,0,500xe">
                    <v:fill on="f" focussize="0,0"/>
                    <v:stroke weight="0.09pt" color="#000000" miterlimit="10"/>
                    <v:imagedata o:title=""/>
                    <o:lock v:ext="edit"/>
                  </v:shape>
                  <v:shape id="_x0000_s1084" o:spid="_x0000_s1084" style="position:absolute;left:1844;top:2736;height:404;width:123;" fillcolor="#000000" filled="t" stroked="f" coordsize="123,404" path="m61,403l0,0,123,0,61,403xe">
                    <v:path/>
                    <v:fill on="t" focussize="0,0"/>
                    <v:stroke on="f"/>
                    <v:imagedata o:title=""/>
                    <o:lock v:ext="edit"/>
                  </v:shape>
                  <v:shape id="_x0000_s1085" o:spid="_x0000_s1085" style="position:absolute;left:1846;top:2738;height:405;width:126;" filled="f" stroked="t" coordsize="126,405" path="m62,404l0,0,124,0,62,404xe">
                    <v:fill on="f" focussize="0,0"/>
                    <v:stroke weight="0.09pt" color="#000000" miterlimit="10"/>
                    <v:imagedata o:title=""/>
                    <o:lock v:ext="edit"/>
                  </v:shape>
                  <v:shape id="_x0000_s1086" o:spid="_x0000_s1086" style="position:absolute;left:1507;top:2265;height:472;width:16;" fillcolor="#000000" filled="t" stroked="f" coordsize="16,472" path="m15,0l0,0,15,471,15,0xem0,0l15,471,0,471,0,0xe">
                    <v:path/>
                    <v:fill on="t" focussize="0,0"/>
                    <v:stroke on="f"/>
                    <v:imagedata o:title=""/>
                    <o:lock v:ext="edit"/>
                  </v:shape>
                  <v:shape id="_x0000_s1087" o:spid="_x0000_s1087" style="position:absolute;left:1508;top:2267;height:474;width:17;" filled="f" stroked="t" coordsize="17,474" path="m0,472l15,472,15,0,0,0,0,472xe">
                    <v:fill on="f" focussize="0,0"/>
                    <v:stroke weight="0.09pt" color="#000000" miterlimit="10"/>
                    <v:imagedata o:title=""/>
                    <o:lock v:ext="edit"/>
                  </v:shape>
                  <v:shape id="_x0000_s1088" o:spid="_x0000_s1088" style="position:absolute;left:1452;top:2736;height:404;width:123;" fillcolor="#000000" filled="t" stroked="f" coordsize="123,404" path="m61,403l0,0,123,0,61,403xe">
                    <v:path/>
                    <v:fill on="t" focussize="0,0"/>
                    <v:stroke on="f"/>
                    <v:imagedata o:title=""/>
                    <o:lock v:ext="edit"/>
                  </v:shape>
                  <v:shape id="_x0000_s1089" o:spid="_x0000_s1089" style="position:absolute;left:1454;top:2738;height:405;width:126;" filled="f" stroked="t" coordsize="126,405" path="m62,404l0,0,124,0,62,404xe">
                    <v:fill on="f" focussize="0,0"/>
                    <v:stroke weight="0.09pt" color="#000000" miterlimit="10"/>
                    <v:imagedata o:title=""/>
                    <o:lock v:ext="edit"/>
                  </v:shape>
                  <v:shape id="_x0000_s1090" o:spid="_x0000_s1090" style="position:absolute;left:0;top:0;height:3567;width:8192;" filled="f" stroked="t" coordsize="8192,3567" path="m7,3560l8185,3560,8185,7,7,7,7,3560xe">
                    <v:fill on="f" focussize="0,0"/>
                    <v:stroke color="#000000" miterlimit="10"/>
                    <v:imagedata o:title=""/>
                    <o:lock v:ext="edit"/>
                  </v:shape>
                  <w10:wrap type="none"/>
                  <w10:anchorlock/>
                </v:group>
              </w:pict>
            </w:r>
          </w:p>
          <w:p w14:paraId="2CCAAFDE">
            <w:pPr>
              <w:pStyle w:val="6"/>
              <w:spacing w:before="243" w:line="234" w:lineRule="auto"/>
              <w:ind w:left="2314"/>
            </w:pPr>
            <w:r>
              <w:rPr>
                <w:b/>
                <w:bCs/>
                <w:spacing w:val="-2"/>
              </w:rPr>
              <w:t>图</w:t>
            </w:r>
            <w:r>
              <w:rPr>
                <w:spacing w:val="-44"/>
              </w:rPr>
              <w:t xml:space="preserve"> </w:t>
            </w:r>
            <w:r>
              <w:rPr>
                <w:rFonts w:ascii="Times New Roman" w:hAnsi="Times New Roman" w:eastAsia="Times New Roman" w:cs="Times New Roman"/>
                <w:b/>
                <w:bCs/>
                <w:spacing w:val="-2"/>
              </w:rPr>
              <w:t xml:space="preserve">2-1    220kV </w:t>
            </w:r>
            <w:r>
              <w:rPr>
                <w:b/>
                <w:bCs/>
                <w:spacing w:val="-2"/>
              </w:rPr>
              <w:t>迤车变本期间隔扩建示意图</w:t>
            </w:r>
          </w:p>
          <w:p w14:paraId="25E6024A">
            <w:pPr>
              <w:pStyle w:val="6"/>
              <w:spacing w:before="196" w:line="234"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5</w:t>
            </w:r>
            <w:r>
              <w:rPr>
                <w:b/>
                <w:bCs/>
                <w:spacing w:val="-4"/>
                <w:sz w:val="24"/>
                <w:szCs w:val="24"/>
              </w:rPr>
              <w:t>）</w:t>
            </w:r>
            <w:r>
              <w:rPr>
                <w:rFonts w:ascii="Times New Roman" w:hAnsi="Times New Roman" w:eastAsia="Times New Roman" w:cs="Times New Roman"/>
                <w:b/>
                <w:bCs/>
                <w:spacing w:val="-4"/>
                <w:sz w:val="24"/>
                <w:szCs w:val="24"/>
              </w:rPr>
              <w:t>500kV</w:t>
            </w:r>
            <w:r>
              <w:rPr>
                <w:rFonts w:ascii="Times New Roman" w:hAnsi="Times New Roman" w:eastAsia="Times New Roman" w:cs="Times New Roman"/>
                <w:b/>
                <w:bCs/>
                <w:spacing w:val="28"/>
                <w:sz w:val="24"/>
                <w:szCs w:val="24"/>
              </w:rPr>
              <w:t xml:space="preserve"> </w:t>
            </w:r>
            <w:r>
              <w:rPr>
                <w:b/>
                <w:bCs/>
                <w:spacing w:val="-4"/>
                <w:sz w:val="24"/>
                <w:szCs w:val="24"/>
              </w:rPr>
              <w:t>乐业变间隔扩建</w:t>
            </w:r>
          </w:p>
          <w:p w14:paraId="74F2A250">
            <w:pPr>
              <w:pStyle w:val="6"/>
              <w:spacing w:before="170" w:line="358" w:lineRule="auto"/>
              <w:ind w:left="111" w:right="107" w:firstLine="480"/>
              <w:jc w:val="both"/>
              <w:rPr>
                <w:sz w:val="24"/>
                <w:szCs w:val="24"/>
              </w:rPr>
            </w:pPr>
            <w:r>
              <w:rPr>
                <w:spacing w:val="-4"/>
                <w:sz w:val="24"/>
                <w:szCs w:val="24"/>
              </w:rPr>
              <w:t>在</w:t>
            </w:r>
            <w:r>
              <w:rPr>
                <w:spacing w:val="-48"/>
                <w:sz w:val="24"/>
                <w:szCs w:val="24"/>
              </w:rPr>
              <w:t xml:space="preserve"> </w:t>
            </w:r>
            <w:r>
              <w:rPr>
                <w:rFonts w:ascii="Times New Roman" w:hAnsi="Times New Roman" w:eastAsia="Times New Roman" w:cs="Times New Roman"/>
                <w:spacing w:val="-4"/>
                <w:sz w:val="24"/>
                <w:szCs w:val="24"/>
              </w:rPr>
              <w:t>500kV</w:t>
            </w:r>
            <w:r>
              <w:rPr>
                <w:rFonts w:ascii="Times New Roman" w:hAnsi="Times New Roman" w:eastAsia="Times New Roman" w:cs="Times New Roman"/>
                <w:spacing w:val="17"/>
                <w:sz w:val="24"/>
                <w:szCs w:val="24"/>
              </w:rPr>
              <w:t xml:space="preserve"> </w:t>
            </w:r>
            <w:r>
              <w:rPr>
                <w:spacing w:val="-4"/>
                <w:sz w:val="24"/>
                <w:szCs w:val="24"/>
              </w:rPr>
              <w:t>乐业变</w:t>
            </w:r>
            <w:r>
              <w:rPr>
                <w:spacing w:val="-55"/>
                <w:sz w:val="24"/>
                <w:szCs w:val="24"/>
              </w:rPr>
              <w:t xml:space="preserve"> </w:t>
            </w:r>
            <w:r>
              <w:rPr>
                <w:rFonts w:ascii="Times New Roman" w:hAnsi="Times New Roman" w:eastAsia="Times New Roman" w:cs="Times New Roman"/>
                <w:spacing w:val="-4"/>
                <w:sz w:val="24"/>
                <w:szCs w:val="24"/>
              </w:rPr>
              <w:t xml:space="preserve">220kV </w:t>
            </w:r>
            <w:r>
              <w:rPr>
                <w:spacing w:val="-4"/>
                <w:sz w:val="24"/>
                <w:szCs w:val="24"/>
              </w:rPr>
              <w:t>配电装置场地</w:t>
            </w:r>
            <w:r>
              <w:rPr>
                <w:spacing w:val="-5"/>
                <w:sz w:val="24"/>
                <w:szCs w:val="24"/>
              </w:rPr>
              <w:t>新增</w:t>
            </w:r>
            <w:r>
              <w:rPr>
                <w:spacing w:val="-32"/>
                <w:sz w:val="24"/>
                <w:szCs w:val="24"/>
              </w:rPr>
              <w:t xml:space="preserve"> </w:t>
            </w:r>
            <w:r>
              <w:rPr>
                <w:rFonts w:ascii="Times New Roman" w:hAnsi="Times New Roman" w:eastAsia="Times New Roman" w:cs="Times New Roman"/>
                <w:spacing w:val="-5"/>
                <w:sz w:val="24"/>
                <w:szCs w:val="24"/>
              </w:rPr>
              <w:t xml:space="preserve">1 </w:t>
            </w:r>
            <w:r>
              <w:rPr>
                <w:spacing w:val="-5"/>
                <w:sz w:val="24"/>
                <w:szCs w:val="24"/>
              </w:rPr>
              <w:t>个</w:t>
            </w:r>
            <w:r>
              <w:rPr>
                <w:spacing w:val="-55"/>
                <w:sz w:val="24"/>
                <w:szCs w:val="24"/>
              </w:rPr>
              <w:t xml:space="preserve"> </w:t>
            </w:r>
            <w:r>
              <w:rPr>
                <w:rFonts w:ascii="Times New Roman" w:hAnsi="Times New Roman" w:eastAsia="Times New Roman" w:cs="Times New Roman"/>
                <w:spacing w:val="-5"/>
                <w:sz w:val="24"/>
                <w:szCs w:val="24"/>
              </w:rPr>
              <w:t>220kV</w:t>
            </w:r>
            <w:r>
              <w:rPr>
                <w:rFonts w:ascii="Times New Roman" w:hAnsi="Times New Roman" w:eastAsia="Times New Roman" w:cs="Times New Roman"/>
                <w:spacing w:val="31"/>
                <w:sz w:val="24"/>
                <w:szCs w:val="24"/>
              </w:rPr>
              <w:t xml:space="preserve"> </w:t>
            </w:r>
            <w:r>
              <w:rPr>
                <w:spacing w:val="-5"/>
                <w:sz w:val="24"/>
                <w:szCs w:val="24"/>
              </w:rPr>
              <w:t>出线间隔（拟采用自</w:t>
            </w:r>
            <w:r>
              <w:rPr>
                <w:spacing w:val="-4"/>
                <w:sz w:val="24"/>
                <w:szCs w:val="24"/>
              </w:rPr>
              <w:t>北向南第</w:t>
            </w:r>
            <w:r>
              <w:rPr>
                <w:spacing w:val="-49"/>
                <w:sz w:val="24"/>
                <w:szCs w:val="24"/>
              </w:rPr>
              <w:t xml:space="preserve"> </w:t>
            </w:r>
            <w:r>
              <w:rPr>
                <w:rFonts w:ascii="Times New Roman" w:hAnsi="Times New Roman" w:eastAsia="Times New Roman" w:cs="Times New Roman"/>
                <w:spacing w:val="-4"/>
                <w:sz w:val="24"/>
                <w:szCs w:val="24"/>
              </w:rPr>
              <w:t xml:space="preserve">3 </w:t>
            </w:r>
            <w:r>
              <w:rPr>
                <w:spacing w:val="-4"/>
                <w:sz w:val="24"/>
                <w:szCs w:val="24"/>
              </w:rPr>
              <w:t>个出线间隔</w:t>
            </w:r>
            <w:r>
              <w:rPr>
                <w:spacing w:val="-5"/>
                <w:sz w:val="24"/>
                <w:szCs w:val="24"/>
              </w:rPr>
              <w:t>），</w:t>
            </w:r>
            <w:r>
              <w:rPr>
                <w:spacing w:val="-4"/>
                <w:sz w:val="24"/>
                <w:szCs w:val="24"/>
              </w:rPr>
              <w:t>用于至</w:t>
            </w:r>
            <w:r>
              <w:rPr>
                <w:spacing w:val="-55"/>
                <w:sz w:val="24"/>
                <w:szCs w:val="24"/>
              </w:rPr>
              <w:t xml:space="preserve"> </w:t>
            </w:r>
            <w:r>
              <w:rPr>
                <w:rFonts w:ascii="Times New Roman" w:hAnsi="Times New Roman" w:eastAsia="Times New Roman" w:cs="Times New Roman"/>
                <w:spacing w:val="-4"/>
                <w:sz w:val="24"/>
                <w:szCs w:val="24"/>
              </w:rPr>
              <w:t xml:space="preserve">220kV </w:t>
            </w:r>
            <w:r>
              <w:rPr>
                <w:spacing w:val="-4"/>
                <w:sz w:val="24"/>
                <w:szCs w:val="24"/>
              </w:rPr>
              <w:t>迤车变。本期将原迤</w:t>
            </w:r>
            <w:r>
              <w:rPr>
                <w:spacing w:val="-5"/>
                <w:sz w:val="24"/>
                <w:szCs w:val="24"/>
              </w:rPr>
              <w:t>车Ⅰ回（</w:t>
            </w:r>
            <w:r>
              <w:rPr>
                <w:rFonts w:ascii="Times New Roman" w:hAnsi="Times New Roman" w:eastAsia="Times New Roman" w:cs="Times New Roman"/>
                <w:spacing w:val="-5"/>
                <w:sz w:val="24"/>
                <w:szCs w:val="24"/>
              </w:rPr>
              <w:t xml:space="preserve">220kV </w:t>
            </w:r>
            <w:r>
              <w:rPr>
                <w:spacing w:val="-5"/>
                <w:sz w:val="24"/>
                <w:szCs w:val="24"/>
              </w:rPr>
              <w:t>者</w:t>
            </w:r>
            <w:r>
              <w:rPr>
                <w:spacing w:val="-3"/>
                <w:sz w:val="24"/>
                <w:szCs w:val="24"/>
              </w:rPr>
              <w:t>迤Ⅰ线）改接至迤车牵引变，设备均满足，本</w:t>
            </w:r>
            <w:r>
              <w:rPr>
                <w:spacing w:val="-4"/>
                <w:sz w:val="24"/>
                <w:szCs w:val="24"/>
              </w:rPr>
              <w:t>期沿用。本次扩建间隔一、二次设</w:t>
            </w:r>
            <w:r>
              <w:rPr>
                <w:spacing w:val="-2"/>
                <w:sz w:val="24"/>
                <w:szCs w:val="24"/>
              </w:rPr>
              <w:t>备与</w:t>
            </w:r>
            <w:r>
              <w:rPr>
                <w:spacing w:val="-36"/>
                <w:sz w:val="24"/>
                <w:szCs w:val="24"/>
              </w:rPr>
              <w:t xml:space="preserve"> </w:t>
            </w:r>
            <w:r>
              <w:rPr>
                <w:rFonts w:ascii="Times New Roman" w:hAnsi="Times New Roman" w:eastAsia="Times New Roman" w:cs="Times New Roman"/>
                <w:spacing w:val="-2"/>
                <w:sz w:val="24"/>
                <w:szCs w:val="24"/>
              </w:rPr>
              <w:t>500kV</w:t>
            </w:r>
            <w:r>
              <w:rPr>
                <w:rFonts w:ascii="Times New Roman" w:hAnsi="Times New Roman" w:eastAsia="Times New Roman" w:cs="Times New Roman"/>
                <w:spacing w:val="17"/>
                <w:sz w:val="24"/>
                <w:szCs w:val="24"/>
              </w:rPr>
              <w:t xml:space="preserve"> </w:t>
            </w:r>
            <w:r>
              <w:rPr>
                <w:spacing w:val="-2"/>
                <w:sz w:val="24"/>
                <w:szCs w:val="24"/>
              </w:rPr>
              <w:t>乐业变站内现有设备保持一致，主接线方式跟前期保持一致。</w:t>
            </w:r>
          </w:p>
          <w:p w14:paraId="3C1B481F">
            <w:pPr>
              <w:spacing w:line="6161" w:lineRule="exact"/>
              <w:ind w:firstLine="117"/>
            </w:pPr>
            <w:r>
              <w:rPr>
                <w:position w:val="-123"/>
              </w:rPr>
              <w:pict>
                <v:group id="_x0000_s1091" o:spid="_x0000_s1091" o:spt="203" style="height:308.1pt;width:412.5pt;" coordsize="8250,6162">
                  <o:lock v:ext="edit"/>
                  <v:shape id="_x0000_s1092" o:spid="_x0000_s1092" o:spt="75" type="#_x0000_t75" style="position:absolute;left:15;top:14;height:6132;width:8220;" filled="f" stroked="f" coordsize="21600,21600">
                    <v:path/>
                    <v:fill on="f" focussize="0,0"/>
                    <v:stroke on="f"/>
                    <v:imagedata r:id="rId211" o:title=""/>
                    <o:lock v:ext="edit" aspectratio="t"/>
                  </v:shape>
                  <v:shape id="_x0000_s1093" o:spid="_x0000_s1093" o:spt="202" type="#_x0000_t202" style="position:absolute;left:-20;top:-20;height:6202;width:8290;" filled="f" stroked="f" coordsize="21600,21600">
                    <v:path/>
                    <v:fill on="f" focussize="0,0"/>
                    <v:stroke on="f"/>
                    <v:imagedata o:title=""/>
                    <o:lock v:ext="edit" aspectratio="f"/>
                    <v:textbox inset="0mm,0mm,0mm,0mm">
                      <w:txbxContent>
                        <w:p w14:paraId="512D100E">
                          <w:pPr>
                            <w:spacing w:line="20" w:lineRule="exact"/>
                          </w:pPr>
                        </w:p>
                        <w:tbl>
                          <w:tblPr>
                            <w:tblStyle w:val="5"/>
                            <w:tblW w:w="8234" w:type="dxa"/>
                            <w:tblInd w:w="27"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8234"/>
                          </w:tblGrid>
                          <w:tr w14:paraId="2A0E606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6131" w:hRule="atLeast"/>
                            </w:trPr>
                            <w:tc>
                              <w:tcPr>
                                <w:tcW w:w="8234" w:type="dxa"/>
                                <w:vAlign w:val="top"/>
                              </w:tcPr>
                              <w:p w14:paraId="57BBC63C">
                                <w:pPr>
                                  <w:rPr>
                                    <w:rFonts w:ascii="Arial"/>
                                    <w:sz w:val="21"/>
                                  </w:rPr>
                                </w:pPr>
                              </w:p>
                            </w:tc>
                          </w:tr>
                        </w:tbl>
                        <w:p w14:paraId="25E51585">
                          <w:pPr>
                            <w:rPr>
                              <w:rFonts w:ascii="Arial"/>
                              <w:sz w:val="21"/>
                            </w:rPr>
                          </w:pPr>
                        </w:p>
                      </w:txbxContent>
                    </v:textbox>
                  </v:shape>
                  <w10:wrap type="none"/>
                  <w10:anchorlock/>
                </v:group>
              </w:pict>
            </w:r>
          </w:p>
          <w:p w14:paraId="429B7F75">
            <w:pPr>
              <w:pStyle w:val="6"/>
              <w:spacing w:before="206" w:line="234" w:lineRule="auto"/>
              <w:ind w:left="2314"/>
            </w:pPr>
            <w:r>
              <w:rPr>
                <w:b/>
                <w:bCs/>
                <w:spacing w:val="-3"/>
              </w:rPr>
              <w:t>图</w:t>
            </w:r>
            <w:r>
              <w:rPr>
                <w:spacing w:val="-35"/>
              </w:rPr>
              <w:t xml:space="preserve"> </w:t>
            </w:r>
            <w:r>
              <w:rPr>
                <w:rFonts w:ascii="Times New Roman" w:hAnsi="Times New Roman" w:eastAsia="Times New Roman" w:cs="Times New Roman"/>
                <w:b/>
                <w:bCs/>
                <w:spacing w:val="-3"/>
              </w:rPr>
              <w:t>2-2    500kV</w:t>
            </w:r>
            <w:r>
              <w:rPr>
                <w:rFonts w:ascii="Times New Roman" w:hAnsi="Times New Roman" w:eastAsia="Times New Roman" w:cs="Times New Roman"/>
                <w:b/>
                <w:bCs/>
                <w:spacing w:val="14"/>
                <w:w w:val="101"/>
              </w:rPr>
              <w:t xml:space="preserve"> </w:t>
            </w:r>
            <w:r>
              <w:rPr>
                <w:b/>
                <w:bCs/>
                <w:spacing w:val="-3"/>
              </w:rPr>
              <w:t>乐业变本期间隔扩建示意图</w:t>
            </w:r>
          </w:p>
        </w:tc>
      </w:tr>
    </w:tbl>
    <w:p w14:paraId="76ED69DC">
      <w:pPr>
        <w:rPr>
          <w:rFonts w:ascii="Arial"/>
          <w:sz w:val="21"/>
        </w:rPr>
      </w:pPr>
    </w:p>
    <w:p w14:paraId="3D166290">
      <w:pPr>
        <w:rPr>
          <w:rFonts w:ascii="Arial" w:hAnsi="Arial" w:eastAsia="Arial" w:cs="Arial"/>
          <w:sz w:val="21"/>
          <w:szCs w:val="21"/>
        </w:rPr>
        <w:sectPr>
          <w:footerReference r:id="rId37" w:type="default"/>
          <w:pgSz w:w="11907" w:h="16841"/>
          <w:pgMar w:top="400" w:right="1408" w:bottom="1126" w:left="1414" w:header="0" w:footer="925" w:gutter="0"/>
          <w:cols w:space="720" w:num="1"/>
        </w:sectPr>
      </w:pPr>
    </w:p>
    <w:p w14:paraId="51950C95">
      <w:pPr>
        <w:spacing w:before="2"/>
      </w:pPr>
    </w:p>
    <w:p w14:paraId="398D2B9C">
      <w:pPr>
        <w:spacing w:before="2"/>
      </w:pPr>
    </w:p>
    <w:p w14:paraId="03EA1B92">
      <w:pPr>
        <w:spacing w:before="1"/>
      </w:pPr>
    </w:p>
    <w:p w14:paraId="1D4B5E50">
      <w:pPr>
        <w:spacing w:before="1"/>
      </w:pPr>
    </w:p>
    <w:p w14:paraId="19A5A938">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6C9D5B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415709D7">
            <w:pPr>
              <w:rPr>
                <w:rFonts w:ascii="Arial"/>
                <w:sz w:val="21"/>
              </w:rPr>
            </w:pPr>
          </w:p>
        </w:tc>
        <w:tc>
          <w:tcPr>
            <w:tcW w:w="8507" w:type="dxa"/>
            <w:vAlign w:val="top"/>
          </w:tcPr>
          <w:p w14:paraId="34319E3C">
            <w:pPr>
              <w:pStyle w:val="6"/>
              <w:spacing w:before="124" w:line="233" w:lineRule="auto"/>
              <w:ind w:left="108"/>
              <w:rPr>
                <w:sz w:val="24"/>
                <w:szCs w:val="24"/>
              </w:rPr>
            </w:pPr>
            <w:r>
              <w:rPr>
                <w:rFonts w:ascii="Times New Roman" w:hAnsi="Times New Roman" w:eastAsia="Times New Roman" w:cs="Times New Roman"/>
                <w:b/>
                <w:bCs/>
                <w:spacing w:val="-7"/>
                <w:sz w:val="24"/>
                <w:szCs w:val="24"/>
              </w:rPr>
              <w:t>2</w:t>
            </w:r>
            <w:r>
              <w:rPr>
                <w:rFonts w:ascii="Times New Roman" w:hAnsi="Times New Roman" w:eastAsia="Times New Roman" w:cs="Times New Roman"/>
                <w:b/>
                <w:bCs/>
                <w:spacing w:val="-33"/>
                <w:sz w:val="24"/>
                <w:szCs w:val="24"/>
              </w:rPr>
              <w:t xml:space="preserve"> </w:t>
            </w:r>
            <w:r>
              <w:rPr>
                <w:b/>
                <w:bCs/>
                <w:spacing w:val="-7"/>
                <w:sz w:val="24"/>
                <w:szCs w:val="24"/>
              </w:rPr>
              <w:t>、施工布置</w:t>
            </w:r>
          </w:p>
          <w:p w14:paraId="4A639205">
            <w:pPr>
              <w:pStyle w:val="6"/>
              <w:spacing w:before="170" w:line="233" w:lineRule="auto"/>
              <w:ind w:left="591"/>
              <w:rPr>
                <w:sz w:val="24"/>
                <w:szCs w:val="24"/>
              </w:rPr>
            </w:pPr>
            <w:r>
              <w:rPr>
                <w:b/>
                <w:bCs/>
                <w:spacing w:val="-7"/>
                <w:sz w:val="24"/>
                <w:szCs w:val="24"/>
              </w:rPr>
              <w:t>（</w:t>
            </w:r>
            <w:r>
              <w:rPr>
                <w:rFonts w:ascii="Times New Roman" w:hAnsi="Times New Roman" w:eastAsia="Times New Roman" w:cs="Times New Roman"/>
                <w:b/>
                <w:bCs/>
                <w:spacing w:val="-7"/>
                <w:sz w:val="24"/>
                <w:szCs w:val="24"/>
              </w:rPr>
              <w:t>1</w:t>
            </w:r>
            <w:r>
              <w:rPr>
                <w:b/>
                <w:bCs/>
                <w:spacing w:val="-7"/>
                <w:sz w:val="24"/>
                <w:szCs w:val="24"/>
              </w:rPr>
              <w:t>）临时施工场地</w:t>
            </w:r>
          </w:p>
          <w:p w14:paraId="202F8470">
            <w:pPr>
              <w:pStyle w:val="6"/>
              <w:spacing w:before="167" w:line="364" w:lineRule="auto"/>
              <w:ind w:left="112" w:right="107" w:firstLine="479"/>
              <w:rPr>
                <w:sz w:val="24"/>
                <w:szCs w:val="24"/>
              </w:rPr>
            </w:pPr>
            <w:r>
              <w:rPr>
                <w:spacing w:val="-4"/>
                <w:sz w:val="24"/>
                <w:szCs w:val="24"/>
              </w:rPr>
              <w:t>①线路工程：线路施工场地以单个塔基为单位零星布置，在塔基施工过程中每处塔基都有一处临时占地作为施工场地，用来临时堆置土方、砂石料、水、材</w:t>
            </w:r>
            <w:r>
              <w:rPr>
                <w:spacing w:val="-1"/>
                <w:sz w:val="24"/>
                <w:szCs w:val="24"/>
              </w:rPr>
              <w:t xml:space="preserve">料和工具等。根据设计估算，塔基施工场地占地面积约 </w:t>
            </w:r>
            <w:r>
              <w:rPr>
                <w:rFonts w:ascii="Times New Roman" w:hAnsi="Times New Roman" w:eastAsia="Times New Roman" w:cs="Times New Roman"/>
                <w:spacing w:val="-1"/>
                <w:sz w:val="24"/>
                <w:szCs w:val="24"/>
              </w:rPr>
              <w:t>7796m</w:t>
            </w:r>
            <w:r>
              <w:rPr>
                <w:rFonts w:ascii="Times New Roman" w:hAnsi="Times New Roman" w:eastAsia="Times New Roman" w:cs="Times New Roman"/>
                <w:spacing w:val="-1"/>
                <w:position w:val="9"/>
                <w:sz w:val="16"/>
                <w:szCs w:val="16"/>
              </w:rPr>
              <w:t>2</w:t>
            </w:r>
            <w:r>
              <w:rPr>
                <w:spacing w:val="-1"/>
                <w:sz w:val="24"/>
                <w:szCs w:val="24"/>
              </w:rPr>
              <w:t>，均布置在铁塔</w:t>
            </w:r>
            <w:r>
              <w:rPr>
                <w:spacing w:val="-2"/>
                <w:sz w:val="24"/>
                <w:szCs w:val="24"/>
              </w:rPr>
              <w:t>下方区域。施工完成后应清理场地，并进行原地貌和植被恢复。</w:t>
            </w:r>
          </w:p>
          <w:p w14:paraId="0FD69FE5">
            <w:pPr>
              <w:pStyle w:val="6"/>
              <w:spacing w:before="5" w:line="365" w:lineRule="auto"/>
              <w:ind w:left="111" w:right="22" w:firstLine="479"/>
              <w:rPr>
                <w:sz w:val="24"/>
                <w:szCs w:val="24"/>
              </w:rPr>
            </w:pPr>
            <w:r>
              <w:rPr>
                <w:spacing w:val="-4"/>
                <w:sz w:val="24"/>
                <w:szCs w:val="24"/>
              </w:rPr>
              <w:t>②间隔扩建工程：</w:t>
            </w:r>
            <w:r>
              <w:rPr>
                <w:rFonts w:ascii="Times New Roman" w:hAnsi="Times New Roman" w:eastAsia="Times New Roman" w:cs="Times New Roman"/>
                <w:spacing w:val="-4"/>
                <w:sz w:val="24"/>
                <w:szCs w:val="24"/>
              </w:rPr>
              <w:t>500kV</w:t>
            </w:r>
            <w:r>
              <w:rPr>
                <w:rFonts w:ascii="Times New Roman" w:hAnsi="Times New Roman" w:eastAsia="Times New Roman" w:cs="Times New Roman"/>
                <w:spacing w:val="26"/>
                <w:sz w:val="24"/>
                <w:szCs w:val="24"/>
              </w:rPr>
              <w:t xml:space="preserve"> </w:t>
            </w:r>
            <w:r>
              <w:rPr>
                <w:spacing w:val="-4"/>
                <w:sz w:val="24"/>
                <w:szCs w:val="24"/>
              </w:rPr>
              <w:t>乐业变间隔扩建与变电站建设同步进行，施工服从</w:t>
            </w:r>
            <w:r>
              <w:rPr>
                <w:spacing w:val="-3"/>
                <w:sz w:val="24"/>
                <w:szCs w:val="24"/>
              </w:rPr>
              <w:t>主体统筹安排，不单独设置施工场地；</w:t>
            </w:r>
            <w:r>
              <w:rPr>
                <w:rFonts w:ascii="Times New Roman" w:hAnsi="Times New Roman" w:eastAsia="Times New Roman" w:cs="Times New Roman"/>
                <w:spacing w:val="-3"/>
                <w:sz w:val="24"/>
                <w:szCs w:val="24"/>
              </w:rPr>
              <w:t xml:space="preserve">220kV </w:t>
            </w:r>
            <w:r>
              <w:rPr>
                <w:spacing w:val="-3"/>
                <w:sz w:val="24"/>
                <w:szCs w:val="24"/>
              </w:rPr>
              <w:t>迤车变间隔扩建沿用迤车变原施工</w:t>
            </w:r>
            <w:r>
              <w:rPr>
                <w:spacing w:val="-5"/>
                <w:sz w:val="24"/>
                <w:szCs w:val="24"/>
              </w:rPr>
              <w:t>场地，位于</w:t>
            </w:r>
            <w:r>
              <w:rPr>
                <w:spacing w:val="-50"/>
                <w:sz w:val="24"/>
                <w:szCs w:val="24"/>
              </w:rPr>
              <w:t xml:space="preserve"> </w:t>
            </w:r>
            <w:r>
              <w:rPr>
                <w:rFonts w:ascii="Times New Roman" w:hAnsi="Times New Roman" w:eastAsia="Times New Roman" w:cs="Times New Roman"/>
                <w:spacing w:val="-5"/>
                <w:sz w:val="24"/>
                <w:szCs w:val="24"/>
              </w:rPr>
              <w:t xml:space="preserve">220kV </w:t>
            </w:r>
            <w:r>
              <w:rPr>
                <w:spacing w:val="-5"/>
                <w:sz w:val="24"/>
                <w:szCs w:val="24"/>
              </w:rPr>
              <w:t>迤车变东南侧</w:t>
            </w:r>
            <w:r>
              <w:rPr>
                <w:spacing w:val="-55"/>
                <w:sz w:val="24"/>
                <w:szCs w:val="24"/>
              </w:rPr>
              <w:t xml:space="preserve"> </w:t>
            </w:r>
            <w:r>
              <w:rPr>
                <w:rFonts w:ascii="Times New Roman" w:hAnsi="Times New Roman" w:eastAsia="Times New Roman" w:cs="Times New Roman"/>
                <w:spacing w:val="-5"/>
                <w:sz w:val="24"/>
                <w:szCs w:val="24"/>
              </w:rPr>
              <w:t>260m</w:t>
            </w:r>
            <w:r>
              <w:rPr>
                <w:spacing w:val="-5"/>
                <w:sz w:val="24"/>
                <w:szCs w:val="24"/>
              </w:rPr>
              <w:t>，面积约</w:t>
            </w:r>
            <w:r>
              <w:rPr>
                <w:spacing w:val="-45"/>
                <w:sz w:val="24"/>
                <w:szCs w:val="24"/>
              </w:rPr>
              <w:t xml:space="preserve"> </w:t>
            </w:r>
            <w:r>
              <w:rPr>
                <w:rFonts w:ascii="Times New Roman" w:hAnsi="Times New Roman" w:eastAsia="Times New Roman" w:cs="Times New Roman"/>
                <w:spacing w:val="-5"/>
                <w:sz w:val="24"/>
                <w:szCs w:val="24"/>
              </w:rPr>
              <w:t>800m</w:t>
            </w:r>
            <w:r>
              <w:rPr>
                <w:rFonts w:ascii="Times New Roman" w:hAnsi="Times New Roman" w:eastAsia="Times New Roman" w:cs="Times New Roman"/>
                <w:spacing w:val="-5"/>
                <w:position w:val="9"/>
                <w:sz w:val="16"/>
                <w:szCs w:val="16"/>
              </w:rPr>
              <w:t>2</w:t>
            </w:r>
            <w:r>
              <w:rPr>
                <w:spacing w:val="-5"/>
                <w:sz w:val="24"/>
                <w:szCs w:val="24"/>
              </w:rPr>
              <w:t>，满足本期扩建间隔需求。</w:t>
            </w:r>
          </w:p>
          <w:p w14:paraId="711A6703">
            <w:pPr>
              <w:pStyle w:val="6"/>
              <w:spacing w:before="1" w:line="232"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）牵张场及跨越施工场地</w:t>
            </w:r>
          </w:p>
          <w:p w14:paraId="7D3A3A00">
            <w:pPr>
              <w:pStyle w:val="6"/>
              <w:spacing w:before="171" w:line="217" w:lineRule="auto"/>
              <w:ind w:left="591"/>
              <w:rPr>
                <w:sz w:val="24"/>
                <w:szCs w:val="24"/>
              </w:rPr>
            </w:pPr>
            <w:r>
              <w:rPr>
                <w:spacing w:val="-3"/>
                <w:sz w:val="24"/>
                <w:szCs w:val="24"/>
              </w:rPr>
              <w:t>①牵张场</w:t>
            </w:r>
          </w:p>
          <w:p w14:paraId="140307CE">
            <w:pPr>
              <w:pStyle w:val="6"/>
              <w:spacing w:before="189" w:line="363" w:lineRule="auto"/>
              <w:ind w:left="112" w:right="24" w:firstLine="482"/>
              <w:rPr>
                <w:sz w:val="24"/>
                <w:szCs w:val="24"/>
              </w:rPr>
            </w:pPr>
            <w:r>
              <w:rPr>
                <w:spacing w:val="-8"/>
                <w:sz w:val="24"/>
                <w:szCs w:val="24"/>
              </w:rPr>
              <w:t>为满足施工放线需要，输电线路沿线需设置牵张场地，牵张场</w:t>
            </w:r>
            <w:r>
              <w:rPr>
                <w:spacing w:val="-9"/>
                <w:sz w:val="24"/>
                <w:szCs w:val="24"/>
              </w:rPr>
              <w:t>应满足牵引机、</w:t>
            </w:r>
            <w:r>
              <w:rPr>
                <w:spacing w:val="-4"/>
                <w:sz w:val="24"/>
                <w:szCs w:val="24"/>
              </w:rPr>
              <w:t>张力机能直接运达到位，地形应平坦，能满足布置牵张设备、布置导线及施工操</w:t>
            </w:r>
            <w:r>
              <w:rPr>
                <w:spacing w:val="-1"/>
                <w:sz w:val="24"/>
                <w:szCs w:val="24"/>
              </w:rPr>
              <w:t>作等要求。线路沿线每隔</w:t>
            </w:r>
            <w:r>
              <w:rPr>
                <w:spacing w:val="-20"/>
                <w:sz w:val="24"/>
                <w:szCs w:val="24"/>
              </w:rPr>
              <w:t xml:space="preserve"> </w:t>
            </w:r>
            <w:r>
              <w:rPr>
                <w:rFonts w:ascii="Times New Roman" w:hAnsi="Times New Roman" w:eastAsia="Times New Roman" w:cs="Times New Roman"/>
                <w:spacing w:val="-1"/>
                <w:sz w:val="24"/>
                <w:szCs w:val="24"/>
              </w:rPr>
              <w:t>5~7km</w:t>
            </w:r>
            <w:r>
              <w:rPr>
                <w:rFonts w:ascii="Times New Roman" w:hAnsi="Times New Roman" w:eastAsia="Times New Roman" w:cs="Times New Roman"/>
                <w:spacing w:val="37"/>
                <w:sz w:val="24"/>
                <w:szCs w:val="24"/>
              </w:rPr>
              <w:t xml:space="preserve"> </w:t>
            </w:r>
            <w:r>
              <w:rPr>
                <w:spacing w:val="-1"/>
                <w:sz w:val="24"/>
                <w:szCs w:val="24"/>
              </w:rPr>
              <w:t>布置一处，由施工单位结合实际情况布置，尽</w:t>
            </w:r>
            <w:r>
              <w:rPr>
                <w:sz w:val="24"/>
                <w:szCs w:val="24"/>
              </w:rPr>
              <w:t>量避免占用林分较好的区域。根据路径走向及线路拐点，本项目沿线需设置</w:t>
            </w:r>
            <w:r>
              <w:rPr>
                <w:spacing w:val="-1"/>
                <w:sz w:val="24"/>
                <w:szCs w:val="24"/>
              </w:rPr>
              <w:t>约</w:t>
            </w:r>
            <w:r>
              <w:rPr>
                <w:rFonts w:ascii="Times New Roman" w:hAnsi="Times New Roman" w:eastAsia="Times New Roman" w:cs="Times New Roman"/>
                <w:spacing w:val="-1"/>
                <w:sz w:val="24"/>
                <w:szCs w:val="24"/>
              </w:rPr>
              <w:t>4</w:t>
            </w:r>
            <w:r>
              <w:rPr>
                <w:spacing w:val="-3"/>
                <w:sz w:val="24"/>
                <w:szCs w:val="24"/>
              </w:rPr>
              <w:t>处牵张场，</w:t>
            </w:r>
            <w:r>
              <w:rPr>
                <w:spacing w:val="-70"/>
                <w:sz w:val="24"/>
                <w:szCs w:val="24"/>
              </w:rPr>
              <w:t xml:space="preserve"> </w:t>
            </w:r>
            <w:r>
              <w:rPr>
                <w:spacing w:val="-3"/>
                <w:sz w:val="24"/>
                <w:szCs w:val="24"/>
              </w:rPr>
              <w:t>占地面积约</w:t>
            </w:r>
            <w:r>
              <w:rPr>
                <w:spacing w:val="-46"/>
                <w:sz w:val="24"/>
                <w:szCs w:val="24"/>
              </w:rPr>
              <w:t xml:space="preserve"> </w:t>
            </w:r>
            <w:r>
              <w:rPr>
                <w:rFonts w:ascii="Times New Roman" w:hAnsi="Times New Roman" w:eastAsia="Times New Roman" w:cs="Times New Roman"/>
                <w:spacing w:val="-3"/>
                <w:sz w:val="24"/>
                <w:szCs w:val="24"/>
              </w:rPr>
              <w:t>300m</w:t>
            </w:r>
            <w:r>
              <w:rPr>
                <w:rFonts w:ascii="Times New Roman" w:hAnsi="Times New Roman" w:eastAsia="Times New Roman" w:cs="Times New Roman"/>
                <w:spacing w:val="-3"/>
                <w:position w:val="8"/>
                <w:sz w:val="16"/>
                <w:szCs w:val="16"/>
              </w:rPr>
              <w:t>2</w:t>
            </w:r>
            <w:r>
              <w:rPr>
                <w:rFonts w:ascii="Times New Roman" w:hAnsi="Times New Roman" w:eastAsia="Times New Roman" w:cs="Times New Roman"/>
                <w:spacing w:val="-3"/>
                <w:sz w:val="24"/>
                <w:szCs w:val="24"/>
              </w:rPr>
              <w:t>/</w:t>
            </w:r>
            <w:r>
              <w:rPr>
                <w:spacing w:val="-3"/>
                <w:sz w:val="24"/>
                <w:szCs w:val="24"/>
              </w:rPr>
              <w:t>个，牵张场地占地面积约</w:t>
            </w:r>
            <w:r>
              <w:rPr>
                <w:spacing w:val="-26"/>
                <w:sz w:val="24"/>
                <w:szCs w:val="24"/>
              </w:rPr>
              <w:t xml:space="preserve"> </w:t>
            </w:r>
            <w:r>
              <w:rPr>
                <w:rFonts w:ascii="Times New Roman" w:hAnsi="Times New Roman" w:eastAsia="Times New Roman" w:cs="Times New Roman"/>
                <w:spacing w:val="-3"/>
                <w:sz w:val="24"/>
                <w:szCs w:val="24"/>
              </w:rPr>
              <w:t>1200m</w:t>
            </w:r>
            <w:r>
              <w:rPr>
                <w:rFonts w:ascii="Times New Roman" w:hAnsi="Times New Roman" w:eastAsia="Times New Roman" w:cs="Times New Roman"/>
                <w:spacing w:val="-4"/>
                <w:position w:val="8"/>
                <w:sz w:val="16"/>
                <w:szCs w:val="16"/>
              </w:rPr>
              <w:t>2</w:t>
            </w:r>
            <w:r>
              <w:rPr>
                <w:rFonts w:ascii="Times New Roman" w:hAnsi="Times New Roman" w:eastAsia="Times New Roman" w:cs="Times New Roman"/>
                <w:spacing w:val="-10"/>
                <w:position w:val="8"/>
                <w:sz w:val="16"/>
                <w:szCs w:val="16"/>
              </w:rPr>
              <w:t xml:space="preserve"> </w:t>
            </w:r>
            <w:r>
              <w:rPr>
                <w:spacing w:val="-4"/>
                <w:sz w:val="24"/>
                <w:szCs w:val="24"/>
              </w:rPr>
              <w:t>，禁止占用生态</w:t>
            </w:r>
            <w:r>
              <w:rPr>
                <w:spacing w:val="-2"/>
                <w:sz w:val="24"/>
                <w:szCs w:val="24"/>
              </w:rPr>
              <w:t>敏感区，施工完成后应清理场地，并进行原地貌和植被恢复。</w:t>
            </w:r>
          </w:p>
          <w:p w14:paraId="033A2881">
            <w:pPr>
              <w:pStyle w:val="6"/>
              <w:spacing w:before="17" w:line="217" w:lineRule="auto"/>
              <w:ind w:left="590"/>
              <w:rPr>
                <w:sz w:val="24"/>
                <w:szCs w:val="24"/>
              </w:rPr>
            </w:pPr>
            <w:r>
              <w:rPr>
                <w:spacing w:val="-2"/>
                <w:sz w:val="24"/>
                <w:szCs w:val="24"/>
              </w:rPr>
              <w:t>②跨越施工场地</w:t>
            </w:r>
          </w:p>
          <w:p w14:paraId="5DE0815D">
            <w:pPr>
              <w:pStyle w:val="6"/>
              <w:spacing w:before="193" w:line="361" w:lineRule="auto"/>
              <w:ind w:left="112" w:right="109" w:firstLine="508"/>
              <w:rPr>
                <w:sz w:val="24"/>
                <w:szCs w:val="24"/>
              </w:rPr>
            </w:pPr>
            <w:r>
              <w:rPr>
                <w:spacing w:val="-6"/>
                <w:sz w:val="24"/>
                <w:szCs w:val="24"/>
              </w:rPr>
              <w:t>电力线路在有条件的交叉点采用系统停电、索桥封网等方式跨</w:t>
            </w:r>
            <w:r>
              <w:rPr>
                <w:spacing w:val="-7"/>
                <w:sz w:val="24"/>
                <w:szCs w:val="24"/>
              </w:rPr>
              <w:t>越，</w:t>
            </w:r>
            <w:r>
              <w:rPr>
                <w:spacing w:val="-65"/>
                <w:sz w:val="24"/>
                <w:szCs w:val="24"/>
              </w:rPr>
              <w:t xml:space="preserve"> </w:t>
            </w:r>
            <w:r>
              <w:rPr>
                <w:spacing w:val="-7"/>
                <w:sz w:val="24"/>
                <w:szCs w:val="24"/>
              </w:rPr>
              <w:t>其余采用</w:t>
            </w:r>
            <w:r>
              <w:rPr>
                <w:spacing w:val="-1"/>
                <w:sz w:val="24"/>
                <w:szCs w:val="24"/>
              </w:rPr>
              <w:t>搭设跨越架的方式。本工程共需布设跨越场地</w:t>
            </w:r>
            <w:r>
              <w:rPr>
                <w:spacing w:val="-46"/>
                <w:sz w:val="24"/>
                <w:szCs w:val="24"/>
              </w:rPr>
              <w:t xml:space="preserve"> </w:t>
            </w:r>
            <w:r>
              <w:rPr>
                <w:rFonts w:ascii="Times New Roman" w:hAnsi="Times New Roman" w:eastAsia="Times New Roman" w:cs="Times New Roman"/>
                <w:spacing w:val="-1"/>
                <w:sz w:val="24"/>
                <w:szCs w:val="24"/>
              </w:rPr>
              <w:t>22</w:t>
            </w:r>
            <w:r>
              <w:rPr>
                <w:rFonts w:ascii="Times New Roman" w:hAnsi="Times New Roman" w:eastAsia="Times New Roman" w:cs="Times New Roman"/>
                <w:spacing w:val="19"/>
                <w:w w:val="101"/>
                <w:sz w:val="24"/>
                <w:szCs w:val="24"/>
              </w:rPr>
              <w:t xml:space="preserve"> </w:t>
            </w:r>
            <w:r>
              <w:rPr>
                <w:spacing w:val="-1"/>
                <w:sz w:val="24"/>
                <w:szCs w:val="24"/>
              </w:rPr>
              <w:t>处，为减少占地，跨越架考虑</w:t>
            </w:r>
            <w:r>
              <w:rPr>
                <w:spacing w:val="-2"/>
                <w:sz w:val="24"/>
                <w:szCs w:val="24"/>
              </w:rPr>
              <w:t xml:space="preserve">单侧布置，尽量避免占用林分较好的区域，单个跨越架临时占地面积约 </w:t>
            </w:r>
            <w:r>
              <w:rPr>
                <w:rFonts w:ascii="Times New Roman" w:hAnsi="Times New Roman" w:eastAsia="Times New Roman" w:cs="Times New Roman"/>
                <w:spacing w:val="-2"/>
                <w:sz w:val="24"/>
                <w:szCs w:val="24"/>
              </w:rPr>
              <w:t>50m</w:t>
            </w:r>
            <w:r>
              <w:rPr>
                <w:rFonts w:ascii="Times New Roman" w:hAnsi="Times New Roman" w:eastAsia="Times New Roman" w:cs="Times New Roman"/>
                <w:spacing w:val="-2"/>
                <w:position w:val="9"/>
                <w:sz w:val="16"/>
                <w:szCs w:val="16"/>
              </w:rPr>
              <w:t>2</w:t>
            </w:r>
            <w:r>
              <w:rPr>
                <w:rFonts w:ascii="Times New Roman" w:hAnsi="Times New Roman" w:eastAsia="Times New Roman" w:cs="Times New Roman"/>
                <w:spacing w:val="6"/>
                <w:position w:val="9"/>
                <w:sz w:val="16"/>
                <w:szCs w:val="16"/>
              </w:rPr>
              <w:t xml:space="preserve"> </w:t>
            </w:r>
            <w:r>
              <w:rPr>
                <w:spacing w:val="-2"/>
                <w:sz w:val="24"/>
                <w:szCs w:val="24"/>
              </w:rPr>
              <w:t xml:space="preserve">，跨越施工场地面积约 </w:t>
            </w:r>
            <w:r>
              <w:rPr>
                <w:rFonts w:ascii="Times New Roman" w:hAnsi="Times New Roman" w:eastAsia="Times New Roman" w:cs="Times New Roman"/>
                <w:spacing w:val="-2"/>
                <w:sz w:val="24"/>
                <w:szCs w:val="24"/>
              </w:rPr>
              <w:t>1100m</w:t>
            </w:r>
            <w:r>
              <w:rPr>
                <w:rFonts w:ascii="Times New Roman" w:hAnsi="Times New Roman" w:eastAsia="Times New Roman" w:cs="Times New Roman"/>
                <w:spacing w:val="-2"/>
                <w:position w:val="9"/>
                <w:sz w:val="16"/>
                <w:szCs w:val="16"/>
              </w:rPr>
              <w:t xml:space="preserve">2 </w:t>
            </w:r>
            <w:r>
              <w:rPr>
                <w:spacing w:val="-2"/>
                <w:sz w:val="24"/>
                <w:szCs w:val="24"/>
              </w:rPr>
              <w:t>。禁止占用生态敏感区，施工完成后应清理场地，</w:t>
            </w:r>
            <w:r>
              <w:rPr>
                <w:spacing w:val="-4"/>
                <w:sz w:val="24"/>
                <w:szCs w:val="24"/>
              </w:rPr>
              <w:t>并进行原地貌和植被恢复。</w:t>
            </w:r>
          </w:p>
          <w:p w14:paraId="3B8091B6">
            <w:pPr>
              <w:pStyle w:val="6"/>
              <w:spacing w:before="22"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3</w:t>
            </w:r>
            <w:r>
              <w:rPr>
                <w:b/>
                <w:bCs/>
                <w:spacing w:val="-4"/>
                <w:sz w:val="24"/>
                <w:szCs w:val="24"/>
              </w:rPr>
              <w:t>）材料堆放场</w:t>
            </w:r>
          </w:p>
          <w:p w14:paraId="5497F019">
            <w:pPr>
              <w:pStyle w:val="6"/>
              <w:spacing w:before="172" w:line="341" w:lineRule="auto"/>
              <w:ind w:left="112" w:right="108" w:firstLine="479"/>
              <w:rPr>
                <w:sz w:val="24"/>
                <w:szCs w:val="24"/>
              </w:rPr>
            </w:pPr>
            <w:r>
              <w:rPr>
                <w:spacing w:val="-4"/>
                <w:sz w:val="24"/>
                <w:szCs w:val="24"/>
              </w:rPr>
              <w:t>①线路工程：根据沿线的交通情况，本工程沿线拟租用已有库房或场地作为材料站，具体地点将由施工单位选定，便于塔材、钢材、线材、水泥、金具和绝</w:t>
            </w:r>
            <w:r>
              <w:rPr>
                <w:spacing w:val="-5"/>
                <w:sz w:val="24"/>
                <w:szCs w:val="24"/>
              </w:rPr>
              <w:t>缘子的集散。如线路沿线无可供租用的场地，</w:t>
            </w:r>
            <w:r>
              <w:rPr>
                <w:spacing w:val="-64"/>
                <w:sz w:val="24"/>
                <w:szCs w:val="24"/>
              </w:rPr>
              <w:t xml:space="preserve"> </w:t>
            </w:r>
            <w:r>
              <w:rPr>
                <w:spacing w:val="-5"/>
                <w:sz w:val="24"/>
                <w:szCs w:val="24"/>
              </w:rPr>
              <w:t>可将材料堆放于塔基施工场地</w:t>
            </w:r>
            <w:r>
              <w:rPr>
                <w:spacing w:val="-6"/>
                <w:sz w:val="24"/>
                <w:szCs w:val="24"/>
              </w:rPr>
              <w:t>和牵</w:t>
            </w:r>
            <w:r>
              <w:rPr>
                <w:spacing w:val="-2"/>
                <w:sz w:val="24"/>
                <w:szCs w:val="24"/>
              </w:rPr>
              <w:t>张场的材料堆放区。</w:t>
            </w:r>
          </w:p>
        </w:tc>
      </w:tr>
    </w:tbl>
    <w:p w14:paraId="39B62841">
      <w:pPr>
        <w:rPr>
          <w:rFonts w:ascii="Arial"/>
          <w:sz w:val="21"/>
        </w:rPr>
      </w:pPr>
    </w:p>
    <w:p w14:paraId="2F0DC8B6">
      <w:pPr>
        <w:rPr>
          <w:rFonts w:ascii="Arial" w:hAnsi="Arial" w:eastAsia="Arial" w:cs="Arial"/>
          <w:sz w:val="21"/>
          <w:szCs w:val="21"/>
        </w:rPr>
        <w:sectPr>
          <w:footerReference r:id="rId38" w:type="default"/>
          <w:pgSz w:w="11907" w:h="16841"/>
          <w:pgMar w:top="400" w:right="1408" w:bottom="1126" w:left="1414" w:header="0" w:footer="925" w:gutter="0"/>
          <w:cols w:space="720" w:num="1"/>
        </w:sectPr>
      </w:pPr>
    </w:p>
    <w:p w14:paraId="2BC80733">
      <w:pPr>
        <w:spacing w:before="2"/>
      </w:pPr>
    </w:p>
    <w:p w14:paraId="6CF0FA60">
      <w:pPr>
        <w:spacing w:before="2"/>
      </w:pPr>
    </w:p>
    <w:p w14:paraId="610DC17A">
      <w:pPr>
        <w:spacing w:before="1"/>
      </w:pPr>
    </w:p>
    <w:p w14:paraId="353A8C9C">
      <w:pPr>
        <w:spacing w:before="1"/>
      </w:pPr>
    </w:p>
    <w:p w14:paraId="1E46ACFF">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2AB340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83" w:hRule="atLeast"/>
        </w:trPr>
        <w:tc>
          <w:tcPr>
            <w:tcW w:w="571" w:type="dxa"/>
            <w:vAlign w:val="top"/>
          </w:tcPr>
          <w:p w14:paraId="11E08E21">
            <w:pPr>
              <w:rPr>
                <w:rFonts w:ascii="Arial"/>
                <w:sz w:val="21"/>
              </w:rPr>
            </w:pPr>
          </w:p>
        </w:tc>
        <w:tc>
          <w:tcPr>
            <w:tcW w:w="8507" w:type="dxa"/>
            <w:vAlign w:val="top"/>
          </w:tcPr>
          <w:p w14:paraId="0DF35F83">
            <w:pPr>
              <w:pStyle w:val="6"/>
              <w:spacing w:before="125" w:line="217" w:lineRule="auto"/>
              <w:ind w:left="590"/>
              <w:rPr>
                <w:sz w:val="24"/>
                <w:szCs w:val="24"/>
              </w:rPr>
            </w:pPr>
            <w:r>
              <w:rPr>
                <w:sz w:val="24"/>
                <w:szCs w:val="24"/>
              </w:rPr>
              <w:t>②间隔扩建工程：结合临时施工场地进行布置，</w:t>
            </w:r>
            <w:r>
              <w:rPr>
                <w:spacing w:val="-1"/>
                <w:sz w:val="24"/>
                <w:szCs w:val="24"/>
              </w:rPr>
              <w:t>不单独设置堆料场。</w:t>
            </w:r>
          </w:p>
          <w:p w14:paraId="5368D7DB">
            <w:pPr>
              <w:pStyle w:val="6"/>
              <w:spacing w:before="190"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4</w:t>
            </w:r>
            <w:r>
              <w:rPr>
                <w:b/>
                <w:bCs/>
                <w:spacing w:val="-4"/>
                <w:sz w:val="24"/>
                <w:szCs w:val="24"/>
              </w:rPr>
              <w:t>）弃渣弃土场</w:t>
            </w:r>
          </w:p>
          <w:p w14:paraId="1B7D27DB">
            <w:pPr>
              <w:pStyle w:val="6"/>
              <w:spacing w:before="168" w:line="359" w:lineRule="auto"/>
              <w:ind w:left="112" w:right="120" w:firstLine="480"/>
              <w:jc w:val="both"/>
              <w:rPr>
                <w:sz w:val="24"/>
                <w:szCs w:val="24"/>
              </w:rPr>
            </w:pPr>
            <w:r>
              <w:rPr>
                <w:spacing w:val="-3"/>
                <w:sz w:val="24"/>
                <w:szCs w:val="24"/>
              </w:rPr>
              <w:t>根据项目水土保持方案，间隔扩建区基础开挖产生土石方</w:t>
            </w:r>
            <w:r>
              <w:rPr>
                <w:spacing w:val="-39"/>
                <w:sz w:val="24"/>
                <w:szCs w:val="24"/>
              </w:rPr>
              <w:t xml:space="preserve"> </w:t>
            </w:r>
            <w:r>
              <w:rPr>
                <w:rFonts w:ascii="Times New Roman" w:hAnsi="Times New Roman" w:eastAsia="Times New Roman" w:cs="Times New Roman"/>
                <w:spacing w:val="-3"/>
                <w:sz w:val="24"/>
                <w:szCs w:val="24"/>
              </w:rPr>
              <w:t>0.01</w:t>
            </w:r>
            <w:r>
              <w:rPr>
                <w:rFonts w:ascii="Times New Roman" w:hAnsi="Times New Roman" w:eastAsia="Times New Roman" w:cs="Times New Roman"/>
                <w:spacing w:val="15"/>
                <w:w w:val="101"/>
                <w:sz w:val="24"/>
                <w:szCs w:val="24"/>
              </w:rPr>
              <w:t xml:space="preserve"> </w:t>
            </w:r>
            <w:r>
              <w:rPr>
                <w:spacing w:val="-3"/>
                <w:sz w:val="24"/>
                <w:szCs w:val="24"/>
              </w:rPr>
              <w:t>万</w:t>
            </w:r>
            <w:r>
              <w:rPr>
                <w:spacing w:val="-59"/>
                <w:sz w:val="24"/>
                <w:szCs w:val="24"/>
              </w:rPr>
              <w:t xml:space="preserve"> </w:t>
            </w:r>
            <w:r>
              <w:rPr>
                <w:rFonts w:ascii="Times New Roman" w:hAnsi="Times New Roman" w:eastAsia="Times New Roman" w:cs="Times New Roman"/>
                <w:spacing w:val="-3"/>
                <w:sz w:val="24"/>
                <w:szCs w:val="24"/>
              </w:rPr>
              <w:t>m</w:t>
            </w:r>
            <w:r>
              <w:rPr>
                <w:rFonts w:ascii="Times New Roman" w:hAnsi="Times New Roman" w:eastAsia="Times New Roman" w:cs="Times New Roman"/>
                <w:spacing w:val="-3"/>
                <w:position w:val="9"/>
                <w:sz w:val="16"/>
                <w:szCs w:val="16"/>
              </w:rPr>
              <w:t>3</w:t>
            </w:r>
            <w:r>
              <w:rPr>
                <w:rFonts w:ascii="Times New Roman" w:hAnsi="Times New Roman" w:eastAsia="Times New Roman" w:cs="Times New Roman"/>
                <w:spacing w:val="-12"/>
                <w:position w:val="9"/>
                <w:sz w:val="16"/>
                <w:szCs w:val="16"/>
              </w:rPr>
              <w:t xml:space="preserve"> </w:t>
            </w:r>
            <w:r>
              <w:rPr>
                <w:spacing w:val="-3"/>
                <w:sz w:val="24"/>
                <w:szCs w:val="24"/>
              </w:rPr>
              <w:t>，开挖</w:t>
            </w:r>
            <w:r>
              <w:rPr>
                <w:spacing w:val="-2"/>
                <w:sz w:val="24"/>
                <w:szCs w:val="24"/>
              </w:rPr>
              <w:t>土石方用于操作小道及操作地坪垫高回填，共计回填一般土石方</w:t>
            </w:r>
            <w:r>
              <w:rPr>
                <w:spacing w:val="-42"/>
                <w:sz w:val="24"/>
                <w:szCs w:val="24"/>
              </w:rPr>
              <w:t xml:space="preserve"> </w:t>
            </w:r>
            <w:r>
              <w:rPr>
                <w:rFonts w:ascii="Times New Roman" w:hAnsi="Times New Roman" w:eastAsia="Times New Roman" w:cs="Times New Roman"/>
                <w:spacing w:val="-2"/>
                <w:sz w:val="24"/>
                <w:szCs w:val="24"/>
              </w:rPr>
              <w:t>0.01</w:t>
            </w:r>
            <w:r>
              <w:rPr>
                <w:rFonts w:ascii="Times New Roman" w:hAnsi="Times New Roman" w:eastAsia="Times New Roman" w:cs="Times New Roman"/>
                <w:spacing w:val="15"/>
                <w:sz w:val="24"/>
                <w:szCs w:val="24"/>
              </w:rPr>
              <w:t xml:space="preserve"> </w:t>
            </w:r>
            <w:r>
              <w:rPr>
                <w:spacing w:val="-2"/>
                <w:sz w:val="24"/>
                <w:szCs w:val="24"/>
              </w:rPr>
              <w:t>万</w:t>
            </w:r>
            <w:r>
              <w:rPr>
                <w:spacing w:val="-58"/>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9"/>
                <w:sz w:val="16"/>
                <w:szCs w:val="16"/>
              </w:rPr>
              <w:t>3</w:t>
            </w:r>
            <w:r>
              <w:rPr>
                <w:spacing w:val="-2"/>
                <w:sz w:val="24"/>
                <w:szCs w:val="24"/>
              </w:rPr>
              <w:t>，不产生弃方。</w:t>
            </w:r>
          </w:p>
          <w:p w14:paraId="59F154D8">
            <w:pPr>
              <w:pStyle w:val="6"/>
              <w:spacing w:before="25" w:line="362" w:lineRule="auto"/>
              <w:ind w:left="111" w:right="44" w:firstLine="483"/>
              <w:jc w:val="both"/>
              <w:rPr>
                <w:sz w:val="24"/>
                <w:szCs w:val="24"/>
              </w:rPr>
            </w:pPr>
            <w:r>
              <w:rPr>
                <w:spacing w:val="-2"/>
                <w:sz w:val="24"/>
                <w:szCs w:val="24"/>
              </w:rPr>
              <w:t xml:space="preserve">线路塔基区开挖土石方共计 </w:t>
            </w:r>
            <w:r>
              <w:rPr>
                <w:rFonts w:ascii="Times New Roman" w:hAnsi="Times New Roman" w:eastAsia="Times New Roman" w:cs="Times New Roman"/>
                <w:spacing w:val="-2"/>
                <w:sz w:val="24"/>
                <w:szCs w:val="24"/>
              </w:rPr>
              <w:t>0.7</w:t>
            </w:r>
            <w:r>
              <w:rPr>
                <w:rFonts w:ascii="Times New Roman" w:hAnsi="Times New Roman" w:eastAsia="Times New Roman" w:cs="Times New Roman"/>
                <w:spacing w:val="62"/>
                <w:w w:val="101"/>
                <w:sz w:val="24"/>
                <w:szCs w:val="24"/>
              </w:rPr>
              <w:t xml:space="preserve"> </w:t>
            </w:r>
            <w:r>
              <w:rPr>
                <w:spacing w:val="-2"/>
                <w:sz w:val="24"/>
                <w:szCs w:val="24"/>
              </w:rPr>
              <w:t>万</w:t>
            </w:r>
            <w:r>
              <w:rPr>
                <w:spacing w:val="-25"/>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9"/>
                <w:sz w:val="16"/>
                <w:szCs w:val="16"/>
              </w:rPr>
              <w:t>3</w:t>
            </w:r>
            <w:r>
              <w:rPr>
                <w:spacing w:val="-2"/>
                <w:sz w:val="24"/>
                <w:szCs w:val="24"/>
              </w:rPr>
              <w:t>，开挖土石方均就地回填，塔基区回</w:t>
            </w:r>
            <w:r>
              <w:rPr>
                <w:spacing w:val="-4"/>
                <w:sz w:val="24"/>
                <w:szCs w:val="24"/>
              </w:rPr>
              <w:t>填土石方约</w:t>
            </w:r>
            <w:r>
              <w:rPr>
                <w:spacing w:val="-41"/>
                <w:sz w:val="24"/>
                <w:szCs w:val="24"/>
              </w:rPr>
              <w:t xml:space="preserve"> </w:t>
            </w:r>
            <w:r>
              <w:rPr>
                <w:rFonts w:ascii="Times New Roman" w:hAnsi="Times New Roman" w:eastAsia="Times New Roman" w:cs="Times New Roman"/>
                <w:spacing w:val="-4"/>
                <w:sz w:val="24"/>
                <w:szCs w:val="24"/>
              </w:rPr>
              <w:t>0.7</w:t>
            </w:r>
            <w:r>
              <w:rPr>
                <w:rFonts w:ascii="Times New Roman" w:hAnsi="Times New Roman" w:eastAsia="Times New Roman" w:cs="Times New Roman"/>
                <w:spacing w:val="15"/>
                <w:sz w:val="24"/>
                <w:szCs w:val="24"/>
              </w:rPr>
              <w:t xml:space="preserve"> </w:t>
            </w:r>
            <w:r>
              <w:rPr>
                <w:spacing w:val="-4"/>
                <w:sz w:val="24"/>
                <w:szCs w:val="24"/>
              </w:rPr>
              <w:t>万</w:t>
            </w:r>
            <w:r>
              <w:rPr>
                <w:spacing w:val="-58"/>
                <w:sz w:val="24"/>
                <w:szCs w:val="24"/>
              </w:rPr>
              <w:t xml:space="preserve"> </w:t>
            </w:r>
            <w:r>
              <w:rPr>
                <w:rFonts w:ascii="Times New Roman" w:hAnsi="Times New Roman" w:eastAsia="Times New Roman" w:cs="Times New Roman"/>
                <w:spacing w:val="-4"/>
                <w:sz w:val="24"/>
                <w:szCs w:val="24"/>
              </w:rPr>
              <w:t>m</w:t>
            </w:r>
            <w:r>
              <w:rPr>
                <w:rFonts w:ascii="Times New Roman" w:hAnsi="Times New Roman" w:eastAsia="Times New Roman" w:cs="Times New Roman"/>
                <w:spacing w:val="-4"/>
                <w:position w:val="9"/>
                <w:sz w:val="16"/>
                <w:szCs w:val="16"/>
              </w:rPr>
              <w:t>3</w:t>
            </w:r>
            <w:r>
              <w:rPr>
                <w:rFonts w:ascii="Times New Roman" w:hAnsi="Times New Roman" w:eastAsia="Times New Roman" w:cs="Times New Roman"/>
                <w:spacing w:val="-10"/>
                <w:position w:val="9"/>
                <w:sz w:val="16"/>
                <w:szCs w:val="16"/>
              </w:rPr>
              <w:t xml:space="preserve"> </w:t>
            </w:r>
            <w:r>
              <w:rPr>
                <w:spacing w:val="-4"/>
                <w:sz w:val="24"/>
                <w:szCs w:val="24"/>
              </w:rPr>
              <w:t>，无弃渣。根据本项目的实际情况，由于项目呈线性分布，</w:t>
            </w:r>
            <w:r>
              <w:rPr>
                <w:spacing w:val="-3"/>
                <w:sz w:val="24"/>
                <w:szCs w:val="24"/>
              </w:rPr>
              <w:t>施工区较分散，因此，本项目临时堆土点设</w:t>
            </w:r>
            <w:r>
              <w:rPr>
                <w:spacing w:val="-4"/>
                <w:sz w:val="24"/>
                <w:szCs w:val="24"/>
              </w:rPr>
              <w:t>置在塔基施工区内，不单独设弃渣弃</w:t>
            </w:r>
            <w:r>
              <w:rPr>
                <w:spacing w:val="-10"/>
                <w:sz w:val="24"/>
                <w:szCs w:val="24"/>
              </w:rPr>
              <w:t>土场。</w:t>
            </w:r>
          </w:p>
          <w:p w14:paraId="00D0AA25">
            <w:pPr>
              <w:pStyle w:val="6"/>
              <w:spacing w:before="13" w:line="234"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5</w:t>
            </w:r>
            <w:r>
              <w:rPr>
                <w:b/>
                <w:bCs/>
                <w:spacing w:val="-4"/>
                <w:sz w:val="24"/>
                <w:szCs w:val="24"/>
              </w:rPr>
              <w:t>）施工生活区</w:t>
            </w:r>
          </w:p>
          <w:p w14:paraId="38F283CC">
            <w:pPr>
              <w:pStyle w:val="6"/>
              <w:spacing w:before="167" w:line="365" w:lineRule="auto"/>
              <w:ind w:left="130" w:right="107" w:firstLine="465"/>
              <w:rPr>
                <w:sz w:val="24"/>
                <w:szCs w:val="24"/>
              </w:rPr>
            </w:pPr>
            <w:r>
              <w:rPr>
                <w:spacing w:val="-4"/>
                <w:sz w:val="24"/>
                <w:szCs w:val="24"/>
              </w:rPr>
              <w:t>线路工程施工点分散，间隔扩建工程量小，施工周期短，均不设置施工生活</w:t>
            </w:r>
            <w:r>
              <w:rPr>
                <w:spacing w:val="-5"/>
                <w:sz w:val="24"/>
                <w:szCs w:val="24"/>
              </w:rPr>
              <w:t>区，施工人员就近租用民房。</w:t>
            </w:r>
          </w:p>
          <w:p w14:paraId="3E9E74E9">
            <w:pPr>
              <w:pStyle w:val="6"/>
              <w:spacing w:before="1" w:line="233" w:lineRule="auto"/>
              <w:ind w:left="601"/>
              <w:rPr>
                <w:sz w:val="24"/>
                <w:szCs w:val="24"/>
              </w:rPr>
            </w:pPr>
            <w:r>
              <w:rPr>
                <w:b/>
                <w:bCs/>
                <w:spacing w:val="-6"/>
                <w:sz w:val="24"/>
                <w:szCs w:val="24"/>
              </w:rPr>
              <w:t>（</w:t>
            </w:r>
            <w:r>
              <w:rPr>
                <w:rFonts w:ascii="Times New Roman" w:hAnsi="Times New Roman" w:eastAsia="Times New Roman" w:cs="Times New Roman"/>
                <w:b/>
                <w:bCs/>
                <w:spacing w:val="-6"/>
                <w:sz w:val="24"/>
                <w:szCs w:val="24"/>
              </w:rPr>
              <w:t>6</w:t>
            </w:r>
            <w:r>
              <w:rPr>
                <w:b/>
                <w:bCs/>
                <w:spacing w:val="-6"/>
                <w:sz w:val="24"/>
                <w:szCs w:val="24"/>
              </w:rPr>
              <w:t>）施工便道</w:t>
            </w:r>
          </w:p>
          <w:p w14:paraId="24D58EB7">
            <w:pPr>
              <w:pStyle w:val="6"/>
              <w:spacing w:before="174" w:line="363" w:lineRule="auto"/>
              <w:ind w:left="111" w:right="43" w:firstLine="480"/>
              <w:rPr>
                <w:sz w:val="24"/>
                <w:szCs w:val="24"/>
              </w:rPr>
            </w:pPr>
            <w:r>
              <w:rPr>
                <w:spacing w:val="-4"/>
                <w:sz w:val="24"/>
                <w:szCs w:val="24"/>
              </w:rPr>
              <w:t>①线路工程：临时施工道路一般是在现有道路基础上进行加固或修缮，以便</w:t>
            </w:r>
            <w:r>
              <w:rPr>
                <w:spacing w:val="-6"/>
                <w:sz w:val="24"/>
                <w:szCs w:val="24"/>
              </w:rPr>
              <w:t>机动车运输施工材料和设备。若无道路利用，</w:t>
            </w:r>
            <w:r>
              <w:rPr>
                <w:spacing w:val="-26"/>
                <w:sz w:val="24"/>
                <w:szCs w:val="24"/>
              </w:rPr>
              <w:t xml:space="preserve"> </w:t>
            </w:r>
            <w:r>
              <w:rPr>
                <w:spacing w:val="-6"/>
                <w:sz w:val="24"/>
                <w:szCs w:val="24"/>
              </w:rPr>
              <w:t>则需新开辟部分施</w:t>
            </w:r>
            <w:r>
              <w:rPr>
                <w:spacing w:val="-7"/>
                <w:sz w:val="24"/>
                <w:szCs w:val="24"/>
              </w:rPr>
              <w:t>工临时道路。施</w:t>
            </w:r>
            <w:r>
              <w:rPr>
                <w:spacing w:val="-3"/>
                <w:sz w:val="24"/>
                <w:szCs w:val="24"/>
              </w:rPr>
              <w:t>工临时道路修建以路径最短、林木砍伐最少</w:t>
            </w:r>
            <w:r>
              <w:rPr>
                <w:spacing w:val="-4"/>
                <w:sz w:val="24"/>
                <w:szCs w:val="24"/>
              </w:rPr>
              <w:t>为原则，待施工结束后，对破坏的植</w:t>
            </w:r>
            <w:r>
              <w:rPr>
                <w:spacing w:val="-7"/>
                <w:sz w:val="24"/>
                <w:szCs w:val="24"/>
              </w:rPr>
              <w:t>被采取恢复措施。平均按每座塔基新修</w:t>
            </w:r>
            <w:r>
              <w:rPr>
                <w:spacing w:val="-50"/>
                <w:sz w:val="24"/>
                <w:szCs w:val="24"/>
              </w:rPr>
              <w:t xml:space="preserve"> </w:t>
            </w:r>
            <w:r>
              <w:rPr>
                <w:rFonts w:ascii="Times New Roman" w:hAnsi="Times New Roman" w:eastAsia="Times New Roman" w:cs="Times New Roman"/>
                <w:spacing w:val="-7"/>
                <w:sz w:val="24"/>
                <w:szCs w:val="24"/>
              </w:rPr>
              <w:t>50m</w:t>
            </w:r>
            <w:r>
              <w:rPr>
                <w:rFonts w:ascii="Times New Roman" w:hAnsi="Times New Roman" w:eastAsia="Times New Roman" w:cs="Times New Roman"/>
                <w:spacing w:val="20"/>
                <w:w w:val="101"/>
                <w:sz w:val="24"/>
                <w:szCs w:val="24"/>
              </w:rPr>
              <w:t xml:space="preserve"> </w:t>
            </w:r>
            <w:r>
              <w:rPr>
                <w:spacing w:val="-7"/>
                <w:sz w:val="24"/>
                <w:szCs w:val="24"/>
              </w:rPr>
              <w:t>临时道路计算，新修施工便道</w:t>
            </w:r>
            <w:r>
              <w:rPr>
                <w:rFonts w:ascii="Times New Roman" w:hAnsi="Times New Roman" w:eastAsia="Times New Roman" w:cs="Times New Roman"/>
                <w:spacing w:val="-7"/>
                <w:sz w:val="24"/>
                <w:szCs w:val="24"/>
              </w:rPr>
              <w:t>2</w:t>
            </w:r>
            <w:r>
              <w:rPr>
                <w:rFonts w:ascii="Times New Roman" w:hAnsi="Times New Roman" w:eastAsia="Times New Roman" w:cs="Times New Roman"/>
                <w:spacing w:val="-8"/>
                <w:sz w:val="24"/>
                <w:szCs w:val="24"/>
              </w:rPr>
              <w:t>.7km</w:t>
            </w:r>
            <w:r>
              <w:rPr>
                <w:spacing w:val="-8"/>
                <w:sz w:val="24"/>
                <w:szCs w:val="24"/>
              </w:rPr>
              <w:t>，</w:t>
            </w:r>
            <w:r>
              <w:rPr>
                <w:spacing w:val="-3"/>
                <w:sz w:val="24"/>
                <w:szCs w:val="24"/>
              </w:rPr>
              <w:t>道路宽</w:t>
            </w:r>
            <w:r>
              <w:rPr>
                <w:spacing w:val="-50"/>
                <w:sz w:val="24"/>
                <w:szCs w:val="24"/>
              </w:rPr>
              <w:t xml:space="preserve"> </w:t>
            </w:r>
            <w:r>
              <w:rPr>
                <w:rFonts w:ascii="Times New Roman" w:hAnsi="Times New Roman" w:eastAsia="Times New Roman" w:cs="Times New Roman"/>
                <w:spacing w:val="-3"/>
                <w:sz w:val="24"/>
                <w:szCs w:val="24"/>
              </w:rPr>
              <w:t>3m</w:t>
            </w:r>
            <w:r>
              <w:rPr>
                <w:spacing w:val="-3"/>
                <w:sz w:val="24"/>
                <w:szCs w:val="24"/>
              </w:rPr>
              <w:t>，为土质路面，占地面积为</w:t>
            </w:r>
            <w:r>
              <w:rPr>
                <w:spacing w:val="-45"/>
                <w:sz w:val="24"/>
                <w:szCs w:val="24"/>
              </w:rPr>
              <w:t xml:space="preserve"> </w:t>
            </w:r>
            <w:r>
              <w:rPr>
                <w:rFonts w:ascii="Times New Roman" w:hAnsi="Times New Roman" w:eastAsia="Times New Roman" w:cs="Times New Roman"/>
                <w:spacing w:val="-3"/>
                <w:sz w:val="24"/>
                <w:szCs w:val="24"/>
              </w:rPr>
              <w:t>8100m</w:t>
            </w:r>
            <w:r>
              <w:rPr>
                <w:rFonts w:ascii="Times New Roman" w:hAnsi="Times New Roman" w:eastAsia="Times New Roman" w:cs="Times New Roman"/>
                <w:spacing w:val="-3"/>
                <w:position w:val="9"/>
                <w:sz w:val="16"/>
                <w:szCs w:val="16"/>
              </w:rPr>
              <w:t>2</w:t>
            </w:r>
            <w:r>
              <w:rPr>
                <w:spacing w:val="-3"/>
                <w:sz w:val="24"/>
                <w:szCs w:val="24"/>
              </w:rPr>
              <w:t>。局部地形较复杂、生态</w:t>
            </w:r>
            <w:r>
              <w:rPr>
                <w:spacing w:val="-4"/>
                <w:sz w:val="24"/>
                <w:szCs w:val="24"/>
              </w:rPr>
              <w:t>环境敏感</w:t>
            </w:r>
            <w:r>
              <w:rPr>
                <w:spacing w:val="-2"/>
                <w:sz w:val="24"/>
                <w:szCs w:val="24"/>
              </w:rPr>
              <w:t>的地段，则采用人抬及马驮方式完成施工材料的二次搬运任务。</w:t>
            </w:r>
          </w:p>
          <w:p w14:paraId="2AFA389F">
            <w:pPr>
              <w:pStyle w:val="6"/>
              <w:spacing w:before="11" w:line="217" w:lineRule="auto"/>
              <w:ind w:left="590"/>
              <w:rPr>
                <w:sz w:val="24"/>
                <w:szCs w:val="24"/>
              </w:rPr>
            </w:pPr>
            <w:r>
              <w:rPr>
                <w:spacing w:val="-2"/>
                <w:sz w:val="24"/>
                <w:szCs w:val="24"/>
              </w:rPr>
              <w:t>②间隔扩建工程：均有道路到达，无需新建施工便道。</w:t>
            </w:r>
          </w:p>
          <w:p w14:paraId="29259F00">
            <w:pPr>
              <w:pStyle w:val="6"/>
              <w:spacing w:before="191"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7</w:t>
            </w:r>
            <w:r>
              <w:rPr>
                <w:b/>
                <w:bCs/>
                <w:spacing w:val="-4"/>
                <w:sz w:val="24"/>
                <w:szCs w:val="24"/>
              </w:rPr>
              <w:t>）旧线路拆除</w:t>
            </w:r>
          </w:p>
          <w:p w14:paraId="058A1AA1">
            <w:pPr>
              <w:pStyle w:val="6"/>
              <w:spacing w:before="171" w:line="332" w:lineRule="auto"/>
              <w:ind w:left="113" w:right="43" w:firstLine="480"/>
              <w:jc w:val="both"/>
              <w:rPr>
                <w:sz w:val="24"/>
                <w:szCs w:val="24"/>
              </w:rPr>
            </w:pPr>
            <w:r>
              <w:rPr>
                <w:spacing w:val="-2"/>
                <w:sz w:val="24"/>
                <w:szCs w:val="24"/>
              </w:rPr>
              <w:t>本工程拆除原</w:t>
            </w:r>
            <w:r>
              <w:rPr>
                <w:spacing w:val="-54"/>
                <w:sz w:val="24"/>
                <w:szCs w:val="24"/>
              </w:rPr>
              <w:t xml:space="preserve"> </w:t>
            </w:r>
            <w:r>
              <w:rPr>
                <w:rFonts w:ascii="Times New Roman" w:hAnsi="Times New Roman" w:eastAsia="Times New Roman" w:cs="Times New Roman"/>
                <w:spacing w:val="-2"/>
                <w:sz w:val="24"/>
                <w:szCs w:val="24"/>
              </w:rPr>
              <w:t xml:space="preserve">220kV </w:t>
            </w:r>
            <w:r>
              <w:rPr>
                <w:spacing w:val="-2"/>
                <w:sz w:val="24"/>
                <w:szCs w:val="24"/>
              </w:rPr>
              <w:t>者迤Ⅰ线</w:t>
            </w:r>
            <w:r>
              <w:rPr>
                <w:rFonts w:ascii="Times New Roman" w:hAnsi="Times New Roman" w:eastAsia="Times New Roman" w:cs="Times New Roman"/>
                <w:spacing w:val="-2"/>
                <w:sz w:val="24"/>
                <w:szCs w:val="24"/>
              </w:rPr>
              <w:t>68#</w:t>
            </w:r>
            <w:r>
              <w:rPr>
                <w:spacing w:val="-2"/>
                <w:sz w:val="24"/>
                <w:szCs w:val="24"/>
              </w:rPr>
              <w:t>塔</w:t>
            </w:r>
            <w:r>
              <w:rPr>
                <w:rFonts w:ascii="Times New Roman" w:hAnsi="Times New Roman" w:eastAsia="Times New Roman" w:cs="Times New Roman"/>
                <w:spacing w:val="-2"/>
                <w:sz w:val="24"/>
                <w:szCs w:val="24"/>
              </w:rPr>
              <w:t xml:space="preserve">~220kV </w:t>
            </w:r>
            <w:r>
              <w:rPr>
                <w:spacing w:val="-2"/>
                <w:sz w:val="24"/>
                <w:szCs w:val="24"/>
              </w:rPr>
              <w:t>迤车变</w:t>
            </w:r>
            <w:r>
              <w:rPr>
                <w:spacing w:val="-3"/>
                <w:sz w:val="24"/>
                <w:szCs w:val="24"/>
              </w:rPr>
              <w:t>的导线，长度约</w:t>
            </w:r>
            <w:r>
              <w:rPr>
                <w:spacing w:val="-54"/>
                <w:sz w:val="24"/>
                <w:szCs w:val="24"/>
              </w:rPr>
              <w:t xml:space="preserve">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1km</w:t>
            </w:r>
            <w:r>
              <w:rPr>
                <w:spacing w:val="-3"/>
                <w:sz w:val="24"/>
                <w:szCs w:val="24"/>
              </w:rPr>
              <w:t>，</w:t>
            </w:r>
            <w:r>
              <w:rPr>
                <w:spacing w:val="-4"/>
                <w:sz w:val="24"/>
                <w:szCs w:val="24"/>
              </w:rPr>
              <w:t>不拆除铁塔，不涉及塔基基础的开挖，因此没有新增扰动地面，且原有杆塔均已</w:t>
            </w:r>
            <w:r>
              <w:rPr>
                <w:spacing w:val="-2"/>
                <w:sz w:val="24"/>
                <w:szCs w:val="24"/>
              </w:rPr>
              <w:t>有维护道路可到达，拆除导线无需新建道路及施工场地。</w:t>
            </w:r>
          </w:p>
        </w:tc>
      </w:tr>
      <w:tr w14:paraId="31D9B3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7" w:hRule="atLeast"/>
        </w:trPr>
        <w:tc>
          <w:tcPr>
            <w:tcW w:w="571" w:type="dxa"/>
            <w:vAlign w:val="top"/>
          </w:tcPr>
          <w:p w14:paraId="378B4543">
            <w:pPr>
              <w:spacing w:line="309" w:lineRule="auto"/>
              <w:rPr>
                <w:rFonts w:ascii="Arial"/>
                <w:sz w:val="21"/>
              </w:rPr>
            </w:pPr>
          </w:p>
          <w:p w14:paraId="323C2CD3">
            <w:pPr>
              <w:spacing w:line="310" w:lineRule="auto"/>
              <w:rPr>
                <w:rFonts w:ascii="Arial"/>
                <w:sz w:val="21"/>
              </w:rPr>
            </w:pPr>
          </w:p>
          <w:p w14:paraId="764D0459">
            <w:pPr>
              <w:pStyle w:val="6"/>
              <w:spacing w:before="68" w:line="281" w:lineRule="auto"/>
              <w:ind w:left="80" w:right="71" w:hanging="1"/>
            </w:pPr>
            <w:r>
              <w:rPr>
                <w:spacing w:val="-3"/>
              </w:rPr>
              <w:t>施工</w:t>
            </w:r>
            <w:r>
              <w:rPr>
                <w:spacing w:val="-4"/>
              </w:rPr>
              <w:t>方案</w:t>
            </w:r>
          </w:p>
        </w:tc>
        <w:tc>
          <w:tcPr>
            <w:tcW w:w="8507" w:type="dxa"/>
            <w:vAlign w:val="top"/>
          </w:tcPr>
          <w:p w14:paraId="243FAB9D">
            <w:pPr>
              <w:pStyle w:val="6"/>
              <w:spacing w:before="124" w:line="236" w:lineRule="auto"/>
              <w:ind w:left="118"/>
              <w:rPr>
                <w:sz w:val="24"/>
                <w:szCs w:val="24"/>
              </w:rPr>
            </w:pPr>
            <w:r>
              <w:rPr>
                <w:rFonts w:ascii="Times New Roman" w:hAnsi="Times New Roman" w:eastAsia="Times New Roman" w:cs="Times New Roman"/>
                <w:b/>
                <w:bCs/>
                <w:spacing w:val="-6"/>
                <w:sz w:val="24"/>
                <w:szCs w:val="24"/>
              </w:rPr>
              <w:t>1</w:t>
            </w:r>
            <w:r>
              <w:rPr>
                <w:b/>
                <w:bCs/>
                <w:spacing w:val="-6"/>
                <w:sz w:val="24"/>
                <w:szCs w:val="24"/>
              </w:rPr>
              <w:t>、施工工艺</w:t>
            </w:r>
          </w:p>
          <w:p w14:paraId="7CB4C690">
            <w:pPr>
              <w:pStyle w:val="6"/>
              <w:spacing w:before="166"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）线路工程</w:t>
            </w:r>
          </w:p>
          <w:p w14:paraId="5B95E1A7">
            <w:pPr>
              <w:pStyle w:val="6"/>
              <w:spacing w:before="172" w:line="317" w:lineRule="auto"/>
              <w:ind w:left="114" w:right="110" w:firstLine="479"/>
              <w:rPr>
                <w:sz w:val="24"/>
                <w:szCs w:val="24"/>
              </w:rPr>
            </w:pPr>
            <w:r>
              <w:rPr>
                <w:spacing w:val="-4"/>
                <w:sz w:val="24"/>
                <w:szCs w:val="24"/>
              </w:rPr>
              <w:t>架空输电线路施工的工艺流程主要包括三个阶段，即施工准备、施工安装和</w:t>
            </w:r>
            <w:r>
              <w:rPr>
                <w:spacing w:val="-7"/>
                <w:sz w:val="24"/>
                <w:szCs w:val="24"/>
              </w:rPr>
              <w:t>调试验收。其中， 施工安装通常又划分为土方、基础、杆塔、架线及接地五道工</w:t>
            </w:r>
          </w:p>
        </w:tc>
      </w:tr>
    </w:tbl>
    <w:p w14:paraId="01D21CAA">
      <w:pPr>
        <w:rPr>
          <w:rFonts w:ascii="Arial"/>
          <w:sz w:val="21"/>
        </w:rPr>
      </w:pPr>
    </w:p>
    <w:p w14:paraId="3515B70A">
      <w:pPr>
        <w:rPr>
          <w:rFonts w:ascii="Arial" w:hAnsi="Arial" w:eastAsia="Arial" w:cs="Arial"/>
          <w:sz w:val="21"/>
          <w:szCs w:val="21"/>
        </w:rPr>
        <w:sectPr>
          <w:footerReference r:id="rId39" w:type="default"/>
          <w:pgSz w:w="11907" w:h="16841"/>
          <w:pgMar w:top="400" w:right="1408" w:bottom="1126" w:left="1414" w:header="0" w:footer="925" w:gutter="0"/>
          <w:cols w:space="720" w:num="1"/>
        </w:sectPr>
      </w:pPr>
    </w:p>
    <w:p w14:paraId="29B0D48A">
      <w:pPr>
        <w:spacing w:before="2"/>
      </w:pPr>
    </w:p>
    <w:p w14:paraId="50FBC38D">
      <w:pPr>
        <w:spacing w:before="2"/>
      </w:pPr>
    </w:p>
    <w:p w14:paraId="0502984C">
      <w:pPr>
        <w:spacing w:before="1"/>
      </w:pPr>
    </w:p>
    <w:p w14:paraId="784BAB19">
      <w:pPr>
        <w:spacing w:before="1"/>
      </w:pPr>
    </w:p>
    <w:p w14:paraId="17F12CDF">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72D11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9" w:hRule="atLeast"/>
        </w:trPr>
        <w:tc>
          <w:tcPr>
            <w:tcW w:w="571" w:type="dxa"/>
            <w:vMerge w:val="restart"/>
            <w:tcBorders>
              <w:bottom w:val="nil"/>
            </w:tcBorders>
            <w:vAlign w:val="top"/>
          </w:tcPr>
          <w:p w14:paraId="4F6E2FC0">
            <w:pPr>
              <w:rPr>
                <w:rFonts w:ascii="Arial"/>
                <w:sz w:val="21"/>
              </w:rPr>
            </w:pPr>
          </w:p>
        </w:tc>
        <w:tc>
          <w:tcPr>
            <w:tcW w:w="8507" w:type="dxa"/>
            <w:tcBorders>
              <w:bottom w:val="nil"/>
            </w:tcBorders>
            <w:vAlign w:val="top"/>
          </w:tcPr>
          <w:p w14:paraId="63F6CED7">
            <w:pPr>
              <w:pStyle w:val="6"/>
              <w:spacing w:before="125" w:line="221" w:lineRule="auto"/>
              <w:ind w:left="111"/>
              <w:rPr>
                <w:sz w:val="24"/>
                <w:szCs w:val="24"/>
              </w:rPr>
            </w:pPr>
            <w:r>
              <w:rPr>
                <w:spacing w:val="-11"/>
                <w:sz w:val="24"/>
                <w:szCs w:val="24"/>
              </w:rPr>
              <w:t>序。</w:t>
            </w:r>
          </w:p>
        </w:tc>
      </w:tr>
      <w:tr w14:paraId="22AA8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78" w:hRule="atLeast"/>
        </w:trPr>
        <w:tc>
          <w:tcPr>
            <w:tcW w:w="571" w:type="dxa"/>
            <w:vMerge w:val="continue"/>
            <w:tcBorders>
              <w:top w:val="nil"/>
              <w:bottom w:val="nil"/>
            </w:tcBorders>
            <w:vAlign w:val="top"/>
          </w:tcPr>
          <w:p w14:paraId="1B2D7715">
            <w:pPr>
              <w:rPr>
                <w:rFonts w:ascii="Arial"/>
                <w:sz w:val="21"/>
              </w:rPr>
            </w:pPr>
          </w:p>
        </w:tc>
        <w:tc>
          <w:tcPr>
            <w:tcW w:w="8507" w:type="dxa"/>
            <w:tcBorders>
              <w:top w:val="nil"/>
              <w:bottom w:val="nil"/>
            </w:tcBorders>
            <w:vAlign w:val="top"/>
          </w:tcPr>
          <w:p w14:paraId="33ED72C0">
            <w:pPr>
              <w:pStyle w:val="6"/>
              <w:spacing w:before="123" w:line="5427" w:lineRule="exact"/>
              <w:ind w:firstLine="168"/>
            </w:pPr>
            <w:r>
              <w:pict>
                <v:shape id="_x0000_s1094" o:spid="_x0000_s1094" style="position:absolute;left:0pt;margin-left:44.55pt;margin-top:188.1pt;height:0.65pt;width:348.25pt;mso-position-horizontal-relative:page;mso-position-vertical-relative:page;z-index:251662336;mso-width-relative:page;mso-height-relative:page;" filled="f" stroked="t" coordsize="6965,12" path="m6957,6l6,6e">
                  <v:fill on="f" focussize="0,0"/>
                  <v:stroke weight="0.64pt" color="#000000" miterlimit="10" endcap="round"/>
                  <v:imagedata o:title=""/>
                  <o:lock v:ext="edit"/>
                </v:shape>
              </w:pict>
            </w:r>
            <w:r>
              <w:rPr>
                <w:position w:val="-108"/>
              </w:rPr>
              <w:pict>
                <v:group id="_x0000_s1095" o:spid="_x0000_s1095" o:spt="203" style="height:271.4pt;width:408.15pt;" coordsize="8162,5427">
                  <o:lock v:ext="edit"/>
                  <v:group id="_x0000_s1096" o:spid="_x0000_s1096" o:spt="203" style="position:absolute;left:0;top:0;height:5427;width:8162;" coordsize="8162,5427">
                    <o:lock v:ext="edit"/>
                    <v:shape id="_x0000_s1097" o:spid="_x0000_s1097" style="position:absolute;left:0;top:0;height:5427;width:8162;" filled="f" stroked="t" coordsize="8162,5427" path="m6,1420l485,1420,485,6,6,6,6,1420xm6,3420l485,3420,485,2006,6,2006,6,3420xm6,5420l485,5420,485,4006,6,4006,6,5420xm965,933l2163,933,2163,494,965,494,965,933xm2643,445l3841,445,3841,6,2643,6,2643,445xm2643,1420l3841,1420,3841,981,2643,981,2643,1420xm965,2445l2163,2445,2163,2006,965,2006,965,2445xm965,3420l2163,3420,2163,2981,965,2981,965,3420xm2643,2933l3841,2933,3841,2494,2643,2494,2643,2933xm4321,2933l5519,2933,5519,2494,4321,2494,4321,2933xm5999,2933l7197,2933,7197,2494,5999,2494,5999,2933xm965,4932l2163,4932,2163,4493,965,4493,965,4932xm2643,4932l3841,4932,3841,4493,2643,4493,2643,4932xm4321,4932l5519,4932,5519,4493,4321,4493,4321,4932xm7677,3908l8156,3908,8156,2494,7677,2494,7677,3908xm485,713l881,713e">
                      <v:fill on="f" focussize="0,0"/>
                      <v:stroke weight="0.64pt" color="#000000" miterlimit="10" endcap="round"/>
                      <v:imagedata o:title=""/>
                      <o:lock v:ext="edit"/>
                    </v:shape>
                    <v:shape id="_x0000_s1098" o:spid="_x0000_s1098" style="position:absolute;left:854;top:657;height:113;width:111;" fillcolor="#000000" filled="t" stroked="f" coordsize="111,113" path="m110,56l0,112c17,77,17,35,0,0l110,56xe">
                      <v:path/>
                      <v:fill on="t" focussize="0,0"/>
                      <v:stroke on="f"/>
                      <v:imagedata o:title=""/>
                      <o:lock v:ext="edit"/>
                    </v:shape>
                    <v:shape id="_x0000_s1099" o:spid="_x0000_s1099" style="position:absolute;left:3835;top:2707;height:12;width:409;" filled="f" stroked="t" coordsize="409,12" path="m6,6l401,6e">
                      <v:fill on="f" focussize="0,0"/>
                      <v:stroke weight="0.64pt" color="#000000" miterlimit="10" endcap="round"/>
                      <v:imagedata o:title=""/>
                      <o:lock v:ext="edit"/>
                    </v:shape>
                    <v:shape id="_x0000_s1100" o:spid="_x0000_s1100" style="position:absolute;left:4210;top:2657;height:113;width:111;" fillcolor="#000000" filled="t" stroked="f" coordsize="111,113" path="m110,56l0,112c17,77,17,35,0,0l110,56xe">
                      <v:path/>
                      <v:fill on="t" focussize="0,0"/>
                      <v:stroke on="f"/>
                      <v:imagedata o:title=""/>
                      <o:lock v:ext="edit"/>
                    </v:shape>
                    <v:shape id="_x0000_s1101" o:spid="_x0000_s1101" style="position:absolute;left:5513;top:2707;height:12;width:409;" filled="f" stroked="t" coordsize="409,12" path="m6,6l402,6e">
                      <v:fill on="f" focussize="0,0"/>
                      <v:stroke weight="0.64pt" color="#000000" miterlimit="10" endcap="round"/>
                      <v:imagedata o:title=""/>
                      <o:lock v:ext="edit"/>
                    </v:shape>
                    <v:shape id="_x0000_s1102" o:spid="_x0000_s1102" style="position:absolute;left:5888;top:2657;height:113;width:111;" fillcolor="#000000" filled="t" stroked="f" coordsize="111,113" path="m110,56l0,112c17,77,17,35,0,0l110,56xe">
                      <v:path/>
                      <v:fill on="t" focussize="0,0"/>
                      <v:stroke on="f"/>
                      <v:imagedata o:title=""/>
                      <o:lock v:ext="edit"/>
                    </v:shape>
                    <v:shape id="_x0000_s1103" o:spid="_x0000_s1103" style="position:absolute;left:7191;top:2712;height:12;width:409;" filled="f" stroked="t" coordsize="409,12" path="m6,6l402,6e">
                      <v:fill on="f" focussize="0,0"/>
                      <v:stroke weight="0.64pt" color="#000000" miterlimit="10" endcap="round"/>
                      <v:imagedata o:title=""/>
                      <o:lock v:ext="edit"/>
                    </v:shape>
                    <v:shape id="_x0000_s1104" o:spid="_x0000_s1104" style="position:absolute;left:7566;top:2662;height:113;width:111;" fillcolor="#000000" filled="t" stroked="f" coordsize="111,113" path="m110,56l0,112c17,77,17,35,0,0l110,56xe">
                      <v:path/>
                      <v:fill on="t" focussize="0,0"/>
                      <v:stroke on="f"/>
                      <v:imagedata o:title=""/>
                      <o:lock v:ext="edit"/>
                    </v:shape>
                    <v:shape id="_x0000_s1105" o:spid="_x0000_s1105" style="position:absolute;left:479;top:4706;height:12;width:409;" filled="f" stroked="t" coordsize="409,12" path="m6,6l402,6e">
                      <v:fill on="f" focussize="0,0"/>
                      <v:stroke weight="0.64pt" color="#000000" miterlimit="10" endcap="round"/>
                      <v:imagedata o:title=""/>
                      <o:lock v:ext="edit"/>
                    </v:shape>
                    <v:shape id="_x0000_s1106" o:spid="_x0000_s1106" style="position:absolute;left:854;top:4657;height:113;width:111;" fillcolor="#000000" filled="t" stroked="f" coordsize="111,113" path="m110,56l0,112c17,77,17,35,0,0l110,56xe">
                      <v:path/>
                      <v:fill on="t" focussize="0,0"/>
                      <v:stroke on="f"/>
                      <v:imagedata o:title=""/>
                      <o:lock v:ext="edit"/>
                    </v:shape>
                    <v:shape id="_x0000_s1107" o:spid="_x0000_s1107" style="position:absolute;left:2157;top:4706;height:12;width:409;" filled="f" stroked="t" coordsize="409,12" path="m6,6l401,6e">
                      <v:fill on="f" focussize="0,0"/>
                      <v:stroke weight="0.64pt" color="#000000" miterlimit="10" endcap="round"/>
                      <v:imagedata o:title=""/>
                      <o:lock v:ext="edit"/>
                    </v:shape>
                    <v:shape id="_x0000_s1108" o:spid="_x0000_s1108" style="position:absolute;left:2532;top:4657;height:113;width:111;" fillcolor="#000000" filled="t" stroked="f" coordsize="111,113" path="m110,56l0,112c17,77,17,35,0,0l110,56xe">
                      <v:path/>
                      <v:fill on="t" focussize="0,0"/>
                      <v:stroke on="f"/>
                      <v:imagedata o:title=""/>
                      <o:lock v:ext="edit"/>
                    </v:shape>
                    <v:shape id="_x0000_s1109" o:spid="_x0000_s1109" style="position:absolute;left:3835;top:4706;height:12;width:409;" filled="f" stroked="t" coordsize="409,12" path="m6,6l401,6e">
                      <v:fill on="f" focussize="0,0"/>
                      <v:stroke weight="0.64pt" color="#000000" miterlimit="10" endcap="round"/>
                      <v:imagedata o:title=""/>
                      <o:lock v:ext="edit"/>
                    </v:shape>
                    <v:shape id="_x0000_s1110" o:spid="_x0000_s1110" style="position:absolute;left:4210;top:4657;height:113;width:111;" fillcolor="#000000" filled="t" stroked="f" coordsize="111,113" path="m110,56l0,112c17,77,17,35,0,0l110,56xe">
                      <v:path/>
                      <v:fill on="t" focussize="0,0"/>
                      <v:stroke on="f"/>
                      <v:imagedata o:title=""/>
                      <o:lock v:ext="edit"/>
                    </v:shape>
                    <v:shape id="_x0000_s1111" o:spid="_x0000_s1111" style="position:absolute;left:2157;top:219;height:500;width:409;" filled="f" stroked="t" coordsize="409,500" path="m6,494l293,494,293,6,401,6e">
                      <v:fill on="f" focussize="0,0"/>
                      <v:stroke weight="0.64pt" color="#000000" miterlimit="10" endcap="round"/>
                      <v:imagedata o:title=""/>
                      <o:lock v:ext="edit"/>
                    </v:shape>
                    <v:shape id="_x0000_s1112" o:spid="_x0000_s1112" style="position:absolute;left:2532;top:169;height:113;width:111;" fillcolor="#000000" filled="t" stroked="f" coordsize="111,113" path="m110,56l0,112c17,77,17,35,0,0l110,56xe">
                      <v:path/>
                      <v:fill on="t" focussize="0,0"/>
                      <v:stroke on="f"/>
                      <v:imagedata o:title=""/>
                      <o:lock v:ext="edit"/>
                    </v:shape>
                    <v:shape id="_x0000_s1113" o:spid="_x0000_s1113" style="position:absolute;left:2444;top:707;height:500;width:121;" filled="f" stroked="t" coordsize="121,500" path="m6,6l6,494,114,494e">
                      <v:fill on="f" focussize="0,0"/>
                      <v:stroke weight="0.64pt" color="#000000" miterlimit="10" endcap="round"/>
                      <v:imagedata o:title=""/>
                      <o:lock v:ext="edit"/>
                    </v:shape>
                    <v:shape id="_x0000_s1114" o:spid="_x0000_s1114" style="position:absolute;left:2532;top:1145;height:113;width:111;" fillcolor="#000000" filled="t" stroked="f" coordsize="111,113" path="m110,56l0,112c17,77,17,35,0,0l110,56xe">
                      <v:path/>
                      <v:fill on="t" focussize="0,0"/>
                      <v:stroke on="f"/>
                      <v:imagedata o:title=""/>
                      <o:lock v:ext="edit"/>
                    </v:shape>
                    <v:shape id="_x0000_s1115" o:spid="_x0000_s1115" style="position:absolute;left:623;top:219;height:2416;width:4063;" filled="f" stroked="t" coordsize="4063,2416" path="m3218,6l3390,6,3390,981,3218,981m3390,513l4057,513,4057,1494,6,1494,6,2408e">
                      <v:fill on="f" focussize="0,0"/>
                      <v:stroke weight="0.64pt" color="#000000" miterlimit="10" endcap="round"/>
                      <v:imagedata o:title=""/>
                      <o:lock v:ext="edit"/>
                    </v:shape>
                    <v:shape id="_x0000_s1116" o:spid="_x0000_s1116" style="position:absolute;left:574;top:2601;height:113;width:111;" fillcolor="#000000" filled="t" stroked="f" coordsize="111,113" path="m55,112,55,112l0,0c34,17,75,17,110,0l55,112xe">
                      <v:path/>
                      <v:fill on="t" focussize="0,0"/>
                      <v:stroke on="f"/>
                      <v:imagedata o:title=""/>
                      <o:lock v:ext="edit"/>
                    </v:shape>
                    <v:shape id="_x0000_s1117" o:spid="_x0000_s1117" style="position:absolute;left:479;top:2219;height:500;width:409;" filled="f" stroked="t" coordsize="409,500" path="m6,494l276,494,276,6,402,6e">
                      <v:fill on="f" focussize="0,0"/>
                      <v:stroke weight="0.64pt" color="#000000" miterlimit="10" endcap="round"/>
                      <v:imagedata o:title=""/>
                      <o:lock v:ext="edit"/>
                    </v:shape>
                    <v:shape id="_x0000_s1118" o:spid="_x0000_s1118" style="position:absolute;left:854;top:2169;height:113;width:111;" fillcolor="#000000" filled="t" stroked="f" coordsize="111,113" path="m110,56l0,112c17,77,17,35,0,0l110,56xe">
                      <v:path/>
                      <v:fill on="t" focussize="0,0"/>
                      <v:stroke on="f"/>
                      <v:imagedata o:title=""/>
                      <o:lock v:ext="edit"/>
                    </v:shape>
                    <v:shape id="_x0000_s1119" o:spid="_x0000_s1119" style="position:absolute;left:749;top:2707;height:500;width:138;" filled="f" stroked="t" coordsize="138,500" path="m6,6l6,494,132,494e">
                      <v:fill on="f" focussize="0,0"/>
                      <v:stroke weight="0.64pt" color="#000000" miterlimit="10" endcap="round"/>
                      <v:imagedata o:title=""/>
                      <o:lock v:ext="edit"/>
                    </v:shape>
                    <v:shape id="_x0000_s1120" o:spid="_x0000_s1120" style="position:absolute;left:854;top:3145;height:113;width:111;" fillcolor="#000000" filled="t" stroked="f" coordsize="111,113" path="m110,56l0,112c17,77,17,35,0,0l110,56xe">
                      <v:path/>
                      <v:fill on="t" focussize="0,0"/>
                      <v:stroke on="f"/>
                      <v:imagedata o:title=""/>
                      <o:lock v:ext="edit"/>
                    </v:shape>
                    <v:shape id="_x0000_s1121" o:spid="_x0000_s1121" style="position:absolute;left:2157;top:2219;height:500;width:409;" filled="f" stroked="t" coordsize="409,500" path="m6,6l186,6,186,494,401,494e">
                      <v:fill on="f" focussize="0,0"/>
                      <v:stroke weight="0.64pt" color="#000000" miterlimit="10" endcap="round"/>
                      <v:imagedata o:title=""/>
                      <o:lock v:ext="edit"/>
                    </v:shape>
                    <v:shape id="_x0000_s1122" o:spid="_x0000_s1122" style="position:absolute;left:2532;top:2657;height:113;width:111;" fillcolor="#000000" filled="t" stroked="f" coordsize="111,113" path="m110,56l0,112c17,77,17,35,0,0l110,56xe">
                      <v:path/>
                      <v:fill on="t" focussize="0,0"/>
                      <v:stroke on="f"/>
                      <v:imagedata o:title=""/>
                      <o:lock v:ext="edit"/>
                    </v:shape>
                    <v:shape id="_x0000_s1123" o:spid="_x0000_s1123" style="position:absolute;left:719;top:2707;height:1928;width:1631;" filled="f" stroked="t" coordsize="1631,1928" path="m1444,494l1624,494,1624,6m6,938l6,1921e">
                      <v:fill on="f" focussize="0,0"/>
                      <v:stroke weight="0.64pt" color="#000000" miterlimit="10" endcap="round"/>
                      <v:imagedata o:title=""/>
                      <o:lock v:ext="edit"/>
                    </v:shape>
                    <v:shape id="_x0000_s1124" o:spid="_x0000_s1124" style="position:absolute;left:670;top:4600;height:113;width:111;" fillcolor="#000000" filled="t" stroked="f" coordsize="111,113" path="m55,112,55,112l0,0c34,17,75,17,110,0l55,112xe">
                      <v:path/>
                      <v:fill on="t" focussize="0,0"/>
                      <v:stroke on="f"/>
                      <v:imagedata o:title=""/>
                      <o:lock v:ext="edit"/>
                    </v:shape>
                  </v:group>
                  <v:shape id="_x0000_s1125" o:spid="_x0000_s1125" o:spt="202" type="#_x0000_t202" style="position:absolute;left:1143;top:2090;height:2737;width:5884;" filled="f" stroked="f" coordsize="21600,21600">
                    <v:path/>
                    <v:fill on="f" focussize="0,0"/>
                    <v:stroke on="f"/>
                    <v:imagedata o:title=""/>
                    <o:lock v:ext="edit" aspectratio="f"/>
                    <v:textbox inset="0mm,0mm,0mm,0mm">
                      <w:txbxContent>
                        <w:p w14:paraId="2E98BBAF">
                          <w:pPr>
                            <w:spacing w:before="20" w:line="226" w:lineRule="auto"/>
                            <w:ind w:left="20"/>
                            <w:rPr>
                              <w:rFonts w:ascii="宋体" w:hAnsi="宋体" w:eastAsia="宋体" w:cs="宋体"/>
                              <w:sz w:val="20"/>
                              <w:szCs w:val="20"/>
                            </w:rPr>
                          </w:pPr>
                          <w:r>
                            <w:rPr>
                              <w:rFonts w:ascii="宋体" w:hAnsi="宋体" w:eastAsia="宋体" w:cs="宋体"/>
                              <w:spacing w:val="1"/>
                              <w:sz w:val="20"/>
                              <w:szCs w:val="20"/>
                            </w:rPr>
                            <w:t>基础工程</w:t>
                          </w:r>
                        </w:p>
                        <w:p w14:paraId="42C05A26">
                          <w:pPr>
                            <w:spacing w:before="242" w:line="226" w:lineRule="auto"/>
                            <w:ind w:right="20"/>
                            <w:jc w:val="right"/>
                            <w:rPr>
                              <w:rFonts w:ascii="宋体" w:hAnsi="宋体" w:eastAsia="宋体" w:cs="宋体"/>
                              <w:sz w:val="20"/>
                              <w:szCs w:val="20"/>
                            </w:rPr>
                          </w:pPr>
                          <w:r>
                            <w:rPr>
                              <w:rFonts w:ascii="宋体" w:hAnsi="宋体" w:eastAsia="宋体" w:cs="宋体"/>
                              <w:spacing w:val="1"/>
                              <w:sz w:val="20"/>
                              <w:szCs w:val="20"/>
                            </w:rPr>
                            <w:t>接地埋设</w:t>
                          </w:r>
                          <w:r>
                            <w:rPr>
                              <w:rFonts w:ascii="宋体" w:hAnsi="宋体" w:eastAsia="宋体" w:cs="宋体"/>
                              <w:spacing w:val="9"/>
                              <w:sz w:val="20"/>
                              <w:szCs w:val="20"/>
                            </w:rPr>
                            <w:t xml:space="preserve">        </w:t>
                          </w:r>
                          <w:r>
                            <w:rPr>
                              <w:rFonts w:ascii="宋体" w:hAnsi="宋体" w:eastAsia="宋体" w:cs="宋体"/>
                              <w:spacing w:val="1"/>
                              <w:sz w:val="20"/>
                              <w:szCs w:val="20"/>
                            </w:rPr>
                            <w:t>杆塔施工</w:t>
                          </w:r>
                          <w:r>
                            <w:rPr>
                              <w:rFonts w:ascii="宋体" w:hAnsi="宋体" w:eastAsia="宋体" w:cs="宋体"/>
                              <w:spacing w:val="9"/>
                              <w:sz w:val="20"/>
                              <w:szCs w:val="20"/>
                            </w:rPr>
                            <w:t xml:space="preserve">        </w:t>
                          </w:r>
                          <w:r>
                            <w:rPr>
                              <w:rFonts w:ascii="宋体" w:hAnsi="宋体" w:eastAsia="宋体" w:cs="宋体"/>
                              <w:spacing w:val="1"/>
                              <w:sz w:val="20"/>
                              <w:szCs w:val="20"/>
                            </w:rPr>
                            <w:t>架线施工</w:t>
                          </w:r>
                        </w:p>
                        <w:p w14:paraId="6D3C23C1">
                          <w:pPr>
                            <w:spacing w:before="244" w:line="225" w:lineRule="auto"/>
                            <w:ind w:left="20"/>
                            <w:rPr>
                              <w:rFonts w:ascii="宋体" w:hAnsi="宋体" w:eastAsia="宋体" w:cs="宋体"/>
                              <w:sz w:val="20"/>
                              <w:szCs w:val="20"/>
                            </w:rPr>
                          </w:pPr>
                          <w:r>
                            <w:rPr>
                              <w:rFonts w:ascii="宋体" w:hAnsi="宋体" w:eastAsia="宋体" w:cs="宋体"/>
                              <w:spacing w:val="1"/>
                              <w:sz w:val="20"/>
                              <w:szCs w:val="20"/>
                            </w:rPr>
                            <w:t>材料运输</w:t>
                          </w:r>
                        </w:p>
                        <w:p w14:paraId="481F5C3D">
                          <w:pPr>
                            <w:spacing w:line="299" w:lineRule="auto"/>
                            <w:rPr>
                              <w:rFonts w:ascii="Arial"/>
                              <w:sz w:val="21"/>
                            </w:rPr>
                          </w:pPr>
                        </w:p>
                        <w:p w14:paraId="2A3D0074">
                          <w:pPr>
                            <w:spacing w:line="299" w:lineRule="auto"/>
                            <w:rPr>
                              <w:rFonts w:ascii="Arial"/>
                              <w:sz w:val="21"/>
                            </w:rPr>
                          </w:pPr>
                        </w:p>
                        <w:p w14:paraId="7F334666">
                          <w:pPr>
                            <w:spacing w:line="299" w:lineRule="auto"/>
                            <w:rPr>
                              <w:rFonts w:ascii="Arial"/>
                              <w:sz w:val="21"/>
                            </w:rPr>
                          </w:pPr>
                        </w:p>
                        <w:p w14:paraId="128A3C2A">
                          <w:pPr>
                            <w:spacing w:line="300" w:lineRule="auto"/>
                            <w:rPr>
                              <w:rFonts w:ascii="Arial"/>
                              <w:sz w:val="21"/>
                            </w:rPr>
                          </w:pPr>
                        </w:p>
                        <w:p w14:paraId="7D790538">
                          <w:pPr>
                            <w:spacing w:before="65" w:line="226" w:lineRule="auto"/>
                            <w:ind w:left="20"/>
                            <w:rPr>
                              <w:rFonts w:ascii="宋体" w:hAnsi="宋体" w:eastAsia="宋体" w:cs="宋体"/>
                              <w:sz w:val="20"/>
                              <w:szCs w:val="20"/>
                            </w:rPr>
                          </w:pPr>
                          <w:r>
                            <w:rPr>
                              <w:rFonts w:ascii="宋体" w:hAnsi="宋体" w:eastAsia="宋体" w:cs="宋体"/>
                              <w:sz w:val="20"/>
                              <w:szCs w:val="20"/>
                            </w:rPr>
                            <w:t>质量检查</w:t>
                          </w:r>
                          <w:r>
                            <w:rPr>
                              <w:rFonts w:ascii="宋体" w:hAnsi="宋体" w:eastAsia="宋体" w:cs="宋体"/>
                              <w:spacing w:val="11"/>
                              <w:sz w:val="20"/>
                              <w:szCs w:val="20"/>
                            </w:rPr>
                            <w:t xml:space="preserve">        </w:t>
                          </w:r>
                          <w:r>
                            <w:rPr>
                              <w:rFonts w:ascii="宋体" w:hAnsi="宋体" w:eastAsia="宋体" w:cs="宋体"/>
                              <w:sz w:val="20"/>
                              <w:szCs w:val="20"/>
                            </w:rPr>
                            <w:t>启动试验</w:t>
                          </w:r>
                          <w:r>
                            <w:rPr>
                              <w:rFonts w:ascii="宋体" w:hAnsi="宋体" w:eastAsia="宋体" w:cs="宋体"/>
                              <w:spacing w:val="9"/>
                              <w:sz w:val="20"/>
                              <w:szCs w:val="20"/>
                            </w:rPr>
                            <w:t xml:space="preserve">        </w:t>
                          </w:r>
                          <w:r>
                            <w:rPr>
                              <w:rFonts w:ascii="宋体" w:hAnsi="宋体" w:eastAsia="宋体" w:cs="宋体"/>
                              <w:sz w:val="20"/>
                              <w:szCs w:val="20"/>
                            </w:rPr>
                            <w:t>验收合格</w:t>
                          </w:r>
                        </w:p>
                      </w:txbxContent>
                    </v:textbox>
                  </v:shape>
                  <v:shape id="_x0000_s1126" o:spid="_x0000_s1126" o:spt="202" type="#_x0000_t202" style="position:absolute;left:128;top:203;height:4997;width:237;" filled="f" stroked="f" coordsize="21600,21600">
                    <v:path/>
                    <v:fill on="f" focussize="0,0"/>
                    <v:stroke on="f"/>
                    <v:imagedata o:title=""/>
                    <o:lock v:ext="edit" aspectratio="f"/>
                    <v:textbox inset="0mm,0mm,0mm,0mm" style="layout-flow:vertical-ideographic;">
                      <w:txbxContent>
                        <w:p w14:paraId="6A6315BC">
                          <w:pPr>
                            <w:spacing w:before="20" w:line="211" w:lineRule="auto"/>
                            <w:ind w:left="20"/>
                            <w:rPr>
                              <w:rFonts w:ascii="宋体" w:hAnsi="宋体" w:eastAsia="宋体" w:cs="宋体"/>
                              <w:sz w:val="20"/>
                              <w:szCs w:val="20"/>
                            </w:rPr>
                          </w:pPr>
                          <w:r>
                            <w:rPr>
                              <w:rFonts w:ascii="宋体" w:hAnsi="宋体" w:eastAsia="宋体" w:cs="宋体"/>
                              <w:spacing w:val="6"/>
                              <w:sz w:val="20"/>
                              <w:szCs w:val="20"/>
                            </w:rPr>
                            <w:t>施</w:t>
                          </w:r>
                          <w:r>
                            <w:rPr>
                              <w:rFonts w:ascii="宋体" w:hAnsi="宋体" w:eastAsia="宋体" w:cs="宋体"/>
                              <w:spacing w:val="-59"/>
                              <w:sz w:val="20"/>
                              <w:szCs w:val="20"/>
                            </w:rPr>
                            <w:t xml:space="preserve"> </w:t>
                          </w:r>
                          <w:r>
                            <w:rPr>
                              <w:rFonts w:ascii="宋体" w:hAnsi="宋体" w:eastAsia="宋体" w:cs="宋体"/>
                              <w:spacing w:val="6"/>
                              <w:sz w:val="20"/>
                              <w:szCs w:val="20"/>
                            </w:rPr>
                            <w:t>工</w:t>
                          </w:r>
                          <w:r>
                            <w:rPr>
                              <w:rFonts w:ascii="宋体" w:hAnsi="宋体" w:eastAsia="宋体" w:cs="宋体"/>
                              <w:spacing w:val="-58"/>
                              <w:sz w:val="20"/>
                              <w:szCs w:val="20"/>
                            </w:rPr>
                            <w:t xml:space="preserve"> </w:t>
                          </w:r>
                          <w:r>
                            <w:rPr>
                              <w:rFonts w:ascii="宋体" w:hAnsi="宋体" w:eastAsia="宋体" w:cs="宋体"/>
                              <w:spacing w:val="6"/>
                              <w:sz w:val="20"/>
                              <w:szCs w:val="20"/>
                            </w:rPr>
                            <w:t>准</w:t>
                          </w:r>
                          <w:r>
                            <w:rPr>
                              <w:rFonts w:ascii="宋体" w:hAnsi="宋体" w:eastAsia="宋体" w:cs="宋体"/>
                              <w:spacing w:val="-59"/>
                              <w:sz w:val="20"/>
                              <w:szCs w:val="20"/>
                            </w:rPr>
                            <w:t xml:space="preserve"> </w:t>
                          </w:r>
                          <w:r>
                            <w:rPr>
                              <w:rFonts w:ascii="宋体" w:hAnsi="宋体" w:eastAsia="宋体" w:cs="宋体"/>
                              <w:spacing w:val="6"/>
                              <w:sz w:val="20"/>
                              <w:szCs w:val="20"/>
                            </w:rPr>
                            <w:t>备          施</w:t>
                          </w:r>
                          <w:r>
                            <w:rPr>
                              <w:rFonts w:ascii="宋体" w:hAnsi="宋体" w:eastAsia="宋体" w:cs="宋体"/>
                              <w:spacing w:val="-58"/>
                              <w:sz w:val="20"/>
                              <w:szCs w:val="20"/>
                            </w:rPr>
                            <w:t xml:space="preserve"> </w:t>
                          </w:r>
                          <w:r>
                            <w:rPr>
                              <w:rFonts w:ascii="宋体" w:hAnsi="宋体" w:eastAsia="宋体" w:cs="宋体"/>
                              <w:spacing w:val="6"/>
                              <w:sz w:val="20"/>
                              <w:szCs w:val="20"/>
                            </w:rPr>
                            <w:t>工</w:t>
                          </w:r>
                          <w:r>
                            <w:rPr>
                              <w:rFonts w:ascii="宋体" w:hAnsi="宋体" w:eastAsia="宋体" w:cs="宋体"/>
                              <w:spacing w:val="-59"/>
                              <w:sz w:val="20"/>
                              <w:szCs w:val="20"/>
                            </w:rPr>
                            <w:t xml:space="preserve"> </w:t>
                          </w:r>
                          <w:r>
                            <w:rPr>
                              <w:rFonts w:ascii="宋体" w:hAnsi="宋体" w:eastAsia="宋体" w:cs="宋体"/>
                              <w:spacing w:val="6"/>
                              <w:sz w:val="20"/>
                              <w:szCs w:val="20"/>
                            </w:rPr>
                            <w:t>安</w:t>
                          </w:r>
                          <w:r>
                            <w:rPr>
                              <w:rFonts w:ascii="宋体" w:hAnsi="宋体" w:eastAsia="宋体" w:cs="宋体"/>
                              <w:spacing w:val="-58"/>
                              <w:sz w:val="20"/>
                              <w:szCs w:val="20"/>
                            </w:rPr>
                            <w:t xml:space="preserve"> </w:t>
                          </w:r>
                          <w:r>
                            <w:rPr>
                              <w:rFonts w:ascii="宋体" w:hAnsi="宋体" w:eastAsia="宋体" w:cs="宋体"/>
                              <w:spacing w:val="6"/>
                              <w:sz w:val="20"/>
                              <w:szCs w:val="20"/>
                            </w:rPr>
                            <w:t xml:space="preserve">装     </w:t>
                          </w:r>
                          <w:r>
                            <w:rPr>
                              <w:rFonts w:ascii="宋体" w:hAnsi="宋体" w:eastAsia="宋体" w:cs="宋体"/>
                              <w:spacing w:val="5"/>
                              <w:sz w:val="20"/>
                              <w:szCs w:val="20"/>
                            </w:rPr>
                            <w:t xml:space="preserve">     调</w:t>
                          </w:r>
                          <w:r>
                            <w:rPr>
                              <w:rFonts w:ascii="宋体" w:hAnsi="宋体" w:eastAsia="宋体" w:cs="宋体"/>
                              <w:spacing w:val="-59"/>
                              <w:sz w:val="20"/>
                              <w:szCs w:val="20"/>
                            </w:rPr>
                            <w:t xml:space="preserve"> </w:t>
                          </w:r>
                          <w:r>
                            <w:rPr>
                              <w:rFonts w:ascii="宋体" w:hAnsi="宋体" w:eastAsia="宋体" w:cs="宋体"/>
                              <w:spacing w:val="5"/>
                              <w:sz w:val="20"/>
                              <w:szCs w:val="20"/>
                            </w:rPr>
                            <w:t>试</w:t>
                          </w:r>
                          <w:r>
                            <w:rPr>
                              <w:rFonts w:ascii="宋体" w:hAnsi="宋体" w:eastAsia="宋体" w:cs="宋体"/>
                              <w:spacing w:val="-59"/>
                              <w:sz w:val="20"/>
                              <w:szCs w:val="20"/>
                            </w:rPr>
                            <w:t xml:space="preserve"> </w:t>
                          </w:r>
                          <w:r>
                            <w:rPr>
                              <w:rFonts w:ascii="宋体" w:hAnsi="宋体" w:eastAsia="宋体" w:cs="宋体"/>
                              <w:spacing w:val="5"/>
                              <w:sz w:val="20"/>
                              <w:szCs w:val="20"/>
                            </w:rPr>
                            <w:t>验</w:t>
                          </w:r>
                          <w:r>
                            <w:rPr>
                              <w:rFonts w:ascii="宋体" w:hAnsi="宋体" w:eastAsia="宋体" w:cs="宋体"/>
                              <w:spacing w:val="-58"/>
                              <w:sz w:val="20"/>
                              <w:szCs w:val="20"/>
                            </w:rPr>
                            <w:t xml:space="preserve"> </w:t>
                          </w:r>
                          <w:r>
                            <w:rPr>
                              <w:rFonts w:ascii="宋体" w:hAnsi="宋体" w:eastAsia="宋体" w:cs="宋体"/>
                              <w:spacing w:val="5"/>
                              <w:sz w:val="20"/>
                              <w:szCs w:val="20"/>
                            </w:rPr>
                            <w:t>收</w:t>
                          </w:r>
                        </w:p>
                      </w:txbxContent>
                    </v:textbox>
                  </v:shape>
                  <v:shape id="_x0000_s1127" o:spid="_x0000_s1127" o:spt="202" type="#_x0000_t202" style="position:absolute;left:2826;top:87;height:1224;width:841;" filled="f" stroked="f" coordsize="21600,21600">
                    <v:path/>
                    <v:fill on="f" focussize="0,0"/>
                    <v:stroke on="f"/>
                    <v:imagedata o:title=""/>
                    <o:lock v:ext="edit" aspectratio="f"/>
                    <v:textbox inset="0mm,0mm,0mm,0mm">
                      <w:txbxContent>
                        <w:p w14:paraId="2E1D0BB2">
                          <w:pPr>
                            <w:spacing w:before="20" w:line="226" w:lineRule="auto"/>
                            <w:ind w:left="20"/>
                            <w:rPr>
                              <w:rFonts w:ascii="宋体" w:hAnsi="宋体" w:eastAsia="宋体" w:cs="宋体"/>
                              <w:sz w:val="20"/>
                              <w:szCs w:val="20"/>
                            </w:rPr>
                          </w:pPr>
                          <w:r>
                            <w:rPr>
                              <w:rFonts w:ascii="宋体" w:hAnsi="宋体" w:eastAsia="宋体" w:cs="宋体"/>
                              <w:sz w:val="20"/>
                              <w:szCs w:val="20"/>
                            </w:rPr>
                            <w:t>备料加工</w:t>
                          </w:r>
                        </w:p>
                        <w:p w14:paraId="2AE71738">
                          <w:pPr>
                            <w:spacing w:line="330" w:lineRule="auto"/>
                            <w:rPr>
                              <w:rFonts w:ascii="Arial"/>
                              <w:sz w:val="21"/>
                            </w:rPr>
                          </w:pPr>
                        </w:p>
                        <w:p w14:paraId="4E6FB41D">
                          <w:pPr>
                            <w:spacing w:line="331" w:lineRule="auto"/>
                            <w:rPr>
                              <w:rFonts w:ascii="Arial"/>
                              <w:sz w:val="21"/>
                            </w:rPr>
                          </w:pPr>
                        </w:p>
                        <w:p w14:paraId="196DBF1A">
                          <w:pPr>
                            <w:spacing w:before="65" w:line="227" w:lineRule="auto"/>
                            <w:ind w:left="23"/>
                            <w:rPr>
                              <w:rFonts w:ascii="宋体" w:hAnsi="宋体" w:eastAsia="宋体" w:cs="宋体"/>
                              <w:sz w:val="20"/>
                              <w:szCs w:val="20"/>
                            </w:rPr>
                          </w:pPr>
                          <w:r>
                            <w:rPr>
                              <w:rFonts w:ascii="宋体" w:hAnsi="宋体" w:eastAsia="宋体" w:cs="宋体"/>
                              <w:spacing w:val="-1"/>
                              <w:sz w:val="20"/>
                              <w:szCs w:val="20"/>
                            </w:rPr>
                            <w:t>复测分坑</w:t>
                          </w:r>
                        </w:p>
                      </w:txbxContent>
                    </v:textbox>
                  </v:shape>
                  <v:shape id="_x0000_s1128" o:spid="_x0000_s1128" o:spt="202" type="#_x0000_t202" style="position:absolute;left:7806;top:2695;height:990;width:237;" filled="f" stroked="f" coordsize="21600,21600">
                    <v:path/>
                    <v:fill on="f" focussize="0,0"/>
                    <v:stroke on="f"/>
                    <v:imagedata o:title=""/>
                    <o:lock v:ext="edit" aspectratio="f"/>
                    <v:textbox inset="0mm,0mm,0mm,0mm" style="layout-flow:vertical-ideographic;">
                      <w:txbxContent>
                        <w:p w14:paraId="7FE8BF11">
                          <w:pPr>
                            <w:spacing w:before="20" w:line="212" w:lineRule="auto"/>
                            <w:ind w:left="20"/>
                            <w:rPr>
                              <w:rFonts w:ascii="宋体" w:hAnsi="宋体" w:eastAsia="宋体" w:cs="宋体"/>
                              <w:sz w:val="20"/>
                              <w:szCs w:val="20"/>
                            </w:rPr>
                          </w:pPr>
                          <w:r>
                            <w:rPr>
                              <w:rFonts w:ascii="宋体" w:hAnsi="宋体" w:eastAsia="宋体" w:cs="宋体"/>
                              <w:spacing w:val="37"/>
                              <w:sz w:val="20"/>
                              <w:szCs w:val="20"/>
                            </w:rPr>
                            <w:t>接地安装</w:t>
                          </w:r>
                        </w:p>
                      </w:txbxContent>
                    </v:textbox>
                  </v:shape>
                  <v:shape id="_x0000_s1129" o:spid="_x0000_s1129" o:spt="202" type="#_x0000_t202" style="position:absolute;left:1145;top:575;height:247;width:844;" filled="f" stroked="f" coordsize="21600,21600">
                    <v:path/>
                    <v:fill on="f" focussize="0,0"/>
                    <v:stroke on="f"/>
                    <v:imagedata o:title=""/>
                    <o:lock v:ext="edit" aspectratio="f"/>
                    <v:textbox inset="0mm,0mm,0mm,0mm">
                      <w:txbxContent>
                        <w:p w14:paraId="757B13C5">
                          <w:pPr>
                            <w:spacing w:before="19" w:line="227" w:lineRule="auto"/>
                            <w:ind w:left="20"/>
                            <w:rPr>
                              <w:rFonts w:ascii="宋体" w:hAnsi="宋体" w:eastAsia="宋体" w:cs="宋体"/>
                              <w:sz w:val="20"/>
                              <w:szCs w:val="20"/>
                            </w:rPr>
                          </w:pPr>
                          <w:r>
                            <w:rPr>
                              <w:rFonts w:ascii="宋体" w:hAnsi="宋体" w:eastAsia="宋体" w:cs="宋体"/>
                              <w:sz w:val="20"/>
                              <w:szCs w:val="20"/>
                            </w:rPr>
                            <w:t>现场调查</w:t>
                          </w:r>
                        </w:p>
                      </w:txbxContent>
                    </v:textbox>
                  </v:shape>
                  <w10:wrap type="none"/>
                  <w10:anchorlock/>
                </v:group>
              </w:pict>
            </w:r>
          </w:p>
        </w:tc>
      </w:tr>
      <w:tr w14:paraId="37FDE4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8" w:hRule="atLeast"/>
        </w:trPr>
        <w:tc>
          <w:tcPr>
            <w:tcW w:w="571" w:type="dxa"/>
            <w:vMerge w:val="continue"/>
            <w:tcBorders>
              <w:top w:val="nil"/>
            </w:tcBorders>
            <w:vAlign w:val="top"/>
          </w:tcPr>
          <w:p w14:paraId="130914A2">
            <w:pPr>
              <w:rPr>
                <w:rFonts w:ascii="Arial"/>
                <w:sz w:val="21"/>
              </w:rPr>
            </w:pPr>
          </w:p>
        </w:tc>
        <w:tc>
          <w:tcPr>
            <w:tcW w:w="8507" w:type="dxa"/>
            <w:tcBorders>
              <w:top w:val="nil"/>
            </w:tcBorders>
            <w:vAlign w:val="top"/>
          </w:tcPr>
          <w:p w14:paraId="39959339">
            <w:pPr>
              <w:pStyle w:val="6"/>
              <w:spacing w:before="132" w:line="234" w:lineRule="auto"/>
              <w:ind w:left="2633"/>
            </w:pPr>
            <w:r>
              <w:rPr>
                <w:b/>
                <w:bCs/>
                <w:spacing w:val="-3"/>
              </w:rPr>
              <w:t>图</w:t>
            </w:r>
            <w:r>
              <w:rPr>
                <w:spacing w:val="-38"/>
              </w:rPr>
              <w:t xml:space="preserve"> </w:t>
            </w:r>
            <w:r>
              <w:rPr>
                <w:rFonts w:ascii="Times New Roman" w:hAnsi="Times New Roman" w:eastAsia="Times New Roman" w:cs="Times New Roman"/>
                <w:b/>
                <w:bCs/>
                <w:spacing w:val="-3"/>
              </w:rPr>
              <w:t xml:space="preserve">2-3    </w:t>
            </w:r>
            <w:r>
              <w:rPr>
                <w:b/>
                <w:bCs/>
                <w:spacing w:val="-3"/>
              </w:rPr>
              <w:t>输电线路工程施工工艺流程</w:t>
            </w:r>
          </w:p>
          <w:p w14:paraId="65B30BE7">
            <w:pPr>
              <w:pStyle w:val="6"/>
              <w:spacing w:before="193" w:line="235" w:lineRule="auto"/>
              <w:ind w:left="611"/>
              <w:rPr>
                <w:sz w:val="24"/>
                <w:szCs w:val="24"/>
              </w:rPr>
            </w:pPr>
            <w:r>
              <w:rPr>
                <w:rFonts w:ascii="Times New Roman" w:hAnsi="Times New Roman" w:eastAsia="Times New Roman" w:cs="Times New Roman"/>
                <w:spacing w:val="-5"/>
                <w:sz w:val="24"/>
                <w:szCs w:val="24"/>
              </w:rPr>
              <w:t>1</w:t>
            </w:r>
            <w:r>
              <w:rPr>
                <w:spacing w:val="-5"/>
                <w:sz w:val="24"/>
                <w:szCs w:val="24"/>
              </w:rPr>
              <w:t>）施工准备</w:t>
            </w:r>
          </w:p>
          <w:p w14:paraId="7C50CC9A">
            <w:pPr>
              <w:pStyle w:val="6"/>
              <w:spacing w:before="169" w:line="365" w:lineRule="auto"/>
              <w:ind w:left="123" w:right="110" w:firstLine="470"/>
              <w:rPr>
                <w:sz w:val="24"/>
                <w:szCs w:val="24"/>
              </w:rPr>
            </w:pPr>
            <w:r>
              <w:rPr>
                <w:spacing w:val="-4"/>
                <w:sz w:val="24"/>
                <w:szCs w:val="24"/>
              </w:rPr>
              <w:t>主要是根据施工图及坐标现场调查并复测确定基础分坑，及其施工备料及临</w:t>
            </w:r>
            <w:r>
              <w:rPr>
                <w:spacing w:val="-6"/>
                <w:sz w:val="24"/>
                <w:szCs w:val="24"/>
              </w:rPr>
              <w:t>时施工道路的施工。</w:t>
            </w:r>
          </w:p>
          <w:p w14:paraId="40E312D9">
            <w:pPr>
              <w:pStyle w:val="6"/>
              <w:spacing w:line="236" w:lineRule="auto"/>
              <w:ind w:left="588"/>
              <w:rPr>
                <w:sz w:val="24"/>
                <w:szCs w:val="24"/>
              </w:rPr>
            </w:pPr>
            <w:r>
              <w:rPr>
                <w:rFonts w:ascii="Times New Roman" w:hAnsi="Times New Roman" w:eastAsia="Times New Roman" w:cs="Times New Roman"/>
                <w:spacing w:val="-1"/>
                <w:sz w:val="24"/>
                <w:szCs w:val="24"/>
              </w:rPr>
              <w:t>2</w:t>
            </w:r>
            <w:r>
              <w:rPr>
                <w:spacing w:val="-1"/>
                <w:sz w:val="24"/>
                <w:szCs w:val="24"/>
              </w:rPr>
              <w:t>）基础施工</w:t>
            </w:r>
          </w:p>
          <w:p w14:paraId="689008AA">
            <w:pPr>
              <w:pStyle w:val="6"/>
              <w:spacing w:before="165" w:line="365" w:lineRule="auto"/>
              <w:ind w:left="111" w:right="107" w:firstLine="480"/>
              <w:rPr>
                <w:sz w:val="24"/>
                <w:szCs w:val="24"/>
              </w:rPr>
            </w:pPr>
            <w:r>
              <w:rPr>
                <w:spacing w:val="-4"/>
                <w:sz w:val="24"/>
                <w:szCs w:val="24"/>
              </w:rPr>
              <w:t>基础开挖采取人工开挖为主机械为辅的方式，按规范要求进行放坡，土方就</w:t>
            </w:r>
            <w:r>
              <w:rPr>
                <w:spacing w:val="-3"/>
                <w:sz w:val="24"/>
                <w:szCs w:val="24"/>
              </w:rPr>
              <w:t>近堆放，及时回填，同时采用多种作业交叉施工</w:t>
            </w:r>
            <w:r>
              <w:rPr>
                <w:spacing w:val="-4"/>
                <w:sz w:val="24"/>
                <w:szCs w:val="24"/>
              </w:rPr>
              <w:t>。采用不同基础适用于不同地形</w:t>
            </w:r>
            <w:r>
              <w:rPr>
                <w:sz w:val="24"/>
                <w:szCs w:val="24"/>
              </w:rPr>
              <w:t>条件，均按高低基础规划设计。混凝土机械搅拌，机械捣</w:t>
            </w:r>
            <w:r>
              <w:rPr>
                <w:spacing w:val="-1"/>
                <w:sz w:val="24"/>
                <w:szCs w:val="24"/>
              </w:rPr>
              <w:t>固，人工浇水养护。</w:t>
            </w:r>
          </w:p>
          <w:p w14:paraId="22D3E214">
            <w:pPr>
              <w:pStyle w:val="6"/>
              <w:spacing w:line="233" w:lineRule="auto"/>
              <w:ind w:left="592"/>
              <w:rPr>
                <w:sz w:val="24"/>
                <w:szCs w:val="24"/>
              </w:rPr>
            </w:pPr>
            <w:r>
              <w:rPr>
                <w:rFonts w:ascii="Times New Roman" w:hAnsi="Times New Roman" w:eastAsia="Times New Roman" w:cs="Times New Roman"/>
                <w:spacing w:val="-2"/>
                <w:sz w:val="24"/>
                <w:szCs w:val="24"/>
              </w:rPr>
              <w:t>3</w:t>
            </w:r>
            <w:r>
              <w:rPr>
                <w:spacing w:val="-2"/>
                <w:sz w:val="24"/>
                <w:szCs w:val="24"/>
              </w:rPr>
              <w:t>）杆塔施工</w:t>
            </w:r>
          </w:p>
          <w:p w14:paraId="42487C12">
            <w:pPr>
              <w:pStyle w:val="6"/>
              <w:spacing w:before="170" w:line="365" w:lineRule="auto"/>
              <w:ind w:left="112" w:right="42" w:firstLine="479"/>
              <w:rPr>
                <w:sz w:val="24"/>
                <w:szCs w:val="24"/>
              </w:rPr>
            </w:pPr>
            <w:r>
              <w:rPr>
                <w:spacing w:val="-9"/>
                <w:sz w:val="24"/>
                <w:szCs w:val="24"/>
              </w:rPr>
              <w:t>铁塔组立采用分片分段吊装的方法，按吊端在地面分片组装，吊至塔上合拢，</w:t>
            </w:r>
            <w:r>
              <w:rPr>
                <w:spacing w:val="-6"/>
                <w:sz w:val="24"/>
                <w:szCs w:val="24"/>
              </w:rPr>
              <w:t>地线支架与最上段塔身同时吊装。吊装或大件吊装时，</w:t>
            </w:r>
            <w:r>
              <w:rPr>
                <w:spacing w:val="-31"/>
                <w:sz w:val="24"/>
                <w:szCs w:val="24"/>
              </w:rPr>
              <w:t xml:space="preserve"> </w:t>
            </w:r>
            <w:r>
              <w:rPr>
                <w:spacing w:val="-6"/>
                <w:sz w:val="24"/>
                <w:szCs w:val="24"/>
              </w:rPr>
              <w:t>吊点位置要有可靠的保护</w:t>
            </w:r>
            <w:r>
              <w:rPr>
                <w:spacing w:val="-3"/>
                <w:sz w:val="24"/>
                <w:szCs w:val="24"/>
              </w:rPr>
              <w:t>措施，防止塔材出现硬弯变形。</w:t>
            </w:r>
          </w:p>
          <w:p w14:paraId="06D80559">
            <w:pPr>
              <w:pStyle w:val="6"/>
              <w:spacing w:line="234" w:lineRule="auto"/>
              <w:ind w:left="586"/>
              <w:rPr>
                <w:sz w:val="24"/>
                <w:szCs w:val="24"/>
              </w:rPr>
            </w:pPr>
            <w:r>
              <w:rPr>
                <w:rFonts w:ascii="Times New Roman" w:hAnsi="Times New Roman" w:eastAsia="Times New Roman" w:cs="Times New Roman"/>
                <w:spacing w:val="-1"/>
                <w:sz w:val="24"/>
                <w:szCs w:val="24"/>
              </w:rPr>
              <w:t>4</w:t>
            </w:r>
            <w:r>
              <w:rPr>
                <w:spacing w:val="-1"/>
                <w:sz w:val="24"/>
                <w:szCs w:val="24"/>
              </w:rPr>
              <w:t>）架线施工</w:t>
            </w:r>
          </w:p>
          <w:p w14:paraId="20ADAD43">
            <w:pPr>
              <w:pStyle w:val="6"/>
              <w:spacing w:before="168" w:line="318" w:lineRule="auto"/>
              <w:ind w:left="114" w:right="24" w:firstLine="476"/>
              <w:rPr>
                <w:sz w:val="24"/>
                <w:szCs w:val="24"/>
              </w:rPr>
            </w:pPr>
            <w:r>
              <w:rPr>
                <w:spacing w:val="-8"/>
                <w:sz w:val="24"/>
                <w:szCs w:val="24"/>
              </w:rPr>
              <w:t>将架空导（地）线按设计要求的架线应力（驰度）架设于已组立好的杆塔</w:t>
            </w:r>
            <w:r>
              <w:rPr>
                <w:spacing w:val="-9"/>
                <w:sz w:val="24"/>
                <w:szCs w:val="24"/>
              </w:rPr>
              <w:t>上。</w:t>
            </w:r>
            <w:r>
              <w:rPr>
                <w:spacing w:val="-1"/>
                <w:sz w:val="24"/>
                <w:szCs w:val="24"/>
              </w:rPr>
              <w:t>按照施工流程可分为：障碍的消除、挂悬垂绝缘子串和放</w:t>
            </w:r>
            <w:r>
              <w:rPr>
                <w:spacing w:val="-2"/>
                <w:sz w:val="24"/>
                <w:szCs w:val="24"/>
              </w:rPr>
              <w:t>线滑车、放线、紧线、</w:t>
            </w:r>
          </w:p>
        </w:tc>
      </w:tr>
    </w:tbl>
    <w:p w14:paraId="423679EB">
      <w:pPr>
        <w:rPr>
          <w:rFonts w:ascii="Arial"/>
          <w:sz w:val="21"/>
        </w:rPr>
      </w:pPr>
    </w:p>
    <w:p w14:paraId="41DE120C">
      <w:pPr>
        <w:rPr>
          <w:rFonts w:ascii="Arial" w:hAnsi="Arial" w:eastAsia="Arial" w:cs="Arial"/>
          <w:sz w:val="21"/>
          <w:szCs w:val="21"/>
        </w:rPr>
        <w:sectPr>
          <w:footerReference r:id="rId40" w:type="default"/>
          <w:pgSz w:w="11907" w:h="16841"/>
          <w:pgMar w:top="400" w:right="1408" w:bottom="1126" w:left="1414" w:header="0" w:footer="925" w:gutter="0"/>
          <w:cols w:space="720" w:num="1"/>
        </w:sectPr>
      </w:pPr>
    </w:p>
    <w:p w14:paraId="2D29CCD9">
      <w:pPr>
        <w:spacing w:before="2"/>
      </w:pPr>
    </w:p>
    <w:p w14:paraId="6D9BB772">
      <w:pPr>
        <w:spacing w:before="2"/>
      </w:pPr>
    </w:p>
    <w:p w14:paraId="4DC5AA04">
      <w:pPr>
        <w:spacing w:before="1"/>
      </w:pPr>
    </w:p>
    <w:p w14:paraId="36E4087D">
      <w:pPr>
        <w:spacing w:before="1"/>
      </w:pPr>
    </w:p>
    <w:p w14:paraId="4CFC5FF0">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2"/>
        <w:gridCol w:w="1922"/>
        <w:gridCol w:w="3373"/>
        <w:gridCol w:w="2980"/>
        <w:gridCol w:w="120"/>
      </w:tblGrid>
      <w:tr w14:paraId="514B3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79" w:hRule="atLeast"/>
        </w:trPr>
        <w:tc>
          <w:tcPr>
            <w:tcW w:w="571" w:type="dxa"/>
            <w:vMerge w:val="restart"/>
            <w:tcBorders>
              <w:bottom w:val="nil"/>
            </w:tcBorders>
            <w:vAlign w:val="top"/>
          </w:tcPr>
          <w:p w14:paraId="20D78B20">
            <w:pPr>
              <w:rPr>
                <w:rFonts w:ascii="Arial"/>
                <w:sz w:val="21"/>
              </w:rPr>
            </w:pPr>
          </w:p>
        </w:tc>
        <w:tc>
          <w:tcPr>
            <w:tcW w:w="8507" w:type="dxa"/>
            <w:gridSpan w:val="5"/>
            <w:vAlign w:val="top"/>
          </w:tcPr>
          <w:p w14:paraId="7135215D">
            <w:pPr>
              <w:pStyle w:val="6"/>
              <w:spacing w:before="124" w:line="364" w:lineRule="auto"/>
              <w:ind w:left="114" w:right="51" w:hanging="2"/>
              <w:rPr>
                <w:sz w:val="24"/>
                <w:szCs w:val="24"/>
              </w:rPr>
            </w:pPr>
            <w:r>
              <w:rPr>
                <w:spacing w:val="-2"/>
                <w:sz w:val="24"/>
                <w:szCs w:val="24"/>
              </w:rPr>
              <w:t>观测驰度、附件安装、导（地）线的连接。根据地形地貌情况及林地分布情况，分别采用牵张力放线、无人机放线等多种工艺。</w:t>
            </w:r>
          </w:p>
          <w:p w14:paraId="57FF75BC">
            <w:pPr>
              <w:pStyle w:val="6"/>
              <w:spacing w:line="234" w:lineRule="auto"/>
              <w:ind w:left="594"/>
              <w:rPr>
                <w:sz w:val="24"/>
                <w:szCs w:val="24"/>
              </w:rPr>
            </w:pPr>
            <w:r>
              <w:rPr>
                <w:rFonts w:ascii="Times New Roman" w:hAnsi="Times New Roman" w:eastAsia="Times New Roman" w:cs="Times New Roman"/>
                <w:spacing w:val="-4"/>
                <w:sz w:val="24"/>
                <w:szCs w:val="24"/>
              </w:rPr>
              <w:t>5</w:t>
            </w:r>
            <w:r>
              <w:rPr>
                <w:spacing w:val="-4"/>
                <w:sz w:val="24"/>
                <w:szCs w:val="24"/>
              </w:rPr>
              <w:t>）接地安装</w:t>
            </w:r>
          </w:p>
          <w:p w14:paraId="59929438">
            <w:pPr>
              <w:pStyle w:val="6"/>
              <w:spacing w:before="172" w:line="364" w:lineRule="auto"/>
              <w:ind w:left="112" w:right="109" w:firstLine="479"/>
              <w:rPr>
                <w:sz w:val="24"/>
                <w:szCs w:val="24"/>
              </w:rPr>
            </w:pPr>
            <w:r>
              <w:rPr>
                <w:spacing w:val="-4"/>
                <w:sz w:val="24"/>
                <w:szCs w:val="24"/>
              </w:rPr>
              <w:t>接地装置（包括接地体和接地引下线）大部分为地下隐蔽工程，故在施工中</w:t>
            </w:r>
            <w:r>
              <w:rPr>
                <w:spacing w:val="-3"/>
                <w:sz w:val="24"/>
                <w:szCs w:val="24"/>
              </w:rPr>
              <w:t>应严格按照规定操作安装，并需测量接地电</w:t>
            </w:r>
            <w:r>
              <w:rPr>
                <w:spacing w:val="-4"/>
                <w:sz w:val="24"/>
                <w:szCs w:val="24"/>
              </w:rPr>
              <w:t>阻值，使其符合要求后，才能投入运</w:t>
            </w:r>
            <w:r>
              <w:rPr>
                <w:spacing w:val="-12"/>
                <w:sz w:val="24"/>
                <w:szCs w:val="24"/>
              </w:rPr>
              <w:t>行。</w:t>
            </w:r>
          </w:p>
          <w:p w14:paraId="4A5BE0B5">
            <w:pPr>
              <w:pStyle w:val="6"/>
              <w:spacing w:line="234"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）间隔扩建工程</w:t>
            </w:r>
          </w:p>
          <w:p w14:paraId="08BC11E3">
            <w:pPr>
              <w:pStyle w:val="6"/>
              <w:spacing w:before="170" w:line="365" w:lineRule="auto"/>
              <w:ind w:left="112" w:right="42" w:firstLine="479"/>
              <w:rPr>
                <w:sz w:val="24"/>
                <w:szCs w:val="24"/>
              </w:rPr>
            </w:pPr>
            <w:r>
              <w:rPr>
                <w:spacing w:val="-9"/>
                <w:sz w:val="24"/>
                <w:szCs w:val="24"/>
              </w:rPr>
              <w:t>施工阶段主要分为场地土石方施工、构筑物及基础施工、设备及缆线安装等，</w:t>
            </w:r>
            <w:r>
              <w:rPr>
                <w:spacing w:val="-3"/>
                <w:sz w:val="24"/>
                <w:szCs w:val="24"/>
              </w:rPr>
              <w:t>根据需要部分施工步骤可交叉进行。</w:t>
            </w:r>
          </w:p>
          <w:p w14:paraId="0A540169">
            <w:pPr>
              <w:pStyle w:val="6"/>
              <w:spacing w:line="217" w:lineRule="auto"/>
              <w:ind w:left="591"/>
              <w:rPr>
                <w:sz w:val="24"/>
                <w:szCs w:val="24"/>
              </w:rPr>
            </w:pPr>
            <w:r>
              <w:rPr>
                <w:spacing w:val="-2"/>
                <w:sz w:val="24"/>
                <w:szCs w:val="24"/>
              </w:rPr>
              <w:t>①土石方工程</w:t>
            </w:r>
          </w:p>
          <w:p w14:paraId="79445B9B">
            <w:pPr>
              <w:pStyle w:val="6"/>
              <w:spacing w:before="189" w:line="365" w:lineRule="auto"/>
              <w:ind w:left="116" w:right="33" w:firstLine="477"/>
              <w:rPr>
                <w:sz w:val="24"/>
                <w:szCs w:val="24"/>
              </w:rPr>
            </w:pPr>
            <w:r>
              <w:rPr>
                <w:spacing w:val="-7"/>
                <w:sz w:val="24"/>
                <w:szCs w:val="24"/>
              </w:rPr>
              <w:t>土方工程主要包括场地平整、基础开挖， 电缆沟开挖。挖方区按</w:t>
            </w:r>
            <w:r>
              <w:rPr>
                <w:spacing w:val="-8"/>
                <w:sz w:val="24"/>
                <w:szCs w:val="24"/>
              </w:rPr>
              <w:t>设计标高进</w:t>
            </w:r>
            <w:r>
              <w:rPr>
                <w:spacing w:val="-1"/>
                <w:sz w:val="24"/>
                <w:szCs w:val="24"/>
              </w:rPr>
              <w:t>行开挖，开挖宜从上到下分层分段依次进行，</w:t>
            </w:r>
            <w:r>
              <w:rPr>
                <w:spacing w:val="-2"/>
                <w:sz w:val="24"/>
                <w:szCs w:val="24"/>
              </w:rPr>
              <w:t>随时做成一定的坡度以利于泄水。</w:t>
            </w:r>
          </w:p>
          <w:p w14:paraId="585B1AE8">
            <w:pPr>
              <w:pStyle w:val="6"/>
              <w:spacing w:line="217" w:lineRule="auto"/>
              <w:ind w:left="590"/>
              <w:rPr>
                <w:sz w:val="24"/>
                <w:szCs w:val="24"/>
              </w:rPr>
            </w:pPr>
            <w:r>
              <w:rPr>
                <w:spacing w:val="-2"/>
                <w:sz w:val="24"/>
                <w:szCs w:val="24"/>
              </w:rPr>
              <w:t>②基础施工</w:t>
            </w:r>
          </w:p>
          <w:p w14:paraId="1CAACCB3">
            <w:pPr>
              <w:pStyle w:val="6"/>
              <w:spacing w:before="194" w:line="364" w:lineRule="auto"/>
              <w:ind w:left="113" w:right="106" w:firstLine="481"/>
              <w:rPr>
                <w:sz w:val="24"/>
                <w:szCs w:val="24"/>
              </w:rPr>
            </w:pPr>
            <w:r>
              <w:rPr>
                <w:spacing w:val="-1"/>
                <w:sz w:val="24"/>
                <w:szCs w:val="24"/>
              </w:rPr>
              <w:t>构支架基础施工步骤为：定位放线</w:t>
            </w:r>
            <w:r>
              <w:rPr>
                <w:rFonts w:ascii="Times New Roman" w:hAnsi="Times New Roman" w:eastAsia="Times New Roman" w:cs="Times New Roman"/>
                <w:spacing w:val="-1"/>
                <w:sz w:val="24"/>
                <w:szCs w:val="24"/>
              </w:rPr>
              <w:t>-</w:t>
            </w:r>
            <w:r>
              <w:rPr>
                <w:spacing w:val="-1"/>
                <w:sz w:val="24"/>
                <w:szCs w:val="24"/>
              </w:rPr>
              <w:t>基坑开挖</w:t>
            </w:r>
            <w:r>
              <w:rPr>
                <w:rFonts w:ascii="Times New Roman" w:hAnsi="Times New Roman" w:eastAsia="Times New Roman" w:cs="Times New Roman"/>
                <w:spacing w:val="-1"/>
                <w:sz w:val="24"/>
                <w:szCs w:val="24"/>
              </w:rPr>
              <w:t>-</w:t>
            </w:r>
            <w:r>
              <w:rPr>
                <w:spacing w:val="-1"/>
                <w:sz w:val="24"/>
                <w:szCs w:val="24"/>
              </w:rPr>
              <w:t>基坑检查</w:t>
            </w:r>
            <w:r>
              <w:rPr>
                <w:rFonts w:ascii="Times New Roman" w:hAnsi="Times New Roman" w:eastAsia="Times New Roman" w:cs="Times New Roman"/>
                <w:spacing w:val="-1"/>
                <w:sz w:val="24"/>
                <w:szCs w:val="24"/>
              </w:rPr>
              <w:t>-</w:t>
            </w:r>
            <w:r>
              <w:rPr>
                <w:spacing w:val="-1"/>
                <w:sz w:val="24"/>
                <w:szCs w:val="24"/>
              </w:rPr>
              <w:t>垫层浇制</w:t>
            </w:r>
            <w:r>
              <w:rPr>
                <w:rFonts w:ascii="Times New Roman" w:hAnsi="Times New Roman" w:eastAsia="Times New Roman" w:cs="Times New Roman"/>
                <w:spacing w:val="-1"/>
                <w:sz w:val="24"/>
                <w:szCs w:val="24"/>
              </w:rPr>
              <w:t>-</w:t>
            </w:r>
            <w:r>
              <w:rPr>
                <w:spacing w:val="-2"/>
                <w:sz w:val="24"/>
                <w:szCs w:val="24"/>
              </w:rPr>
              <w:t>装阶梯模</w:t>
            </w:r>
            <w:r>
              <w:rPr>
                <w:rFonts w:ascii="Times New Roman" w:hAnsi="Times New Roman" w:eastAsia="Times New Roman" w:cs="Times New Roman"/>
                <w:spacing w:val="-2"/>
                <w:sz w:val="24"/>
                <w:szCs w:val="24"/>
              </w:rPr>
              <w:t>-</w:t>
            </w:r>
            <w:r>
              <w:rPr>
                <w:spacing w:val="-1"/>
                <w:sz w:val="24"/>
                <w:szCs w:val="24"/>
              </w:rPr>
              <w:t>安钢筋笼</w:t>
            </w:r>
            <w:r>
              <w:rPr>
                <w:rFonts w:ascii="Times New Roman" w:hAnsi="Times New Roman" w:eastAsia="Times New Roman" w:cs="Times New Roman"/>
                <w:spacing w:val="-1"/>
                <w:sz w:val="24"/>
                <w:szCs w:val="24"/>
              </w:rPr>
              <w:t>-</w:t>
            </w:r>
            <w:r>
              <w:rPr>
                <w:spacing w:val="-1"/>
                <w:sz w:val="24"/>
                <w:szCs w:val="24"/>
              </w:rPr>
              <w:t>基础浇制</w:t>
            </w:r>
            <w:r>
              <w:rPr>
                <w:rFonts w:ascii="Times New Roman" w:hAnsi="Times New Roman" w:eastAsia="Times New Roman" w:cs="Times New Roman"/>
                <w:spacing w:val="-1"/>
                <w:sz w:val="24"/>
                <w:szCs w:val="24"/>
              </w:rPr>
              <w:t>-</w:t>
            </w:r>
            <w:r>
              <w:rPr>
                <w:spacing w:val="-1"/>
                <w:sz w:val="24"/>
                <w:szCs w:val="24"/>
              </w:rPr>
              <w:t>杯口模定位</w:t>
            </w:r>
            <w:r>
              <w:rPr>
                <w:rFonts w:ascii="Times New Roman" w:hAnsi="Times New Roman" w:eastAsia="Times New Roman" w:cs="Times New Roman"/>
                <w:spacing w:val="-1"/>
                <w:sz w:val="24"/>
                <w:szCs w:val="24"/>
              </w:rPr>
              <w:t>-</w:t>
            </w:r>
            <w:r>
              <w:rPr>
                <w:spacing w:val="-1"/>
                <w:sz w:val="24"/>
                <w:szCs w:val="24"/>
              </w:rPr>
              <w:t>脱杯口模</w:t>
            </w:r>
            <w:r>
              <w:rPr>
                <w:rFonts w:ascii="Times New Roman" w:hAnsi="Times New Roman" w:eastAsia="Times New Roman" w:cs="Times New Roman"/>
                <w:spacing w:val="-1"/>
                <w:sz w:val="24"/>
                <w:szCs w:val="24"/>
              </w:rPr>
              <w:t>-</w:t>
            </w:r>
            <w:r>
              <w:rPr>
                <w:spacing w:val="-1"/>
                <w:sz w:val="24"/>
                <w:szCs w:val="24"/>
              </w:rPr>
              <w:t>养护</w:t>
            </w:r>
            <w:r>
              <w:rPr>
                <w:rFonts w:ascii="Times New Roman" w:hAnsi="Times New Roman" w:eastAsia="Times New Roman" w:cs="Times New Roman"/>
                <w:spacing w:val="-1"/>
                <w:sz w:val="24"/>
                <w:szCs w:val="24"/>
              </w:rPr>
              <w:t>-</w:t>
            </w:r>
            <w:r>
              <w:rPr>
                <w:spacing w:val="-1"/>
                <w:sz w:val="24"/>
                <w:szCs w:val="24"/>
              </w:rPr>
              <w:t>画中心线和标高点。所有</w:t>
            </w:r>
            <w:r>
              <w:rPr>
                <w:spacing w:val="-2"/>
                <w:sz w:val="24"/>
                <w:szCs w:val="24"/>
              </w:rPr>
              <w:t>户外构</w:t>
            </w:r>
            <w:r>
              <w:rPr>
                <w:spacing w:val="-3"/>
                <w:sz w:val="24"/>
                <w:szCs w:val="24"/>
              </w:rPr>
              <w:t>架基础均采用重力式混凝土独立基础。</w:t>
            </w:r>
          </w:p>
          <w:p w14:paraId="6A7A46B7">
            <w:pPr>
              <w:pStyle w:val="6"/>
              <w:spacing w:before="1" w:line="217" w:lineRule="auto"/>
              <w:ind w:left="590"/>
              <w:rPr>
                <w:sz w:val="24"/>
                <w:szCs w:val="24"/>
              </w:rPr>
            </w:pPr>
            <w:r>
              <w:rPr>
                <w:spacing w:val="-2"/>
                <w:sz w:val="24"/>
                <w:szCs w:val="24"/>
              </w:rPr>
              <w:t>③设备安装</w:t>
            </w:r>
          </w:p>
          <w:p w14:paraId="364C98DD">
            <w:pPr>
              <w:pStyle w:val="6"/>
              <w:spacing w:before="191" w:line="365" w:lineRule="auto"/>
              <w:ind w:left="120" w:right="109" w:firstLine="492"/>
              <w:rPr>
                <w:sz w:val="24"/>
                <w:szCs w:val="24"/>
              </w:rPr>
            </w:pPr>
            <w:r>
              <w:rPr>
                <w:spacing w:val="-4"/>
                <w:sz w:val="24"/>
                <w:szCs w:val="24"/>
              </w:rPr>
              <w:t>出线间隔电气设备采用吊车吊运安装，安装到位后进</w:t>
            </w:r>
            <w:r>
              <w:rPr>
                <w:spacing w:val="-5"/>
                <w:sz w:val="24"/>
                <w:szCs w:val="24"/>
              </w:rPr>
              <w:t>行线缆连接，经调试验</w:t>
            </w:r>
            <w:r>
              <w:rPr>
                <w:spacing w:val="-6"/>
                <w:sz w:val="24"/>
                <w:szCs w:val="24"/>
              </w:rPr>
              <w:t>收合格后投入运行。</w:t>
            </w:r>
          </w:p>
          <w:p w14:paraId="43AE2D49">
            <w:pPr>
              <w:pStyle w:val="6"/>
              <w:spacing w:before="1" w:line="232" w:lineRule="auto"/>
              <w:ind w:left="108"/>
              <w:rPr>
                <w:sz w:val="24"/>
                <w:szCs w:val="24"/>
              </w:rPr>
            </w:pPr>
            <w:r>
              <w:rPr>
                <w:rFonts w:ascii="Times New Roman" w:hAnsi="Times New Roman" w:eastAsia="Times New Roman" w:cs="Times New Roman"/>
                <w:b/>
                <w:bCs/>
                <w:spacing w:val="-3"/>
                <w:sz w:val="24"/>
                <w:szCs w:val="24"/>
              </w:rPr>
              <w:t>2</w:t>
            </w:r>
            <w:r>
              <w:rPr>
                <w:b/>
                <w:bCs/>
                <w:spacing w:val="-3"/>
                <w:sz w:val="24"/>
                <w:szCs w:val="24"/>
              </w:rPr>
              <w:t>、主要施工机械</w:t>
            </w:r>
          </w:p>
          <w:p w14:paraId="209E3181">
            <w:pPr>
              <w:pStyle w:val="6"/>
              <w:spacing w:before="170" w:line="219" w:lineRule="auto"/>
              <w:ind w:left="591"/>
              <w:rPr>
                <w:sz w:val="24"/>
                <w:szCs w:val="24"/>
              </w:rPr>
            </w:pPr>
            <w:r>
              <w:rPr>
                <w:spacing w:val="-1"/>
                <w:sz w:val="24"/>
                <w:szCs w:val="24"/>
              </w:rPr>
              <w:t>施工期主要施工机械见下表。</w:t>
            </w:r>
          </w:p>
          <w:p w14:paraId="71FE6D41">
            <w:pPr>
              <w:pStyle w:val="6"/>
              <w:spacing w:before="127" w:line="223" w:lineRule="auto"/>
              <w:ind w:left="2611"/>
            </w:pPr>
            <w:r>
              <w:rPr>
                <w:b/>
                <w:bCs/>
                <w:spacing w:val="-2"/>
              </w:rPr>
              <w:t>表</w:t>
            </w:r>
            <w:r>
              <w:rPr>
                <w:spacing w:val="-36"/>
              </w:rPr>
              <w:t xml:space="preserve"> </w:t>
            </w:r>
            <w:r>
              <w:rPr>
                <w:rFonts w:ascii="Times New Roman" w:hAnsi="Times New Roman" w:eastAsia="Times New Roman" w:cs="Times New Roman"/>
                <w:b/>
                <w:bCs/>
                <w:spacing w:val="-2"/>
              </w:rPr>
              <w:t xml:space="preserve">2-7    </w:t>
            </w:r>
            <w:r>
              <w:rPr>
                <w:b/>
                <w:bCs/>
                <w:spacing w:val="-2"/>
              </w:rPr>
              <w:t>本工程主要施工机械一览表</w:t>
            </w:r>
          </w:p>
        </w:tc>
      </w:tr>
      <w:tr w14:paraId="09E7F3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23A2F570">
            <w:pPr>
              <w:rPr>
                <w:rFonts w:ascii="Arial"/>
                <w:sz w:val="21"/>
              </w:rPr>
            </w:pPr>
          </w:p>
        </w:tc>
        <w:tc>
          <w:tcPr>
            <w:tcW w:w="112" w:type="dxa"/>
            <w:tcBorders>
              <w:top w:val="nil"/>
              <w:bottom w:val="nil"/>
            </w:tcBorders>
            <w:vAlign w:val="top"/>
          </w:tcPr>
          <w:p w14:paraId="3ADBC55C">
            <w:pPr>
              <w:rPr>
                <w:rFonts w:ascii="Arial"/>
                <w:sz w:val="21"/>
              </w:rPr>
            </w:pPr>
          </w:p>
        </w:tc>
        <w:tc>
          <w:tcPr>
            <w:tcW w:w="1922" w:type="dxa"/>
            <w:vAlign w:val="top"/>
          </w:tcPr>
          <w:p w14:paraId="0C9FA379">
            <w:pPr>
              <w:pStyle w:val="6"/>
              <w:spacing w:before="57" w:line="221" w:lineRule="auto"/>
              <w:ind w:left="752"/>
            </w:pPr>
            <w:r>
              <w:rPr>
                <w:b/>
                <w:bCs/>
                <w:spacing w:val="-4"/>
              </w:rPr>
              <w:t>序号</w:t>
            </w:r>
          </w:p>
        </w:tc>
        <w:tc>
          <w:tcPr>
            <w:tcW w:w="3373" w:type="dxa"/>
            <w:vAlign w:val="top"/>
          </w:tcPr>
          <w:p w14:paraId="18B07D33">
            <w:pPr>
              <w:pStyle w:val="6"/>
              <w:spacing w:before="57" w:line="220" w:lineRule="auto"/>
              <w:ind w:left="1269"/>
            </w:pPr>
            <w:r>
              <w:rPr>
                <w:b/>
                <w:bCs/>
                <w:spacing w:val="-3"/>
              </w:rPr>
              <w:t>施工机械</w:t>
            </w:r>
          </w:p>
        </w:tc>
        <w:tc>
          <w:tcPr>
            <w:tcW w:w="2980" w:type="dxa"/>
            <w:vAlign w:val="top"/>
          </w:tcPr>
          <w:p w14:paraId="17422456">
            <w:pPr>
              <w:pStyle w:val="6"/>
              <w:spacing w:before="57" w:line="221" w:lineRule="auto"/>
              <w:ind w:left="1289"/>
            </w:pPr>
            <w:r>
              <w:rPr>
                <w:b/>
                <w:bCs/>
                <w:spacing w:val="-5"/>
              </w:rPr>
              <w:t>备注</w:t>
            </w:r>
          </w:p>
        </w:tc>
        <w:tc>
          <w:tcPr>
            <w:tcW w:w="120" w:type="dxa"/>
            <w:tcBorders>
              <w:top w:val="nil"/>
              <w:bottom w:val="nil"/>
            </w:tcBorders>
            <w:vAlign w:val="top"/>
          </w:tcPr>
          <w:p w14:paraId="42EA386F">
            <w:pPr>
              <w:rPr>
                <w:rFonts w:ascii="Arial"/>
                <w:sz w:val="21"/>
              </w:rPr>
            </w:pPr>
          </w:p>
        </w:tc>
      </w:tr>
      <w:tr w14:paraId="59AA2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5EDEC51A">
            <w:pPr>
              <w:rPr>
                <w:rFonts w:ascii="Arial"/>
                <w:sz w:val="21"/>
              </w:rPr>
            </w:pPr>
          </w:p>
        </w:tc>
        <w:tc>
          <w:tcPr>
            <w:tcW w:w="112" w:type="dxa"/>
            <w:tcBorders>
              <w:top w:val="nil"/>
              <w:bottom w:val="nil"/>
            </w:tcBorders>
            <w:vAlign w:val="top"/>
          </w:tcPr>
          <w:p w14:paraId="7BB3B673">
            <w:pPr>
              <w:rPr>
                <w:rFonts w:ascii="Arial"/>
                <w:sz w:val="21"/>
              </w:rPr>
            </w:pPr>
          </w:p>
        </w:tc>
        <w:tc>
          <w:tcPr>
            <w:tcW w:w="1922" w:type="dxa"/>
            <w:vAlign w:val="top"/>
          </w:tcPr>
          <w:p w14:paraId="7B56DAEA">
            <w:pPr>
              <w:spacing w:before="94" w:line="215" w:lineRule="auto"/>
              <w:ind w:left="927"/>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3373" w:type="dxa"/>
            <w:vAlign w:val="top"/>
          </w:tcPr>
          <w:p w14:paraId="6E28151C">
            <w:pPr>
              <w:pStyle w:val="6"/>
              <w:spacing w:before="59" w:line="220" w:lineRule="auto"/>
              <w:ind w:left="1376"/>
            </w:pPr>
            <w:r>
              <w:rPr>
                <w:spacing w:val="-2"/>
              </w:rPr>
              <w:t>起重机</w:t>
            </w:r>
          </w:p>
        </w:tc>
        <w:tc>
          <w:tcPr>
            <w:tcW w:w="2980" w:type="dxa"/>
            <w:vAlign w:val="top"/>
          </w:tcPr>
          <w:p w14:paraId="7962050A">
            <w:pPr>
              <w:pStyle w:val="6"/>
              <w:spacing w:before="59" w:line="220" w:lineRule="auto"/>
              <w:ind w:left="1077"/>
            </w:pPr>
            <w:r>
              <w:rPr>
                <w:spacing w:val="-2"/>
              </w:rPr>
              <w:t>材料装卸</w:t>
            </w:r>
          </w:p>
        </w:tc>
        <w:tc>
          <w:tcPr>
            <w:tcW w:w="120" w:type="dxa"/>
            <w:tcBorders>
              <w:top w:val="nil"/>
              <w:bottom w:val="nil"/>
            </w:tcBorders>
            <w:vAlign w:val="top"/>
          </w:tcPr>
          <w:p w14:paraId="1EDBC644">
            <w:pPr>
              <w:rPr>
                <w:rFonts w:ascii="Arial"/>
                <w:sz w:val="21"/>
              </w:rPr>
            </w:pPr>
          </w:p>
        </w:tc>
      </w:tr>
      <w:tr w14:paraId="73B37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017EEB24">
            <w:pPr>
              <w:rPr>
                <w:rFonts w:ascii="Arial"/>
                <w:sz w:val="21"/>
              </w:rPr>
            </w:pPr>
          </w:p>
        </w:tc>
        <w:tc>
          <w:tcPr>
            <w:tcW w:w="112" w:type="dxa"/>
            <w:tcBorders>
              <w:top w:val="nil"/>
              <w:bottom w:val="nil"/>
            </w:tcBorders>
            <w:vAlign w:val="top"/>
          </w:tcPr>
          <w:p w14:paraId="677C4342">
            <w:pPr>
              <w:rPr>
                <w:rFonts w:ascii="Arial"/>
                <w:sz w:val="21"/>
              </w:rPr>
            </w:pPr>
          </w:p>
        </w:tc>
        <w:tc>
          <w:tcPr>
            <w:tcW w:w="1922" w:type="dxa"/>
            <w:vAlign w:val="top"/>
          </w:tcPr>
          <w:p w14:paraId="17D8BEAF">
            <w:pPr>
              <w:spacing w:before="93" w:line="217" w:lineRule="auto"/>
              <w:ind w:left="907"/>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3373" w:type="dxa"/>
            <w:vAlign w:val="top"/>
          </w:tcPr>
          <w:p w14:paraId="046927D8">
            <w:pPr>
              <w:pStyle w:val="6"/>
              <w:spacing w:before="57" w:line="221" w:lineRule="auto"/>
              <w:ind w:left="1273"/>
            </w:pPr>
            <w:r>
              <w:rPr>
                <w:spacing w:val="-2"/>
              </w:rPr>
              <w:t>载重汽车</w:t>
            </w:r>
          </w:p>
        </w:tc>
        <w:tc>
          <w:tcPr>
            <w:tcW w:w="2980" w:type="dxa"/>
            <w:vAlign w:val="top"/>
          </w:tcPr>
          <w:p w14:paraId="2F287AFC">
            <w:pPr>
              <w:pStyle w:val="6"/>
              <w:spacing w:before="58" w:line="220" w:lineRule="auto"/>
              <w:ind w:left="869"/>
            </w:pPr>
            <w:r>
              <w:rPr>
                <w:spacing w:val="-1"/>
              </w:rPr>
              <w:t>材料汽车运输</w:t>
            </w:r>
          </w:p>
        </w:tc>
        <w:tc>
          <w:tcPr>
            <w:tcW w:w="120" w:type="dxa"/>
            <w:tcBorders>
              <w:top w:val="nil"/>
              <w:bottom w:val="nil"/>
            </w:tcBorders>
            <w:vAlign w:val="top"/>
          </w:tcPr>
          <w:p w14:paraId="27E7ACC3">
            <w:pPr>
              <w:rPr>
                <w:rFonts w:ascii="Arial"/>
                <w:sz w:val="21"/>
              </w:rPr>
            </w:pPr>
          </w:p>
        </w:tc>
      </w:tr>
      <w:tr w14:paraId="01759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5A51BD65">
            <w:pPr>
              <w:rPr>
                <w:rFonts w:ascii="Arial"/>
                <w:sz w:val="21"/>
              </w:rPr>
            </w:pPr>
          </w:p>
        </w:tc>
        <w:tc>
          <w:tcPr>
            <w:tcW w:w="112" w:type="dxa"/>
            <w:tcBorders>
              <w:top w:val="nil"/>
              <w:bottom w:val="nil"/>
            </w:tcBorders>
            <w:vAlign w:val="top"/>
          </w:tcPr>
          <w:p w14:paraId="42CD8FB3">
            <w:pPr>
              <w:rPr>
                <w:rFonts w:ascii="Arial"/>
                <w:sz w:val="21"/>
              </w:rPr>
            </w:pPr>
          </w:p>
        </w:tc>
        <w:tc>
          <w:tcPr>
            <w:tcW w:w="1922" w:type="dxa"/>
            <w:vAlign w:val="top"/>
          </w:tcPr>
          <w:p w14:paraId="3BDD6D4F">
            <w:pPr>
              <w:spacing w:before="92" w:line="217" w:lineRule="auto"/>
              <w:ind w:left="911"/>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3373" w:type="dxa"/>
            <w:vAlign w:val="top"/>
          </w:tcPr>
          <w:p w14:paraId="7BE39584">
            <w:pPr>
              <w:pStyle w:val="6"/>
              <w:spacing w:before="57" w:line="221" w:lineRule="auto"/>
              <w:ind w:left="1063"/>
            </w:pPr>
            <w:r>
              <w:rPr>
                <w:spacing w:val="-2"/>
              </w:rPr>
              <w:t>混凝土振捣器</w:t>
            </w:r>
          </w:p>
        </w:tc>
        <w:tc>
          <w:tcPr>
            <w:tcW w:w="2980" w:type="dxa"/>
            <w:vAlign w:val="top"/>
          </w:tcPr>
          <w:p w14:paraId="74D4C0A7">
            <w:pPr>
              <w:pStyle w:val="6"/>
              <w:spacing w:before="57" w:line="223" w:lineRule="auto"/>
              <w:ind w:left="1077"/>
            </w:pPr>
            <w:r>
              <w:rPr>
                <w:spacing w:val="-2"/>
              </w:rPr>
              <w:t>基础施工</w:t>
            </w:r>
          </w:p>
        </w:tc>
        <w:tc>
          <w:tcPr>
            <w:tcW w:w="120" w:type="dxa"/>
            <w:tcBorders>
              <w:top w:val="nil"/>
              <w:bottom w:val="nil"/>
            </w:tcBorders>
            <w:vAlign w:val="top"/>
          </w:tcPr>
          <w:p w14:paraId="7EAABFAF">
            <w:pPr>
              <w:rPr>
                <w:rFonts w:ascii="Arial"/>
                <w:sz w:val="21"/>
              </w:rPr>
            </w:pPr>
          </w:p>
        </w:tc>
      </w:tr>
      <w:tr w14:paraId="1924F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7708B612">
            <w:pPr>
              <w:rPr>
                <w:rFonts w:ascii="Arial"/>
                <w:sz w:val="21"/>
              </w:rPr>
            </w:pPr>
          </w:p>
        </w:tc>
        <w:tc>
          <w:tcPr>
            <w:tcW w:w="112" w:type="dxa"/>
            <w:tcBorders>
              <w:top w:val="nil"/>
              <w:bottom w:val="nil"/>
            </w:tcBorders>
            <w:vAlign w:val="top"/>
          </w:tcPr>
          <w:p w14:paraId="182E402A">
            <w:pPr>
              <w:rPr>
                <w:rFonts w:ascii="Arial"/>
                <w:sz w:val="21"/>
              </w:rPr>
            </w:pPr>
          </w:p>
        </w:tc>
        <w:tc>
          <w:tcPr>
            <w:tcW w:w="1922" w:type="dxa"/>
            <w:vAlign w:val="top"/>
          </w:tcPr>
          <w:p w14:paraId="0FAF6D54">
            <w:pPr>
              <w:spacing w:before="93" w:line="216" w:lineRule="auto"/>
              <w:ind w:left="906"/>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3373" w:type="dxa"/>
            <w:vAlign w:val="top"/>
          </w:tcPr>
          <w:p w14:paraId="2A4C1533">
            <w:pPr>
              <w:pStyle w:val="6"/>
              <w:spacing w:before="58" w:line="220" w:lineRule="auto"/>
              <w:ind w:left="1374"/>
            </w:pPr>
            <w:r>
              <w:rPr>
                <w:spacing w:val="-1"/>
              </w:rPr>
              <w:t>挖掘机</w:t>
            </w:r>
          </w:p>
        </w:tc>
        <w:tc>
          <w:tcPr>
            <w:tcW w:w="2980" w:type="dxa"/>
            <w:vAlign w:val="top"/>
          </w:tcPr>
          <w:p w14:paraId="26B977C4">
            <w:pPr>
              <w:pStyle w:val="6"/>
              <w:spacing w:before="58" w:line="222" w:lineRule="auto"/>
              <w:ind w:left="1077"/>
            </w:pPr>
            <w:r>
              <w:rPr>
                <w:spacing w:val="-2"/>
              </w:rPr>
              <w:t>基础施工</w:t>
            </w:r>
          </w:p>
        </w:tc>
        <w:tc>
          <w:tcPr>
            <w:tcW w:w="120" w:type="dxa"/>
            <w:tcBorders>
              <w:top w:val="nil"/>
              <w:bottom w:val="nil"/>
            </w:tcBorders>
            <w:vAlign w:val="top"/>
          </w:tcPr>
          <w:p w14:paraId="588972C9">
            <w:pPr>
              <w:rPr>
                <w:rFonts w:ascii="Arial"/>
                <w:sz w:val="21"/>
              </w:rPr>
            </w:pPr>
          </w:p>
        </w:tc>
      </w:tr>
      <w:tr w14:paraId="68273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5E820593">
            <w:pPr>
              <w:rPr>
                <w:rFonts w:ascii="Arial"/>
                <w:sz w:val="21"/>
              </w:rPr>
            </w:pPr>
          </w:p>
        </w:tc>
        <w:tc>
          <w:tcPr>
            <w:tcW w:w="112" w:type="dxa"/>
            <w:tcBorders>
              <w:top w:val="nil"/>
              <w:bottom w:val="nil"/>
            </w:tcBorders>
            <w:vAlign w:val="top"/>
          </w:tcPr>
          <w:p w14:paraId="617B0BB1">
            <w:pPr>
              <w:rPr>
                <w:rFonts w:ascii="Arial"/>
                <w:sz w:val="21"/>
              </w:rPr>
            </w:pPr>
          </w:p>
        </w:tc>
        <w:tc>
          <w:tcPr>
            <w:tcW w:w="1922" w:type="dxa"/>
            <w:vAlign w:val="top"/>
          </w:tcPr>
          <w:p w14:paraId="5BCC2007">
            <w:pPr>
              <w:spacing w:before="93" w:line="216" w:lineRule="auto"/>
              <w:ind w:left="913"/>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3373" w:type="dxa"/>
            <w:vAlign w:val="top"/>
          </w:tcPr>
          <w:p w14:paraId="39CB6A80">
            <w:pPr>
              <w:pStyle w:val="6"/>
              <w:spacing w:before="58" w:line="220" w:lineRule="auto"/>
              <w:ind w:left="1191"/>
            </w:pPr>
            <w:r>
              <w:rPr>
                <w:spacing w:val="-6"/>
              </w:rPr>
              <w:t>电动卷扬机</w:t>
            </w:r>
          </w:p>
        </w:tc>
        <w:tc>
          <w:tcPr>
            <w:tcW w:w="2980" w:type="dxa"/>
            <w:vAlign w:val="top"/>
          </w:tcPr>
          <w:p w14:paraId="588D4301">
            <w:pPr>
              <w:pStyle w:val="6"/>
              <w:spacing w:before="58" w:line="221" w:lineRule="auto"/>
              <w:ind w:left="1183"/>
            </w:pPr>
            <w:r>
              <w:rPr>
                <w:spacing w:val="-2"/>
              </w:rPr>
              <w:t>放紧线</w:t>
            </w:r>
          </w:p>
        </w:tc>
        <w:tc>
          <w:tcPr>
            <w:tcW w:w="120" w:type="dxa"/>
            <w:tcBorders>
              <w:top w:val="nil"/>
              <w:bottom w:val="nil"/>
            </w:tcBorders>
            <w:vAlign w:val="top"/>
          </w:tcPr>
          <w:p w14:paraId="14B1E13E">
            <w:pPr>
              <w:rPr>
                <w:rFonts w:ascii="Arial"/>
                <w:sz w:val="21"/>
              </w:rPr>
            </w:pPr>
          </w:p>
        </w:tc>
      </w:tr>
      <w:tr w14:paraId="2391FE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497594C8">
            <w:pPr>
              <w:rPr>
                <w:rFonts w:ascii="Arial"/>
                <w:sz w:val="21"/>
              </w:rPr>
            </w:pPr>
          </w:p>
        </w:tc>
        <w:tc>
          <w:tcPr>
            <w:tcW w:w="112" w:type="dxa"/>
            <w:tcBorders>
              <w:top w:val="nil"/>
              <w:bottom w:val="nil"/>
            </w:tcBorders>
            <w:vAlign w:val="top"/>
          </w:tcPr>
          <w:p w14:paraId="77FC718E">
            <w:pPr>
              <w:rPr>
                <w:rFonts w:ascii="Arial"/>
                <w:sz w:val="21"/>
              </w:rPr>
            </w:pPr>
          </w:p>
        </w:tc>
        <w:tc>
          <w:tcPr>
            <w:tcW w:w="1922" w:type="dxa"/>
            <w:vAlign w:val="top"/>
          </w:tcPr>
          <w:p w14:paraId="1801F697">
            <w:pPr>
              <w:spacing w:before="93" w:line="214" w:lineRule="auto"/>
              <w:ind w:left="912"/>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3373" w:type="dxa"/>
            <w:vAlign w:val="top"/>
          </w:tcPr>
          <w:p w14:paraId="7B53A00E">
            <w:pPr>
              <w:pStyle w:val="6"/>
              <w:spacing w:before="58" w:line="220" w:lineRule="auto"/>
              <w:ind w:left="1170"/>
            </w:pPr>
            <w:r>
              <w:rPr>
                <w:spacing w:val="-2"/>
              </w:rPr>
              <w:t>交流电焊机</w:t>
            </w:r>
          </w:p>
        </w:tc>
        <w:tc>
          <w:tcPr>
            <w:tcW w:w="2980" w:type="dxa"/>
            <w:vAlign w:val="top"/>
          </w:tcPr>
          <w:p w14:paraId="06EA923D">
            <w:pPr>
              <w:pStyle w:val="6"/>
              <w:spacing w:before="58" w:line="220" w:lineRule="auto"/>
              <w:ind w:left="1077"/>
            </w:pPr>
            <w:r>
              <w:rPr>
                <w:spacing w:val="-2"/>
              </w:rPr>
              <w:t>塔材焊接</w:t>
            </w:r>
          </w:p>
        </w:tc>
        <w:tc>
          <w:tcPr>
            <w:tcW w:w="120" w:type="dxa"/>
            <w:tcBorders>
              <w:top w:val="nil"/>
              <w:bottom w:val="nil"/>
            </w:tcBorders>
            <w:vAlign w:val="top"/>
          </w:tcPr>
          <w:p w14:paraId="128CD750">
            <w:pPr>
              <w:rPr>
                <w:rFonts w:ascii="Arial"/>
                <w:sz w:val="21"/>
              </w:rPr>
            </w:pPr>
          </w:p>
        </w:tc>
      </w:tr>
      <w:tr w14:paraId="5A5DBA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6DC272C7">
            <w:pPr>
              <w:rPr>
                <w:rFonts w:ascii="Arial"/>
                <w:sz w:val="21"/>
              </w:rPr>
            </w:pPr>
          </w:p>
        </w:tc>
        <w:tc>
          <w:tcPr>
            <w:tcW w:w="112" w:type="dxa"/>
            <w:tcBorders>
              <w:top w:val="nil"/>
              <w:bottom w:val="nil"/>
            </w:tcBorders>
            <w:vAlign w:val="top"/>
          </w:tcPr>
          <w:p w14:paraId="36EE8CE8">
            <w:pPr>
              <w:rPr>
                <w:rFonts w:ascii="Arial"/>
                <w:sz w:val="21"/>
              </w:rPr>
            </w:pPr>
          </w:p>
        </w:tc>
        <w:tc>
          <w:tcPr>
            <w:tcW w:w="1922" w:type="dxa"/>
            <w:vAlign w:val="top"/>
          </w:tcPr>
          <w:p w14:paraId="165B8FA4">
            <w:pPr>
              <w:spacing w:before="96" w:line="213" w:lineRule="auto"/>
              <w:ind w:left="910"/>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3373" w:type="dxa"/>
            <w:vAlign w:val="top"/>
          </w:tcPr>
          <w:p w14:paraId="1EB140B6">
            <w:pPr>
              <w:pStyle w:val="6"/>
              <w:spacing w:before="61" w:line="219" w:lineRule="auto"/>
              <w:ind w:left="1377"/>
            </w:pPr>
            <w:r>
              <w:rPr>
                <w:spacing w:val="-2"/>
              </w:rPr>
              <w:t>牵引机</w:t>
            </w:r>
          </w:p>
        </w:tc>
        <w:tc>
          <w:tcPr>
            <w:tcW w:w="2980" w:type="dxa"/>
            <w:vAlign w:val="top"/>
          </w:tcPr>
          <w:p w14:paraId="6B563058">
            <w:pPr>
              <w:pStyle w:val="6"/>
              <w:spacing w:before="61" w:line="219" w:lineRule="auto"/>
              <w:ind w:left="1183"/>
            </w:pPr>
            <w:r>
              <w:rPr>
                <w:spacing w:val="-2"/>
              </w:rPr>
              <w:t>放紧线</w:t>
            </w:r>
          </w:p>
        </w:tc>
        <w:tc>
          <w:tcPr>
            <w:tcW w:w="120" w:type="dxa"/>
            <w:tcBorders>
              <w:top w:val="nil"/>
              <w:bottom w:val="nil"/>
            </w:tcBorders>
            <w:vAlign w:val="top"/>
          </w:tcPr>
          <w:p w14:paraId="17DB684B">
            <w:pPr>
              <w:rPr>
                <w:rFonts w:ascii="Arial"/>
                <w:sz w:val="21"/>
              </w:rPr>
            </w:pPr>
          </w:p>
        </w:tc>
      </w:tr>
      <w:tr w14:paraId="526E9A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4CD17DE">
            <w:pPr>
              <w:rPr>
                <w:rFonts w:ascii="Arial"/>
                <w:sz w:val="21"/>
              </w:rPr>
            </w:pPr>
          </w:p>
        </w:tc>
        <w:tc>
          <w:tcPr>
            <w:tcW w:w="112" w:type="dxa"/>
            <w:tcBorders>
              <w:top w:val="nil"/>
              <w:bottom w:val="nil"/>
            </w:tcBorders>
            <w:vAlign w:val="top"/>
          </w:tcPr>
          <w:p w14:paraId="1468E302">
            <w:pPr>
              <w:rPr>
                <w:rFonts w:ascii="Arial"/>
                <w:sz w:val="21"/>
              </w:rPr>
            </w:pPr>
          </w:p>
        </w:tc>
        <w:tc>
          <w:tcPr>
            <w:tcW w:w="1922" w:type="dxa"/>
            <w:vAlign w:val="top"/>
          </w:tcPr>
          <w:p w14:paraId="7675F85E">
            <w:pPr>
              <w:spacing w:before="94" w:line="215" w:lineRule="auto"/>
              <w:ind w:left="916"/>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3373" w:type="dxa"/>
            <w:vAlign w:val="top"/>
          </w:tcPr>
          <w:p w14:paraId="5C911D30">
            <w:pPr>
              <w:pStyle w:val="6"/>
              <w:spacing w:before="59" w:line="220" w:lineRule="auto"/>
              <w:ind w:left="1380"/>
            </w:pPr>
            <w:r>
              <w:rPr>
                <w:spacing w:val="-3"/>
              </w:rPr>
              <w:t>张力机</w:t>
            </w:r>
          </w:p>
        </w:tc>
        <w:tc>
          <w:tcPr>
            <w:tcW w:w="2980" w:type="dxa"/>
            <w:vAlign w:val="top"/>
          </w:tcPr>
          <w:p w14:paraId="4E60BEFE">
            <w:pPr>
              <w:pStyle w:val="6"/>
              <w:spacing w:before="58" w:line="221" w:lineRule="auto"/>
              <w:ind w:left="1183"/>
            </w:pPr>
            <w:r>
              <w:rPr>
                <w:spacing w:val="-2"/>
              </w:rPr>
              <w:t>放紧线</w:t>
            </w:r>
          </w:p>
        </w:tc>
        <w:tc>
          <w:tcPr>
            <w:tcW w:w="120" w:type="dxa"/>
            <w:tcBorders>
              <w:top w:val="nil"/>
              <w:bottom w:val="nil"/>
            </w:tcBorders>
            <w:vAlign w:val="top"/>
          </w:tcPr>
          <w:p w14:paraId="333AA9B3">
            <w:pPr>
              <w:rPr>
                <w:rFonts w:ascii="Arial"/>
                <w:sz w:val="21"/>
              </w:rPr>
            </w:pPr>
          </w:p>
        </w:tc>
      </w:tr>
      <w:tr w14:paraId="25AB29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71" w:type="dxa"/>
            <w:vMerge w:val="continue"/>
            <w:tcBorders>
              <w:top w:val="nil"/>
            </w:tcBorders>
            <w:vAlign w:val="top"/>
          </w:tcPr>
          <w:p w14:paraId="48B220DF">
            <w:pPr>
              <w:rPr>
                <w:rFonts w:ascii="Arial"/>
                <w:sz w:val="21"/>
              </w:rPr>
            </w:pPr>
          </w:p>
        </w:tc>
        <w:tc>
          <w:tcPr>
            <w:tcW w:w="112" w:type="dxa"/>
            <w:tcBorders>
              <w:top w:val="nil"/>
            </w:tcBorders>
            <w:vAlign w:val="top"/>
          </w:tcPr>
          <w:p w14:paraId="02A1E395">
            <w:pPr>
              <w:rPr>
                <w:rFonts w:ascii="Arial"/>
                <w:sz w:val="21"/>
              </w:rPr>
            </w:pPr>
          </w:p>
        </w:tc>
        <w:tc>
          <w:tcPr>
            <w:tcW w:w="1922" w:type="dxa"/>
            <w:vAlign w:val="top"/>
          </w:tcPr>
          <w:p w14:paraId="4F35932F">
            <w:pPr>
              <w:spacing w:before="94" w:line="230" w:lineRule="auto"/>
              <w:ind w:left="911"/>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3373" w:type="dxa"/>
            <w:vAlign w:val="top"/>
          </w:tcPr>
          <w:p w14:paraId="4504711F">
            <w:pPr>
              <w:pStyle w:val="6"/>
              <w:spacing w:before="59" w:line="220" w:lineRule="auto"/>
              <w:ind w:left="1377"/>
            </w:pPr>
            <w:r>
              <w:rPr>
                <w:spacing w:val="-2"/>
              </w:rPr>
              <w:t>无人机</w:t>
            </w:r>
          </w:p>
        </w:tc>
        <w:tc>
          <w:tcPr>
            <w:tcW w:w="2980" w:type="dxa"/>
            <w:vAlign w:val="top"/>
          </w:tcPr>
          <w:p w14:paraId="615ACE97">
            <w:pPr>
              <w:pStyle w:val="6"/>
              <w:spacing w:before="59" w:line="221" w:lineRule="auto"/>
              <w:ind w:left="1183"/>
            </w:pPr>
            <w:r>
              <w:rPr>
                <w:spacing w:val="-2"/>
              </w:rPr>
              <w:t>放紧线</w:t>
            </w:r>
          </w:p>
        </w:tc>
        <w:tc>
          <w:tcPr>
            <w:tcW w:w="120" w:type="dxa"/>
            <w:tcBorders>
              <w:top w:val="nil"/>
            </w:tcBorders>
            <w:vAlign w:val="top"/>
          </w:tcPr>
          <w:p w14:paraId="19244B37">
            <w:pPr>
              <w:rPr>
                <w:rFonts w:ascii="Arial"/>
                <w:sz w:val="21"/>
              </w:rPr>
            </w:pPr>
          </w:p>
        </w:tc>
      </w:tr>
    </w:tbl>
    <w:p w14:paraId="6066A3FA">
      <w:pPr>
        <w:rPr>
          <w:rFonts w:ascii="Arial"/>
          <w:sz w:val="21"/>
        </w:rPr>
      </w:pPr>
    </w:p>
    <w:p w14:paraId="274C0E4A">
      <w:pPr>
        <w:rPr>
          <w:rFonts w:ascii="Arial" w:hAnsi="Arial" w:eastAsia="Arial" w:cs="Arial"/>
          <w:sz w:val="21"/>
          <w:szCs w:val="21"/>
        </w:rPr>
        <w:sectPr>
          <w:footerReference r:id="rId41" w:type="default"/>
          <w:pgSz w:w="11907" w:h="16841"/>
          <w:pgMar w:top="400" w:right="1408" w:bottom="1126" w:left="1414" w:header="0" w:footer="925" w:gutter="0"/>
          <w:cols w:space="720" w:num="1"/>
        </w:sectPr>
      </w:pPr>
    </w:p>
    <w:p w14:paraId="6CC6DAF2">
      <w:pPr>
        <w:spacing w:before="2"/>
      </w:pPr>
    </w:p>
    <w:p w14:paraId="57201710">
      <w:pPr>
        <w:spacing w:before="2"/>
      </w:pPr>
    </w:p>
    <w:p w14:paraId="23C518B1">
      <w:pPr>
        <w:spacing w:before="1"/>
      </w:pPr>
    </w:p>
    <w:p w14:paraId="20B34F70">
      <w:pPr>
        <w:spacing w:before="1"/>
      </w:pPr>
    </w:p>
    <w:p w14:paraId="7DAA882D">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14B4BC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2" w:hRule="atLeast"/>
        </w:trPr>
        <w:tc>
          <w:tcPr>
            <w:tcW w:w="571" w:type="dxa"/>
            <w:vAlign w:val="top"/>
          </w:tcPr>
          <w:p w14:paraId="6DB02791">
            <w:pPr>
              <w:rPr>
                <w:rFonts w:ascii="Arial"/>
                <w:sz w:val="21"/>
              </w:rPr>
            </w:pPr>
          </w:p>
        </w:tc>
        <w:tc>
          <w:tcPr>
            <w:tcW w:w="8507" w:type="dxa"/>
            <w:vAlign w:val="top"/>
          </w:tcPr>
          <w:p w14:paraId="6B05DC52">
            <w:pPr>
              <w:pStyle w:val="6"/>
              <w:spacing w:before="125" w:line="234" w:lineRule="auto"/>
              <w:ind w:left="106"/>
              <w:rPr>
                <w:sz w:val="24"/>
                <w:szCs w:val="24"/>
              </w:rPr>
            </w:pPr>
            <w:r>
              <w:rPr>
                <w:rFonts w:ascii="Times New Roman" w:hAnsi="Times New Roman" w:eastAsia="Times New Roman" w:cs="Times New Roman"/>
                <w:b/>
                <w:bCs/>
                <w:spacing w:val="-7"/>
                <w:sz w:val="24"/>
                <w:szCs w:val="24"/>
              </w:rPr>
              <w:t>3</w:t>
            </w:r>
            <w:r>
              <w:rPr>
                <w:rFonts w:ascii="Times New Roman" w:hAnsi="Times New Roman" w:eastAsia="Times New Roman" w:cs="Times New Roman"/>
                <w:b/>
                <w:bCs/>
                <w:spacing w:val="-31"/>
                <w:sz w:val="24"/>
                <w:szCs w:val="24"/>
              </w:rPr>
              <w:t xml:space="preserve"> </w:t>
            </w:r>
            <w:r>
              <w:rPr>
                <w:b/>
                <w:bCs/>
                <w:spacing w:val="-7"/>
                <w:sz w:val="24"/>
                <w:szCs w:val="24"/>
              </w:rPr>
              <w:t>、建设周期</w:t>
            </w:r>
          </w:p>
          <w:p w14:paraId="5FCE28B0">
            <w:pPr>
              <w:pStyle w:val="6"/>
              <w:spacing w:before="168" w:line="317" w:lineRule="auto"/>
              <w:ind w:left="112" w:right="32" w:firstLine="480"/>
              <w:rPr>
                <w:sz w:val="24"/>
                <w:szCs w:val="24"/>
              </w:rPr>
            </w:pPr>
            <w:r>
              <w:rPr>
                <w:spacing w:val="-2"/>
                <w:sz w:val="24"/>
                <w:szCs w:val="24"/>
              </w:rPr>
              <w:t>本项目建设周期约为</w:t>
            </w:r>
            <w:r>
              <w:rPr>
                <w:spacing w:val="-38"/>
                <w:sz w:val="24"/>
                <w:szCs w:val="24"/>
              </w:rPr>
              <w:t xml:space="preserve"> </w:t>
            </w:r>
            <w:r>
              <w:rPr>
                <w:rFonts w:ascii="Times New Roman" w:hAnsi="Times New Roman" w:eastAsia="Times New Roman" w:cs="Times New Roman"/>
                <w:spacing w:val="-2"/>
                <w:sz w:val="24"/>
                <w:szCs w:val="24"/>
              </w:rPr>
              <w:t xml:space="preserve">9 </w:t>
            </w:r>
            <w:r>
              <w:rPr>
                <w:spacing w:val="-2"/>
                <w:sz w:val="24"/>
                <w:szCs w:val="24"/>
              </w:rPr>
              <w:t>个月，施工人员零散分布，分组进行测量、土石方、</w:t>
            </w:r>
            <w:r>
              <w:rPr>
                <w:spacing w:val="-1"/>
                <w:sz w:val="24"/>
                <w:szCs w:val="24"/>
              </w:rPr>
              <w:t>材料运输、基础制模、混凝土浇制、组塔等作业。</w:t>
            </w:r>
          </w:p>
        </w:tc>
      </w:tr>
      <w:tr w14:paraId="3695D9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858" w:hRule="atLeast"/>
        </w:trPr>
        <w:tc>
          <w:tcPr>
            <w:tcW w:w="571" w:type="dxa"/>
            <w:vAlign w:val="top"/>
          </w:tcPr>
          <w:p w14:paraId="18E4FCFC">
            <w:pPr>
              <w:spacing w:line="248" w:lineRule="auto"/>
              <w:rPr>
                <w:rFonts w:ascii="Arial"/>
                <w:sz w:val="21"/>
              </w:rPr>
            </w:pPr>
          </w:p>
          <w:p w14:paraId="0CFAC3F9">
            <w:pPr>
              <w:spacing w:line="248" w:lineRule="auto"/>
              <w:rPr>
                <w:rFonts w:ascii="Arial"/>
                <w:sz w:val="21"/>
              </w:rPr>
            </w:pPr>
          </w:p>
          <w:p w14:paraId="0C891E49">
            <w:pPr>
              <w:spacing w:line="248" w:lineRule="auto"/>
              <w:rPr>
                <w:rFonts w:ascii="Arial"/>
                <w:sz w:val="21"/>
              </w:rPr>
            </w:pPr>
          </w:p>
          <w:p w14:paraId="7525452F">
            <w:pPr>
              <w:spacing w:line="248" w:lineRule="auto"/>
              <w:rPr>
                <w:rFonts w:ascii="Arial"/>
                <w:sz w:val="21"/>
              </w:rPr>
            </w:pPr>
          </w:p>
          <w:p w14:paraId="6C636C80">
            <w:pPr>
              <w:spacing w:line="248" w:lineRule="auto"/>
              <w:rPr>
                <w:rFonts w:ascii="Arial"/>
                <w:sz w:val="21"/>
              </w:rPr>
            </w:pPr>
          </w:p>
          <w:p w14:paraId="27818514">
            <w:pPr>
              <w:spacing w:line="248" w:lineRule="auto"/>
              <w:rPr>
                <w:rFonts w:ascii="Arial"/>
                <w:sz w:val="21"/>
              </w:rPr>
            </w:pPr>
          </w:p>
          <w:p w14:paraId="527DDA61">
            <w:pPr>
              <w:spacing w:line="248" w:lineRule="auto"/>
              <w:rPr>
                <w:rFonts w:ascii="Arial"/>
                <w:sz w:val="21"/>
              </w:rPr>
            </w:pPr>
          </w:p>
          <w:p w14:paraId="11AC6495">
            <w:pPr>
              <w:spacing w:line="248" w:lineRule="auto"/>
              <w:rPr>
                <w:rFonts w:ascii="Arial"/>
                <w:sz w:val="21"/>
              </w:rPr>
            </w:pPr>
          </w:p>
          <w:p w14:paraId="42143A60">
            <w:pPr>
              <w:spacing w:line="249" w:lineRule="auto"/>
              <w:rPr>
                <w:rFonts w:ascii="Arial"/>
                <w:sz w:val="21"/>
              </w:rPr>
            </w:pPr>
          </w:p>
          <w:p w14:paraId="651B6430">
            <w:pPr>
              <w:spacing w:line="249" w:lineRule="auto"/>
              <w:rPr>
                <w:rFonts w:ascii="Arial"/>
                <w:sz w:val="21"/>
              </w:rPr>
            </w:pPr>
          </w:p>
          <w:p w14:paraId="3540DDCD">
            <w:pPr>
              <w:spacing w:line="249" w:lineRule="auto"/>
              <w:rPr>
                <w:rFonts w:ascii="Arial"/>
                <w:sz w:val="21"/>
              </w:rPr>
            </w:pPr>
          </w:p>
          <w:p w14:paraId="2758E54D">
            <w:pPr>
              <w:spacing w:line="249" w:lineRule="auto"/>
              <w:rPr>
                <w:rFonts w:ascii="Arial"/>
                <w:sz w:val="21"/>
              </w:rPr>
            </w:pPr>
          </w:p>
          <w:p w14:paraId="4E23C2D8">
            <w:pPr>
              <w:spacing w:line="249" w:lineRule="auto"/>
              <w:rPr>
                <w:rFonts w:ascii="Arial"/>
                <w:sz w:val="21"/>
              </w:rPr>
            </w:pPr>
          </w:p>
          <w:p w14:paraId="715F1D3C">
            <w:pPr>
              <w:spacing w:line="249" w:lineRule="auto"/>
              <w:rPr>
                <w:rFonts w:ascii="Arial"/>
                <w:sz w:val="21"/>
              </w:rPr>
            </w:pPr>
          </w:p>
          <w:p w14:paraId="669BE312">
            <w:pPr>
              <w:spacing w:line="249" w:lineRule="auto"/>
              <w:rPr>
                <w:rFonts w:ascii="Arial"/>
                <w:sz w:val="21"/>
              </w:rPr>
            </w:pPr>
          </w:p>
          <w:p w14:paraId="66B1E6DE">
            <w:pPr>
              <w:spacing w:line="249" w:lineRule="auto"/>
              <w:rPr>
                <w:rFonts w:ascii="Arial"/>
                <w:sz w:val="21"/>
              </w:rPr>
            </w:pPr>
          </w:p>
          <w:p w14:paraId="70013991">
            <w:pPr>
              <w:spacing w:line="249" w:lineRule="auto"/>
              <w:rPr>
                <w:rFonts w:ascii="Arial"/>
                <w:sz w:val="21"/>
              </w:rPr>
            </w:pPr>
          </w:p>
          <w:p w14:paraId="1C79383B">
            <w:pPr>
              <w:spacing w:line="249" w:lineRule="auto"/>
              <w:rPr>
                <w:rFonts w:ascii="Arial"/>
                <w:sz w:val="21"/>
              </w:rPr>
            </w:pPr>
          </w:p>
          <w:p w14:paraId="0262C5A9">
            <w:pPr>
              <w:spacing w:line="249" w:lineRule="auto"/>
              <w:rPr>
                <w:rFonts w:ascii="Arial"/>
                <w:sz w:val="21"/>
              </w:rPr>
            </w:pPr>
          </w:p>
          <w:p w14:paraId="410126B5">
            <w:pPr>
              <w:spacing w:line="249" w:lineRule="auto"/>
              <w:rPr>
                <w:rFonts w:ascii="Arial"/>
                <w:sz w:val="21"/>
              </w:rPr>
            </w:pPr>
          </w:p>
          <w:p w14:paraId="787B7E1A">
            <w:pPr>
              <w:spacing w:line="249" w:lineRule="auto"/>
              <w:rPr>
                <w:rFonts w:ascii="Arial"/>
                <w:sz w:val="21"/>
              </w:rPr>
            </w:pPr>
          </w:p>
          <w:p w14:paraId="3EAEBA58">
            <w:pPr>
              <w:spacing w:line="249" w:lineRule="auto"/>
              <w:rPr>
                <w:rFonts w:ascii="Arial"/>
                <w:sz w:val="21"/>
              </w:rPr>
            </w:pPr>
          </w:p>
          <w:p w14:paraId="1539D2D0">
            <w:pPr>
              <w:spacing w:line="249" w:lineRule="auto"/>
              <w:rPr>
                <w:rFonts w:ascii="Arial"/>
                <w:sz w:val="21"/>
              </w:rPr>
            </w:pPr>
          </w:p>
          <w:p w14:paraId="020E0F0B">
            <w:pPr>
              <w:pStyle w:val="6"/>
              <w:spacing w:before="68" w:line="221" w:lineRule="auto"/>
              <w:ind w:left="80"/>
            </w:pPr>
            <w:r>
              <w:rPr>
                <w:spacing w:val="-2"/>
              </w:rPr>
              <w:t>其他</w:t>
            </w:r>
          </w:p>
        </w:tc>
        <w:tc>
          <w:tcPr>
            <w:tcW w:w="8507" w:type="dxa"/>
            <w:vAlign w:val="top"/>
          </w:tcPr>
          <w:p w14:paraId="5F60DFA1">
            <w:pPr>
              <w:pStyle w:val="6"/>
              <w:spacing w:before="119" w:line="233" w:lineRule="auto"/>
              <w:ind w:left="118"/>
              <w:rPr>
                <w:sz w:val="24"/>
                <w:szCs w:val="24"/>
              </w:rPr>
            </w:pPr>
            <w:r>
              <w:rPr>
                <w:rFonts w:ascii="Times New Roman" w:hAnsi="Times New Roman" w:eastAsia="Times New Roman" w:cs="Times New Roman"/>
                <w:b/>
                <w:bCs/>
                <w:spacing w:val="-4"/>
                <w:sz w:val="24"/>
                <w:szCs w:val="24"/>
              </w:rPr>
              <w:t>1</w:t>
            </w:r>
            <w:r>
              <w:rPr>
                <w:b/>
                <w:bCs/>
                <w:spacing w:val="-4"/>
                <w:sz w:val="24"/>
                <w:szCs w:val="24"/>
              </w:rPr>
              <w:t>、路径选择原则</w:t>
            </w:r>
          </w:p>
          <w:p w14:paraId="6A747846">
            <w:pPr>
              <w:pStyle w:val="6"/>
              <w:spacing w:before="172" w:line="355" w:lineRule="auto"/>
              <w:ind w:left="112" w:right="121" w:firstLine="486"/>
              <w:rPr>
                <w:sz w:val="24"/>
                <w:szCs w:val="24"/>
              </w:rPr>
            </w:pPr>
            <w:r>
              <w:rPr>
                <w:spacing w:val="-1"/>
                <w:sz w:val="24"/>
                <w:szCs w:val="24"/>
              </w:rPr>
              <w:t>（</w:t>
            </w:r>
            <w:r>
              <w:rPr>
                <w:rFonts w:ascii="Times New Roman" w:hAnsi="Times New Roman" w:eastAsia="Times New Roman" w:cs="Times New Roman"/>
                <w:spacing w:val="-1"/>
                <w:sz w:val="24"/>
                <w:szCs w:val="24"/>
              </w:rPr>
              <w:t>1</w:t>
            </w:r>
            <w:r>
              <w:rPr>
                <w:spacing w:val="-1"/>
                <w:sz w:val="24"/>
                <w:szCs w:val="24"/>
              </w:rPr>
              <w:t>）路径选择应重点解决路径方案的可行性问题，按“经济合理、统筹兼</w:t>
            </w:r>
            <w:r>
              <w:rPr>
                <w:spacing w:val="-3"/>
                <w:sz w:val="24"/>
                <w:szCs w:val="24"/>
              </w:rPr>
              <w:t>顾”的原则对线路路径进行优化。</w:t>
            </w:r>
          </w:p>
          <w:p w14:paraId="5010DAC9">
            <w:pPr>
              <w:pStyle w:val="6"/>
              <w:spacing w:before="23" w:line="364" w:lineRule="auto"/>
              <w:ind w:left="113" w:right="24" w:firstLine="485"/>
              <w:rPr>
                <w:sz w:val="24"/>
                <w:szCs w:val="24"/>
              </w:rPr>
            </w:pPr>
            <w:r>
              <w:rPr>
                <w:spacing w:val="-1"/>
                <w:sz w:val="24"/>
                <w:szCs w:val="24"/>
              </w:rPr>
              <w:t>（</w:t>
            </w:r>
            <w:r>
              <w:rPr>
                <w:rFonts w:ascii="Times New Roman" w:hAnsi="Times New Roman" w:eastAsia="Times New Roman" w:cs="Times New Roman"/>
                <w:spacing w:val="-1"/>
                <w:sz w:val="24"/>
                <w:szCs w:val="24"/>
              </w:rPr>
              <w:t>2</w:t>
            </w:r>
            <w:r>
              <w:rPr>
                <w:spacing w:val="-1"/>
                <w:sz w:val="24"/>
                <w:szCs w:val="24"/>
              </w:rPr>
              <w:t>）路径选择应充分考虑线路施工及运行的</w:t>
            </w:r>
            <w:r>
              <w:rPr>
                <w:spacing w:val="-2"/>
                <w:sz w:val="24"/>
                <w:szCs w:val="24"/>
              </w:rPr>
              <w:t>便利。应尽量避开原始森林、</w:t>
            </w:r>
            <w:r>
              <w:rPr>
                <w:spacing w:val="-4"/>
                <w:sz w:val="24"/>
                <w:szCs w:val="24"/>
              </w:rPr>
              <w:t>自然保护区、军事设施、重污染强腐蚀企业、炸药库和风景名胜区、珍稀植物等</w:t>
            </w:r>
            <w:r>
              <w:rPr>
                <w:spacing w:val="-8"/>
                <w:sz w:val="24"/>
                <w:szCs w:val="24"/>
              </w:rPr>
              <w:t>敏感设施，并要考虑与邻近设施如电台、测震台、机场、弱电线路等的相互影响。</w:t>
            </w:r>
            <w:r>
              <w:rPr>
                <w:spacing w:val="-2"/>
                <w:sz w:val="24"/>
                <w:szCs w:val="24"/>
              </w:rPr>
              <w:t>宜尽量避开强雷区、重冰区、重污区以及不良地质地带和采动影响区。</w:t>
            </w:r>
          </w:p>
          <w:p w14:paraId="397A55CA">
            <w:pPr>
              <w:pStyle w:val="6"/>
              <w:spacing w:before="5" w:line="362" w:lineRule="auto"/>
              <w:ind w:left="113" w:right="110" w:firstLine="485"/>
              <w:rPr>
                <w:sz w:val="24"/>
                <w:szCs w:val="24"/>
              </w:rPr>
            </w:pPr>
            <w:r>
              <w:rPr>
                <w:sz w:val="24"/>
                <w:szCs w:val="24"/>
              </w:rPr>
              <w:t>（</w:t>
            </w:r>
            <w:r>
              <w:rPr>
                <w:rFonts w:ascii="Times New Roman" w:hAnsi="Times New Roman" w:eastAsia="Times New Roman" w:cs="Times New Roman"/>
                <w:sz w:val="24"/>
                <w:szCs w:val="24"/>
              </w:rPr>
              <w:t>3</w:t>
            </w:r>
            <w:r>
              <w:rPr>
                <w:sz w:val="24"/>
                <w:szCs w:val="24"/>
              </w:rPr>
              <w:t>）输电线路与露天爆破作业矿场、采石场等的</w:t>
            </w:r>
            <w:r>
              <w:rPr>
                <w:spacing w:val="-1"/>
                <w:sz w:val="24"/>
                <w:szCs w:val="24"/>
              </w:rPr>
              <w:t>距离应满足《电力设施保</w:t>
            </w:r>
            <w:r>
              <w:rPr>
                <w:spacing w:val="-9"/>
                <w:sz w:val="24"/>
                <w:szCs w:val="24"/>
              </w:rPr>
              <w:t>护条例》和《</w:t>
            </w:r>
            <w:r>
              <w:rPr>
                <w:rFonts w:ascii="Times New Roman" w:hAnsi="Times New Roman" w:eastAsia="Times New Roman" w:cs="Times New Roman"/>
                <w:spacing w:val="-9"/>
                <w:sz w:val="24"/>
                <w:szCs w:val="24"/>
              </w:rPr>
              <w:t xml:space="preserve">GB67222 </w:t>
            </w:r>
            <w:r>
              <w:rPr>
                <w:spacing w:val="-9"/>
                <w:sz w:val="24"/>
                <w:szCs w:val="24"/>
              </w:rPr>
              <w:t>爆破安全规程》的要求，与炸药库的距离应符合《</w:t>
            </w:r>
            <w:r>
              <w:rPr>
                <w:rFonts w:ascii="Times New Roman" w:hAnsi="Times New Roman" w:eastAsia="Times New Roman" w:cs="Times New Roman"/>
                <w:spacing w:val="-9"/>
                <w:sz w:val="24"/>
                <w:szCs w:val="24"/>
              </w:rPr>
              <w:t>GB50089</w:t>
            </w:r>
            <w:r>
              <w:rPr>
                <w:spacing w:val="-2"/>
                <w:sz w:val="24"/>
                <w:szCs w:val="24"/>
              </w:rPr>
              <w:t>民用爆破器材工程设计安全规范》等的相关规定。</w:t>
            </w:r>
          </w:p>
          <w:p w14:paraId="7E5FFD66">
            <w:pPr>
              <w:pStyle w:val="6"/>
              <w:spacing w:before="7" w:line="357" w:lineRule="auto"/>
              <w:ind w:left="111" w:right="122" w:firstLine="487"/>
              <w:rPr>
                <w:sz w:val="24"/>
                <w:szCs w:val="24"/>
              </w:rPr>
            </w:pPr>
            <w:r>
              <w:rPr>
                <w:spacing w:val="-1"/>
                <w:sz w:val="24"/>
                <w:szCs w:val="24"/>
              </w:rPr>
              <w:t>（</w:t>
            </w:r>
            <w:r>
              <w:rPr>
                <w:rFonts w:ascii="Times New Roman" w:hAnsi="Times New Roman" w:eastAsia="Times New Roman" w:cs="Times New Roman"/>
                <w:spacing w:val="-1"/>
                <w:sz w:val="24"/>
                <w:szCs w:val="24"/>
              </w:rPr>
              <w:t>4</w:t>
            </w:r>
            <w:r>
              <w:rPr>
                <w:spacing w:val="-1"/>
                <w:sz w:val="24"/>
                <w:szCs w:val="24"/>
              </w:rPr>
              <w:t>）充分重视“微地形、微气象”对线路的影响，尽量避让严重覆冰区域及不良地质区域，对重要交叉跨越采取加强措施，提高线</w:t>
            </w:r>
            <w:r>
              <w:rPr>
                <w:spacing w:val="-2"/>
                <w:sz w:val="24"/>
                <w:szCs w:val="24"/>
              </w:rPr>
              <w:t>路的安全运行水平。</w:t>
            </w:r>
          </w:p>
          <w:p w14:paraId="4BD62CF3">
            <w:pPr>
              <w:pStyle w:val="6"/>
              <w:spacing w:before="21" w:line="357" w:lineRule="auto"/>
              <w:ind w:left="114" w:right="110" w:firstLine="484"/>
              <w:rPr>
                <w:sz w:val="24"/>
                <w:szCs w:val="24"/>
              </w:rPr>
            </w:pPr>
            <w:r>
              <w:rPr>
                <w:spacing w:val="-2"/>
                <w:sz w:val="24"/>
                <w:szCs w:val="24"/>
              </w:rPr>
              <w:t>（</w:t>
            </w:r>
            <w:r>
              <w:rPr>
                <w:rFonts w:ascii="Times New Roman" w:hAnsi="Times New Roman" w:eastAsia="Times New Roman" w:cs="Times New Roman"/>
                <w:spacing w:val="-2"/>
                <w:sz w:val="24"/>
                <w:szCs w:val="24"/>
              </w:rPr>
              <w:t>5</w:t>
            </w:r>
            <w:r>
              <w:rPr>
                <w:spacing w:val="-2"/>
                <w:sz w:val="24"/>
                <w:szCs w:val="24"/>
              </w:rPr>
              <w:t xml:space="preserve">）尽量避开生态红线区及国家 </w:t>
            </w:r>
            <w:r>
              <w:rPr>
                <w:rFonts w:ascii="Times New Roman" w:hAnsi="Times New Roman" w:eastAsia="Times New Roman" w:cs="Times New Roman"/>
                <w:spacing w:val="-2"/>
                <w:sz w:val="24"/>
                <w:szCs w:val="24"/>
              </w:rPr>
              <w:t>I</w:t>
            </w:r>
            <w:r>
              <w:rPr>
                <w:rFonts w:ascii="Times New Roman" w:hAnsi="Times New Roman" w:eastAsia="Times New Roman" w:cs="Times New Roman"/>
                <w:spacing w:val="39"/>
                <w:sz w:val="24"/>
                <w:szCs w:val="24"/>
              </w:rPr>
              <w:t xml:space="preserve"> </w:t>
            </w:r>
            <w:r>
              <w:rPr>
                <w:spacing w:val="-2"/>
                <w:sz w:val="24"/>
                <w:szCs w:val="24"/>
              </w:rPr>
              <w:t>级公益林区，确实无法避让应上报相关</w:t>
            </w:r>
            <w:r>
              <w:rPr>
                <w:spacing w:val="-3"/>
                <w:sz w:val="24"/>
                <w:szCs w:val="24"/>
              </w:rPr>
              <w:t>单位和部门，根据国家相关规定办理。</w:t>
            </w:r>
          </w:p>
          <w:p w14:paraId="33127985">
            <w:pPr>
              <w:pStyle w:val="6"/>
              <w:spacing w:before="20" w:line="357" w:lineRule="auto"/>
              <w:ind w:left="112" w:right="122" w:firstLine="486"/>
              <w:rPr>
                <w:sz w:val="24"/>
                <w:szCs w:val="24"/>
              </w:rPr>
            </w:pPr>
            <w:r>
              <w:rPr>
                <w:spacing w:val="-1"/>
                <w:sz w:val="24"/>
                <w:szCs w:val="24"/>
              </w:rPr>
              <w:t>（</w:t>
            </w:r>
            <w:r>
              <w:rPr>
                <w:rFonts w:ascii="Times New Roman" w:hAnsi="Times New Roman" w:eastAsia="Times New Roman" w:cs="Times New Roman"/>
                <w:spacing w:val="-1"/>
                <w:sz w:val="24"/>
                <w:szCs w:val="24"/>
              </w:rPr>
              <w:t>6</w:t>
            </w:r>
            <w:r>
              <w:rPr>
                <w:spacing w:val="-1"/>
                <w:sz w:val="24"/>
                <w:szCs w:val="24"/>
              </w:rPr>
              <w:t>）在路径选择中，充分体现以人为本，保护环境的意识，尽量避免大面</w:t>
            </w:r>
            <w:r>
              <w:rPr>
                <w:spacing w:val="-7"/>
                <w:sz w:val="24"/>
                <w:szCs w:val="24"/>
              </w:rPr>
              <w:t>积拆迁民房。</w:t>
            </w:r>
          </w:p>
          <w:p w14:paraId="42378BB6">
            <w:pPr>
              <w:pStyle w:val="6"/>
              <w:spacing w:before="18" w:line="357" w:lineRule="auto"/>
              <w:ind w:left="116" w:right="121" w:firstLine="482"/>
              <w:rPr>
                <w:sz w:val="24"/>
                <w:szCs w:val="24"/>
              </w:rPr>
            </w:pPr>
            <w:r>
              <w:rPr>
                <w:spacing w:val="-1"/>
                <w:sz w:val="24"/>
                <w:szCs w:val="24"/>
              </w:rPr>
              <w:t>（</w:t>
            </w:r>
            <w:r>
              <w:rPr>
                <w:rFonts w:ascii="Times New Roman" w:hAnsi="Times New Roman" w:eastAsia="Times New Roman" w:cs="Times New Roman"/>
                <w:spacing w:val="-1"/>
                <w:sz w:val="24"/>
                <w:szCs w:val="24"/>
              </w:rPr>
              <w:t>7</w:t>
            </w:r>
            <w:r>
              <w:rPr>
                <w:spacing w:val="-1"/>
                <w:sz w:val="24"/>
                <w:szCs w:val="24"/>
              </w:rPr>
              <w:t>）综合协调本线路路径与沿线已建、拟建输电线路、公路、铁路及其他</w:t>
            </w:r>
            <w:r>
              <w:rPr>
                <w:spacing w:val="-7"/>
                <w:sz w:val="24"/>
                <w:szCs w:val="24"/>
              </w:rPr>
              <w:t>设施的矛盾。</w:t>
            </w:r>
          </w:p>
          <w:p w14:paraId="78AAFBFC">
            <w:pPr>
              <w:pStyle w:val="6"/>
              <w:spacing w:before="22" w:line="357" w:lineRule="auto"/>
              <w:ind w:left="115" w:right="121" w:firstLine="483"/>
              <w:rPr>
                <w:sz w:val="24"/>
                <w:szCs w:val="24"/>
              </w:rPr>
            </w:pPr>
            <w:r>
              <w:rPr>
                <w:spacing w:val="-1"/>
                <w:sz w:val="24"/>
                <w:szCs w:val="24"/>
              </w:rPr>
              <w:t>（</w:t>
            </w:r>
            <w:r>
              <w:rPr>
                <w:rFonts w:ascii="Times New Roman" w:hAnsi="Times New Roman" w:eastAsia="Times New Roman" w:cs="Times New Roman"/>
                <w:spacing w:val="-1"/>
                <w:sz w:val="24"/>
                <w:szCs w:val="24"/>
              </w:rPr>
              <w:t>8</w:t>
            </w:r>
            <w:r>
              <w:rPr>
                <w:spacing w:val="-1"/>
                <w:sz w:val="24"/>
                <w:szCs w:val="24"/>
              </w:rPr>
              <w:t>）充分征求地方政府及其有关部门对路径方案的意见和建议，减少线路</w:t>
            </w:r>
            <w:r>
              <w:rPr>
                <w:spacing w:val="-3"/>
                <w:sz w:val="24"/>
                <w:szCs w:val="24"/>
              </w:rPr>
              <w:t>工程建设对地方经济发展的影响。</w:t>
            </w:r>
          </w:p>
          <w:p w14:paraId="3059767E">
            <w:pPr>
              <w:pStyle w:val="6"/>
              <w:spacing w:before="19" w:line="357" w:lineRule="auto"/>
              <w:ind w:left="115" w:right="136" w:firstLine="483"/>
              <w:rPr>
                <w:sz w:val="24"/>
                <w:szCs w:val="24"/>
              </w:rPr>
            </w:pPr>
            <w:r>
              <w:rPr>
                <w:spacing w:val="-1"/>
                <w:sz w:val="24"/>
                <w:szCs w:val="24"/>
              </w:rPr>
              <w:t>（</w:t>
            </w:r>
            <w:r>
              <w:rPr>
                <w:rFonts w:ascii="Times New Roman" w:hAnsi="Times New Roman" w:eastAsia="Times New Roman" w:cs="Times New Roman"/>
                <w:spacing w:val="-1"/>
                <w:sz w:val="24"/>
                <w:szCs w:val="24"/>
              </w:rPr>
              <w:t>9</w:t>
            </w:r>
            <w:r>
              <w:rPr>
                <w:spacing w:val="-1"/>
                <w:sz w:val="24"/>
                <w:szCs w:val="24"/>
              </w:rPr>
              <w:t>）根据系统规划原则，综合考虑施工、运行、交通条件和线路长度</w:t>
            </w:r>
            <w:r>
              <w:rPr>
                <w:spacing w:val="-2"/>
                <w:sz w:val="24"/>
                <w:szCs w:val="24"/>
              </w:rPr>
              <w:t>等因素，进行多方案比较，使线路走向安全可靠，经济合理。</w:t>
            </w:r>
          </w:p>
          <w:p w14:paraId="0EE84AB6">
            <w:pPr>
              <w:pStyle w:val="6"/>
              <w:spacing w:before="20" w:line="233" w:lineRule="auto"/>
              <w:ind w:left="598"/>
              <w:rPr>
                <w:sz w:val="24"/>
                <w:szCs w:val="24"/>
              </w:rPr>
            </w:pPr>
            <w:r>
              <w:rPr>
                <w:spacing w:val="-2"/>
                <w:sz w:val="24"/>
                <w:szCs w:val="24"/>
              </w:rPr>
              <w:t>（</w:t>
            </w:r>
            <w:r>
              <w:rPr>
                <w:rFonts w:ascii="Times New Roman" w:hAnsi="Times New Roman" w:eastAsia="Times New Roman" w:cs="Times New Roman"/>
                <w:spacing w:val="-2"/>
                <w:sz w:val="24"/>
                <w:szCs w:val="24"/>
              </w:rPr>
              <w:t>10</w:t>
            </w:r>
            <w:r>
              <w:rPr>
                <w:spacing w:val="-2"/>
                <w:sz w:val="24"/>
                <w:szCs w:val="24"/>
              </w:rPr>
              <w:t>）尽量靠近现有省道、县道及乡村公路，改善线路交通条件。</w:t>
            </w:r>
          </w:p>
          <w:p w14:paraId="75D3E22D">
            <w:pPr>
              <w:pStyle w:val="6"/>
              <w:spacing w:before="173" w:line="233" w:lineRule="auto"/>
              <w:ind w:left="598"/>
              <w:rPr>
                <w:sz w:val="24"/>
                <w:szCs w:val="24"/>
              </w:rPr>
            </w:pPr>
            <w:r>
              <w:rPr>
                <w:spacing w:val="-4"/>
                <w:sz w:val="24"/>
                <w:szCs w:val="24"/>
              </w:rPr>
              <w:t>（</w:t>
            </w:r>
            <w:r>
              <w:rPr>
                <w:rFonts w:ascii="Times New Roman" w:hAnsi="Times New Roman" w:eastAsia="Times New Roman" w:cs="Times New Roman"/>
                <w:spacing w:val="-4"/>
                <w:sz w:val="24"/>
                <w:szCs w:val="24"/>
              </w:rPr>
              <w:t>11</w:t>
            </w:r>
            <w:r>
              <w:rPr>
                <w:spacing w:val="-4"/>
                <w:sz w:val="24"/>
                <w:szCs w:val="24"/>
              </w:rPr>
              <w:t>）尽量避让航空管制范围。</w:t>
            </w:r>
          </w:p>
          <w:p w14:paraId="267D5402">
            <w:pPr>
              <w:pStyle w:val="6"/>
              <w:spacing w:before="169" w:line="234" w:lineRule="auto"/>
              <w:ind w:left="598"/>
              <w:rPr>
                <w:sz w:val="24"/>
                <w:szCs w:val="24"/>
              </w:rPr>
            </w:pPr>
            <w:r>
              <w:rPr>
                <w:spacing w:val="-2"/>
                <w:sz w:val="24"/>
                <w:szCs w:val="24"/>
              </w:rPr>
              <w:t>（</w:t>
            </w:r>
            <w:r>
              <w:rPr>
                <w:rFonts w:ascii="Times New Roman" w:hAnsi="Times New Roman" w:eastAsia="Times New Roman" w:cs="Times New Roman"/>
                <w:spacing w:val="-2"/>
                <w:sz w:val="24"/>
                <w:szCs w:val="24"/>
              </w:rPr>
              <w:t>12</w:t>
            </w:r>
            <w:r>
              <w:rPr>
                <w:spacing w:val="-2"/>
                <w:sz w:val="24"/>
                <w:szCs w:val="24"/>
              </w:rPr>
              <w:t>）尽量避让险恶地形、滑坡、泥石流及不良地质地段。</w:t>
            </w:r>
          </w:p>
        </w:tc>
      </w:tr>
    </w:tbl>
    <w:p w14:paraId="78A68320">
      <w:pPr>
        <w:rPr>
          <w:rFonts w:ascii="Arial"/>
          <w:sz w:val="21"/>
        </w:rPr>
      </w:pPr>
    </w:p>
    <w:p w14:paraId="6A07384A">
      <w:pPr>
        <w:rPr>
          <w:rFonts w:ascii="Arial" w:hAnsi="Arial" w:eastAsia="Arial" w:cs="Arial"/>
          <w:sz w:val="21"/>
          <w:szCs w:val="21"/>
        </w:rPr>
        <w:sectPr>
          <w:footerReference r:id="rId42" w:type="default"/>
          <w:pgSz w:w="11907" w:h="16841"/>
          <w:pgMar w:top="400" w:right="1408" w:bottom="1126" w:left="1414" w:header="0" w:footer="925" w:gutter="0"/>
          <w:cols w:space="720" w:num="1"/>
        </w:sectPr>
      </w:pPr>
    </w:p>
    <w:p w14:paraId="5C8C960F">
      <w:pPr>
        <w:spacing w:before="2"/>
      </w:pPr>
    </w:p>
    <w:p w14:paraId="43541DCD">
      <w:pPr>
        <w:spacing w:before="2"/>
      </w:pPr>
    </w:p>
    <w:p w14:paraId="51FA39D8">
      <w:pPr>
        <w:spacing w:before="1"/>
      </w:pPr>
    </w:p>
    <w:p w14:paraId="2BC7FF04">
      <w:pPr>
        <w:spacing w:before="1"/>
      </w:pPr>
    </w:p>
    <w:p w14:paraId="5BD9B6CC">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57D77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503F8C30">
            <w:pPr>
              <w:rPr>
                <w:rFonts w:ascii="Arial"/>
                <w:sz w:val="21"/>
              </w:rPr>
            </w:pPr>
          </w:p>
        </w:tc>
        <w:tc>
          <w:tcPr>
            <w:tcW w:w="8507" w:type="dxa"/>
            <w:vAlign w:val="top"/>
          </w:tcPr>
          <w:p w14:paraId="2C344C33">
            <w:pPr>
              <w:pStyle w:val="6"/>
              <w:spacing w:before="126" w:line="355" w:lineRule="auto"/>
              <w:ind w:left="112" w:right="52" w:firstLine="486"/>
              <w:rPr>
                <w:sz w:val="24"/>
                <w:szCs w:val="24"/>
              </w:rPr>
            </w:pPr>
            <w:r>
              <w:rPr>
                <w:spacing w:val="-2"/>
                <w:sz w:val="24"/>
                <w:szCs w:val="24"/>
              </w:rPr>
              <w:t>（</w:t>
            </w:r>
            <w:r>
              <w:rPr>
                <w:rFonts w:ascii="Times New Roman" w:hAnsi="Times New Roman" w:eastAsia="Times New Roman" w:cs="Times New Roman"/>
                <w:spacing w:val="-2"/>
                <w:sz w:val="24"/>
                <w:szCs w:val="24"/>
              </w:rPr>
              <w:t>13</w:t>
            </w:r>
            <w:r>
              <w:rPr>
                <w:spacing w:val="-2"/>
                <w:sz w:val="24"/>
                <w:szCs w:val="24"/>
              </w:rPr>
              <w:t>）尽量避开森林密集区、水源保护区及生态保护红线、珍稀树种</w:t>
            </w:r>
            <w:r>
              <w:rPr>
                <w:spacing w:val="-3"/>
                <w:sz w:val="24"/>
                <w:szCs w:val="24"/>
              </w:rPr>
              <w:t>地区，减少森林砍伐，保护自然生态环境。</w:t>
            </w:r>
          </w:p>
          <w:p w14:paraId="5C75D0C6">
            <w:pPr>
              <w:pStyle w:val="6"/>
              <w:spacing w:before="21" w:line="233" w:lineRule="auto"/>
              <w:ind w:left="598"/>
              <w:rPr>
                <w:sz w:val="24"/>
                <w:szCs w:val="24"/>
              </w:rPr>
            </w:pPr>
            <w:r>
              <w:rPr>
                <w:spacing w:val="-3"/>
                <w:sz w:val="24"/>
                <w:szCs w:val="24"/>
              </w:rPr>
              <w:t>（</w:t>
            </w:r>
            <w:r>
              <w:rPr>
                <w:rFonts w:ascii="Times New Roman" w:hAnsi="Times New Roman" w:eastAsia="Times New Roman" w:cs="Times New Roman"/>
                <w:spacing w:val="-3"/>
                <w:sz w:val="24"/>
                <w:szCs w:val="24"/>
              </w:rPr>
              <w:t>14</w:t>
            </w:r>
            <w:r>
              <w:rPr>
                <w:spacing w:val="-3"/>
                <w:sz w:val="24"/>
                <w:szCs w:val="24"/>
              </w:rPr>
              <w:t>）尽量避开政府工业规划区。</w:t>
            </w:r>
          </w:p>
          <w:p w14:paraId="1A891B60">
            <w:pPr>
              <w:pStyle w:val="6"/>
              <w:spacing w:before="172" w:line="233" w:lineRule="auto"/>
              <w:ind w:right="24"/>
              <w:jc w:val="right"/>
              <w:rPr>
                <w:sz w:val="24"/>
                <w:szCs w:val="24"/>
              </w:rPr>
            </w:pPr>
            <w:r>
              <w:rPr>
                <w:spacing w:val="-8"/>
                <w:sz w:val="24"/>
                <w:szCs w:val="24"/>
              </w:rPr>
              <w:t>（</w:t>
            </w:r>
            <w:r>
              <w:rPr>
                <w:rFonts w:ascii="Times New Roman" w:hAnsi="Times New Roman" w:eastAsia="Times New Roman" w:cs="Times New Roman"/>
                <w:spacing w:val="-8"/>
                <w:sz w:val="24"/>
                <w:szCs w:val="24"/>
              </w:rPr>
              <w:t>15</w:t>
            </w:r>
            <w:r>
              <w:rPr>
                <w:spacing w:val="-8"/>
                <w:sz w:val="24"/>
                <w:szCs w:val="24"/>
              </w:rPr>
              <w:t>）避让军事设施、开采的矿产及采石场、油库、炸药库及重要通信</w:t>
            </w:r>
            <w:r>
              <w:rPr>
                <w:spacing w:val="-9"/>
                <w:sz w:val="24"/>
                <w:szCs w:val="24"/>
              </w:rPr>
              <w:t>设施。</w:t>
            </w:r>
          </w:p>
          <w:p w14:paraId="084139A4">
            <w:pPr>
              <w:pStyle w:val="6"/>
              <w:spacing w:before="169" w:line="233" w:lineRule="auto"/>
              <w:ind w:left="598"/>
              <w:rPr>
                <w:sz w:val="24"/>
                <w:szCs w:val="24"/>
              </w:rPr>
            </w:pPr>
            <w:r>
              <w:rPr>
                <w:spacing w:val="-2"/>
                <w:sz w:val="24"/>
                <w:szCs w:val="24"/>
              </w:rPr>
              <w:t>（</w:t>
            </w:r>
            <w:r>
              <w:rPr>
                <w:rFonts w:ascii="Times New Roman" w:hAnsi="Times New Roman" w:eastAsia="Times New Roman" w:cs="Times New Roman"/>
                <w:spacing w:val="-2"/>
                <w:sz w:val="24"/>
                <w:szCs w:val="24"/>
              </w:rPr>
              <w:t>16</w:t>
            </w:r>
            <w:r>
              <w:rPr>
                <w:spacing w:val="-2"/>
                <w:sz w:val="24"/>
                <w:szCs w:val="24"/>
              </w:rPr>
              <w:t>）尽量避让严重覆冰地段及缩短冰区线路长度，以提高线路可靠性。</w:t>
            </w:r>
          </w:p>
          <w:p w14:paraId="13249FBA">
            <w:pPr>
              <w:pStyle w:val="6"/>
              <w:spacing w:before="173" w:line="233" w:lineRule="auto"/>
              <w:ind w:left="598"/>
              <w:rPr>
                <w:sz w:val="24"/>
                <w:szCs w:val="24"/>
              </w:rPr>
            </w:pPr>
            <w:r>
              <w:rPr>
                <w:spacing w:val="-2"/>
                <w:sz w:val="24"/>
                <w:szCs w:val="24"/>
              </w:rPr>
              <w:t>（</w:t>
            </w:r>
            <w:r>
              <w:rPr>
                <w:rFonts w:ascii="Times New Roman" w:hAnsi="Times New Roman" w:eastAsia="Times New Roman" w:cs="Times New Roman"/>
                <w:spacing w:val="-2"/>
                <w:sz w:val="24"/>
                <w:szCs w:val="24"/>
              </w:rPr>
              <w:t>17</w:t>
            </w:r>
            <w:r>
              <w:rPr>
                <w:spacing w:val="-2"/>
                <w:sz w:val="24"/>
                <w:szCs w:val="24"/>
              </w:rPr>
              <w:t>）尽量避免跨越在建高速公路、民房、避让寺庙。</w:t>
            </w:r>
          </w:p>
          <w:p w14:paraId="11C7EE0D">
            <w:pPr>
              <w:pStyle w:val="6"/>
              <w:spacing w:before="168" w:line="357" w:lineRule="auto"/>
              <w:ind w:left="114" w:right="128" w:firstLine="484"/>
              <w:rPr>
                <w:sz w:val="24"/>
                <w:szCs w:val="24"/>
              </w:rPr>
            </w:pPr>
            <w:r>
              <w:rPr>
                <w:spacing w:val="-4"/>
                <w:sz w:val="24"/>
                <w:szCs w:val="24"/>
              </w:rPr>
              <w:t>（</w:t>
            </w:r>
            <w:r>
              <w:rPr>
                <w:rFonts w:ascii="Times New Roman" w:hAnsi="Times New Roman" w:eastAsia="Times New Roman" w:cs="Times New Roman"/>
                <w:spacing w:val="-4"/>
                <w:sz w:val="24"/>
                <w:szCs w:val="24"/>
              </w:rPr>
              <w:t>18</w:t>
            </w:r>
            <w:r>
              <w:rPr>
                <w:spacing w:val="-4"/>
                <w:sz w:val="24"/>
                <w:szCs w:val="24"/>
              </w:rPr>
              <w:t>）综合协调本线路路径与沿线已建线路（包括</w:t>
            </w:r>
            <w:r>
              <w:rPr>
                <w:spacing w:val="-5"/>
                <w:sz w:val="24"/>
                <w:szCs w:val="24"/>
              </w:rPr>
              <w:t>规划路径）及其他设施的</w:t>
            </w:r>
            <w:r>
              <w:rPr>
                <w:spacing w:val="-11"/>
                <w:sz w:val="24"/>
                <w:szCs w:val="24"/>
              </w:rPr>
              <w:t>矛盾。</w:t>
            </w:r>
          </w:p>
          <w:p w14:paraId="7EBAC77B">
            <w:pPr>
              <w:pStyle w:val="6"/>
              <w:spacing w:before="21" w:line="233" w:lineRule="auto"/>
              <w:ind w:left="598"/>
              <w:rPr>
                <w:sz w:val="24"/>
                <w:szCs w:val="24"/>
              </w:rPr>
            </w:pPr>
            <w:r>
              <w:rPr>
                <w:spacing w:val="-2"/>
                <w:sz w:val="24"/>
                <w:szCs w:val="24"/>
              </w:rPr>
              <w:t>（</w:t>
            </w:r>
            <w:r>
              <w:rPr>
                <w:rFonts w:ascii="Times New Roman" w:hAnsi="Times New Roman" w:eastAsia="Times New Roman" w:cs="Times New Roman"/>
                <w:spacing w:val="-2"/>
                <w:sz w:val="24"/>
                <w:szCs w:val="24"/>
              </w:rPr>
              <w:t>19</w:t>
            </w:r>
            <w:r>
              <w:rPr>
                <w:spacing w:val="-2"/>
                <w:sz w:val="24"/>
                <w:szCs w:val="24"/>
              </w:rPr>
              <w:t>）线路尽量短，统筹考虑其余备用线路出线通道。</w:t>
            </w:r>
          </w:p>
          <w:p w14:paraId="02D94BF4">
            <w:pPr>
              <w:pStyle w:val="6"/>
              <w:spacing w:before="173" w:line="233" w:lineRule="auto"/>
              <w:ind w:left="108"/>
              <w:rPr>
                <w:sz w:val="24"/>
                <w:szCs w:val="24"/>
              </w:rPr>
            </w:pPr>
            <w:r>
              <w:rPr>
                <w:rFonts w:ascii="Times New Roman" w:hAnsi="Times New Roman" w:eastAsia="Times New Roman" w:cs="Times New Roman"/>
                <w:b/>
                <w:bCs/>
                <w:spacing w:val="-3"/>
                <w:sz w:val="24"/>
                <w:szCs w:val="24"/>
              </w:rPr>
              <w:t>2</w:t>
            </w:r>
            <w:r>
              <w:rPr>
                <w:b/>
                <w:bCs/>
                <w:spacing w:val="-3"/>
                <w:sz w:val="24"/>
                <w:szCs w:val="24"/>
              </w:rPr>
              <w:t>、路径方案制约因素</w:t>
            </w:r>
          </w:p>
          <w:p w14:paraId="2BA47BA1">
            <w:pPr>
              <w:pStyle w:val="6"/>
              <w:spacing w:before="167" w:line="365" w:lineRule="auto"/>
              <w:ind w:left="111" w:right="33" w:firstLine="481"/>
              <w:jc w:val="both"/>
              <w:rPr>
                <w:sz w:val="24"/>
                <w:szCs w:val="24"/>
              </w:rPr>
            </w:pPr>
            <w:r>
              <w:rPr>
                <w:spacing w:val="-1"/>
                <w:sz w:val="24"/>
                <w:szCs w:val="24"/>
              </w:rPr>
              <w:t>本工程路径方案在拟定前，在线路经过的区</w:t>
            </w:r>
            <w:r>
              <w:rPr>
                <w:spacing w:val="-2"/>
                <w:sz w:val="24"/>
                <w:szCs w:val="24"/>
              </w:rPr>
              <w:t>域进行了现场勘查及收资工作，</w:t>
            </w:r>
            <w:r>
              <w:rPr>
                <w:spacing w:val="-1"/>
                <w:sz w:val="24"/>
                <w:szCs w:val="24"/>
              </w:rPr>
              <w:t>走访了会泽县自然资源局、曲靖市生态环境局会泽分局、</w:t>
            </w:r>
            <w:r>
              <w:rPr>
                <w:spacing w:val="-2"/>
                <w:sz w:val="24"/>
                <w:szCs w:val="24"/>
              </w:rPr>
              <w:t>会泽县文化和旅游局、</w:t>
            </w:r>
            <w:r>
              <w:rPr>
                <w:spacing w:val="-3"/>
                <w:sz w:val="24"/>
                <w:szCs w:val="24"/>
              </w:rPr>
              <w:t>会泽县林业和草原局、会泽县住房和城乡建</w:t>
            </w:r>
            <w:r>
              <w:rPr>
                <w:spacing w:val="-4"/>
                <w:sz w:val="24"/>
                <w:szCs w:val="24"/>
              </w:rPr>
              <w:t>设局、会泽县水务局、会泽县林业和</w:t>
            </w:r>
            <w:r>
              <w:rPr>
                <w:spacing w:val="-3"/>
                <w:sz w:val="24"/>
                <w:szCs w:val="24"/>
              </w:rPr>
              <w:t>草原局保护区办公室、会泽县交通局等单位。</w:t>
            </w:r>
          </w:p>
          <w:p w14:paraId="4DF9D992">
            <w:pPr>
              <w:pStyle w:val="6"/>
              <w:spacing w:before="5" w:line="362" w:lineRule="auto"/>
              <w:ind w:left="111" w:right="44" w:firstLine="481"/>
              <w:jc w:val="both"/>
              <w:rPr>
                <w:sz w:val="24"/>
                <w:szCs w:val="24"/>
              </w:rPr>
            </w:pPr>
            <w:r>
              <w:rPr>
                <w:spacing w:val="-2"/>
                <w:sz w:val="24"/>
                <w:szCs w:val="24"/>
              </w:rPr>
              <w:t>本工程</w:t>
            </w:r>
            <w:r>
              <w:rPr>
                <w:spacing w:val="-24"/>
                <w:sz w:val="24"/>
                <w:szCs w:val="24"/>
              </w:rPr>
              <w:t xml:space="preserve"> </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28"/>
                <w:sz w:val="24"/>
                <w:szCs w:val="24"/>
              </w:rPr>
              <w:t xml:space="preserve"> </w:t>
            </w:r>
            <w:r>
              <w:rPr>
                <w:spacing w:val="-2"/>
                <w:sz w:val="24"/>
                <w:szCs w:val="24"/>
              </w:rPr>
              <w:t>条线路接入点为</w:t>
            </w:r>
            <w:r>
              <w:rPr>
                <w:spacing w:val="-38"/>
                <w:sz w:val="24"/>
                <w:szCs w:val="24"/>
              </w:rPr>
              <w:t xml:space="preserve">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25"/>
                <w:sz w:val="24"/>
                <w:szCs w:val="24"/>
              </w:rPr>
              <w:t xml:space="preserve"> </w:t>
            </w:r>
            <w:r>
              <w:rPr>
                <w:spacing w:val="-2"/>
                <w:sz w:val="24"/>
                <w:szCs w:val="24"/>
              </w:rPr>
              <w:t>迤车变电站、</w:t>
            </w:r>
            <w:r>
              <w:rPr>
                <w:rFonts w:ascii="Times New Roman" w:hAnsi="Times New Roman" w:eastAsia="Times New Roman" w:cs="Times New Roman"/>
                <w:spacing w:val="-2"/>
                <w:sz w:val="24"/>
                <w:szCs w:val="24"/>
              </w:rPr>
              <w:t>500kV</w:t>
            </w:r>
            <w:r>
              <w:rPr>
                <w:rFonts w:ascii="Times New Roman" w:hAnsi="Times New Roman" w:eastAsia="Times New Roman" w:cs="Times New Roman"/>
                <w:spacing w:val="34"/>
                <w:sz w:val="24"/>
                <w:szCs w:val="24"/>
              </w:rPr>
              <w:t xml:space="preserve"> </w:t>
            </w:r>
            <w:r>
              <w:rPr>
                <w:spacing w:val="-2"/>
                <w:sz w:val="24"/>
                <w:szCs w:val="24"/>
              </w:rPr>
              <w:t>乐业变电站和渝昆高</w:t>
            </w:r>
            <w:r>
              <w:rPr>
                <w:spacing w:val="-3"/>
                <w:sz w:val="24"/>
                <w:szCs w:val="24"/>
              </w:rPr>
              <w:t>铁迤车牵引变。</w:t>
            </w:r>
            <w:r>
              <w:rPr>
                <w:rFonts w:ascii="Times New Roman" w:hAnsi="Times New Roman" w:eastAsia="Times New Roman" w:cs="Times New Roman"/>
                <w:spacing w:val="-3"/>
                <w:sz w:val="24"/>
                <w:szCs w:val="24"/>
              </w:rPr>
              <w:t xml:space="preserve">220kV </w:t>
            </w:r>
            <w:r>
              <w:rPr>
                <w:spacing w:val="-3"/>
                <w:sz w:val="24"/>
                <w:szCs w:val="24"/>
              </w:rPr>
              <w:t>迤车变电站位于会泽县迤车镇南侧乐业镇北侧，距离会泽</w:t>
            </w:r>
            <w:r>
              <w:rPr>
                <w:spacing w:val="-2"/>
                <w:sz w:val="24"/>
                <w:szCs w:val="24"/>
              </w:rPr>
              <w:t>县政府约</w:t>
            </w:r>
            <w:r>
              <w:rPr>
                <w:spacing w:val="-56"/>
                <w:sz w:val="24"/>
                <w:szCs w:val="24"/>
              </w:rPr>
              <w:t xml:space="preserve"> </w:t>
            </w:r>
            <w:r>
              <w:rPr>
                <w:rFonts w:ascii="Times New Roman" w:hAnsi="Times New Roman" w:eastAsia="Times New Roman" w:cs="Times New Roman"/>
                <w:spacing w:val="-2"/>
                <w:sz w:val="24"/>
                <w:szCs w:val="24"/>
              </w:rPr>
              <w:t>45km</w:t>
            </w:r>
            <w:r>
              <w:rPr>
                <w:rFonts w:ascii="Times New Roman" w:hAnsi="Times New Roman" w:eastAsia="Times New Roman" w:cs="Times New Roman"/>
                <w:spacing w:val="-26"/>
                <w:sz w:val="24"/>
                <w:szCs w:val="24"/>
              </w:rPr>
              <w:t xml:space="preserve"> </w:t>
            </w:r>
            <w:r>
              <w:rPr>
                <w:spacing w:val="-2"/>
                <w:sz w:val="24"/>
                <w:szCs w:val="24"/>
              </w:rPr>
              <w:t>。</w:t>
            </w:r>
            <w:r>
              <w:rPr>
                <w:rFonts w:ascii="Times New Roman" w:hAnsi="Times New Roman" w:eastAsia="Times New Roman" w:cs="Times New Roman"/>
                <w:spacing w:val="-2"/>
                <w:sz w:val="24"/>
                <w:szCs w:val="24"/>
              </w:rPr>
              <w:t xml:space="preserve">220kV </w:t>
            </w:r>
            <w:r>
              <w:rPr>
                <w:spacing w:val="-2"/>
                <w:sz w:val="24"/>
                <w:szCs w:val="24"/>
              </w:rPr>
              <w:t>者迤</w:t>
            </w:r>
            <w:r>
              <w:rPr>
                <w:spacing w:val="-52"/>
                <w:sz w:val="24"/>
                <w:szCs w:val="24"/>
              </w:rPr>
              <w:t xml:space="preserve"> </w:t>
            </w:r>
            <w:r>
              <w:rPr>
                <w:rFonts w:ascii="Times New Roman" w:hAnsi="Times New Roman" w:eastAsia="Times New Roman" w:cs="Times New Roman"/>
                <w:spacing w:val="-2"/>
                <w:sz w:val="24"/>
                <w:szCs w:val="24"/>
              </w:rPr>
              <w:t>I</w:t>
            </w:r>
            <w:r>
              <w:rPr>
                <w:rFonts w:ascii="Times New Roman" w:hAnsi="Times New Roman" w:eastAsia="Times New Roman" w:cs="Times New Roman"/>
                <w:spacing w:val="30"/>
                <w:sz w:val="24"/>
                <w:szCs w:val="24"/>
              </w:rPr>
              <w:t xml:space="preserve"> </w:t>
            </w:r>
            <w:r>
              <w:rPr>
                <w:spacing w:val="-2"/>
                <w:sz w:val="24"/>
                <w:szCs w:val="24"/>
              </w:rPr>
              <w:t>回改接点位于会泽县迤车镇南侧</w:t>
            </w:r>
            <w:r>
              <w:rPr>
                <w:spacing w:val="-54"/>
                <w:sz w:val="24"/>
                <w:szCs w:val="24"/>
              </w:rPr>
              <w:t xml:space="preserve"> </w:t>
            </w:r>
            <w:r>
              <w:rPr>
                <w:rFonts w:ascii="Times New Roman" w:hAnsi="Times New Roman" w:eastAsia="Times New Roman" w:cs="Times New Roman"/>
                <w:spacing w:val="-3"/>
                <w:sz w:val="24"/>
                <w:szCs w:val="24"/>
              </w:rPr>
              <w:t xml:space="preserve">220kV </w:t>
            </w:r>
            <w:r>
              <w:rPr>
                <w:spacing w:val="-3"/>
                <w:sz w:val="24"/>
                <w:szCs w:val="24"/>
              </w:rPr>
              <w:t>迤车变电</w:t>
            </w:r>
            <w:r>
              <w:rPr>
                <w:spacing w:val="-2"/>
                <w:sz w:val="24"/>
                <w:szCs w:val="24"/>
              </w:rPr>
              <w:t>站东侧，距离会泽县政府约</w:t>
            </w:r>
            <w:r>
              <w:rPr>
                <w:spacing w:val="-7"/>
                <w:sz w:val="24"/>
                <w:szCs w:val="24"/>
              </w:rPr>
              <w:t xml:space="preserve"> </w:t>
            </w:r>
            <w:r>
              <w:rPr>
                <w:rFonts w:ascii="Times New Roman" w:hAnsi="Times New Roman" w:eastAsia="Times New Roman" w:cs="Times New Roman"/>
                <w:spacing w:val="-2"/>
                <w:sz w:val="24"/>
                <w:szCs w:val="24"/>
              </w:rPr>
              <w:t>46.9km</w:t>
            </w:r>
            <w:r>
              <w:rPr>
                <w:rFonts w:ascii="Times New Roman" w:hAnsi="Times New Roman" w:eastAsia="Times New Roman" w:cs="Times New Roman"/>
                <w:spacing w:val="-27"/>
                <w:sz w:val="24"/>
                <w:szCs w:val="24"/>
              </w:rPr>
              <w:t xml:space="preserve"> </w:t>
            </w:r>
            <w:r>
              <w:rPr>
                <w:spacing w:val="-2"/>
                <w:sz w:val="24"/>
                <w:szCs w:val="24"/>
              </w:rPr>
              <w:t>。</w:t>
            </w:r>
            <w:r>
              <w:rPr>
                <w:rFonts w:ascii="Times New Roman" w:hAnsi="Times New Roman" w:eastAsia="Times New Roman" w:cs="Times New Roman"/>
                <w:spacing w:val="-2"/>
                <w:sz w:val="24"/>
                <w:szCs w:val="24"/>
              </w:rPr>
              <w:t>500kV</w:t>
            </w:r>
            <w:r>
              <w:rPr>
                <w:rFonts w:ascii="Times New Roman" w:hAnsi="Times New Roman" w:eastAsia="Times New Roman" w:cs="Times New Roman"/>
                <w:spacing w:val="50"/>
                <w:w w:val="101"/>
                <w:sz w:val="24"/>
                <w:szCs w:val="24"/>
              </w:rPr>
              <w:t xml:space="preserve"> </w:t>
            </w:r>
            <w:r>
              <w:rPr>
                <w:spacing w:val="-2"/>
                <w:sz w:val="24"/>
                <w:szCs w:val="24"/>
              </w:rPr>
              <w:t>乐业变位于会泽县乐业镇北侧，距</w:t>
            </w:r>
            <w:r>
              <w:rPr>
                <w:spacing w:val="-3"/>
                <w:sz w:val="24"/>
                <w:szCs w:val="24"/>
              </w:rPr>
              <w:t>离会泽县政府约</w:t>
            </w:r>
            <w:r>
              <w:rPr>
                <w:spacing w:val="-55"/>
                <w:sz w:val="24"/>
                <w:szCs w:val="24"/>
              </w:rPr>
              <w:t xml:space="preserve"> </w:t>
            </w:r>
            <w:r>
              <w:rPr>
                <w:rFonts w:ascii="Times New Roman" w:hAnsi="Times New Roman" w:eastAsia="Times New Roman" w:cs="Times New Roman"/>
                <w:spacing w:val="-3"/>
                <w:sz w:val="24"/>
                <w:szCs w:val="24"/>
              </w:rPr>
              <w:t>42.8km</w:t>
            </w:r>
            <w:r>
              <w:rPr>
                <w:spacing w:val="-3"/>
                <w:sz w:val="24"/>
                <w:szCs w:val="24"/>
              </w:rPr>
              <w:t>。渝昆高铁迤车牵引变选址</w:t>
            </w:r>
            <w:r>
              <w:rPr>
                <w:spacing w:val="-4"/>
                <w:sz w:val="24"/>
                <w:szCs w:val="24"/>
              </w:rPr>
              <w:t>位于会泽县迤车镇东南方向，站址紧邻</w:t>
            </w:r>
            <w:r>
              <w:rPr>
                <w:spacing w:val="-52"/>
                <w:sz w:val="24"/>
                <w:szCs w:val="24"/>
              </w:rPr>
              <w:t xml:space="preserve"> </w:t>
            </w:r>
            <w:r>
              <w:rPr>
                <w:rFonts w:ascii="Times New Roman" w:hAnsi="Times New Roman" w:eastAsia="Times New Roman" w:cs="Times New Roman"/>
                <w:spacing w:val="-4"/>
                <w:sz w:val="24"/>
                <w:szCs w:val="24"/>
              </w:rPr>
              <w:t>G213</w:t>
            </w:r>
            <w:r>
              <w:rPr>
                <w:rFonts w:ascii="Times New Roman" w:hAnsi="Times New Roman" w:eastAsia="Times New Roman" w:cs="Times New Roman"/>
                <w:spacing w:val="33"/>
                <w:w w:val="101"/>
                <w:sz w:val="24"/>
                <w:szCs w:val="24"/>
              </w:rPr>
              <w:t xml:space="preserve"> </w:t>
            </w:r>
            <w:r>
              <w:rPr>
                <w:spacing w:val="-4"/>
                <w:sz w:val="24"/>
                <w:szCs w:val="24"/>
              </w:rPr>
              <w:t>国道，距离会泽县政府约</w:t>
            </w:r>
            <w:r>
              <w:rPr>
                <w:spacing w:val="-56"/>
                <w:sz w:val="24"/>
                <w:szCs w:val="24"/>
              </w:rPr>
              <w:t xml:space="preserve"> </w:t>
            </w:r>
            <w:r>
              <w:rPr>
                <w:rFonts w:ascii="Times New Roman" w:hAnsi="Times New Roman" w:eastAsia="Times New Roman" w:cs="Times New Roman"/>
                <w:spacing w:val="-4"/>
                <w:sz w:val="24"/>
                <w:szCs w:val="24"/>
              </w:rPr>
              <w:t>48.4km</w:t>
            </w:r>
            <w:r>
              <w:rPr>
                <w:spacing w:val="-4"/>
                <w:sz w:val="24"/>
                <w:szCs w:val="24"/>
              </w:rPr>
              <w:t>。根据上述</w:t>
            </w:r>
            <w:r>
              <w:rPr>
                <w:spacing w:val="-5"/>
                <w:sz w:val="24"/>
                <w:szCs w:val="24"/>
              </w:rPr>
              <w:t>路径方案拟定原则及</w:t>
            </w:r>
            <w:r>
              <w:rPr>
                <w:spacing w:val="-1"/>
                <w:sz w:val="24"/>
                <w:szCs w:val="24"/>
              </w:rPr>
              <w:t>站点位置，结合现场勘查及收资情况，本线</w:t>
            </w:r>
            <w:r>
              <w:rPr>
                <w:spacing w:val="-2"/>
                <w:sz w:val="24"/>
                <w:szCs w:val="24"/>
              </w:rPr>
              <w:t>路工程受到以下因素制约。</w:t>
            </w:r>
          </w:p>
          <w:p w14:paraId="461C75B3">
            <w:pPr>
              <w:pStyle w:val="6"/>
              <w:spacing w:before="20" w:line="220" w:lineRule="auto"/>
              <w:ind w:left="675"/>
              <w:rPr>
                <w:sz w:val="24"/>
                <w:szCs w:val="24"/>
              </w:rPr>
            </w:pPr>
            <w:r>
              <w:rPr>
                <w:spacing w:val="-7"/>
                <w:sz w:val="24"/>
                <w:szCs w:val="24"/>
              </w:rPr>
              <w:t>·全线地形复杂多样，山地及高山比重较大。</w:t>
            </w:r>
          </w:p>
          <w:p w14:paraId="284B494E">
            <w:pPr>
              <w:pStyle w:val="6"/>
              <w:spacing w:before="187" w:line="219" w:lineRule="auto"/>
              <w:ind w:left="675"/>
              <w:rPr>
                <w:sz w:val="24"/>
                <w:szCs w:val="24"/>
              </w:rPr>
            </w:pPr>
            <w:r>
              <w:rPr>
                <w:spacing w:val="-6"/>
                <w:sz w:val="24"/>
                <w:szCs w:val="24"/>
              </w:rPr>
              <w:t>·会泽县蕴藏有大量的矿产资源，线路沿线及周围主要分布红坪</w:t>
            </w:r>
            <w:r>
              <w:rPr>
                <w:spacing w:val="-7"/>
                <w:sz w:val="24"/>
                <w:szCs w:val="24"/>
              </w:rPr>
              <w:t>子采石场等</w:t>
            </w:r>
          </w:p>
          <w:p w14:paraId="326B3DD1">
            <w:pPr>
              <w:pStyle w:val="6"/>
              <w:spacing w:before="191" w:line="365" w:lineRule="auto"/>
              <w:ind w:left="112" w:right="163"/>
              <w:rPr>
                <w:sz w:val="24"/>
                <w:szCs w:val="24"/>
              </w:rPr>
            </w:pPr>
            <w:r>
              <w:rPr>
                <w:rFonts w:ascii="Times New Roman" w:hAnsi="Times New Roman" w:eastAsia="Times New Roman" w:cs="Times New Roman"/>
                <w:spacing w:val="-4"/>
                <w:sz w:val="24"/>
                <w:szCs w:val="24"/>
              </w:rPr>
              <w:t>3</w:t>
            </w:r>
            <w:r>
              <w:rPr>
                <w:rFonts w:ascii="Times New Roman" w:hAnsi="Times New Roman" w:eastAsia="Times New Roman" w:cs="Times New Roman"/>
                <w:spacing w:val="35"/>
                <w:sz w:val="24"/>
                <w:szCs w:val="24"/>
              </w:rPr>
              <w:t xml:space="preserve"> </w:t>
            </w:r>
            <w:r>
              <w:rPr>
                <w:spacing w:val="-4"/>
                <w:sz w:val="24"/>
                <w:szCs w:val="24"/>
              </w:rPr>
              <w:t>座采石区域。另外从迤车牵引变</w:t>
            </w:r>
            <w:r>
              <w:rPr>
                <w:rFonts w:ascii="Times New Roman" w:hAnsi="Times New Roman" w:eastAsia="Times New Roman" w:cs="Times New Roman"/>
                <w:spacing w:val="-4"/>
                <w:sz w:val="24"/>
                <w:szCs w:val="24"/>
              </w:rPr>
              <w:t>-</w:t>
            </w:r>
            <w:r>
              <w:rPr>
                <w:spacing w:val="-4"/>
                <w:sz w:val="24"/>
                <w:szCs w:val="24"/>
              </w:rPr>
              <w:t>迤车变分布有</w:t>
            </w:r>
            <w:r>
              <w:rPr>
                <w:spacing w:val="-48"/>
                <w:sz w:val="24"/>
                <w:szCs w:val="24"/>
              </w:rPr>
              <w:t xml:space="preserve"> </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19"/>
                <w:sz w:val="24"/>
                <w:szCs w:val="24"/>
              </w:rPr>
              <w:t xml:space="preserve"> </w:t>
            </w:r>
            <w:r>
              <w:rPr>
                <w:spacing w:val="-4"/>
                <w:sz w:val="24"/>
                <w:szCs w:val="24"/>
              </w:rPr>
              <w:t>座单库容量为</w:t>
            </w:r>
            <w:r>
              <w:rPr>
                <w:spacing w:val="-41"/>
                <w:sz w:val="24"/>
                <w:szCs w:val="24"/>
              </w:rPr>
              <w:t xml:space="preserve"> </w:t>
            </w:r>
            <w:r>
              <w:rPr>
                <w:rFonts w:ascii="Times New Roman" w:hAnsi="Times New Roman" w:eastAsia="Times New Roman" w:cs="Times New Roman"/>
                <w:spacing w:val="-4"/>
                <w:sz w:val="24"/>
                <w:szCs w:val="24"/>
              </w:rPr>
              <w:t>5t</w:t>
            </w:r>
            <w:r>
              <w:rPr>
                <w:rFonts w:ascii="Times New Roman" w:hAnsi="Times New Roman" w:eastAsia="Times New Roman" w:cs="Times New Roman"/>
                <w:spacing w:val="36"/>
                <w:w w:val="101"/>
                <w:sz w:val="24"/>
                <w:szCs w:val="24"/>
              </w:rPr>
              <w:t xml:space="preserve"> </w:t>
            </w:r>
            <w:r>
              <w:rPr>
                <w:spacing w:val="-4"/>
                <w:sz w:val="24"/>
                <w:szCs w:val="24"/>
              </w:rPr>
              <w:t>的炸药库，</w:t>
            </w:r>
            <w:r>
              <w:rPr>
                <w:spacing w:val="-5"/>
                <w:sz w:val="24"/>
                <w:szCs w:val="24"/>
              </w:rPr>
              <w:t>要求避让距离为</w:t>
            </w:r>
            <w:r>
              <w:rPr>
                <w:spacing w:val="-49"/>
                <w:sz w:val="24"/>
                <w:szCs w:val="24"/>
              </w:rPr>
              <w:t xml:space="preserve"> </w:t>
            </w:r>
            <w:r>
              <w:rPr>
                <w:rFonts w:ascii="Times New Roman" w:hAnsi="Times New Roman" w:eastAsia="Times New Roman" w:cs="Times New Roman"/>
                <w:spacing w:val="-5"/>
                <w:sz w:val="24"/>
                <w:szCs w:val="24"/>
              </w:rPr>
              <w:t>430m</w:t>
            </w:r>
            <w:r>
              <w:rPr>
                <w:rFonts w:ascii="Times New Roman" w:hAnsi="Times New Roman" w:eastAsia="Times New Roman" w:cs="Times New Roman"/>
                <w:spacing w:val="37"/>
                <w:w w:val="101"/>
                <w:sz w:val="24"/>
                <w:szCs w:val="24"/>
              </w:rPr>
              <w:t xml:space="preserve"> </w:t>
            </w:r>
            <w:r>
              <w:rPr>
                <w:spacing w:val="-5"/>
                <w:sz w:val="24"/>
                <w:szCs w:val="24"/>
              </w:rPr>
              <w:t>以上。</w:t>
            </w:r>
          </w:p>
          <w:p w14:paraId="22387C0B">
            <w:pPr>
              <w:pStyle w:val="6"/>
              <w:spacing w:before="1" w:line="218" w:lineRule="auto"/>
              <w:ind w:left="675"/>
              <w:rPr>
                <w:sz w:val="24"/>
                <w:szCs w:val="24"/>
              </w:rPr>
            </w:pPr>
            <w:r>
              <w:rPr>
                <w:spacing w:val="-6"/>
                <w:sz w:val="24"/>
                <w:szCs w:val="24"/>
              </w:rPr>
              <w:t>·周边生态红线分布广，线路通道中途密集分布。</w:t>
            </w:r>
          </w:p>
          <w:p w14:paraId="20F53E8A">
            <w:pPr>
              <w:pStyle w:val="6"/>
              <w:spacing w:before="188" w:line="219" w:lineRule="auto"/>
              <w:ind w:left="675"/>
              <w:rPr>
                <w:sz w:val="24"/>
                <w:szCs w:val="24"/>
              </w:rPr>
            </w:pPr>
            <w:r>
              <w:rPr>
                <w:spacing w:val="-14"/>
                <w:sz w:val="24"/>
                <w:szCs w:val="24"/>
              </w:rPr>
              <w:t>·基本农田分布广。</w:t>
            </w:r>
          </w:p>
          <w:p w14:paraId="5BEC4B38">
            <w:pPr>
              <w:pStyle w:val="6"/>
              <w:spacing w:before="190" w:line="219" w:lineRule="auto"/>
              <w:ind w:left="675"/>
              <w:rPr>
                <w:sz w:val="24"/>
                <w:szCs w:val="24"/>
              </w:rPr>
            </w:pPr>
            <w:r>
              <w:rPr>
                <w:spacing w:val="-11"/>
                <w:sz w:val="24"/>
                <w:szCs w:val="24"/>
              </w:rPr>
              <w:t>·村庄密集，人口分布广。</w:t>
            </w:r>
          </w:p>
        </w:tc>
      </w:tr>
    </w:tbl>
    <w:p w14:paraId="65CE6D94">
      <w:pPr>
        <w:rPr>
          <w:rFonts w:ascii="Arial"/>
          <w:sz w:val="21"/>
        </w:rPr>
      </w:pPr>
    </w:p>
    <w:p w14:paraId="1F4D7D5B">
      <w:pPr>
        <w:rPr>
          <w:rFonts w:ascii="Arial" w:hAnsi="Arial" w:eastAsia="Arial" w:cs="Arial"/>
          <w:sz w:val="21"/>
          <w:szCs w:val="21"/>
        </w:rPr>
        <w:sectPr>
          <w:footerReference r:id="rId43" w:type="default"/>
          <w:pgSz w:w="11907" w:h="16841"/>
          <w:pgMar w:top="400" w:right="1408" w:bottom="1126" w:left="1414" w:header="0" w:footer="925" w:gutter="0"/>
          <w:cols w:space="720" w:num="1"/>
        </w:sectPr>
      </w:pPr>
    </w:p>
    <w:p w14:paraId="4546D22A">
      <w:pPr>
        <w:spacing w:before="2"/>
      </w:pPr>
    </w:p>
    <w:p w14:paraId="254BECD8">
      <w:pPr>
        <w:spacing w:before="2"/>
      </w:pPr>
    </w:p>
    <w:p w14:paraId="315F094C">
      <w:pPr>
        <w:spacing w:before="1"/>
      </w:pPr>
    </w:p>
    <w:p w14:paraId="23721059">
      <w:pPr>
        <w:spacing w:before="1"/>
      </w:pPr>
    </w:p>
    <w:p w14:paraId="150651B3">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661198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99" w:hRule="atLeast"/>
        </w:trPr>
        <w:tc>
          <w:tcPr>
            <w:tcW w:w="571" w:type="dxa"/>
            <w:vAlign w:val="top"/>
          </w:tcPr>
          <w:p w14:paraId="23AB6C85">
            <w:pPr>
              <w:rPr>
                <w:rFonts w:ascii="Arial"/>
                <w:sz w:val="21"/>
              </w:rPr>
            </w:pPr>
          </w:p>
        </w:tc>
        <w:tc>
          <w:tcPr>
            <w:tcW w:w="8507" w:type="dxa"/>
            <w:vAlign w:val="top"/>
          </w:tcPr>
          <w:p w14:paraId="528AE678">
            <w:pPr>
              <w:pStyle w:val="6"/>
              <w:spacing w:before="124" w:line="220" w:lineRule="auto"/>
              <w:ind w:left="675"/>
              <w:rPr>
                <w:sz w:val="24"/>
                <w:szCs w:val="24"/>
              </w:rPr>
            </w:pPr>
            <w:r>
              <w:rPr>
                <w:spacing w:val="-11"/>
                <w:sz w:val="24"/>
                <w:szCs w:val="24"/>
              </w:rPr>
              <w:t>·周边已建输电线路密集。</w:t>
            </w:r>
          </w:p>
          <w:p w14:paraId="69D2604D">
            <w:pPr>
              <w:pStyle w:val="6"/>
              <w:spacing w:before="188" w:line="364" w:lineRule="auto"/>
              <w:ind w:left="111" w:right="109" w:firstLine="480"/>
              <w:rPr>
                <w:sz w:val="24"/>
                <w:szCs w:val="24"/>
              </w:rPr>
            </w:pPr>
            <w:r>
              <w:rPr>
                <w:spacing w:val="-4"/>
                <w:sz w:val="24"/>
                <w:szCs w:val="24"/>
              </w:rPr>
              <w:t>根据现场勘查，结合线路周边沿线生态保护红线范围、矿产资源分布、交通情况、电力及电信线路的走向、民房分布、森林分布以及地形地貌、工程地质条</w:t>
            </w:r>
            <w:r>
              <w:rPr>
                <w:spacing w:val="-3"/>
                <w:sz w:val="24"/>
                <w:szCs w:val="24"/>
              </w:rPr>
              <w:t>件、水文气象等相关情况，路径方案如下。</w:t>
            </w:r>
          </w:p>
          <w:p w14:paraId="6980C1CF">
            <w:pPr>
              <w:pStyle w:val="6"/>
              <w:spacing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）乐业变</w:t>
            </w:r>
            <w:r>
              <w:rPr>
                <w:rFonts w:ascii="Times New Roman" w:hAnsi="Times New Roman" w:eastAsia="Times New Roman" w:cs="Times New Roman"/>
                <w:b/>
                <w:bCs/>
                <w:spacing w:val="-4"/>
                <w:sz w:val="24"/>
                <w:szCs w:val="24"/>
              </w:rPr>
              <w:t>~</w:t>
            </w:r>
            <w:r>
              <w:rPr>
                <w:b/>
                <w:bCs/>
                <w:spacing w:val="-4"/>
                <w:sz w:val="24"/>
                <w:szCs w:val="24"/>
              </w:rPr>
              <w:t>迤车变</w:t>
            </w:r>
            <w:r>
              <w:rPr>
                <w:spacing w:val="-33"/>
                <w:sz w:val="24"/>
                <w:szCs w:val="24"/>
              </w:rPr>
              <w:t xml:space="preserve"> </w:t>
            </w:r>
            <w:r>
              <w:rPr>
                <w:rFonts w:ascii="Times New Roman" w:hAnsi="Times New Roman" w:eastAsia="Times New Roman" w:cs="Times New Roman"/>
                <w:b/>
                <w:bCs/>
                <w:spacing w:val="-4"/>
                <w:sz w:val="24"/>
                <w:szCs w:val="24"/>
              </w:rPr>
              <w:t xml:space="preserve">220kV </w:t>
            </w:r>
            <w:r>
              <w:rPr>
                <w:b/>
                <w:bCs/>
                <w:spacing w:val="-4"/>
                <w:sz w:val="24"/>
                <w:szCs w:val="24"/>
              </w:rPr>
              <w:t>线路（</w:t>
            </w:r>
            <w:r>
              <w:rPr>
                <w:rFonts w:ascii="Times New Roman" w:hAnsi="Times New Roman" w:eastAsia="Times New Roman" w:cs="Times New Roman"/>
                <w:b/>
                <w:bCs/>
                <w:spacing w:val="-4"/>
                <w:sz w:val="24"/>
                <w:szCs w:val="24"/>
              </w:rPr>
              <w:t>C</w:t>
            </w:r>
            <w:r>
              <w:rPr>
                <w:rFonts w:ascii="Times New Roman" w:hAnsi="Times New Roman" w:eastAsia="Times New Roman" w:cs="Times New Roman"/>
                <w:b/>
                <w:bCs/>
                <w:spacing w:val="32"/>
                <w:w w:val="101"/>
                <w:sz w:val="24"/>
                <w:szCs w:val="24"/>
              </w:rPr>
              <w:t xml:space="preserve"> </w:t>
            </w:r>
            <w:r>
              <w:rPr>
                <w:b/>
                <w:bCs/>
                <w:spacing w:val="-4"/>
                <w:sz w:val="24"/>
                <w:szCs w:val="24"/>
              </w:rPr>
              <w:t>回）</w:t>
            </w:r>
          </w:p>
          <w:p w14:paraId="55D92F08">
            <w:pPr>
              <w:pStyle w:val="6"/>
              <w:spacing w:before="173" w:line="364" w:lineRule="auto"/>
              <w:ind w:left="111" w:right="108" w:firstLine="483"/>
              <w:jc w:val="both"/>
              <w:rPr>
                <w:sz w:val="24"/>
                <w:szCs w:val="24"/>
              </w:rPr>
            </w:pPr>
            <w:r>
              <w:rPr>
                <w:spacing w:val="-1"/>
                <w:sz w:val="24"/>
                <w:szCs w:val="24"/>
              </w:rPr>
              <w:t>线路从</w:t>
            </w:r>
            <w:r>
              <w:rPr>
                <w:spacing w:val="-44"/>
                <w:sz w:val="24"/>
                <w:szCs w:val="24"/>
              </w:rPr>
              <w:t xml:space="preserve"> </w:t>
            </w:r>
            <w:r>
              <w:rPr>
                <w:rFonts w:ascii="Times New Roman" w:hAnsi="Times New Roman" w:eastAsia="Times New Roman" w:cs="Times New Roman"/>
                <w:spacing w:val="-1"/>
                <w:sz w:val="24"/>
                <w:szCs w:val="24"/>
              </w:rPr>
              <w:t>500kV</w:t>
            </w:r>
            <w:r>
              <w:rPr>
                <w:rFonts w:ascii="Times New Roman" w:hAnsi="Times New Roman" w:eastAsia="Times New Roman" w:cs="Times New Roman"/>
                <w:spacing w:val="21"/>
                <w:sz w:val="24"/>
                <w:szCs w:val="24"/>
              </w:rPr>
              <w:t xml:space="preserve"> </w:t>
            </w:r>
            <w:r>
              <w:rPr>
                <w:spacing w:val="-1"/>
                <w:sz w:val="24"/>
                <w:szCs w:val="24"/>
              </w:rPr>
              <w:t>乐业变电站</w:t>
            </w:r>
            <w:r>
              <w:rPr>
                <w:spacing w:val="-50"/>
                <w:sz w:val="24"/>
                <w:szCs w:val="24"/>
              </w:rPr>
              <w:t xml:space="preserve"> </w:t>
            </w:r>
            <w:r>
              <w:rPr>
                <w:rFonts w:ascii="Times New Roman" w:hAnsi="Times New Roman" w:eastAsia="Times New Roman" w:cs="Times New Roman"/>
                <w:spacing w:val="-1"/>
                <w:sz w:val="24"/>
                <w:szCs w:val="24"/>
              </w:rPr>
              <w:t xml:space="preserve">220kV </w:t>
            </w:r>
            <w:r>
              <w:rPr>
                <w:spacing w:val="-1"/>
                <w:sz w:val="24"/>
                <w:szCs w:val="24"/>
              </w:rPr>
              <w:t>侧出线间隔采用双回路塔向东出线后转为</w:t>
            </w:r>
            <w:r>
              <w:rPr>
                <w:spacing w:val="-3"/>
                <w:sz w:val="24"/>
                <w:szCs w:val="24"/>
              </w:rPr>
              <w:t>单回路架设，经连续左转后线路转向西北方向</w:t>
            </w:r>
            <w:r>
              <w:rPr>
                <w:spacing w:val="-4"/>
                <w:sz w:val="24"/>
                <w:szCs w:val="24"/>
              </w:rPr>
              <w:t>走线，在下碗花厂附近连续跨越乐</w:t>
            </w:r>
            <w:r>
              <w:rPr>
                <w:spacing w:val="-1"/>
                <w:sz w:val="24"/>
                <w:szCs w:val="24"/>
              </w:rPr>
              <w:t>业变电站</w:t>
            </w:r>
            <w:r>
              <w:rPr>
                <w:spacing w:val="-50"/>
                <w:sz w:val="24"/>
                <w:szCs w:val="24"/>
              </w:rPr>
              <w:t xml:space="preserve"> </w:t>
            </w:r>
            <w:r>
              <w:rPr>
                <w:rFonts w:ascii="Times New Roman" w:hAnsi="Times New Roman" w:eastAsia="Times New Roman" w:cs="Times New Roman"/>
                <w:spacing w:val="-1"/>
                <w:sz w:val="24"/>
                <w:szCs w:val="24"/>
              </w:rPr>
              <w:t xml:space="preserve">35kV </w:t>
            </w:r>
            <w:r>
              <w:rPr>
                <w:spacing w:val="-1"/>
                <w:sz w:val="24"/>
                <w:szCs w:val="24"/>
              </w:rPr>
              <w:t>站用电源线（拟建）、</w:t>
            </w:r>
            <w:r>
              <w:rPr>
                <w:rFonts w:ascii="Times New Roman" w:hAnsi="Times New Roman" w:eastAsia="Times New Roman" w:cs="Times New Roman"/>
                <w:spacing w:val="-1"/>
                <w:sz w:val="24"/>
                <w:szCs w:val="24"/>
              </w:rPr>
              <w:t>110kV</w:t>
            </w:r>
            <w:r>
              <w:rPr>
                <w:rFonts w:ascii="Times New Roman" w:hAnsi="Times New Roman" w:eastAsia="Times New Roman" w:cs="Times New Roman"/>
                <w:spacing w:val="-2"/>
                <w:sz w:val="24"/>
                <w:szCs w:val="24"/>
              </w:rPr>
              <w:t xml:space="preserve"> </w:t>
            </w:r>
            <w:r>
              <w:rPr>
                <w:spacing w:val="-2"/>
                <w:sz w:val="24"/>
                <w:szCs w:val="24"/>
              </w:rPr>
              <w:t>大迤双回线，经田边，在小清河附近跨越本期拟建的</w:t>
            </w:r>
            <w:r>
              <w:rPr>
                <w:spacing w:val="-45"/>
                <w:sz w:val="24"/>
                <w:szCs w:val="24"/>
              </w:rPr>
              <w:t xml:space="preserve">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20"/>
                <w:w w:val="101"/>
                <w:sz w:val="24"/>
                <w:szCs w:val="24"/>
              </w:rPr>
              <w:t xml:space="preserve"> </w:t>
            </w:r>
            <w:r>
              <w:rPr>
                <w:spacing w:val="-2"/>
                <w:sz w:val="24"/>
                <w:szCs w:val="24"/>
              </w:rPr>
              <w:t>者迤</w:t>
            </w:r>
            <w:r>
              <w:rPr>
                <w:spacing w:val="-42"/>
                <w:sz w:val="24"/>
                <w:szCs w:val="24"/>
              </w:rPr>
              <w:t xml:space="preserve"> </w:t>
            </w:r>
            <w:r>
              <w:rPr>
                <w:rFonts w:ascii="Times New Roman" w:hAnsi="Times New Roman" w:eastAsia="Times New Roman" w:cs="Times New Roman"/>
                <w:spacing w:val="-2"/>
                <w:sz w:val="24"/>
                <w:szCs w:val="24"/>
              </w:rPr>
              <w:t>I</w:t>
            </w:r>
            <w:r>
              <w:rPr>
                <w:rFonts w:ascii="Times New Roman" w:hAnsi="Times New Roman" w:eastAsia="Times New Roman" w:cs="Times New Roman"/>
                <w:spacing w:val="40"/>
                <w:sz w:val="24"/>
                <w:szCs w:val="24"/>
              </w:rPr>
              <w:t xml:space="preserve"> </w:t>
            </w:r>
            <w:r>
              <w:rPr>
                <w:spacing w:val="-2"/>
                <w:sz w:val="24"/>
                <w:szCs w:val="24"/>
              </w:rPr>
              <w:t>回线改接入迤车牵引变</w:t>
            </w:r>
            <w:r>
              <w:rPr>
                <w:spacing w:val="-45"/>
                <w:sz w:val="24"/>
                <w:szCs w:val="24"/>
              </w:rPr>
              <w:t xml:space="preserve">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21"/>
                <w:w w:val="101"/>
                <w:sz w:val="24"/>
                <w:szCs w:val="24"/>
              </w:rPr>
              <w:t xml:space="preserve"> </w:t>
            </w:r>
            <w:r>
              <w:rPr>
                <w:spacing w:val="-2"/>
                <w:sz w:val="24"/>
                <w:szCs w:val="24"/>
              </w:rPr>
              <w:t>线路后，最</w:t>
            </w:r>
            <w:r>
              <w:rPr>
                <w:spacing w:val="-3"/>
                <w:sz w:val="24"/>
                <w:szCs w:val="24"/>
              </w:rPr>
              <w:t>终接</w:t>
            </w:r>
            <w:r>
              <w:rPr>
                <w:spacing w:val="-2"/>
                <w:sz w:val="24"/>
                <w:szCs w:val="24"/>
              </w:rPr>
              <w:t>入迤车变电站原</w:t>
            </w:r>
            <w:r>
              <w:rPr>
                <w:spacing w:val="-55"/>
                <w:sz w:val="24"/>
                <w:szCs w:val="24"/>
              </w:rPr>
              <w:t xml:space="preserve"> </w:t>
            </w:r>
            <w:r>
              <w:rPr>
                <w:rFonts w:ascii="Times New Roman" w:hAnsi="Times New Roman" w:eastAsia="Times New Roman" w:cs="Times New Roman"/>
                <w:spacing w:val="-2"/>
                <w:sz w:val="24"/>
                <w:szCs w:val="24"/>
              </w:rPr>
              <w:t xml:space="preserve">220kV </w:t>
            </w:r>
            <w:r>
              <w:rPr>
                <w:spacing w:val="-2"/>
                <w:sz w:val="24"/>
                <w:szCs w:val="24"/>
              </w:rPr>
              <w:t>者迤Ⅱ线腾退出的</w:t>
            </w:r>
            <w:r>
              <w:rPr>
                <w:spacing w:val="-54"/>
                <w:sz w:val="24"/>
                <w:szCs w:val="24"/>
              </w:rPr>
              <w:t xml:space="preserve"> </w:t>
            </w:r>
            <w:r>
              <w:rPr>
                <w:rFonts w:ascii="Times New Roman" w:hAnsi="Times New Roman" w:eastAsia="Times New Roman" w:cs="Times New Roman"/>
                <w:spacing w:val="-3"/>
                <w:sz w:val="24"/>
                <w:szCs w:val="24"/>
              </w:rPr>
              <w:t>220kV</w:t>
            </w:r>
            <w:r>
              <w:rPr>
                <w:rFonts w:ascii="Times New Roman" w:hAnsi="Times New Roman" w:eastAsia="Times New Roman" w:cs="Times New Roman"/>
                <w:spacing w:val="29"/>
                <w:w w:val="101"/>
                <w:sz w:val="24"/>
                <w:szCs w:val="24"/>
              </w:rPr>
              <w:t xml:space="preserve"> </w:t>
            </w:r>
            <w:r>
              <w:rPr>
                <w:spacing w:val="-3"/>
                <w:sz w:val="24"/>
                <w:szCs w:val="24"/>
              </w:rPr>
              <w:t>出线间隔。</w:t>
            </w:r>
          </w:p>
          <w:p w14:paraId="4CB15A31">
            <w:pPr>
              <w:pStyle w:val="6"/>
              <w:spacing w:before="2" w:line="344" w:lineRule="auto"/>
              <w:ind w:left="115" w:right="33" w:firstLine="478"/>
              <w:jc w:val="both"/>
              <w:rPr>
                <w:sz w:val="24"/>
                <w:szCs w:val="24"/>
              </w:rPr>
            </w:pPr>
            <w:r>
              <w:rPr>
                <w:spacing w:val="-4"/>
                <w:sz w:val="24"/>
                <w:szCs w:val="24"/>
              </w:rPr>
              <w:t>新建线路因迤车牵引变位于人口集中区域，受周边居民房屋、规划建设、炸</w:t>
            </w:r>
            <w:r>
              <w:rPr>
                <w:spacing w:val="-1"/>
                <w:sz w:val="24"/>
                <w:szCs w:val="24"/>
              </w:rPr>
              <w:t>药库、采石场以及已建线路通道设施限制，本线</w:t>
            </w:r>
            <w:r>
              <w:rPr>
                <w:spacing w:val="-2"/>
                <w:sz w:val="24"/>
                <w:szCs w:val="24"/>
              </w:rPr>
              <w:t>路路径方案唯一，无对比方案。</w:t>
            </w:r>
            <w:r>
              <w:rPr>
                <w:spacing w:val="-6"/>
                <w:sz w:val="24"/>
                <w:szCs w:val="24"/>
              </w:rPr>
              <w:t>线路整体走向如下图所示：</w:t>
            </w:r>
          </w:p>
          <w:p w14:paraId="134978E7">
            <w:pPr>
              <w:spacing w:line="6877" w:lineRule="exact"/>
              <w:ind w:firstLine="102"/>
            </w:pPr>
            <w:r>
              <w:rPr>
                <w:position w:val="-137"/>
              </w:rPr>
              <w:drawing>
                <wp:inline distT="0" distB="0" distL="0" distR="0">
                  <wp:extent cx="5288280" cy="4366260"/>
                  <wp:effectExtent l="0" t="0" r="0" b="0"/>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212"/>
                          <a:stretch>
                            <a:fillRect/>
                          </a:stretch>
                        </pic:blipFill>
                        <pic:spPr>
                          <a:xfrm>
                            <a:off x="0" y="0"/>
                            <a:ext cx="5288534" cy="4366894"/>
                          </a:xfrm>
                          <a:prstGeom prst="rect">
                            <a:avLst/>
                          </a:prstGeom>
                        </pic:spPr>
                      </pic:pic>
                    </a:graphicData>
                  </a:graphic>
                </wp:inline>
              </w:drawing>
            </w:r>
          </w:p>
          <w:p w14:paraId="4FB2E1A9">
            <w:pPr>
              <w:pStyle w:val="6"/>
              <w:spacing w:before="171" w:line="234" w:lineRule="auto"/>
              <w:ind w:left="2129"/>
            </w:pPr>
            <w:r>
              <w:rPr>
                <w:b/>
                <w:bCs/>
                <w:spacing w:val="-2"/>
              </w:rPr>
              <w:t>图</w:t>
            </w:r>
            <w:r>
              <w:rPr>
                <w:spacing w:val="-45"/>
              </w:rPr>
              <w:t xml:space="preserve"> </w:t>
            </w:r>
            <w:r>
              <w:rPr>
                <w:rFonts w:ascii="Times New Roman" w:hAnsi="Times New Roman" w:eastAsia="Times New Roman" w:cs="Times New Roman"/>
                <w:b/>
                <w:bCs/>
                <w:spacing w:val="-2"/>
              </w:rPr>
              <w:t xml:space="preserve">2-4    </w:t>
            </w:r>
            <w:r>
              <w:rPr>
                <w:b/>
                <w:bCs/>
                <w:spacing w:val="-2"/>
              </w:rPr>
              <w:t>乐业变</w:t>
            </w:r>
            <w:r>
              <w:rPr>
                <w:rFonts w:ascii="Times New Roman" w:hAnsi="Times New Roman" w:eastAsia="Times New Roman" w:cs="Times New Roman"/>
                <w:b/>
                <w:bCs/>
                <w:spacing w:val="-2"/>
              </w:rPr>
              <w:t>~</w:t>
            </w:r>
            <w:r>
              <w:rPr>
                <w:b/>
                <w:bCs/>
                <w:spacing w:val="-2"/>
              </w:rPr>
              <w:t>迤车变</w:t>
            </w:r>
            <w:r>
              <w:rPr>
                <w:spacing w:val="-45"/>
              </w:rPr>
              <w:t xml:space="preserve"> </w:t>
            </w:r>
            <w:r>
              <w:rPr>
                <w:rFonts w:ascii="Times New Roman" w:hAnsi="Times New Roman" w:eastAsia="Times New Roman" w:cs="Times New Roman"/>
                <w:b/>
                <w:bCs/>
                <w:spacing w:val="-2"/>
              </w:rPr>
              <w:t xml:space="preserve">220kV </w:t>
            </w:r>
            <w:r>
              <w:rPr>
                <w:b/>
                <w:bCs/>
                <w:spacing w:val="-2"/>
              </w:rPr>
              <w:t>线路路</w:t>
            </w:r>
            <w:r>
              <w:rPr>
                <w:b/>
                <w:bCs/>
                <w:spacing w:val="-3"/>
              </w:rPr>
              <w:t>径方案图</w:t>
            </w:r>
          </w:p>
        </w:tc>
      </w:tr>
    </w:tbl>
    <w:p w14:paraId="36D5CA5F">
      <w:pPr>
        <w:rPr>
          <w:rFonts w:ascii="Arial"/>
          <w:sz w:val="21"/>
        </w:rPr>
      </w:pPr>
    </w:p>
    <w:p w14:paraId="61FB176D">
      <w:pPr>
        <w:rPr>
          <w:rFonts w:ascii="Arial" w:hAnsi="Arial" w:eastAsia="Arial" w:cs="Arial"/>
          <w:sz w:val="21"/>
          <w:szCs w:val="21"/>
        </w:rPr>
        <w:sectPr>
          <w:footerReference r:id="rId44" w:type="default"/>
          <w:pgSz w:w="11907" w:h="16841"/>
          <w:pgMar w:top="400" w:right="1408" w:bottom="1126" w:left="1414" w:header="0" w:footer="925" w:gutter="0"/>
          <w:cols w:space="720" w:num="1"/>
        </w:sectPr>
      </w:pPr>
    </w:p>
    <w:p w14:paraId="7492027D">
      <w:pPr>
        <w:spacing w:before="2"/>
      </w:pPr>
    </w:p>
    <w:p w14:paraId="1E32ABBC">
      <w:pPr>
        <w:spacing w:before="2"/>
      </w:pPr>
    </w:p>
    <w:p w14:paraId="5892C573">
      <w:pPr>
        <w:spacing w:before="1"/>
      </w:pPr>
    </w:p>
    <w:p w14:paraId="64AB9FBE">
      <w:pPr>
        <w:spacing w:before="1"/>
      </w:pPr>
    </w:p>
    <w:p w14:paraId="62C9F420">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4F0534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99" w:hRule="atLeast"/>
        </w:trPr>
        <w:tc>
          <w:tcPr>
            <w:tcW w:w="571" w:type="dxa"/>
            <w:vAlign w:val="top"/>
          </w:tcPr>
          <w:p w14:paraId="146FD7EE">
            <w:pPr>
              <w:rPr>
                <w:rFonts w:ascii="Arial"/>
                <w:sz w:val="21"/>
              </w:rPr>
            </w:pPr>
          </w:p>
        </w:tc>
        <w:tc>
          <w:tcPr>
            <w:tcW w:w="8507" w:type="dxa"/>
            <w:vAlign w:val="top"/>
          </w:tcPr>
          <w:p w14:paraId="2494A62C">
            <w:pPr>
              <w:pStyle w:val="6"/>
              <w:spacing w:before="62" w:line="278" w:lineRule="auto"/>
              <w:ind w:left="110" w:right="105"/>
            </w:pPr>
            <w:r>
              <w:rPr>
                <w:spacing w:val="-3"/>
              </w:rPr>
              <w:t>注：图中红色虚线为方案路径、实线为已有输电线路，黄色图斑为基本农田范围，细蓝色线</w:t>
            </w:r>
            <w:r>
              <w:rPr>
                <w:spacing w:val="-2"/>
              </w:rPr>
              <w:t>框内为生态红线保护区。</w:t>
            </w:r>
          </w:p>
          <w:p w14:paraId="2BF7F909">
            <w:pPr>
              <w:pStyle w:val="6"/>
              <w:spacing w:before="63" w:line="360" w:lineRule="auto"/>
              <w:ind w:left="111" w:right="33" w:firstLine="483"/>
              <w:jc w:val="both"/>
              <w:rPr>
                <w:sz w:val="24"/>
                <w:szCs w:val="24"/>
              </w:rPr>
            </w:pPr>
            <w:r>
              <w:rPr>
                <w:spacing w:val="-2"/>
                <w:sz w:val="24"/>
                <w:szCs w:val="24"/>
              </w:rPr>
              <w:t>从整体走向来看，线路中段主要跨越生态红线，两端跨越少量的基本农田。</w:t>
            </w:r>
            <w:r>
              <w:rPr>
                <w:spacing w:val="-1"/>
                <w:sz w:val="24"/>
                <w:szCs w:val="24"/>
              </w:rPr>
              <w:t>线路受已有</w:t>
            </w:r>
            <w:r>
              <w:rPr>
                <w:spacing w:val="-52"/>
                <w:sz w:val="24"/>
                <w:szCs w:val="24"/>
              </w:rPr>
              <w:t xml:space="preserve"> </w:t>
            </w:r>
            <w:r>
              <w:rPr>
                <w:rFonts w:ascii="Times New Roman" w:hAnsi="Times New Roman" w:eastAsia="Times New Roman" w:cs="Times New Roman"/>
                <w:spacing w:val="-1"/>
                <w:sz w:val="24"/>
                <w:szCs w:val="24"/>
              </w:rPr>
              <w:t xml:space="preserve">220kV </w:t>
            </w:r>
            <w:r>
              <w:rPr>
                <w:spacing w:val="-1"/>
                <w:sz w:val="24"/>
                <w:szCs w:val="24"/>
              </w:rPr>
              <w:t>者迤</w:t>
            </w:r>
            <w:r>
              <w:rPr>
                <w:spacing w:val="-51"/>
                <w:sz w:val="24"/>
                <w:szCs w:val="24"/>
              </w:rPr>
              <w:t xml:space="preserve"> </w:t>
            </w:r>
            <w:r>
              <w:rPr>
                <w:rFonts w:ascii="Times New Roman" w:hAnsi="Times New Roman" w:eastAsia="Times New Roman" w:cs="Times New Roman"/>
                <w:spacing w:val="-1"/>
                <w:sz w:val="24"/>
                <w:szCs w:val="24"/>
              </w:rPr>
              <w:t>I</w:t>
            </w:r>
            <w:r>
              <w:rPr>
                <w:rFonts w:ascii="Times New Roman" w:hAnsi="Times New Roman" w:eastAsia="Times New Roman" w:cs="Times New Roman"/>
                <w:spacing w:val="32"/>
                <w:sz w:val="24"/>
                <w:szCs w:val="24"/>
              </w:rPr>
              <w:t xml:space="preserve"> </w:t>
            </w:r>
            <w:r>
              <w:rPr>
                <w:spacing w:val="-1"/>
                <w:sz w:val="24"/>
                <w:szCs w:val="24"/>
              </w:rPr>
              <w:t>回、</w:t>
            </w:r>
            <w:r>
              <w:rPr>
                <w:rFonts w:ascii="Times New Roman" w:hAnsi="Times New Roman" w:eastAsia="Times New Roman" w:cs="Times New Roman"/>
                <w:spacing w:val="-1"/>
                <w:sz w:val="24"/>
                <w:szCs w:val="24"/>
              </w:rPr>
              <w:t xml:space="preserve">220kV </w:t>
            </w:r>
            <w:r>
              <w:rPr>
                <w:spacing w:val="-1"/>
                <w:sz w:val="24"/>
                <w:szCs w:val="24"/>
              </w:rPr>
              <w:t>者迤Ⅱ回、</w:t>
            </w:r>
            <w:r>
              <w:rPr>
                <w:rFonts w:ascii="Times New Roman" w:hAnsi="Times New Roman" w:eastAsia="Times New Roman" w:cs="Times New Roman"/>
                <w:spacing w:val="-1"/>
                <w:sz w:val="24"/>
                <w:szCs w:val="24"/>
              </w:rPr>
              <w:t>110kV</w:t>
            </w:r>
            <w:r>
              <w:rPr>
                <w:rFonts w:ascii="Times New Roman" w:hAnsi="Times New Roman" w:eastAsia="Times New Roman" w:cs="Times New Roman"/>
                <w:spacing w:val="15"/>
                <w:sz w:val="24"/>
                <w:szCs w:val="24"/>
              </w:rPr>
              <w:t xml:space="preserve"> </w:t>
            </w:r>
            <w:r>
              <w:rPr>
                <w:spacing w:val="-2"/>
                <w:sz w:val="24"/>
                <w:szCs w:val="24"/>
              </w:rPr>
              <w:t>大迤双回、</w:t>
            </w:r>
            <w:r>
              <w:rPr>
                <w:rFonts w:ascii="Times New Roman" w:hAnsi="Times New Roman" w:eastAsia="Times New Roman" w:cs="Times New Roman"/>
                <w:spacing w:val="-2"/>
                <w:sz w:val="24"/>
                <w:szCs w:val="24"/>
              </w:rPr>
              <w:t xml:space="preserve">35kV </w:t>
            </w:r>
            <w:r>
              <w:rPr>
                <w:spacing w:val="-2"/>
                <w:sz w:val="24"/>
                <w:szCs w:val="24"/>
              </w:rPr>
              <w:t>罗布古</w:t>
            </w:r>
            <w:r>
              <w:rPr>
                <w:spacing w:val="-3"/>
                <w:sz w:val="24"/>
                <w:szCs w:val="24"/>
              </w:rPr>
              <w:t>线等已建线路影响，加上老虎梁子山周边大</w:t>
            </w:r>
            <w:r>
              <w:rPr>
                <w:spacing w:val="-4"/>
                <w:sz w:val="24"/>
                <w:szCs w:val="24"/>
              </w:rPr>
              <w:t>黑山村、村上、田边等村居民房屋影响新建线路无法从山体西边走线和绕行，导致本工程线路不得不走向已建线路通</w:t>
            </w:r>
            <w:r>
              <w:rPr>
                <w:spacing w:val="-2"/>
                <w:sz w:val="24"/>
                <w:szCs w:val="24"/>
              </w:rPr>
              <w:t>道西侧走线，紧邻现有电力线路走线以减少对生态红线的占用。如下图所示：</w:t>
            </w:r>
          </w:p>
          <w:p w14:paraId="73066539">
            <w:pPr>
              <w:spacing w:line="6455" w:lineRule="exact"/>
              <w:ind w:firstLine="102"/>
            </w:pPr>
            <w:r>
              <w:rPr>
                <w:position w:val="-129"/>
              </w:rPr>
              <w:drawing>
                <wp:inline distT="0" distB="0" distL="0" distR="0">
                  <wp:extent cx="5262245" cy="4098925"/>
                  <wp:effectExtent l="0" t="0" r="0" b="0"/>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213"/>
                          <a:stretch>
                            <a:fillRect/>
                          </a:stretch>
                        </pic:blipFill>
                        <pic:spPr>
                          <a:xfrm>
                            <a:off x="0" y="0"/>
                            <a:ext cx="5262879" cy="4098925"/>
                          </a:xfrm>
                          <a:prstGeom prst="rect">
                            <a:avLst/>
                          </a:prstGeom>
                        </pic:spPr>
                      </pic:pic>
                    </a:graphicData>
                  </a:graphic>
                </wp:inline>
              </w:drawing>
            </w:r>
          </w:p>
          <w:p w14:paraId="62078816">
            <w:pPr>
              <w:pStyle w:val="6"/>
              <w:spacing w:before="221" w:line="234" w:lineRule="auto"/>
              <w:ind w:left="2847"/>
            </w:pPr>
            <w:r>
              <w:rPr>
                <w:b/>
                <w:bCs/>
                <w:spacing w:val="-5"/>
              </w:rPr>
              <w:t>图</w:t>
            </w:r>
            <w:r>
              <w:rPr>
                <w:spacing w:val="-34"/>
              </w:rPr>
              <w:t xml:space="preserve"> </w:t>
            </w:r>
            <w:r>
              <w:rPr>
                <w:rFonts w:ascii="Times New Roman" w:hAnsi="Times New Roman" w:eastAsia="Times New Roman" w:cs="Times New Roman"/>
                <w:b/>
                <w:bCs/>
                <w:spacing w:val="-5"/>
              </w:rPr>
              <w:t>2-5    C</w:t>
            </w:r>
            <w:r>
              <w:rPr>
                <w:rFonts w:ascii="Times New Roman" w:hAnsi="Times New Roman" w:eastAsia="Times New Roman" w:cs="Times New Roman"/>
                <w:b/>
                <w:bCs/>
                <w:spacing w:val="29"/>
              </w:rPr>
              <w:t xml:space="preserve"> </w:t>
            </w:r>
            <w:r>
              <w:rPr>
                <w:b/>
                <w:bCs/>
                <w:spacing w:val="-5"/>
              </w:rPr>
              <w:t>回线路老虎梁子山段</w:t>
            </w:r>
          </w:p>
          <w:p w14:paraId="06F98B0D">
            <w:pPr>
              <w:pStyle w:val="6"/>
              <w:spacing w:before="133" w:line="278" w:lineRule="auto"/>
              <w:ind w:left="111" w:right="108"/>
            </w:pPr>
            <w:r>
              <w:rPr>
                <w:spacing w:val="-3"/>
              </w:rPr>
              <w:t>注：图中黄色、青色虚线为方案路径、实线为已有输电线路，黄色图斑为基本农田范围，细</w:t>
            </w:r>
            <w:r>
              <w:rPr>
                <w:spacing w:val="-2"/>
              </w:rPr>
              <w:t>蓝色线框内为生态红线保护区。</w:t>
            </w:r>
          </w:p>
          <w:p w14:paraId="4EB00504">
            <w:pPr>
              <w:pStyle w:val="6"/>
              <w:spacing w:before="61" w:line="365" w:lineRule="auto"/>
              <w:ind w:left="112" w:right="109" w:firstLine="509"/>
              <w:jc w:val="both"/>
              <w:rPr>
                <w:sz w:val="24"/>
                <w:szCs w:val="24"/>
              </w:rPr>
            </w:pPr>
            <w:r>
              <w:rPr>
                <w:spacing w:val="-5"/>
                <w:sz w:val="24"/>
                <w:szCs w:val="24"/>
              </w:rPr>
              <w:t>由上图可以看出，受已建线路村庄限制，本线路通道只能走老虎梁子上东侧</w:t>
            </w:r>
            <w:r>
              <w:rPr>
                <w:spacing w:val="-4"/>
                <w:sz w:val="24"/>
                <w:szCs w:val="24"/>
              </w:rPr>
              <w:t>通道，西侧通道完全由基本农田和生态红线分布，无法避让。而东侧现有的几条电力线路已占满了通道走廊，本期线路就算跨越或者钻越至走廊右侧（东侧）也</w:t>
            </w:r>
            <w:r>
              <w:rPr>
                <w:spacing w:val="-3"/>
                <w:sz w:val="24"/>
                <w:szCs w:val="24"/>
              </w:rPr>
              <w:t>无法避开东侧的生态红线，路径不能完全避</w:t>
            </w:r>
            <w:r>
              <w:rPr>
                <w:spacing w:val="-4"/>
                <w:sz w:val="24"/>
                <w:szCs w:val="24"/>
              </w:rPr>
              <w:t>开的情况下，我们选择尽可能少占用</w:t>
            </w:r>
            <w:r>
              <w:rPr>
                <w:spacing w:val="-3"/>
                <w:sz w:val="24"/>
                <w:szCs w:val="24"/>
              </w:rPr>
              <w:t>生态红线和基本农田的方式走线。</w:t>
            </w:r>
          </w:p>
          <w:p w14:paraId="3BBFAC7A">
            <w:pPr>
              <w:pStyle w:val="6"/>
              <w:spacing w:line="232" w:lineRule="auto"/>
              <w:ind w:left="601"/>
              <w:rPr>
                <w:sz w:val="24"/>
                <w:szCs w:val="24"/>
              </w:rPr>
            </w:pPr>
            <w:r>
              <w:rPr>
                <w:b/>
                <w:bCs/>
                <w:spacing w:val="-3"/>
                <w:sz w:val="24"/>
                <w:szCs w:val="24"/>
              </w:rPr>
              <w:t>（</w:t>
            </w:r>
            <w:r>
              <w:rPr>
                <w:rFonts w:ascii="Times New Roman" w:hAnsi="Times New Roman" w:eastAsia="Times New Roman" w:cs="Times New Roman"/>
                <w:b/>
                <w:bCs/>
                <w:spacing w:val="-3"/>
                <w:sz w:val="24"/>
                <w:szCs w:val="24"/>
              </w:rPr>
              <w:t>2</w:t>
            </w:r>
            <w:r>
              <w:rPr>
                <w:b/>
                <w:bCs/>
                <w:spacing w:val="-3"/>
                <w:sz w:val="24"/>
                <w:szCs w:val="24"/>
              </w:rPr>
              <w:t>）迤车变～迤车牵引变</w:t>
            </w:r>
            <w:r>
              <w:rPr>
                <w:spacing w:val="-51"/>
                <w:sz w:val="24"/>
                <w:szCs w:val="24"/>
              </w:rPr>
              <w:t xml:space="preserve"> </w:t>
            </w:r>
            <w:r>
              <w:rPr>
                <w:rFonts w:ascii="Times New Roman" w:hAnsi="Times New Roman" w:eastAsia="Times New Roman" w:cs="Times New Roman"/>
                <w:b/>
                <w:bCs/>
                <w:spacing w:val="-3"/>
                <w:sz w:val="24"/>
                <w:szCs w:val="24"/>
              </w:rPr>
              <w:t xml:space="preserve">220kV </w:t>
            </w:r>
            <w:r>
              <w:rPr>
                <w:b/>
                <w:bCs/>
                <w:spacing w:val="-3"/>
                <w:sz w:val="24"/>
                <w:szCs w:val="24"/>
              </w:rPr>
              <w:t>线路（</w:t>
            </w:r>
            <w:r>
              <w:rPr>
                <w:rFonts w:ascii="Times New Roman" w:hAnsi="Times New Roman" w:eastAsia="Times New Roman" w:cs="Times New Roman"/>
                <w:b/>
                <w:bCs/>
                <w:spacing w:val="-3"/>
                <w:sz w:val="24"/>
                <w:szCs w:val="24"/>
              </w:rPr>
              <w:t>D</w:t>
            </w:r>
            <w:r>
              <w:rPr>
                <w:rFonts w:ascii="Times New Roman" w:hAnsi="Times New Roman" w:eastAsia="Times New Roman" w:cs="Times New Roman"/>
                <w:b/>
                <w:bCs/>
                <w:spacing w:val="30"/>
                <w:w w:val="101"/>
                <w:sz w:val="24"/>
                <w:szCs w:val="24"/>
              </w:rPr>
              <w:t xml:space="preserve"> </w:t>
            </w:r>
            <w:r>
              <w:rPr>
                <w:b/>
                <w:bCs/>
                <w:spacing w:val="-3"/>
                <w:sz w:val="24"/>
                <w:szCs w:val="24"/>
              </w:rPr>
              <w:t>回）</w:t>
            </w:r>
          </w:p>
        </w:tc>
      </w:tr>
    </w:tbl>
    <w:p w14:paraId="63644D41">
      <w:pPr>
        <w:rPr>
          <w:rFonts w:ascii="Arial"/>
          <w:sz w:val="21"/>
        </w:rPr>
      </w:pPr>
    </w:p>
    <w:p w14:paraId="4E072A0A">
      <w:pPr>
        <w:rPr>
          <w:rFonts w:ascii="Arial" w:hAnsi="Arial" w:eastAsia="Arial" w:cs="Arial"/>
          <w:sz w:val="21"/>
          <w:szCs w:val="21"/>
        </w:rPr>
        <w:sectPr>
          <w:footerReference r:id="rId45" w:type="default"/>
          <w:pgSz w:w="11907" w:h="16841"/>
          <w:pgMar w:top="400" w:right="1408" w:bottom="1126" w:left="1414" w:header="0" w:footer="925" w:gutter="0"/>
          <w:cols w:space="720" w:num="1"/>
        </w:sectPr>
      </w:pPr>
    </w:p>
    <w:p w14:paraId="232CEE07">
      <w:pPr>
        <w:spacing w:before="2"/>
      </w:pPr>
    </w:p>
    <w:p w14:paraId="0F323C1D">
      <w:pPr>
        <w:spacing w:before="2"/>
      </w:pPr>
    </w:p>
    <w:p w14:paraId="682B6EAF">
      <w:pPr>
        <w:spacing w:before="1"/>
      </w:pPr>
    </w:p>
    <w:p w14:paraId="31E42921">
      <w:pPr>
        <w:spacing w:before="1"/>
      </w:pPr>
    </w:p>
    <w:p w14:paraId="61EE580F">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17B747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37" w:hRule="atLeast"/>
        </w:trPr>
        <w:tc>
          <w:tcPr>
            <w:tcW w:w="571" w:type="dxa"/>
            <w:vAlign w:val="top"/>
          </w:tcPr>
          <w:p w14:paraId="44A94A43">
            <w:pPr>
              <w:rPr>
                <w:rFonts w:ascii="Arial"/>
                <w:sz w:val="21"/>
              </w:rPr>
            </w:pPr>
          </w:p>
        </w:tc>
        <w:tc>
          <w:tcPr>
            <w:tcW w:w="8507" w:type="dxa"/>
            <w:vAlign w:val="top"/>
          </w:tcPr>
          <w:p w14:paraId="0D5143E2">
            <w:pPr>
              <w:pStyle w:val="6"/>
              <w:spacing w:before="126" w:line="364" w:lineRule="auto"/>
              <w:ind w:left="112" w:right="44" w:firstLine="482"/>
              <w:jc w:val="both"/>
              <w:rPr>
                <w:sz w:val="24"/>
                <w:szCs w:val="24"/>
              </w:rPr>
            </w:pPr>
            <w:r>
              <w:rPr>
                <w:spacing w:val="-1"/>
                <w:sz w:val="24"/>
                <w:szCs w:val="24"/>
              </w:rPr>
              <w:t>线路从</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14"/>
                <w:sz w:val="24"/>
                <w:szCs w:val="24"/>
              </w:rPr>
              <w:t xml:space="preserve"> </w:t>
            </w:r>
            <w:r>
              <w:rPr>
                <w:spacing w:val="-1"/>
                <w:sz w:val="24"/>
                <w:szCs w:val="24"/>
              </w:rPr>
              <w:t>迤车变电站新扩建间隔向东南方向出线后转向西南方</w:t>
            </w:r>
            <w:r>
              <w:rPr>
                <w:spacing w:val="-2"/>
                <w:sz w:val="24"/>
                <w:szCs w:val="24"/>
              </w:rPr>
              <w:t>向走线，</w:t>
            </w:r>
            <w:r>
              <w:rPr>
                <w:spacing w:val="-4"/>
                <w:sz w:val="24"/>
                <w:szCs w:val="24"/>
              </w:rPr>
              <w:t>跨越</w:t>
            </w:r>
            <w:r>
              <w:rPr>
                <w:spacing w:val="-20"/>
                <w:sz w:val="24"/>
                <w:szCs w:val="24"/>
              </w:rPr>
              <w:t xml:space="preserve"> </w:t>
            </w:r>
            <w:r>
              <w:rPr>
                <w:rFonts w:ascii="Times New Roman" w:hAnsi="Times New Roman" w:eastAsia="Times New Roman" w:cs="Times New Roman"/>
                <w:spacing w:val="-4"/>
                <w:sz w:val="24"/>
                <w:szCs w:val="24"/>
              </w:rPr>
              <w:t xml:space="preserve">110kV </w:t>
            </w:r>
            <w:r>
              <w:rPr>
                <w:spacing w:val="-4"/>
                <w:sz w:val="24"/>
                <w:szCs w:val="24"/>
              </w:rPr>
              <w:t>大迤双回线后连续右转后向西北方向走线，连续跨越</w:t>
            </w:r>
            <w:r>
              <w:rPr>
                <w:spacing w:val="-49"/>
                <w:sz w:val="24"/>
                <w:szCs w:val="24"/>
              </w:rPr>
              <w:t xml:space="preserve"> </w:t>
            </w:r>
            <w:r>
              <w:rPr>
                <w:rFonts w:ascii="Times New Roman" w:hAnsi="Times New Roman" w:eastAsia="Times New Roman" w:cs="Times New Roman"/>
                <w:spacing w:val="-4"/>
                <w:sz w:val="24"/>
                <w:szCs w:val="24"/>
              </w:rPr>
              <w:t xml:space="preserve">35kV </w:t>
            </w:r>
            <w:r>
              <w:rPr>
                <w:spacing w:val="-4"/>
                <w:sz w:val="24"/>
                <w:szCs w:val="24"/>
              </w:rPr>
              <w:t>石板沟光</w:t>
            </w:r>
            <w:r>
              <w:rPr>
                <w:spacing w:val="-1"/>
                <w:sz w:val="24"/>
                <w:szCs w:val="24"/>
              </w:rPr>
              <w:t>伏送出线、</w:t>
            </w:r>
            <w:r>
              <w:rPr>
                <w:rFonts w:ascii="Times New Roman" w:hAnsi="Times New Roman" w:eastAsia="Times New Roman" w:cs="Times New Roman"/>
                <w:spacing w:val="-1"/>
                <w:sz w:val="24"/>
                <w:szCs w:val="24"/>
              </w:rPr>
              <w:t>35kV</w:t>
            </w:r>
            <w:r>
              <w:rPr>
                <w:rFonts w:ascii="Times New Roman" w:hAnsi="Times New Roman" w:eastAsia="Times New Roman" w:cs="Times New Roman"/>
                <w:spacing w:val="33"/>
                <w:sz w:val="24"/>
                <w:szCs w:val="24"/>
              </w:rPr>
              <w:t xml:space="preserve"> </w:t>
            </w:r>
            <w:r>
              <w:rPr>
                <w:spacing w:val="-1"/>
                <w:sz w:val="24"/>
                <w:szCs w:val="24"/>
              </w:rPr>
              <w:t>半边街线、</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18"/>
                <w:sz w:val="24"/>
                <w:szCs w:val="24"/>
              </w:rPr>
              <w:t xml:space="preserve"> </w:t>
            </w:r>
            <w:r>
              <w:rPr>
                <w:spacing w:val="-1"/>
                <w:sz w:val="24"/>
                <w:szCs w:val="24"/>
              </w:rPr>
              <w:t>赖迤线后转向东北，经刺梨沟、张家，在罗</w:t>
            </w:r>
            <w:r>
              <w:rPr>
                <w:spacing w:val="-2"/>
                <w:sz w:val="24"/>
                <w:szCs w:val="24"/>
              </w:rPr>
              <w:t>家里头附近转向西，经连续左转，最终接入</w:t>
            </w:r>
            <w:r>
              <w:rPr>
                <w:spacing w:val="-36"/>
                <w:sz w:val="24"/>
                <w:szCs w:val="24"/>
              </w:rPr>
              <w:t xml:space="preserve"> </w:t>
            </w:r>
            <w:r>
              <w:rPr>
                <w:rFonts w:ascii="Times New Roman" w:hAnsi="Times New Roman" w:eastAsia="Times New Roman" w:cs="Times New Roman"/>
                <w:spacing w:val="-2"/>
                <w:sz w:val="24"/>
                <w:szCs w:val="24"/>
              </w:rPr>
              <w:t xml:space="preserve">220kV </w:t>
            </w:r>
            <w:r>
              <w:rPr>
                <w:spacing w:val="-2"/>
                <w:sz w:val="24"/>
                <w:szCs w:val="24"/>
              </w:rPr>
              <w:t>迤车牵引变。</w:t>
            </w:r>
          </w:p>
          <w:p w14:paraId="1F51DC47">
            <w:pPr>
              <w:pStyle w:val="6"/>
              <w:spacing w:before="1" w:line="364" w:lineRule="auto"/>
              <w:ind w:left="115" w:right="33" w:firstLine="478"/>
              <w:rPr>
                <w:sz w:val="24"/>
                <w:szCs w:val="24"/>
              </w:rPr>
            </w:pPr>
            <w:r>
              <w:rPr>
                <w:spacing w:val="-4"/>
                <w:sz w:val="24"/>
                <w:szCs w:val="24"/>
              </w:rPr>
              <w:t>新建线路因迤车牵引变位于人口集中区域，受周边居民房屋、规划建设、炸</w:t>
            </w:r>
            <w:r>
              <w:rPr>
                <w:spacing w:val="-1"/>
                <w:sz w:val="24"/>
                <w:szCs w:val="24"/>
              </w:rPr>
              <w:t>药库、采石场以及已建线路通道设施限制，本线</w:t>
            </w:r>
            <w:r>
              <w:rPr>
                <w:spacing w:val="-2"/>
                <w:sz w:val="24"/>
                <w:szCs w:val="24"/>
              </w:rPr>
              <w:t>路路径方案唯一，无对比方案。</w:t>
            </w:r>
          </w:p>
          <w:p w14:paraId="104113FD">
            <w:pPr>
              <w:pStyle w:val="6"/>
              <w:spacing w:line="232" w:lineRule="auto"/>
              <w:ind w:left="601"/>
              <w:rPr>
                <w:sz w:val="24"/>
                <w:szCs w:val="24"/>
              </w:rPr>
            </w:pPr>
            <w:r>
              <w:rPr>
                <w:b/>
                <w:bCs/>
                <w:spacing w:val="-3"/>
                <w:sz w:val="24"/>
                <w:szCs w:val="24"/>
              </w:rPr>
              <w:t>（</w:t>
            </w:r>
            <w:r>
              <w:rPr>
                <w:rFonts w:ascii="Times New Roman" w:hAnsi="Times New Roman" w:eastAsia="Times New Roman" w:cs="Times New Roman"/>
                <w:b/>
                <w:bCs/>
                <w:spacing w:val="-3"/>
                <w:sz w:val="24"/>
                <w:szCs w:val="24"/>
              </w:rPr>
              <w:t>3</w:t>
            </w:r>
            <w:r>
              <w:rPr>
                <w:b/>
                <w:bCs/>
                <w:spacing w:val="-3"/>
                <w:sz w:val="24"/>
                <w:szCs w:val="24"/>
              </w:rPr>
              <w:t>）</w:t>
            </w:r>
            <w:r>
              <w:rPr>
                <w:rFonts w:ascii="Times New Roman" w:hAnsi="Times New Roman" w:eastAsia="Times New Roman" w:cs="Times New Roman"/>
                <w:b/>
                <w:bCs/>
                <w:spacing w:val="-3"/>
                <w:sz w:val="24"/>
                <w:szCs w:val="24"/>
              </w:rPr>
              <w:t xml:space="preserve">220kV </w:t>
            </w:r>
            <w:r>
              <w:rPr>
                <w:b/>
                <w:bCs/>
                <w:spacing w:val="-3"/>
                <w:sz w:val="24"/>
                <w:szCs w:val="24"/>
              </w:rPr>
              <w:t>者迤</w:t>
            </w:r>
            <w:r>
              <w:rPr>
                <w:spacing w:val="-53"/>
                <w:sz w:val="24"/>
                <w:szCs w:val="24"/>
              </w:rPr>
              <w:t xml:space="preserve"> </w:t>
            </w:r>
            <w:r>
              <w:rPr>
                <w:rFonts w:ascii="Times New Roman" w:hAnsi="Times New Roman" w:eastAsia="Times New Roman" w:cs="Times New Roman"/>
                <w:b/>
                <w:bCs/>
                <w:spacing w:val="-3"/>
                <w:sz w:val="24"/>
                <w:szCs w:val="24"/>
              </w:rPr>
              <w:t>I</w:t>
            </w:r>
            <w:r>
              <w:rPr>
                <w:rFonts w:ascii="Times New Roman" w:hAnsi="Times New Roman" w:eastAsia="Times New Roman" w:cs="Times New Roman"/>
                <w:b/>
                <w:bCs/>
                <w:spacing w:val="31"/>
                <w:sz w:val="24"/>
                <w:szCs w:val="24"/>
              </w:rPr>
              <w:t xml:space="preserve"> </w:t>
            </w:r>
            <w:r>
              <w:rPr>
                <w:b/>
                <w:bCs/>
                <w:spacing w:val="-3"/>
                <w:sz w:val="24"/>
                <w:szCs w:val="24"/>
              </w:rPr>
              <w:t>回线改接入迤车牵引变</w:t>
            </w:r>
            <w:r>
              <w:rPr>
                <w:spacing w:val="-51"/>
                <w:sz w:val="24"/>
                <w:szCs w:val="24"/>
              </w:rPr>
              <w:t xml:space="preserve"> </w:t>
            </w:r>
            <w:r>
              <w:rPr>
                <w:rFonts w:ascii="Times New Roman" w:hAnsi="Times New Roman" w:eastAsia="Times New Roman" w:cs="Times New Roman"/>
                <w:b/>
                <w:bCs/>
                <w:spacing w:val="-4"/>
                <w:sz w:val="24"/>
                <w:szCs w:val="24"/>
              </w:rPr>
              <w:t xml:space="preserve">220kV </w:t>
            </w:r>
            <w:r>
              <w:rPr>
                <w:b/>
                <w:bCs/>
                <w:spacing w:val="-4"/>
                <w:sz w:val="24"/>
                <w:szCs w:val="24"/>
              </w:rPr>
              <w:t>线路（</w:t>
            </w:r>
            <w:r>
              <w:rPr>
                <w:rFonts w:ascii="Times New Roman" w:hAnsi="Times New Roman" w:eastAsia="Times New Roman" w:cs="Times New Roman"/>
                <w:b/>
                <w:bCs/>
                <w:spacing w:val="-4"/>
                <w:sz w:val="24"/>
                <w:szCs w:val="24"/>
              </w:rPr>
              <w:t>E</w:t>
            </w:r>
            <w:r>
              <w:rPr>
                <w:rFonts w:ascii="Times New Roman" w:hAnsi="Times New Roman" w:eastAsia="Times New Roman" w:cs="Times New Roman"/>
                <w:b/>
                <w:bCs/>
                <w:spacing w:val="32"/>
                <w:sz w:val="24"/>
                <w:szCs w:val="24"/>
              </w:rPr>
              <w:t xml:space="preserve"> </w:t>
            </w:r>
            <w:r>
              <w:rPr>
                <w:b/>
                <w:bCs/>
                <w:spacing w:val="-4"/>
                <w:sz w:val="24"/>
                <w:szCs w:val="24"/>
              </w:rPr>
              <w:t>回）</w:t>
            </w:r>
          </w:p>
          <w:p w14:paraId="2F213D36">
            <w:pPr>
              <w:pStyle w:val="6"/>
              <w:spacing w:before="174" w:line="364" w:lineRule="auto"/>
              <w:ind w:left="115" w:right="107" w:firstLine="477"/>
              <w:jc w:val="both"/>
              <w:rPr>
                <w:sz w:val="24"/>
                <w:szCs w:val="24"/>
              </w:rPr>
            </w:pPr>
            <w:r>
              <w:rPr>
                <w:spacing w:val="-2"/>
                <w:sz w:val="24"/>
                <w:szCs w:val="24"/>
              </w:rPr>
              <w:t>根据系统接入方案，本工程将原</w:t>
            </w:r>
            <w:r>
              <w:rPr>
                <w:spacing w:val="-21"/>
                <w:sz w:val="24"/>
                <w:szCs w:val="24"/>
              </w:rPr>
              <w:t xml:space="preserve">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39"/>
                <w:w w:val="101"/>
                <w:sz w:val="24"/>
                <w:szCs w:val="24"/>
              </w:rPr>
              <w:t xml:space="preserve"> </w:t>
            </w:r>
            <w:r>
              <w:rPr>
                <w:spacing w:val="-2"/>
                <w:sz w:val="24"/>
                <w:szCs w:val="24"/>
              </w:rPr>
              <w:t>者迤</w:t>
            </w:r>
            <w:r>
              <w:rPr>
                <w:spacing w:val="-25"/>
                <w:sz w:val="24"/>
                <w:szCs w:val="24"/>
              </w:rPr>
              <w:t xml:space="preserve"> </w:t>
            </w:r>
            <w:r>
              <w:rPr>
                <w:rFonts w:ascii="Times New Roman" w:hAnsi="Times New Roman" w:eastAsia="Times New Roman" w:cs="Times New Roman"/>
                <w:spacing w:val="-2"/>
                <w:sz w:val="24"/>
                <w:szCs w:val="24"/>
              </w:rPr>
              <w:t>I</w:t>
            </w:r>
            <w:r>
              <w:rPr>
                <w:rFonts w:ascii="Times New Roman" w:hAnsi="Times New Roman" w:eastAsia="Times New Roman" w:cs="Times New Roman"/>
                <w:spacing w:val="58"/>
                <w:w w:val="101"/>
                <w:sz w:val="24"/>
                <w:szCs w:val="24"/>
              </w:rPr>
              <w:t xml:space="preserve"> </w:t>
            </w:r>
            <w:r>
              <w:rPr>
                <w:spacing w:val="-2"/>
                <w:sz w:val="24"/>
                <w:szCs w:val="24"/>
              </w:rPr>
              <w:t>回线断开（断开至迤车变侧</w:t>
            </w:r>
            <w:r>
              <w:rPr>
                <w:spacing w:val="-1"/>
                <w:sz w:val="24"/>
                <w:szCs w:val="24"/>
              </w:rPr>
              <w:t>线路</w:t>
            </w:r>
            <w:r>
              <w:rPr>
                <w:spacing w:val="4"/>
                <w:sz w:val="24"/>
                <w:szCs w:val="24"/>
              </w:rPr>
              <w:t>），</w:t>
            </w:r>
            <w:r>
              <w:rPr>
                <w:spacing w:val="-1"/>
                <w:sz w:val="24"/>
                <w:szCs w:val="24"/>
              </w:rPr>
              <w:t>改接入</w:t>
            </w:r>
            <w:r>
              <w:rPr>
                <w:spacing w:val="-48"/>
                <w:sz w:val="24"/>
                <w:szCs w:val="24"/>
              </w:rPr>
              <w:t xml:space="preserve"> </w:t>
            </w:r>
            <w:r>
              <w:rPr>
                <w:rFonts w:ascii="Times New Roman" w:hAnsi="Times New Roman" w:eastAsia="Times New Roman" w:cs="Times New Roman"/>
                <w:spacing w:val="-1"/>
                <w:sz w:val="24"/>
                <w:szCs w:val="24"/>
              </w:rPr>
              <w:t xml:space="preserve">220kV </w:t>
            </w:r>
            <w:r>
              <w:rPr>
                <w:spacing w:val="-1"/>
                <w:sz w:val="24"/>
                <w:szCs w:val="24"/>
              </w:rPr>
              <w:t>迤车牵引变，形成者海～迤车牵</w:t>
            </w:r>
            <w:r>
              <w:rPr>
                <w:spacing w:val="-49"/>
                <w:sz w:val="24"/>
                <w:szCs w:val="24"/>
              </w:rPr>
              <w:t xml:space="preserve"> </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17"/>
                <w:sz w:val="24"/>
                <w:szCs w:val="24"/>
              </w:rPr>
              <w:t xml:space="preserve"> </w:t>
            </w:r>
            <w:r>
              <w:rPr>
                <w:spacing w:val="-1"/>
                <w:sz w:val="24"/>
                <w:szCs w:val="24"/>
              </w:rPr>
              <w:t>线路，待乐业变</w:t>
            </w:r>
            <w:r>
              <w:rPr>
                <w:spacing w:val="-2"/>
                <w:sz w:val="24"/>
                <w:szCs w:val="24"/>
              </w:rPr>
              <w:t>π接原</w:t>
            </w:r>
            <w:r>
              <w:rPr>
                <w:spacing w:val="-55"/>
                <w:sz w:val="24"/>
                <w:szCs w:val="24"/>
              </w:rPr>
              <w:t xml:space="preserve"> </w:t>
            </w:r>
            <w:r>
              <w:rPr>
                <w:rFonts w:ascii="Times New Roman" w:hAnsi="Times New Roman" w:eastAsia="Times New Roman" w:cs="Times New Roman"/>
                <w:spacing w:val="-2"/>
                <w:sz w:val="24"/>
                <w:szCs w:val="24"/>
              </w:rPr>
              <w:t xml:space="preserve">220kV </w:t>
            </w:r>
            <w:r>
              <w:rPr>
                <w:spacing w:val="-2"/>
                <w:sz w:val="24"/>
                <w:szCs w:val="24"/>
              </w:rPr>
              <w:t>者迤</w:t>
            </w:r>
            <w:r>
              <w:rPr>
                <w:spacing w:val="-52"/>
                <w:sz w:val="24"/>
                <w:szCs w:val="24"/>
              </w:rPr>
              <w:t xml:space="preserve"> </w:t>
            </w:r>
            <w:r>
              <w:rPr>
                <w:rFonts w:ascii="Times New Roman" w:hAnsi="Times New Roman" w:eastAsia="Times New Roman" w:cs="Times New Roman"/>
                <w:spacing w:val="-2"/>
                <w:sz w:val="24"/>
                <w:szCs w:val="24"/>
              </w:rPr>
              <w:t>I</w:t>
            </w:r>
            <w:r>
              <w:rPr>
                <w:rFonts w:ascii="Times New Roman" w:hAnsi="Times New Roman" w:eastAsia="Times New Roman" w:cs="Times New Roman"/>
                <w:spacing w:val="30"/>
                <w:sz w:val="24"/>
                <w:szCs w:val="24"/>
              </w:rPr>
              <w:t xml:space="preserve"> </w:t>
            </w:r>
            <w:r>
              <w:rPr>
                <w:spacing w:val="-2"/>
                <w:sz w:val="24"/>
                <w:szCs w:val="24"/>
              </w:rPr>
              <w:t>回线建成后，最终形成乐业～迤车牵</w:t>
            </w:r>
            <w:r>
              <w:rPr>
                <w:spacing w:val="-54"/>
                <w:sz w:val="24"/>
                <w:szCs w:val="24"/>
              </w:rPr>
              <w:t xml:space="preserve"> </w:t>
            </w:r>
            <w:r>
              <w:rPr>
                <w:rFonts w:ascii="Times New Roman" w:hAnsi="Times New Roman" w:eastAsia="Times New Roman" w:cs="Times New Roman"/>
                <w:spacing w:val="-2"/>
                <w:sz w:val="24"/>
                <w:szCs w:val="24"/>
              </w:rPr>
              <w:t>220</w:t>
            </w:r>
            <w:r>
              <w:rPr>
                <w:rFonts w:ascii="Times New Roman" w:hAnsi="Times New Roman" w:eastAsia="Times New Roman" w:cs="Times New Roman"/>
                <w:spacing w:val="-3"/>
                <w:sz w:val="24"/>
                <w:szCs w:val="24"/>
              </w:rPr>
              <w:t xml:space="preserve">kV </w:t>
            </w:r>
            <w:r>
              <w:rPr>
                <w:spacing w:val="-3"/>
                <w:sz w:val="24"/>
                <w:szCs w:val="24"/>
              </w:rPr>
              <w:t>线路。</w:t>
            </w:r>
          </w:p>
          <w:p w14:paraId="139BBB69">
            <w:pPr>
              <w:pStyle w:val="6"/>
              <w:spacing w:before="1" w:line="364" w:lineRule="auto"/>
              <w:ind w:left="111" w:right="108" w:firstLine="483"/>
              <w:jc w:val="both"/>
              <w:rPr>
                <w:sz w:val="24"/>
                <w:szCs w:val="24"/>
              </w:rPr>
            </w:pPr>
            <w:r>
              <w:rPr>
                <w:spacing w:val="-3"/>
                <w:sz w:val="24"/>
                <w:szCs w:val="24"/>
              </w:rPr>
              <w:t>线路在原</w:t>
            </w:r>
            <w:r>
              <w:rPr>
                <w:spacing w:val="-54"/>
                <w:sz w:val="24"/>
                <w:szCs w:val="24"/>
              </w:rPr>
              <w:t xml:space="preserve"> </w:t>
            </w:r>
            <w:r>
              <w:rPr>
                <w:rFonts w:ascii="Times New Roman" w:hAnsi="Times New Roman" w:eastAsia="Times New Roman" w:cs="Times New Roman"/>
                <w:spacing w:val="-3"/>
                <w:sz w:val="24"/>
                <w:szCs w:val="24"/>
              </w:rPr>
              <w:t xml:space="preserve">220kV </w:t>
            </w:r>
            <w:r>
              <w:rPr>
                <w:spacing w:val="-3"/>
                <w:sz w:val="24"/>
                <w:szCs w:val="24"/>
              </w:rPr>
              <w:t>者迤</w:t>
            </w:r>
            <w:r>
              <w:rPr>
                <w:spacing w:val="-52"/>
                <w:sz w:val="24"/>
                <w:szCs w:val="24"/>
              </w:rPr>
              <w:t xml:space="preserve"> </w:t>
            </w:r>
            <w:r>
              <w:rPr>
                <w:rFonts w:ascii="Times New Roman" w:hAnsi="Times New Roman" w:eastAsia="Times New Roman" w:cs="Times New Roman"/>
                <w:spacing w:val="-3"/>
                <w:sz w:val="24"/>
                <w:szCs w:val="24"/>
              </w:rPr>
              <w:t>I</w:t>
            </w:r>
            <w:r>
              <w:rPr>
                <w:rFonts w:ascii="Times New Roman" w:hAnsi="Times New Roman" w:eastAsia="Times New Roman" w:cs="Times New Roman"/>
                <w:spacing w:val="33"/>
                <w:sz w:val="24"/>
                <w:szCs w:val="24"/>
              </w:rPr>
              <w:t xml:space="preserve"> </w:t>
            </w:r>
            <w:r>
              <w:rPr>
                <w:spacing w:val="-3"/>
                <w:sz w:val="24"/>
                <w:szCs w:val="24"/>
              </w:rPr>
              <w:t>回线</w:t>
            </w:r>
            <w:r>
              <w:rPr>
                <w:rFonts w:ascii="Times New Roman" w:hAnsi="Times New Roman" w:eastAsia="Times New Roman" w:cs="Times New Roman"/>
                <w:spacing w:val="-3"/>
                <w:sz w:val="24"/>
                <w:szCs w:val="24"/>
              </w:rPr>
              <w:t xml:space="preserve">#70 </w:t>
            </w:r>
            <w:r>
              <w:rPr>
                <w:spacing w:val="-3"/>
                <w:sz w:val="24"/>
                <w:szCs w:val="24"/>
              </w:rPr>
              <w:t>塔附近将原线路断开，</w:t>
            </w:r>
            <w:r>
              <w:rPr>
                <w:spacing w:val="-4"/>
                <w:sz w:val="24"/>
                <w:szCs w:val="24"/>
              </w:rPr>
              <w:t>接至本期新建线路向</w:t>
            </w:r>
            <w:r>
              <w:rPr>
                <w:spacing w:val="-2"/>
                <w:sz w:val="24"/>
                <w:szCs w:val="24"/>
              </w:rPr>
              <w:t>西走线，连续跨越</w:t>
            </w:r>
            <w:r>
              <w:rPr>
                <w:spacing w:val="-45"/>
                <w:sz w:val="24"/>
                <w:szCs w:val="24"/>
              </w:rPr>
              <w:t xml:space="preserve">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21"/>
                <w:sz w:val="24"/>
                <w:szCs w:val="24"/>
              </w:rPr>
              <w:t xml:space="preserve"> </w:t>
            </w:r>
            <w:r>
              <w:rPr>
                <w:spacing w:val="-2"/>
                <w:sz w:val="24"/>
                <w:szCs w:val="24"/>
              </w:rPr>
              <w:t>者迤Ⅱ回线、</w:t>
            </w:r>
            <w:r>
              <w:rPr>
                <w:rFonts w:ascii="Times New Roman" w:hAnsi="Times New Roman" w:eastAsia="Times New Roman" w:cs="Times New Roman"/>
                <w:spacing w:val="-2"/>
                <w:sz w:val="24"/>
                <w:szCs w:val="24"/>
              </w:rPr>
              <w:t>35kV</w:t>
            </w:r>
            <w:r>
              <w:rPr>
                <w:rFonts w:ascii="Times New Roman" w:hAnsi="Times New Roman" w:eastAsia="Times New Roman" w:cs="Times New Roman"/>
                <w:spacing w:val="22"/>
                <w:w w:val="101"/>
                <w:sz w:val="24"/>
                <w:szCs w:val="24"/>
              </w:rPr>
              <w:t xml:space="preserve"> </w:t>
            </w:r>
            <w:r>
              <w:rPr>
                <w:spacing w:val="-3"/>
                <w:sz w:val="24"/>
                <w:szCs w:val="24"/>
              </w:rPr>
              <w:t>火红</w:t>
            </w:r>
            <w:r>
              <w:rPr>
                <w:spacing w:val="-45"/>
                <w:sz w:val="24"/>
                <w:szCs w:val="24"/>
              </w:rPr>
              <w:t xml:space="preserve"> </w:t>
            </w:r>
            <w:r>
              <w:rPr>
                <w:rFonts w:ascii="Times New Roman" w:hAnsi="Times New Roman" w:eastAsia="Times New Roman" w:cs="Times New Roman"/>
                <w:spacing w:val="-3"/>
                <w:sz w:val="24"/>
                <w:szCs w:val="24"/>
              </w:rPr>
              <w:t>I</w:t>
            </w:r>
            <w:r>
              <w:rPr>
                <w:rFonts w:ascii="Times New Roman" w:hAnsi="Times New Roman" w:eastAsia="Times New Roman" w:cs="Times New Roman"/>
                <w:spacing w:val="40"/>
                <w:sz w:val="24"/>
                <w:szCs w:val="24"/>
              </w:rPr>
              <w:t xml:space="preserve"> </w:t>
            </w:r>
            <w:r>
              <w:rPr>
                <w:spacing w:val="-3"/>
                <w:sz w:val="24"/>
                <w:szCs w:val="24"/>
              </w:rPr>
              <w:t>回线、乐业变电站</w:t>
            </w:r>
            <w:r>
              <w:rPr>
                <w:spacing w:val="-40"/>
                <w:sz w:val="24"/>
                <w:szCs w:val="24"/>
              </w:rPr>
              <w:t xml:space="preserve"> </w:t>
            </w:r>
            <w:r>
              <w:rPr>
                <w:rFonts w:ascii="Times New Roman" w:hAnsi="Times New Roman" w:eastAsia="Times New Roman" w:cs="Times New Roman"/>
                <w:spacing w:val="-3"/>
                <w:sz w:val="24"/>
                <w:szCs w:val="24"/>
              </w:rPr>
              <w:t>35kV</w:t>
            </w:r>
            <w:r>
              <w:rPr>
                <w:rFonts w:ascii="Times New Roman" w:hAnsi="Times New Roman" w:eastAsia="Times New Roman" w:cs="Times New Roman"/>
                <w:spacing w:val="20"/>
                <w:sz w:val="24"/>
                <w:szCs w:val="24"/>
              </w:rPr>
              <w:t xml:space="preserve"> </w:t>
            </w:r>
            <w:r>
              <w:rPr>
                <w:spacing w:val="-3"/>
                <w:sz w:val="24"/>
                <w:szCs w:val="24"/>
              </w:rPr>
              <w:t>站</w:t>
            </w:r>
            <w:r>
              <w:rPr>
                <w:spacing w:val="-1"/>
                <w:sz w:val="24"/>
                <w:szCs w:val="24"/>
              </w:rPr>
              <w:t>用电源线（拟建）、</w:t>
            </w:r>
            <w:r>
              <w:rPr>
                <w:rFonts w:ascii="Times New Roman" w:hAnsi="Times New Roman" w:eastAsia="Times New Roman" w:cs="Times New Roman"/>
                <w:spacing w:val="-1"/>
                <w:sz w:val="24"/>
                <w:szCs w:val="24"/>
              </w:rPr>
              <w:t>110kV</w:t>
            </w:r>
            <w:r>
              <w:rPr>
                <w:rFonts w:ascii="Times New Roman" w:hAnsi="Times New Roman" w:eastAsia="Times New Roman" w:cs="Times New Roman"/>
                <w:spacing w:val="39"/>
                <w:w w:val="101"/>
                <w:sz w:val="24"/>
                <w:szCs w:val="24"/>
              </w:rPr>
              <w:t xml:space="preserve"> </w:t>
            </w:r>
            <w:r>
              <w:rPr>
                <w:spacing w:val="-1"/>
                <w:sz w:val="24"/>
                <w:szCs w:val="24"/>
              </w:rPr>
              <w:t>大迤双回线，钻越本期拟建的乐业～迤车</w:t>
            </w:r>
            <w:r>
              <w:rPr>
                <w:spacing w:val="-27"/>
                <w:sz w:val="24"/>
                <w:szCs w:val="24"/>
              </w:rPr>
              <w:t xml:space="preserve"> </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38"/>
                <w:sz w:val="24"/>
                <w:szCs w:val="24"/>
              </w:rPr>
              <w:t xml:space="preserve"> </w:t>
            </w:r>
            <w:r>
              <w:rPr>
                <w:spacing w:val="-1"/>
                <w:sz w:val="24"/>
                <w:szCs w:val="24"/>
              </w:rPr>
              <w:t>线路，转向西北连续跨越</w:t>
            </w:r>
            <w:r>
              <w:rPr>
                <w:spacing w:val="-28"/>
                <w:sz w:val="24"/>
                <w:szCs w:val="24"/>
              </w:rPr>
              <w:t xml:space="preserve"> </w:t>
            </w:r>
            <w:r>
              <w:rPr>
                <w:rFonts w:ascii="Times New Roman" w:hAnsi="Times New Roman" w:eastAsia="Times New Roman" w:cs="Times New Roman"/>
                <w:spacing w:val="-1"/>
                <w:sz w:val="24"/>
                <w:szCs w:val="24"/>
              </w:rPr>
              <w:t>35kV</w:t>
            </w:r>
            <w:r>
              <w:rPr>
                <w:rFonts w:ascii="Times New Roman" w:hAnsi="Times New Roman" w:eastAsia="Times New Roman" w:cs="Times New Roman"/>
                <w:spacing w:val="31"/>
                <w:w w:val="101"/>
                <w:sz w:val="24"/>
                <w:szCs w:val="24"/>
              </w:rPr>
              <w:t xml:space="preserve"> </w:t>
            </w:r>
            <w:r>
              <w:rPr>
                <w:spacing w:val="-1"/>
                <w:sz w:val="24"/>
                <w:szCs w:val="24"/>
              </w:rPr>
              <w:t>石板沟光伏送出线、</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30"/>
                <w:sz w:val="24"/>
                <w:szCs w:val="24"/>
              </w:rPr>
              <w:t xml:space="preserve"> </w:t>
            </w:r>
            <w:r>
              <w:rPr>
                <w:spacing w:val="-1"/>
                <w:sz w:val="24"/>
                <w:szCs w:val="24"/>
              </w:rPr>
              <w:t>赖</w:t>
            </w:r>
            <w:r>
              <w:rPr>
                <w:spacing w:val="-2"/>
                <w:sz w:val="24"/>
                <w:szCs w:val="24"/>
              </w:rPr>
              <w:t>迤线、</w:t>
            </w:r>
            <w:r>
              <w:rPr>
                <w:rFonts w:ascii="Times New Roman" w:hAnsi="Times New Roman" w:eastAsia="Times New Roman" w:cs="Times New Roman"/>
                <w:spacing w:val="-2"/>
                <w:sz w:val="24"/>
                <w:szCs w:val="24"/>
              </w:rPr>
              <w:t>35kV</w:t>
            </w:r>
            <w:r>
              <w:rPr>
                <w:rFonts w:ascii="Times New Roman" w:hAnsi="Times New Roman" w:eastAsia="Times New Roman" w:cs="Times New Roman"/>
                <w:spacing w:val="34"/>
                <w:w w:val="101"/>
                <w:sz w:val="24"/>
                <w:szCs w:val="24"/>
              </w:rPr>
              <w:t xml:space="preserve"> </w:t>
            </w:r>
            <w:r>
              <w:rPr>
                <w:spacing w:val="-2"/>
                <w:sz w:val="24"/>
                <w:szCs w:val="24"/>
              </w:rPr>
              <w:t>半边街</w:t>
            </w:r>
            <w:r>
              <w:rPr>
                <w:spacing w:val="-7"/>
                <w:sz w:val="24"/>
                <w:szCs w:val="24"/>
              </w:rPr>
              <w:t>线后转向东北，经刺梨沟、张家， 在罗家里头附近转向西，经连续左转，最终接</w:t>
            </w:r>
            <w:r>
              <w:rPr>
                <w:spacing w:val="-4"/>
                <w:sz w:val="24"/>
                <w:szCs w:val="24"/>
              </w:rPr>
              <w:t>入</w:t>
            </w:r>
            <w:r>
              <w:rPr>
                <w:spacing w:val="-46"/>
                <w:sz w:val="24"/>
                <w:szCs w:val="24"/>
              </w:rPr>
              <w:t xml:space="preserve"> </w:t>
            </w:r>
            <w:r>
              <w:rPr>
                <w:rFonts w:ascii="Times New Roman" w:hAnsi="Times New Roman" w:eastAsia="Times New Roman" w:cs="Times New Roman"/>
                <w:spacing w:val="-4"/>
                <w:sz w:val="24"/>
                <w:szCs w:val="24"/>
              </w:rPr>
              <w:t xml:space="preserve">220kV </w:t>
            </w:r>
            <w:r>
              <w:rPr>
                <w:spacing w:val="-4"/>
                <w:sz w:val="24"/>
                <w:szCs w:val="24"/>
              </w:rPr>
              <w:t>迤车牵引变。</w:t>
            </w:r>
          </w:p>
          <w:p w14:paraId="3612AED1">
            <w:pPr>
              <w:pStyle w:val="6"/>
              <w:spacing w:before="4" w:line="367" w:lineRule="auto"/>
              <w:ind w:left="116" w:right="109" w:firstLine="477"/>
              <w:rPr>
                <w:sz w:val="24"/>
                <w:szCs w:val="24"/>
              </w:rPr>
            </w:pPr>
            <w:r>
              <w:rPr>
                <w:spacing w:val="-4"/>
                <w:sz w:val="24"/>
                <w:szCs w:val="24"/>
              </w:rPr>
              <w:t>新建线路因受周边居民房屋、规划建设、炸药库、采石场以及已建线路通道</w:t>
            </w:r>
            <w:r>
              <w:rPr>
                <w:spacing w:val="-3"/>
                <w:sz w:val="24"/>
                <w:szCs w:val="24"/>
              </w:rPr>
              <w:t>设施限制，本线路路径方案唯一，无对比方案。</w:t>
            </w:r>
          </w:p>
        </w:tc>
      </w:tr>
    </w:tbl>
    <w:p w14:paraId="5E39F79E">
      <w:pPr>
        <w:rPr>
          <w:rFonts w:ascii="Arial"/>
          <w:sz w:val="21"/>
        </w:rPr>
      </w:pPr>
    </w:p>
    <w:p w14:paraId="06D4ACC3">
      <w:pPr>
        <w:rPr>
          <w:rFonts w:ascii="Arial" w:hAnsi="Arial" w:eastAsia="Arial" w:cs="Arial"/>
          <w:sz w:val="21"/>
          <w:szCs w:val="21"/>
        </w:rPr>
        <w:sectPr>
          <w:footerReference r:id="rId46" w:type="default"/>
          <w:pgSz w:w="11907" w:h="16841"/>
          <w:pgMar w:top="400" w:right="1408" w:bottom="1126" w:left="1414" w:header="0" w:footer="925" w:gutter="0"/>
          <w:cols w:space="720" w:num="1"/>
        </w:sectPr>
      </w:pPr>
    </w:p>
    <w:p w14:paraId="5F92DE2C">
      <w:pPr>
        <w:spacing w:before="2"/>
      </w:pPr>
    </w:p>
    <w:p w14:paraId="7EACAC6D">
      <w:pPr>
        <w:spacing w:before="2"/>
      </w:pPr>
    </w:p>
    <w:p w14:paraId="2E4B1BB2">
      <w:pPr>
        <w:spacing w:before="1"/>
      </w:pPr>
    </w:p>
    <w:p w14:paraId="2B6478D0">
      <w:pPr>
        <w:spacing w:before="1"/>
      </w:pPr>
    </w:p>
    <w:p w14:paraId="5F74BD28">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575CD2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41" w:hRule="atLeast"/>
        </w:trPr>
        <w:tc>
          <w:tcPr>
            <w:tcW w:w="571" w:type="dxa"/>
            <w:vAlign w:val="top"/>
          </w:tcPr>
          <w:p w14:paraId="4BA08A28">
            <w:pPr>
              <w:rPr>
                <w:rFonts w:ascii="Arial"/>
                <w:sz w:val="21"/>
              </w:rPr>
            </w:pPr>
          </w:p>
        </w:tc>
        <w:tc>
          <w:tcPr>
            <w:tcW w:w="8507" w:type="dxa"/>
            <w:vAlign w:val="top"/>
          </w:tcPr>
          <w:p w14:paraId="46CEE4E9">
            <w:pPr>
              <w:spacing w:before="62" w:line="7456" w:lineRule="exact"/>
              <w:ind w:firstLine="526"/>
            </w:pPr>
            <w:r>
              <w:rPr>
                <w:position w:val="-149"/>
              </w:rPr>
              <w:drawing>
                <wp:inline distT="0" distB="0" distL="0" distR="0">
                  <wp:extent cx="4707890" cy="4734560"/>
                  <wp:effectExtent l="0" t="0" r="0" b="0"/>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214"/>
                          <a:stretch>
                            <a:fillRect/>
                          </a:stretch>
                        </pic:blipFill>
                        <pic:spPr>
                          <a:xfrm>
                            <a:off x="0" y="0"/>
                            <a:ext cx="4707890" cy="4734560"/>
                          </a:xfrm>
                          <a:prstGeom prst="rect">
                            <a:avLst/>
                          </a:prstGeom>
                        </pic:spPr>
                      </pic:pic>
                    </a:graphicData>
                  </a:graphic>
                </wp:inline>
              </w:drawing>
            </w:r>
          </w:p>
          <w:p w14:paraId="667ECFAC">
            <w:pPr>
              <w:pStyle w:val="6"/>
              <w:spacing w:before="202" w:line="234" w:lineRule="auto"/>
              <w:ind w:left="2988"/>
            </w:pPr>
            <w:r>
              <w:rPr>
                <w:b/>
                <w:bCs/>
                <w:spacing w:val="-6"/>
              </w:rPr>
              <w:t>图</w:t>
            </w:r>
            <w:r>
              <w:rPr>
                <w:spacing w:val="-39"/>
              </w:rPr>
              <w:t xml:space="preserve"> </w:t>
            </w:r>
            <w:r>
              <w:rPr>
                <w:rFonts w:ascii="Times New Roman" w:hAnsi="Times New Roman" w:eastAsia="Times New Roman" w:cs="Times New Roman"/>
                <w:b/>
                <w:bCs/>
                <w:spacing w:val="-6"/>
              </w:rPr>
              <w:t>2-6    D</w:t>
            </w:r>
            <w:r>
              <w:rPr>
                <w:rFonts w:ascii="Times New Roman" w:hAnsi="Times New Roman" w:eastAsia="Times New Roman" w:cs="Times New Roman"/>
                <w:b/>
                <w:bCs/>
                <w:spacing w:val="-29"/>
              </w:rPr>
              <w:t xml:space="preserve"> </w:t>
            </w:r>
            <w:r>
              <w:rPr>
                <w:b/>
                <w:bCs/>
                <w:spacing w:val="-6"/>
              </w:rPr>
              <w:t>、</w:t>
            </w:r>
            <w:r>
              <w:rPr>
                <w:rFonts w:ascii="Times New Roman" w:hAnsi="Times New Roman" w:eastAsia="Times New Roman" w:cs="Times New Roman"/>
                <w:b/>
                <w:bCs/>
                <w:spacing w:val="-6"/>
              </w:rPr>
              <w:t>E</w:t>
            </w:r>
            <w:r>
              <w:rPr>
                <w:rFonts w:ascii="Times New Roman" w:hAnsi="Times New Roman" w:eastAsia="Times New Roman" w:cs="Times New Roman"/>
                <w:b/>
                <w:bCs/>
                <w:spacing w:val="27"/>
                <w:w w:val="101"/>
              </w:rPr>
              <w:t xml:space="preserve"> </w:t>
            </w:r>
            <w:r>
              <w:rPr>
                <w:b/>
                <w:bCs/>
                <w:spacing w:val="-6"/>
              </w:rPr>
              <w:t>回线路路径图</w:t>
            </w:r>
          </w:p>
          <w:p w14:paraId="5B737C27">
            <w:pPr>
              <w:pStyle w:val="6"/>
              <w:spacing w:before="132" w:line="280" w:lineRule="auto"/>
              <w:ind w:left="110" w:right="105"/>
            </w:pPr>
            <w:r>
              <w:rPr>
                <w:spacing w:val="-3"/>
              </w:rPr>
              <w:t>注：图中红色虚线为方案路径、实线为已有输电线路，黄色图斑为基本农田范围，细蓝色线</w:t>
            </w:r>
            <w:r>
              <w:rPr>
                <w:spacing w:val="-2"/>
              </w:rPr>
              <w:t>框内为生态红线保护区。</w:t>
            </w:r>
          </w:p>
          <w:p w14:paraId="48879A78">
            <w:pPr>
              <w:pStyle w:val="6"/>
              <w:spacing w:before="60" w:line="364" w:lineRule="auto"/>
              <w:ind w:left="112" w:right="107" w:firstLine="509"/>
              <w:jc w:val="both"/>
              <w:rPr>
                <w:sz w:val="24"/>
                <w:szCs w:val="24"/>
              </w:rPr>
            </w:pPr>
            <w:r>
              <w:rPr>
                <w:spacing w:val="-5"/>
                <w:sz w:val="24"/>
                <w:szCs w:val="24"/>
              </w:rPr>
              <w:t>由上图可以看出，线路整体为南北走向，迤车牵引变位于居民集中区，基本</w:t>
            </w:r>
            <w:r>
              <w:rPr>
                <w:spacing w:val="-4"/>
                <w:sz w:val="24"/>
                <w:szCs w:val="24"/>
              </w:rPr>
              <w:t>农田密布，而迤车变位于电力线路集中区域，电力线路和光伏场地集中分布。牵</w:t>
            </w:r>
            <w:r>
              <w:rPr>
                <w:spacing w:val="-3"/>
                <w:sz w:val="24"/>
                <w:szCs w:val="24"/>
              </w:rPr>
              <w:t>引变和迤车变之间隔着生态红线。总体来说线路受已有</w:t>
            </w:r>
            <w:r>
              <w:rPr>
                <w:spacing w:val="-46"/>
                <w:sz w:val="24"/>
                <w:szCs w:val="24"/>
              </w:rPr>
              <w:t xml:space="preserve"> </w:t>
            </w:r>
            <w:r>
              <w:rPr>
                <w:rFonts w:ascii="Times New Roman" w:hAnsi="Times New Roman" w:eastAsia="Times New Roman" w:cs="Times New Roman"/>
                <w:spacing w:val="-3"/>
                <w:sz w:val="24"/>
                <w:szCs w:val="24"/>
              </w:rPr>
              <w:t xml:space="preserve">220kV </w:t>
            </w:r>
            <w:r>
              <w:rPr>
                <w:spacing w:val="-3"/>
                <w:sz w:val="24"/>
                <w:szCs w:val="24"/>
              </w:rPr>
              <w:t>永迤</w:t>
            </w:r>
            <w:r>
              <w:rPr>
                <w:spacing w:val="-52"/>
                <w:sz w:val="24"/>
                <w:szCs w:val="24"/>
              </w:rPr>
              <w:t xml:space="preserve"> </w:t>
            </w:r>
            <w:r>
              <w:rPr>
                <w:rFonts w:ascii="Times New Roman" w:hAnsi="Times New Roman" w:eastAsia="Times New Roman" w:cs="Times New Roman"/>
                <w:spacing w:val="-3"/>
                <w:sz w:val="24"/>
                <w:szCs w:val="24"/>
              </w:rPr>
              <w:t>I</w:t>
            </w:r>
            <w:r>
              <w:rPr>
                <w:rFonts w:ascii="Times New Roman" w:hAnsi="Times New Roman" w:eastAsia="Times New Roman" w:cs="Times New Roman"/>
                <w:spacing w:val="32"/>
                <w:w w:val="101"/>
                <w:sz w:val="24"/>
                <w:szCs w:val="24"/>
              </w:rPr>
              <w:t xml:space="preserve"> </w:t>
            </w:r>
            <w:r>
              <w:rPr>
                <w:spacing w:val="-3"/>
                <w:sz w:val="24"/>
                <w:szCs w:val="24"/>
              </w:rPr>
              <w:t>回、</w:t>
            </w:r>
            <w:r>
              <w:rPr>
                <w:rFonts w:ascii="Times New Roman" w:hAnsi="Times New Roman" w:eastAsia="Times New Roman" w:cs="Times New Roman"/>
                <w:spacing w:val="-3"/>
                <w:sz w:val="24"/>
                <w:szCs w:val="24"/>
              </w:rPr>
              <w:t>220kV</w:t>
            </w:r>
            <w:r>
              <w:rPr>
                <w:spacing w:val="-3"/>
                <w:sz w:val="24"/>
                <w:szCs w:val="24"/>
              </w:rPr>
              <w:t>永迤Ⅱ回、</w:t>
            </w:r>
            <w:r>
              <w:rPr>
                <w:rFonts w:ascii="Times New Roman" w:hAnsi="Times New Roman" w:eastAsia="Times New Roman" w:cs="Times New Roman"/>
                <w:spacing w:val="-3"/>
                <w:sz w:val="24"/>
                <w:szCs w:val="24"/>
              </w:rPr>
              <w:t>220kV</w:t>
            </w:r>
            <w:r>
              <w:rPr>
                <w:rFonts w:ascii="Times New Roman" w:hAnsi="Times New Roman" w:eastAsia="Times New Roman" w:cs="Times New Roman"/>
                <w:spacing w:val="35"/>
                <w:sz w:val="24"/>
                <w:szCs w:val="24"/>
              </w:rPr>
              <w:t xml:space="preserve"> </w:t>
            </w:r>
            <w:r>
              <w:rPr>
                <w:spacing w:val="-3"/>
                <w:sz w:val="24"/>
                <w:szCs w:val="24"/>
              </w:rPr>
              <w:t>者迤</w:t>
            </w:r>
            <w:r>
              <w:rPr>
                <w:spacing w:val="-30"/>
                <w:sz w:val="24"/>
                <w:szCs w:val="24"/>
              </w:rPr>
              <w:t xml:space="preserve"> </w:t>
            </w:r>
            <w:r>
              <w:rPr>
                <w:rFonts w:ascii="Times New Roman" w:hAnsi="Times New Roman" w:eastAsia="Times New Roman" w:cs="Times New Roman"/>
                <w:spacing w:val="-3"/>
                <w:sz w:val="24"/>
                <w:szCs w:val="24"/>
              </w:rPr>
              <w:t>I</w:t>
            </w:r>
            <w:r>
              <w:rPr>
                <w:rFonts w:ascii="Times New Roman" w:hAnsi="Times New Roman" w:eastAsia="Times New Roman" w:cs="Times New Roman"/>
                <w:spacing w:val="54"/>
                <w:sz w:val="24"/>
                <w:szCs w:val="24"/>
              </w:rPr>
              <w:t xml:space="preserve"> </w:t>
            </w:r>
            <w:r>
              <w:rPr>
                <w:spacing w:val="-3"/>
                <w:sz w:val="24"/>
                <w:szCs w:val="24"/>
              </w:rPr>
              <w:t>回、</w:t>
            </w:r>
            <w:r>
              <w:rPr>
                <w:rFonts w:ascii="Times New Roman" w:hAnsi="Times New Roman" w:eastAsia="Times New Roman" w:cs="Times New Roman"/>
                <w:spacing w:val="-3"/>
                <w:sz w:val="24"/>
                <w:szCs w:val="24"/>
              </w:rPr>
              <w:t>220kV</w:t>
            </w:r>
            <w:r>
              <w:rPr>
                <w:rFonts w:ascii="Times New Roman" w:hAnsi="Times New Roman" w:eastAsia="Times New Roman" w:cs="Times New Roman"/>
                <w:spacing w:val="33"/>
                <w:sz w:val="24"/>
                <w:szCs w:val="24"/>
              </w:rPr>
              <w:t xml:space="preserve"> </w:t>
            </w:r>
            <w:r>
              <w:rPr>
                <w:spacing w:val="-3"/>
                <w:sz w:val="24"/>
                <w:szCs w:val="24"/>
              </w:rPr>
              <w:t>岩迤</w:t>
            </w:r>
            <w:r>
              <w:rPr>
                <w:spacing w:val="-28"/>
                <w:sz w:val="24"/>
                <w:szCs w:val="24"/>
              </w:rPr>
              <w:t xml:space="preserve"> </w:t>
            </w:r>
            <w:r>
              <w:rPr>
                <w:rFonts w:ascii="Times New Roman" w:hAnsi="Times New Roman" w:eastAsia="Times New Roman" w:cs="Times New Roman"/>
                <w:spacing w:val="-3"/>
                <w:sz w:val="24"/>
                <w:szCs w:val="24"/>
              </w:rPr>
              <w:t xml:space="preserve">I  </w:t>
            </w:r>
            <w:r>
              <w:rPr>
                <w:spacing w:val="-3"/>
                <w:sz w:val="24"/>
                <w:szCs w:val="24"/>
              </w:rPr>
              <w:t>回、</w:t>
            </w:r>
            <w:r>
              <w:rPr>
                <w:rFonts w:ascii="Times New Roman" w:hAnsi="Times New Roman" w:eastAsia="Times New Roman" w:cs="Times New Roman"/>
                <w:spacing w:val="-3"/>
                <w:sz w:val="24"/>
                <w:szCs w:val="24"/>
              </w:rPr>
              <w:t>35kV</w:t>
            </w:r>
            <w:r>
              <w:rPr>
                <w:rFonts w:ascii="Times New Roman" w:hAnsi="Times New Roman" w:eastAsia="Times New Roman" w:cs="Times New Roman"/>
                <w:spacing w:val="36"/>
                <w:sz w:val="24"/>
                <w:szCs w:val="24"/>
              </w:rPr>
              <w:t xml:space="preserve"> </w:t>
            </w:r>
            <w:r>
              <w:rPr>
                <w:spacing w:val="-3"/>
                <w:sz w:val="24"/>
                <w:szCs w:val="24"/>
              </w:rPr>
              <w:t>罗布古线、</w:t>
            </w:r>
            <w:r>
              <w:rPr>
                <w:rFonts w:ascii="Times New Roman" w:hAnsi="Times New Roman" w:eastAsia="Times New Roman" w:cs="Times New Roman"/>
                <w:spacing w:val="-3"/>
                <w:sz w:val="24"/>
                <w:szCs w:val="24"/>
              </w:rPr>
              <w:t>110k</w:t>
            </w:r>
            <w:r>
              <w:rPr>
                <w:rFonts w:ascii="Times New Roman" w:hAnsi="Times New Roman" w:eastAsia="Times New Roman" w:cs="Times New Roman"/>
                <w:spacing w:val="-4"/>
                <w:sz w:val="24"/>
                <w:szCs w:val="24"/>
              </w:rPr>
              <w:t>V</w:t>
            </w:r>
            <w:r>
              <w:rPr>
                <w:rFonts w:ascii="Times New Roman" w:hAnsi="Times New Roman" w:eastAsia="Times New Roman" w:cs="Times New Roman"/>
                <w:spacing w:val="32"/>
                <w:sz w:val="24"/>
                <w:szCs w:val="24"/>
              </w:rPr>
              <w:t xml:space="preserve"> </w:t>
            </w:r>
            <w:r>
              <w:rPr>
                <w:spacing w:val="-4"/>
                <w:sz w:val="24"/>
                <w:szCs w:val="24"/>
              </w:rPr>
              <w:t>迤矿</w:t>
            </w:r>
            <w:r>
              <w:rPr>
                <w:spacing w:val="-30"/>
                <w:sz w:val="24"/>
                <w:szCs w:val="24"/>
              </w:rPr>
              <w:t xml:space="preserve"> </w:t>
            </w:r>
            <w:r>
              <w:rPr>
                <w:rFonts w:ascii="Times New Roman" w:hAnsi="Times New Roman" w:eastAsia="Times New Roman" w:cs="Times New Roman"/>
                <w:spacing w:val="-4"/>
                <w:sz w:val="24"/>
                <w:szCs w:val="24"/>
              </w:rPr>
              <w:t>I</w:t>
            </w:r>
            <w:r>
              <w:rPr>
                <w:spacing w:val="-3"/>
                <w:sz w:val="24"/>
                <w:szCs w:val="24"/>
              </w:rPr>
              <w:t>回、</w:t>
            </w:r>
            <w:r>
              <w:rPr>
                <w:rFonts w:ascii="Times New Roman" w:hAnsi="Times New Roman" w:eastAsia="Times New Roman" w:cs="Times New Roman"/>
                <w:spacing w:val="-3"/>
                <w:sz w:val="24"/>
                <w:szCs w:val="24"/>
              </w:rPr>
              <w:t xml:space="preserve">220kV </w:t>
            </w:r>
            <w:r>
              <w:rPr>
                <w:spacing w:val="-3"/>
                <w:sz w:val="24"/>
                <w:szCs w:val="24"/>
              </w:rPr>
              <w:t>火迤线、五谷村光伏电站设施和集电线路等已建线路影响，加</w:t>
            </w:r>
            <w:r>
              <w:rPr>
                <w:spacing w:val="-4"/>
                <w:sz w:val="24"/>
                <w:szCs w:val="24"/>
              </w:rPr>
              <w:t>上渝昆高铁铁路干线、炸药库和迤车村、刺梨沟等村庄密集，导致本工程线路不得不避让已建线路、避让光伏电站、避让炸药库、避让村庄等限制因素。同时生态红线</w:t>
            </w:r>
            <w:r>
              <w:rPr>
                <w:spacing w:val="-2"/>
                <w:sz w:val="24"/>
                <w:szCs w:val="24"/>
              </w:rPr>
              <w:t>的分布成连续的片状分布，没有可用的空隙走线。如下图所示。</w:t>
            </w:r>
          </w:p>
        </w:tc>
      </w:tr>
    </w:tbl>
    <w:p w14:paraId="4545ABF5">
      <w:pPr>
        <w:rPr>
          <w:rFonts w:ascii="Arial"/>
          <w:sz w:val="21"/>
        </w:rPr>
      </w:pPr>
    </w:p>
    <w:p w14:paraId="3686B3E3">
      <w:pPr>
        <w:rPr>
          <w:rFonts w:ascii="Arial" w:hAnsi="Arial" w:eastAsia="Arial" w:cs="Arial"/>
          <w:sz w:val="21"/>
          <w:szCs w:val="21"/>
        </w:rPr>
        <w:sectPr>
          <w:footerReference r:id="rId47" w:type="default"/>
          <w:pgSz w:w="11907" w:h="16841"/>
          <w:pgMar w:top="400" w:right="1408" w:bottom="1126" w:left="1414" w:header="0" w:footer="923" w:gutter="0"/>
          <w:cols w:space="720" w:num="1"/>
        </w:sectPr>
      </w:pPr>
    </w:p>
    <w:p w14:paraId="02E9A899">
      <w:pPr>
        <w:spacing w:before="2"/>
      </w:pPr>
    </w:p>
    <w:p w14:paraId="6909D788">
      <w:pPr>
        <w:spacing w:before="2"/>
      </w:pPr>
    </w:p>
    <w:p w14:paraId="1656D963">
      <w:pPr>
        <w:spacing w:before="1"/>
      </w:pPr>
    </w:p>
    <w:p w14:paraId="5E752A2D">
      <w:pPr>
        <w:spacing w:before="1"/>
      </w:pPr>
    </w:p>
    <w:p w14:paraId="4FA7D47C">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60739B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99" w:hRule="atLeast"/>
        </w:trPr>
        <w:tc>
          <w:tcPr>
            <w:tcW w:w="571" w:type="dxa"/>
            <w:vAlign w:val="top"/>
          </w:tcPr>
          <w:p w14:paraId="7C7FC783">
            <w:pPr>
              <w:rPr>
                <w:rFonts w:ascii="Arial"/>
                <w:sz w:val="21"/>
              </w:rPr>
            </w:pPr>
          </w:p>
        </w:tc>
        <w:tc>
          <w:tcPr>
            <w:tcW w:w="8507" w:type="dxa"/>
            <w:vAlign w:val="top"/>
          </w:tcPr>
          <w:p w14:paraId="6B692859">
            <w:pPr>
              <w:spacing w:before="60" w:line="6200" w:lineRule="exact"/>
              <w:ind w:firstLine="102"/>
            </w:pPr>
            <w:r>
              <w:rPr>
                <w:position w:val="-124"/>
              </w:rPr>
              <w:drawing>
                <wp:inline distT="0" distB="0" distL="0" distR="0">
                  <wp:extent cx="5293360" cy="3937000"/>
                  <wp:effectExtent l="0" t="0" r="0" b="0"/>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215"/>
                          <a:stretch>
                            <a:fillRect/>
                          </a:stretch>
                        </pic:blipFill>
                        <pic:spPr>
                          <a:xfrm>
                            <a:off x="0" y="0"/>
                            <a:ext cx="5293360" cy="3937000"/>
                          </a:xfrm>
                          <a:prstGeom prst="rect">
                            <a:avLst/>
                          </a:prstGeom>
                        </pic:spPr>
                      </pic:pic>
                    </a:graphicData>
                  </a:graphic>
                </wp:inline>
              </w:drawing>
            </w:r>
          </w:p>
          <w:p w14:paraId="22EE390B">
            <w:pPr>
              <w:pStyle w:val="6"/>
              <w:spacing w:before="196" w:line="234" w:lineRule="auto"/>
              <w:ind w:left="2355"/>
            </w:pPr>
            <w:bookmarkStart w:id="2" w:name="bookmark11"/>
            <w:bookmarkEnd w:id="2"/>
            <w:r>
              <w:rPr>
                <w:b/>
                <w:bCs/>
                <w:spacing w:val="-5"/>
              </w:rPr>
              <w:t>图</w:t>
            </w:r>
            <w:r>
              <w:rPr>
                <w:spacing w:val="-33"/>
              </w:rPr>
              <w:t xml:space="preserve"> </w:t>
            </w:r>
            <w:r>
              <w:rPr>
                <w:rFonts w:ascii="Times New Roman" w:hAnsi="Times New Roman" w:eastAsia="Times New Roman" w:cs="Times New Roman"/>
                <w:b/>
                <w:bCs/>
                <w:spacing w:val="-5"/>
              </w:rPr>
              <w:t>2-7    D</w:t>
            </w:r>
            <w:r>
              <w:rPr>
                <w:rFonts w:ascii="Times New Roman" w:hAnsi="Times New Roman" w:eastAsia="Times New Roman" w:cs="Times New Roman"/>
                <w:b/>
                <w:bCs/>
                <w:spacing w:val="-30"/>
              </w:rPr>
              <w:t xml:space="preserve"> </w:t>
            </w:r>
            <w:r>
              <w:rPr>
                <w:b/>
                <w:bCs/>
                <w:spacing w:val="-5"/>
              </w:rPr>
              <w:t>、</w:t>
            </w:r>
            <w:r>
              <w:rPr>
                <w:rFonts w:ascii="Times New Roman" w:hAnsi="Times New Roman" w:eastAsia="Times New Roman" w:cs="Times New Roman"/>
                <w:b/>
                <w:bCs/>
                <w:spacing w:val="-5"/>
              </w:rPr>
              <w:t>E</w:t>
            </w:r>
            <w:r>
              <w:rPr>
                <w:rFonts w:ascii="Times New Roman" w:hAnsi="Times New Roman" w:eastAsia="Times New Roman" w:cs="Times New Roman"/>
                <w:b/>
                <w:bCs/>
                <w:spacing w:val="28"/>
              </w:rPr>
              <w:t xml:space="preserve"> </w:t>
            </w:r>
            <w:r>
              <w:rPr>
                <w:b/>
                <w:bCs/>
                <w:spacing w:val="-5"/>
              </w:rPr>
              <w:t>回线路迤车牵侧路径走向图</w:t>
            </w:r>
          </w:p>
          <w:p w14:paraId="5B2D084E">
            <w:pPr>
              <w:pStyle w:val="6"/>
              <w:spacing w:before="131" w:line="280" w:lineRule="auto"/>
              <w:ind w:left="110" w:right="105"/>
            </w:pPr>
            <w:r>
              <w:rPr>
                <w:spacing w:val="-3"/>
              </w:rPr>
              <w:t>注：图中红色虚线为方案路径、实线为已有输电线路，黄色图斑为基本农田范围，细蓝色线</w:t>
            </w:r>
            <w:r>
              <w:rPr>
                <w:spacing w:val="-2"/>
              </w:rPr>
              <w:t>框内为生态红线保护区。</w:t>
            </w:r>
          </w:p>
          <w:p w14:paraId="02A84676">
            <w:pPr>
              <w:pStyle w:val="6"/>
              <w:spacing w:before="61" w:line="365" w:lineRule="auto"/>
              <w:ind w:left="111" w:right="52" w:firstLine="510"/>
              <w:jc w:val="both"/>
              <w:rPr>
                <w:sz w:val="24"/>
                <w:szCs w:val="24"/>
              </w:rPr>
            </w:pPr>
            <w:r>
              <w:rPr>
                <w:spacing w:val="-3"/>
                <w:sz w:val="24"/>
                <w:szCs w:val="24"/>
              </w:rPr>
              <w:t>由上图可以看出，受已建线路村庄限制，本线路通道只能走山梁上方通道，</w:t>
            </w:r>
            <w:r>
              <w:rPr>
                <w:spacing w:val="-4"/>
                <w:sz w:val="24"/>
                <w:szCs w:val="24"/>
              </w:rPr>
              <w:t>山梁两侧通道完全由基本农田和村庄分布，尤其是东侧为众多电力线路和光伏场地占据，无法避让。而生态红线整体联系性好，正好将迤车牵引变、迤车变、乐</w:t>
            </w:r>
            <w:r>
              <w:rPr>
                <w:spacing w:val="-3"/>
                <w:sz w:val="24"/>
                <w:szCs w:val="24"/>
              </w:rPr>
              <w:t>业变供电端和用电端隔开，线路通道没有可行</w:t>
            </w:r>
            <w:r>
              <w:rPr>
                <w:spacing w:val="-4"/>
                <w:sz w:val="24"/>
                <w:szCs w:val="24"/>
              </w:rPr>
              <w:t>的绕行方案，也没有生态红线的缺</w:t>
            </w:r>
            <w:r>
              <w:rPr>
                <w:spacing w:val="-5"/>
                <w:sz w:val="24"/>
                <w:szCs w:val="24"/>
              </w:rPr>
              <w:t>口供架空线路走线。</w:t>
            </w:r>
          </w:p>
        </w:tc>
      </w:tr>
    </w:tbl>
    <w:p w14:paraId="7E96DB3B">
      <w:pPr>
        <w:rPr>
          <w:rFonts w:ascii="Arial"/>
          <w:sz w:val="21"/>
        </w:rPr>
      </w:pPr>
    </w:p>
    <w:p w14:paraId="1BBF7C6B">
      <w:pPr>
        <w:rPr>
          <w:rFonts w:ascii="Arial" w:hAnsi="Arial" w:eastAsia="Arial" w:cs="Arial"/>
          <w:sz w:val="21"/>
          <w:szCs w:val="21"/>
        </w:rPr>
        <w:sectPr>
          <w:footerReference r:id="rId48" w:type="default"/>
          <w:pgSz w:w="11907" w:h="16841"/>
          <w:pgMar w:top="400" w:right="1408" w:bottom="1126" w:left="1414" w:header="0" w:footer="923" w:gutter="0"/>
          <w:cols w:space="720" w:num="1"/>
        </w:sectPr>
      </w:pPr>
    </w:p>
    <w:p w14:paraId="1929812C">
      <w:pPr>
        <w:spacing w:before="2"/>
      </w:pPr>
    </w:p>
    <w:p w14:paraId="1AC0F717">
      <w:pPr>
        <w:spacing w:before="2"/>
      </w:pPr>
    </w:p>
    <w:p w14:paraId="3ED68BBE">
      <w:pPr>
        <w:spacing w:before="1"/>
      </w:pPr>
    </w:p>
    <w:p w14:paraId="1B87B772">
      <w:pPr>
        <w:spacing w:before="1"/>
      </w:pPr>
    </w:p>
    <w:p w14:paraId="23C8EF33">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7BF757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46BCE347">
            <w:pPr>
              <w:rPr>
                <w:rFonts w:ascii="Arial"/>
                <w:sz w:val="21"/>
              </w:rPr>
            </w:pPr>
          </w:p>
        </w:tc>
        <w:tc>
          <w:tcPr>
            <w:tcW w:w="8507" w:type="dxa"/>
            <w:tcBorders>
              <w:top w:val="nil"/>
            </w:tcBorders>
            <w:vAlign w:val="top"/>
          </w:tcPr>
          <w:p w14:paraId="10512869">
            <w:pPr>
              <w:spacing w:line="5989" w:lineRule="exact"/>
            </w:pPr>
            <w:r>
              <w:rPr>
                <w:position w:val="-119"/>
              </w:rPr>
              <w:drawing>
                <wp:inline distT="0" distB="0" distL="0" distR="0">
                  <wp:extent cx="5398770" cy="380301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216"/>
                          <a:stretch>
                            <a:fillRect/>
                          </a:stretch>
                        </pic:blipFill>
                        <pic:spPr>
                          <a:xfrm>
                            <a:off x="0" y="0"/>
                            <a:ext cx="5398770" cy="3803522"/>
                          </a:xfrm>
                          <a:prstGeom prst="rect">
                            <a:avLst/>
                          </a:prstGeom>
                        </pic:spPr>
                      </pic:pic>
                    </a:graphicData>
                  </a:graphic>
                </wp:inline>
              </w:drawing>
            </w:r>
          </w:p>
          <w:p w14:paraId="10F60973">
            <w:pPr>
              <w:pStyle w:val="6"/>
              <w:spacing w:before="150" w:line="234" w:lineRule="auto"/>
              <w:ind w:left="2355"/>
            </w:pPr>
            <w:r>
              <w:rPr>
                <w:b/>
                <w:bCs/>
                <w:spacing w:val="-5"/>
              </w:rPr>
              <w:t>图</w:t>
            </w:r>
            <w:r>
              <w:rPr>
                <w:spacing w:val="-33"/>
              </w:rPr>
              <w:t xml:space="preserve"> </w:t>
            </w:r>
            <w:r>
              <w:rPr>
                <w:rFonts w:ascii="Times New Roman" w:hAnsi="Times New Roman" w:eastAsia="Times New Roman" w:cs="Times New Roman"/>
                <w:b/>
                <w:bCs/>
                <w:spacing w:val="-5"/>
              </w:rPr>
              <w:t>2-8    D</w:t>
            </w:r>
            <w:r>
              <w:rPr>
                <w:rFonts w:ascii="Times New Roman" w:hAnsi="Times New Roman" w:eastAsia="Times New Roman" w:cs="Times New Roman"/>
                <w:b/>
                <w:bCs/>
                <w:spacing w:val="-30"/>
              </w:rPr>
              <w:t xml:space="preserve"> </w:t>
            </w:r>
            <w:r>
              <w:rPr>
                <w:b/>
                <w:bCs/>
                <w:spacing w:val="-5"/>
              </w:rPr>
              <w:t>、</w:t>
            </w:r>
            <w:r>
              <w:rPr>
                <w:rFonts w:ascii="Times New Roman" w:hAnsi="Times New Roman" w:eastAsia="Times New Roman" w:cs="Times New Roman"/>
                <w:b/>
                <w:bCs/>
                <w:spacing w:val="-5"/>
              </w:rPr>
              <w:t>E</w:t>
            </w:r>
            <w:r>
              <w:rPr>
                <w:rFonts w:ascii="Times New Roman" w:hAnsi="Times New Roman" w:eastAsia="Times New Roman" w:cs="Times New Roman"/>
                <w:b/>
                <w:bCs/>
                <w:spacing w:val="28"/>
              </w:rPr>
              <w:t xml:space="preserve"> </w:t>
            </w:r>
            <w:r>
              <w:rPr>
                <w:b/>
                <w:bCs/>
                <w:spacing w:val="-5"/>
              </w:rPr>
              <w:t>回线路迤车牵侧路径走向图</w:t>
            </w:r>
          </w:p>
          <w:p w14:paraId="5A2A3A8F">
            <w:pPr>
              <w:pStyle w:val="6"/>
              <w:spacing w:before="133" w:line="278" w:lineRule="auto"/>
              <w:ind w:left="110" w:right="105"/>
            </w:pPr>
            <w:r>
              <w:rPr>
                <w:spacing w:val="-3"/>
              </w:rPr>
              <w:t>注：图中红色虚线为方案路径、实线为已有输电线路，黄色图斑为基本农田范围，细蓝色线</w:t>
            </w:r>
            <w:r>
              <w:rPr>
                <w:spacing w:val="-1"/>
              </w:rPr>
              <w:t>框内为生态红线。</w:t>
            </w:r>
          </w:p>
          <w:p w14:paraId="3A5A0E31">
            <w:pPr>
              <w:pStyle w:val="6"/>
              <w:spacing w:before="63" w:line="363" w:lineRule="auto"/>
              <w:ind w:left="113" w:right="108" w:firstLine="508"/>
              <w:jc w:val="both"/>
              <w:rPr>
                <w:sz w:val="24"/>
                <w:szCs w:val="24"/>
              </w:rPr>
            </w:pPr>
            <w:r>
              <w:rPr>
                <w:spacing w:val="-2"/>
                <w:sz w:val="24"/>
                <w:szCs w:val="24"/>
              </w:rPr>
              <w:t xml:space="preserve">由上图可以看出，受 </w:t>
            </w:r>
            <w:r>
              <w:rPr>
                <w:rFonts w:ascii="Times New Roman" w:hAnsi="Times New Roman" w:eastAsia="Times New Roman" w:cs="Times New Roman"/>
                <w:spacing w:val="-2"/>
                <w:sz w:val="24"/>
                <w:szCs w:val="24"/>
              </w:rPr>
              <w:t>5t</w:t>
            </w:r>
            <w:r>
              <w:rPr>
                <w:rFonts w:ascii="Times New Roman" w:hAnsi="Times New Roman" w:eastAsia="Times New Roman" w:cs="Times New Roman"/>
                <w:spacing w:val="44"/>
                <w:sz w:val="24"/>
                <w:szCs w:val="24"/>
              </w:rPr>
              <w:t xml:space="preserve"> </w:t>
            </w:r>
            <w:r>
              <w:rPr>
                <w:spacing w:val="-2"/>
                <w:sz w:val="24"/>
                <w:szCs w:val="24"/>
              </w:rPr>
              <w:t>炸药库保护范围影响和</w:t>
            </w:r>
            <w:r>
              <w:rPr>
                <w:spacing w:val="-3"/>
                <w:sz w:val="24"/>
                <w:szCs w:val="24"/>
              </w:rPr>
              <w:t>基本农田、已建线路通道限</w:t>
            </w:r>
            <w:r>
              <w:rPr>
                <w:spacing w:val="1"/>
                <w:sz w:val="24"/>
                <w:szCs w:val="24"/>
              </w:rPr>
              <w:t>制，方线路路径不得不进入生态保护红线范围尤其是金沙江下游</w:t>
            </w:r>
            <w:r>
              <w:rPr>
                <w:rFonts w:ascii="Times New Roman" w:hAnsi="Times New Roman" w:eastAsia="Times New Roman" w:cs="Times New Roman"/>
                <w:spacing w:val="1"/>
                <w:sz w:val="24"/>
                <w:szCs w:val="24"/>
              </w:rPr>
              <w:t>-</w:t>
            </w:r>
            <w:r>
              <w:rPr>
                <w:spacing w:val="1"/>
                <w:sz w:val="24"/>
                <w:szCs w:val="24"/>
              </w:rPr>
              <w:t>小江流域水土</w:t>
            </w:r>
            <w:r>
              <w:rPr>
                <w:spacing w:val="-3"/>
                <w:sz w:val="24"/>
                <w:szCs w:val="24"/>
              </w:rPr>
              <w:t>流失控制生态保护红线，无法避让。</w:t>
            </w:r>
          </w:p>
        </w:tc>
      </w:tr>
    </w:tbl>
    <w:p w14:paraId="6C6519F3">
      <w:pPr>
        <w:rPr>
          <w:rFonts w:ascii="Arial"/>
          <w:sz w:val="21"/>
        </w:rPr>
      </w:pPr>
    </w:p>
    <w:p w14:paraId="3D152FB3">
      <w:pPr>
        <w:rPr>
          <w:rFonts w:ascii="Arial" w:hAnsi="Arial" w:eastAsia="Arial" w:cs="Arial"/>
          <w:sz w:val="21"/>
          <w:szCs w:val="21"/>
        </w:rPr>
        <w:sectPr>
          <w:footerReference r:id="rId49" w:type="default"/>
          <w:pgSz w:w="11907" w:h="16841"/>
          <w:pgMar w:top="400" w:right="1408" w:bottom="1126" w:left="1414" w:header="0" w:footer="925" w:gutter="0"/>
          <w:cols w:space="720" w:num="1"/>
        </w:sectPr>
      </w:pPr>
    </w:p>
    <w:p w14:paraId="30BE3925">
      <w:pPr>
        <w:spacing w:before="2"/>
      </w:pPr>
    </w:p>
    <w:p w14:paraId="6DFE0D85">
      <w:pPr>
        <w:spacing w:before="2"/>
      </w:pPr>
    </w:p>
    <w:p w14:paraId="7D909EDE">
      <w:pPr>
        <w:spacing w:before="1"/>
      </w:pPr>
    </w:p>
    <w:p w14:paraId="40E52C99">
      <w:pPr>
        <w:spacing w:before="1"/>
      </w:pPr>
    </w:p>
    <w:p w14:paraId="47E027CA">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1BB9EE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1B95B741">
            <w:pPr>
              <w:rPr>
                <w:rFonts w:ascii="Arial"/>
                <w:sz w:val="21"/>
              </w:rPr>
            </w:pPr>
          </w:p>
        </w:tc>
        <w:tc>
          <w:tcPr>
            <w:tcW w:w="8507" w:type="dxa"/>
            <w:vAlign w:val="top"/>
          </w:tcPr>
          <w:p w14:paraId="492C4C3E">
            <w:pPr>
              <w:spacing w:before="121" w:line="6716" w:lineRule="exact"/>
              <w:ind w:firstLine="102"/>
            </w:pPr>
            <w:r>
              <w:rPr>
                <w:position w:val="-134"/>
              </w:rPr>
              <w:drawing>
                <wp:inline distT="0" distB="0" distL="0" distR="0">
                  <wp:extent cx="5290185" cy="426402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217"/>
                          <a:stretch>
                            <a:fillRect/>
                          </a:stretch>
                        </pic:blipFill>
                        <pic:spPr>
                          <a:xfrm>
                            <a:off x="0" y="0"/>
                            <a:ext cx="5290185" cy="4264659"/>
                          </a:xfrm>
                          <a:prstGeom prst="rect">
                            <a:avLst/>
                          </a:prstGeom>
                        </pic:spPr>
                      </pic:pic>
                    </a:graphicData>
                  </a:graphic>
                </wp:inline>
              </w:drawing>
            </w:r>
          </w:p>
          <w:p w14:paraId="1700E9C7">
            <w:pPr>
              <w:pStyle w:val="6"/>
              <w:spacing w:before="251" w:line="234" w:lineRule="auto"/>
              <w:ind w:left="2460"/>
            </w:pPr>
            <w:r>
              <w:rPr>
                <w:b/>
                <w:bCs/>
                <w:spacing w:val="-4"/>
              </w:rPr>
              <w:t>图</w:t>
            </w:r>
            <w:r>
              <w:rPr>
                <w:spacing w:val="-37"/>
              </w:rPr>
              <w:t xml:space="preserve"> </w:t>
            </w:r>
            <w:r>
              <w:rPr>
                <w:rFonts w:ascii="Times New Roman" w:hAnsi="Times New Roman" w:eastAsia="Times New Roman" w:cs="Times New Roman"/>
                <w:b/>
                <w:bCs/>
                <w:spacing w:val="-4"/>
              </w:rPr>
              <w:t>2-9    DE</w:t>
            </w:r>
            <w:r>
              <w:rPr>
                <w:rFonts w:ascii="Times New Roman" w:hAnsi="Times New Roman" w:eastAsia="Times New Roman" w:cs="Times New Roman"/>
                <w:b/>
                <w:bCs/>
                <w:spacing w:val="28"/>
                <w:w w:val="101"/>
              </w:rPr>
              <w:t xml:space="preserve"> </w:t>
            </w:r>
            <w:r>
              <w:rPr>
                <w:b/>
                <w:bCs/>
                <w:spacing w:val="-4"/>
              </w:rPr>
              <w:t>回线路迤车变侧路径走向图</w:t>
            </w:r>
          </w:p>
          <w:p w14:paraId="7C3A2800">
            <w:pPr>
              <w:pStyle w:val="6"/>
              <w:spacing w:before="132" w:line="278" w:lineRule="auto"/>
              <w:ind w:left="110" w:right="105"/>
            </w:pPr>
            <w:r>
              <w:rPr>
                <w:spacing w:val="-3"/>
              </w:rPr>
              <w:t>注：图中红色虚线为方案路径、实线为已有输电线路，黄色图斑为基本农田范围，细蓝色线</w:t>
            </w:r>
            <w:r>
              <w:rPr>
                <w:spacing w:val="-1"/>
              </w:rPr>
              <w:t>框内为生态红线。半透明区域为五谷村光伏场地。</w:t>
            </w:r>
          </w:p>
          <w:p w14:paraId="778822A2">
            <w:pPr>
              <w:pStyle w:val="6"/>
              <w:spacing w:before="60" w:line="365" w:lineRule="auto"/>
              <w:ind w:left="111" w:right="109" w:firstLine="510"/>
              <w:jc w:val="both"/>
              <w:rPr>
                <w:sz w:val="24"/>
                <w:szCs w:val="24"/>
              </w:rPr>
            </w:pPr>
            <w:r>
              <w:rPr>
                <w:spacing w:val="-5"/>
                <w:sz w:val="24"/>
                <w:szCs w:val="24"/>
              </w:rPr>
              <w:t>由上图可以看出，在线路中间段受五谷村光伏电站影响，受周边基本农田和</w:t>
            </w:r>
            <w:r>
              <w:rPr>
                <w:spacing w:val="-6"/>
                <w:sz w:val="24"/>
                <w:szCs w:val="24"/>
              </w:rPr>
              <w:t>已建线路通道、采石场、村庄等因素限制，</w:t>
            </w:r>
            <w:r>
              <w:rPr>
                <w:spacing w:val="-30"/>
                <w:sz w:val="24"/>
                <w:szCs w:val="24"/>
              </w:rPr>
              <w:t xml:space="preserve"> </w:t>
            </w:r>
            <w:r>
              <w:rPr>
                <w:spacing w:val="-6"/>
                <w:sz w:val="24"/>
                <w:szCs w:val="24"/>
              </w:rPr>
              <w:t>线路路径无法避开生态红线不得不进</w:t>
            </w:r>
            <w:r>
              <w:rPr>
                <w:spacing w:val="1"/>
                <w:sz w:val="24"/>
                <w:szCs w:val="24"/>
              </w:rPr>
              <w:t>入生态保护红线范围尤其是金沙江下游</w:t>
            </w:r>
            <w:r>
              <w:rPr>
                <w:rFonts w:ascii="Times New Roman" w:hAnsi="Times New Roman" w:eastAsia="Times New Roman" w:cs="Times New Roman"/>
                <w:spacing w:val="1"/>
                <w:sz w:val="24"/>
                <w:szCs w:val="24"/>
              </w:rPr>
              <w:t>-</w:t>
            </w:r>
            <w:r>
              <w:rPr>
                <w:spacing w:val="1"/>
                <w:sz w:val="24"/>
                <w:szCs w:val="24"/>
              </w:rPr>
              <w:t>小江流域水土流失控制生态保护红线，</w:t>
            </w:r>
            <w:r>
              <w:rPr>
                <w:spacing w:val="-7"/>
                <w:sz w:val="24"/>
                <w:szCs w:val="24"/>
              </w:rPr>
              <w:t>无法避让。</w:t>
            </w:r>
          </w:p>
          <w:p w14:paraId="4F2F85F3">
            <w:pPr>
              <w:pStyle w:val="6"/>
              <w:spacing w:line="233" w:lineRule="auto"/>
              <w:ind w:left="106"/>
              <w:rPr>
                <w:sz w:val="24"/>
                <w:szCs w:val="24"/>
              </w:rPr>
            </w:pPr>
            <w:r>
              <w:rPr>
                <w:rFonts w:ascii="Times New Roman" w:hAnsi="Times New Roman" w:eastAsia="Times New Roman" w:cs="Times New Roman"/>
                <w:b/>
                <w:bCs/>
                <w:spacing w:val="-3"/>
                <w:sz w:val="24"/>
                <w:szCs w:val="24"/>
              </w:rPr>
              <w:t>3</w:t>
            </w:r>
            <w:r>
              <w:rPr>
                <w:b/>
                <w:bCs/>
                <w:spacing w:val="-3"/>
                <w:sz w:val="24"/>
                <w:szCs w:val="24"/>
              </w:rPr>
              <w:t>、路径比选结论</w:t>
            </w:r>
          </w:p>
          <w:p w14:paraId="77F5B572">
            <w:pPr>
              <w:pStyle w:val="6"/>
              <w:spacing w:before="168" w:line="365" w:lineRule="auto"/>
              <w:ind w:left="111" w:right="26" w:firstLine="482"/>
              <w:jc w:val="both"/>
              <w:rPr>
                <w:sz w:val="24"/>
                <w:szCs w:val="24"/>
              </w:rPr>
            </w:pPr>
            <w:r>
              <w:rPr>
                <w:spacing w:val="-8"/>
                <w:sz w:val="24"/>
                <w:szCs w:val="24"/>
              </w:rPr>
              <w:t>经分析比较，</w:t>
            </w:r>
            <w:r>
              <w:rPr>
                <w:rFonts w:ascii="Times New Roman" w:hAnsi="Times New Roman" w:eastAsia="Times New Roman" w:cs="Times New Roman"/>
                <w:spacing w:val="-8"/>
                <w:sz w:val="24"/>
                <w:szCs w:val="24"/>
              </w:rPr>
              <w:t>3</w:t>
            </w:r>
            <w:r>
              <w:rPr>
                <w:rFonts w:ascii="Times New Roman" w:hAnsi="Times New Roman" w:eastAsia="Times New Roman" w:cs="Times New Roman"/>
                <w:spacing w:val="35"/>
                <w:w w:val="101"/>
                <w:sz w:val="24"/>
                <w:szCs w:val="24"/>
              </w:rPr>
              <w:t xml:space="preserve"> </w:t>
            </w:r>
            <w:r>
              <w:rPr>
                <w:spacing w:val="-8"/>
                <w:sz w:val="24"/>
                <w:szCs w:val="24"/>
              </w:rPr>
              <w:t>回线路末段和中段生态红线、基本农田分布密集，</w:t>
            </w:r>
            <w:r>
              <w:rPr>
                <w:spacing w:val="46"/>
                <w:sz w:val="24"/>
                <w:szCs w:val="24"/>
              </w:rPr>
              <w:t xml:space="preserve"> </w:t>
            </w:r>
            <w:r>
              <w:rPr>
                <w:spacing w:val="-8"/>
                <w:sz w:val="24"/>
                <w:szCs w:val="24"/>
              </w:rPr>
              <w:t>通道两侧</w:t>
            </w:r>
            <w:r>
              <w:rPr>
                <w:spacing w:val="-2"/>
                <w:sz w:val="24"/>
                <w:szCs w:val="24"/>
              </w:rPr>
              <w:t>存在</w:t>
            </w:r>
            <w:r>
              <w:rPr>
                <w:spacing w:val="-40"/>
                <w:sz w:val="24"/>
                <w:szCs w:val="24"/>
              </w:rPr>
              <w:t xml:space="preserve"> </w:t>
            </w:r>
            <w:r>
              <w:rPr>
                <w:rFonts w:ascii="Times New Roman" w:hAnsi="Times New Roman" w:eastAsia="Times New Roman" w:cs="Times New Roman"/>
                <w:spacing w:val="-2"/>
                <w:sz w:val="24"/>
                <w:szCs w:val="24"/>
              </w:rPr>
              <w:t xml:space="preserve">2 </w:t>
            </w:r>
            <w:r>
              <w:rPr>
                <w:spacing w:val="-2"/>
                <w:sz w:val="24"/>
                <w:szCs w:val="24"/>
              </w:rPr>
              <w:t>座炸药库、</w:t>
            </w:r>
            <w:r>
              <w:rPr>
                <w:rFonts w:ascii="Times New Roman" w:hAnsi="Times New Roman" w:eastAsia="Times New Roman" w:cs="Times New Roman"/>
                <w:spacing w:val="-2"/>
                <w:sz w:val="24"/>
                <w:szCs w:val="24"/>
              </w:rPr>
              <w:t xml:space="preserve">3 </w:t>
            </w:r>
            <w:r>
              <w:rPr>
                <w:spacing w:val="-2"/>
                <w:sz w:val="24"/>
                <w:szCs w:val="24"/>
              </w:rPr>
              <w:t>座采石场，五谷村光伏电站及集电线路范围广，加上</w:t>
            </w:r>
            <w:r>
              <w:rPr>
                <w:spacing w:val="-54"/>
                <w:sz w:val="24"/>
                <w:szCs w:val="24"/>
              </w:rPr>
              <w:t xml:space="preserve"> </w:t>
            </w:r>
            <w:r>
              <w:rPr>
                <w:rFonts w:ascii="Times New Roman" w:hAnsi="Times New Roman" w:eastAsia="Times New Roman" w:cs="Times New Roman"/>
                <w:spacing w:val="-2"/>
                <w:sz w:val="24"/>
                <w:szCs w:val="24"/>
              </w:rPr>
              <w:t>220kV</w:t>
            </w:r>
            <w:r>
              <w:rPr>
                <w:spacing w:val="-8"/>
                <w:sz w:val="24"/>
                <w:szCs w:val="24"/>
              </w:rPr>
              <w:t>迤车变附近已建线路众多，电力线路通道紧张，导致线路路径无法避开生态红线。</w:t>
            </w:r>
            <w:r>
              <w:rPr>
                <w:spacing w:val="-2"/>
                <w:sz w:val="24"/>
                <w:szCs w:val="24"/>
              </w:rPr>
              <w:t>路径方案经多部门论证，</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32"/>
                <w:w w:val="101"/>
                <w:sz w:val="24"/>
                <w:szCs w:val="24"/>
              </w:rPr>
              <w:t xml:space="preserve"> </w:t>
            </w:r>
            <w:r>
              <w:rPr>
                <w:spacing w:val="-2"/>
                <w:sz w:val="24"/>
                <w:szCs w:val="24"/>
              </w:rPr>
              <w:t>回线路仅确定一条合规方案，</w:t>
            </w:r>
            <w:r>
              <w:rPr>
                <w:spacing w:val="-3"/>
                <w:sz w:val="24"/>
                <w:szCs w:val="24"/>
              </w:rPr>
              <w:t>无多余比选方案。</w:t>
            </w:r>
          </w:p>
          <w:p w14:paraId="3587A152">
            <w:pPr>
              <w:pStyle w:val="6"/>
              <w:spacing w:before="3" w:line="317" w:lineRule="auto"/>
              <w:ind w:left="111" w:right="109" w:firstLine="483"/>
              <w:rPr>
                <w:sz w:val="24"/>
                <w:szCs w:val="24"/>
              </w:rPr>
            </w:pPr>
            <w:r>
              <w:rPr>
                <w:spacing w:val="-4"/>
                <w:sz w:val="24"/>
                <w:szCs w:val="24"/>
              </w:rPr>
              <w:t>综上所述，本工程线路不能避免经过生态保护红线，设计已选择高塔拉大档距的方式减少在生态保护红线和水源地准保护区范围内的杆塔数量，综合考虑线</w:t>
            </w:r>
          </w:p>
        </w:tc>
      </w:tr>
    </w:tbl>
    <w:p w14:paraId="0BD1EA2A">
      <w:pPr>
        <w:rPr>
          <w:rFonts w:ascii="Arial"/>
          <w:sz w:val="21"/>
        </w:rPr>
      </w:pPr>
    </w:p>
    <w:p w14:paraId="172A3111">
      <w:pPr>
        <w:rPr>
          <w:rFonts w:ascii="Arial" w:hAnsi="Arial" w:eastAsia="Arial" w:cs="Arial"/>
          <w:sz w:val="21"/>
          <w:szCs w:val="21"/>
        </w:rPr>
        <w:sectPr>
          <w:footerReference r:id="rId50" w:type="default"/>
          <w:pgSz w:w="11907" w:h="16841"/>
          <w:pgMar w:top="400" w:right="1408" w:bottom="1126" w:left="1414" w:header="0" w:footer="923" w:gutter="0"/>
          <w:cols w:space="720" w:num="1"/>
        </w:sectPr>
      </w:pPr>
    </w:p>
    <w:p w14:paraId="14538D4D">
      <w:pPr>
        <w:spacing w:before="2"/>
      </w:pPr>
    </w:p>
    <w:p w14:paraId="10327356">
      <w:pPr>
        <w:spacing w:before="2"/>
      </w:pPr>
    </w:p>
    <w:p w14:paraId="2CD5788E">
      <w:pPr>
        <w:spacing w:before="1"/>
      </w:pPr>
    </w:p>
    <w:p w14:paraId="63793621">
      <w:pPr>
        <w:spacing w:before="1"/>
      </w:pPr>
    </w:p>
    <w:p w14:paraId="3A203719">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05A64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410AE4FB">
            <w:pPr>
              <w:rPr>
                <w:rFonts w:ascii="Arial"/>
                <w:sz w:val="21"/>
              </w:rPr>
            </w:pPr>
          </w:p>
        </w:tc>
        <w:tc>
          <w:tcPr>
            <w:tcW w:w="8507" w:type="dxa"/>
            <w:vAlign w:val="top"/>
          </w:tcPr>
          <w:p w14:paraId="00D80E40">
            <w:pPr>
              <w:pStyle w:val="6"/>
              <w:spacing w:before="126" w:line="365" w:lineRule="auto"/>
              <w:ind w:left="111" w:right="24" w:firstLine="2"/>
              <w:jc w:val="both"/>
              <w:rPr>
                <w:sz w:val="24"/>
                <w:szCs w:val="24"/>
              </w:rPr>
            </w:pPr>
            <w:r>
              <w:rPr>
                <w:spacing w:val="-9"/>
                <w:sz w:val="24"/>
                <w:szCs w:val="24"/>
              </w:rPr>
              <w:t>路投资、避开重要区域，</w:t>
            </w:r>
            <w:r>
              <w:rPr>
                <w:spacing w:val="-69"/>
                <w:sz w:val="24"/>
                <w:szCs w:val="24"/>
              </w:rPr>
              <w:t xml:space="preserve"> </w:t>
            </w:r>
            <w:r>
              <w:rPr>
                <w:spacing w:val="-9"/>
                <w:sz w:val="24"/>
                <w:szCs w:val="24"/>
              </w:rPr>
              <w:t>路径方案合理。线路采用高塔跨越、优化铁塔</w:t>
            </w:r>
            <w:r>
              <w:rPr>
                <w:spacing w:val="-10"/>
                <w:sz w:val="24"/>
                <w:szCs w:val="24"/>
              </w:rPr>
              <w:t>根开尺寸、</w:t>
            </w:r>
            <w:r>
              <w:rPr>
                <w:spacing w:val="-4"/>
                <w:sz w:val="24"/>
                <w:szCs w:val="24"/>
              </w:rPr>
              <w:t>铁塔全方位配置高低腿设计，同时考虑塔基位植被恢复及塔基基面综合治理方案减少对生态环境的影响。</w:t>
            </w:r>
          </w:p>
        </w:tc>
      </w:tr>
    </w:tbl>
    <w:p w14:paraId="0804CB6D">
      <w:pPr>
        <w:rPr>
          <w:rFonts w:ascii="Arial"/>
          <w:sz w:val="21"/>
        </w:rPr>
      </w:pPr>
    </w:p>
    <w:p w14:paraId="60CAD0D0">
      <w:pPr>
        <w:rPr>
          <w:rFonts w:ascii="Arial" w:hAnsi="Arial" w:eastAsia="Arial" w:cs="Arial"/>
          <w:sz w:val="21"/>
          <w:szCs w:val="21"/>
        </w:rPr>
        <w:sectPr>
          <w:footerReference r:id="rId51" w:type="default"/>
          <w:pgSz w:w="11907" w:h="16841"/>
          <w:pgMar w:top="400" w:right="1408" w:bottom="1126" w:left="1414" w:header="0" w:footer="925" w:gutter="0"/>
          <w:cols w:space="720" w:num="1"/>
        </w:sectPr>
      </w:pPr>
    </w:p>
    <w:p w14:paraId="5A655D95">
      <w:pPr>
        <w:spacing w:line="255" w:lineRule="auto"/>
        <w:rPr>
          <w:rFonts w:ascii="Arial"/>
          <w:sz w:val="21"/>
        </w:rPr>
      </w:pPr>
    </w:p>
    <w:p w14:paraId="27B04E64">
      <w:pPr>
        <w:spacing w:line="255" w:lineRule="auto"/>
        <w:rPr>
          <w:rFonts w:ascii="Arial"/>
          <w:sz w:val="21"/>
        </w:rPr>
      </w:pPr>
    </w:p>
    <w:p w14:paraId="05AB0B37">
      <w:pPr>
        <w:spacing w:line="255" w:lineRule="auto"/>
        <w:rPr>
          <w:rFonts w:ascii="Arial"/>
          <w:sz w:val="21"/>
        </w:rPr>
      </w:pPr>
    </w:p>
    <w:p w14:paraId="498B08B9">
      <w:pPr>
        <w:spacing w:line="255" w:lineRule="auto"/>
        <w:rPr>
          <w:rFonts w:ascii="Arial"/>
          <w:sz w:val="21"/>
        </w:rPr>
      </w:pPr>
    </w:p>
    <w:p w14:paraId="3E6D8CB5">
      <w:pPr>
        <w:spacing w:line="256" w:lineRule="auto"/>
        <w:rPr>
          <w:rFonts w:ascii="Arial"/>
          <w:sz w:val="21"/>
        </w:rPr>
      </w:pPr>
    </w:p>
    <w:p w14:paraId="6A193B18">
      <w:pPr>
        <w:pStyle w:val="2"/>
        <w:spacing w:before="98" w:line="219" w:lineRule="auto"/>
        <w:ind w:left="1859"/>
        <w:rPr>
          <w:sz w:val="30"/>
          <w:szCs w:val="30"/>
        </w:rPr>
      </w:pPr>
      <w:r>
        <w:rPr>
          <w:spacing w:val="-1"/>
          <w:sz w:val="30"/>
          <w:szCs w:val="30"/>
        </w:rPr>
        <w:t>三、生态环境现状、保护目标及评价标准</w:t>
      </w:r>
    </w:p>
    <w:p w14:paraId="559812DB">
      <w:pPr>
        <w:spacing w:line="110" w:lineRule="exact"/>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22"/>
        <w:gridCol w:w="720"/>
        <w:gridCol w:w="1843"/>
        <w:gridCol w:w="2226"/>
        <w:gridCol w:w="1936"/>
        <w:gridCol w:w="1533"/>
        <w:gridCol w:w="127"/>
      </w:tblGrid>
      <w:tr w14:paraId="1C99E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49" w:hRule="atLeast"/>
        </w:trPr>
        <w:tc>
          <w:tcPr>
            <w:tcW w:w="571" w:type="dxa"/>
            <w:vMerge w:val="restart"/>
            <w:tcBorders>
              <w:bottom w:val="nil"/>
            </w:tcBorders>
            <w:vAlign w:val="top"/>
          </w:tcPr>
          <w:p w14:paraId="298E8AFC">
            <w:pPr>
              <w:spacing w:line="243" w:lineRule="auto"/>
              <w:rPr>
                <w:rFonts w:ascii="Arial"/>
                <w:sz w:val="21"/>
              </w:rPr>
            </w:pPr>
          </w:p>
          <w:p w14:paraId="41AEDBF7">
            <w:pPr>
              <w:spacing w:line="243" w:lineRule="auto"/>
              <w:rPr>
                <w:rFonts w:ascii="Arial"/>
                <w:sz w:val="21"/>
              </w:rPr>
            </w:pPr>
          </w:p>
          <w:p w14:paraId="3924ABB0">
            <w:pPr>
              <w:spacing w:line="243" w:lineRule="auto"/>
              <w:rPr>
                <w:rFonts w:ascii="Arial"/>
                <w:sz w:val="21"/>
              </w:rPr>
            </w:pPr>
          </w:p>
          <w:p w14:paraId="05D250AF">
            <w:pPr>
              <w:spacing w:line="243" w:lineRule="auto"/>
              <w:rPr>
                <w:rFonts w:ascii="Arial"/>
                <w:sz w:val="21"/>
              </w:rPr>
            </w:pPr>
          </w:p>
          <w:p w14:paraId="446F12ED">
            <w:pPr>
              <w:spacing w:line="243" w:lineRule="auto"/>
              <w:rPr>
                <w:rFonts w:ascii="Arial"/>
                <w:sz w:val="21"/>
              </w:rPr>
            </w:pPr>
          </w:p>
          <w:p w14:paraId="5C4C23B3">
            <w:pPr>
              <w:spacing w:line="243" w:lineRule="auto"/>
              <w:rPr>
                <w:rFonts w:ascii="Arial"/>
                <w:sz w:val="21"/>
              </w:rPr>
            </w:pPr>
          </w:p>
          <w:p w14:paraId="274D2DD4">
            <w:pPr>
              <w:spacing w:line="243" w:lineRule="auto"/>
              <w:rPr>
                <w:rFonts w:ascii="Arial"/>
                <w:sz w:val="21"/>
              </w:rPr>
            </w:pPr>
          </w:p>
          <w:p w14:paraId="2C5A98B1">
            <w:pPr>
              <w:spacing w:line="243" w:lineRule="auto"/>
              <w:rPr>
                <w:rFonts w:ascii="Arial"/>
                <w:sz w:val="21"/>
              </w:rPr>
            </w:pPr>
          </w:p>
          <w:p w14:paraId="49FB4EB2">
            <w:pPr>
              <w:spacing w:line="243" w:lineRule="auto"/>
              <w:rPr>
                <w:rFonts w:ascii="Arial"/>
                <w:sz w:val="21"/>
              </w:rPr>
            </w:pPr>
          </w:p>
          <w:p w14:paraId="239E6BEA">
            <w:pPr>
              <w:spacing w:line="243" w:lineRule="auto"/>
              <w:rPr>
                <w:rFonts w:ascii="Arial"/>
                <w:sz w:val="21"/>
              </w:rPr>
            </w:pPr>
          </w:p>
          <w:p w14:paraId="72ABD6D9">
            <w:pPr>
              <w:spacing w:line="243" w:lineRule="auto"/>
              <w:rPr>
                <w:rFonts w:ascii="Arial"/>
                <w:sz w:val="21"/>
              </w:rPr>
            </w:pPr>
          </w:p>
          <w:p w14:paraId="2E29BE80">
            <w:pPr>
              <w:spacing w:line="243" w:lineRule="auto"/>
              <w:rPr>
                <w:rFonts w:ascii="Arial"/>
                <w:sz w:val="21"/>
              </w:rPr>
            </w:pPr>
          </w:p>
          <w:p w14:paraId="3C7C6311">
            <w:pPr>
              <w:spacing w:line="243" w:lineRule="auto"/>
              <w:rPr>
                <w:rFonts w:ascii="Arial"/>
                <w:sz w:val="21"/>
              </w:rPr>
            </w:pPr>
          </w:p>
          <w:p w14:paraId="28E1972A">
            <w:pPr>
              <w:spacing w:line="243" w:lineRule="auto"/>
              <w:rPr>
                <w:rFonts w:ascii="Arial"/>
                <w:sz w:val="21"/>
              </w:rPr>
            </w:pPr>
          </w:p>
          <w:p w14:paraId="00BC24A6">
            <w:pPr>
              <w:spacing w:line="243" w:lineRule="auto"/>
              <w:rPr>
                <w:rFonts w:ascii="Arial"/>
                <w:sz w:val="21"/>
              </w:rPr>
            </w:pPr>
          </w:p>
          <w:p w14:paraId="10553FA6">
            <w:pPr>
              <w:spacing w:line="243" w:lineRule="auto"/>
              <w:rPr>
                <w:rFonts w:ascii="Arial"/>
                <w:sz w:val="21"/>
              </w:rPr>
            </w:pPr>
          </w:p>
          <w:p w14:paraId="3B5105C6">
            <w:pPr>
              <w:spacing w:line="243" w:lineRule="auto"/>
              <w:rPr>
                <w:rFonts w:ascii="Arial"/>
                <w:sz w:val="21"/>
              </w:rPr>
            </w:pPr>
          </w:p>
          <w:p w14:paraId="14A475AC">
            <w:pPr>
              <w:spacing w:line="243" w:lineRule="auto"/>
              <w:rPr>
                <w:rFonts w:ascii="Arial"/>
                <w:sz w:val="21"/>
              </w:rPr>
            </w:pPr>
          </w:p>
          <w:p w14:paraId="15D12AF4">
            <w:pPr>
              <w:spacing w:line="243" w:lineRule="auto"/>
              <w:rPr>
                <w:rFonts w:ascii="Arial"/>
                <w:sz w:val="21"/>
              </w:rPr>
            </w:pPr>
          </w:p>
          <w:p w14:paraId="071604A8">
            <w:pPr>
              <w:spacing w:line="243" w:lineRule="auto"/>
              <w:rPr>
                <w:rFonts w:ascii="Arial"/>
                <w:sz w:val="21"/>
              </w:rPr>
            </w:pPr>
          </w:p>
          <w:p w14:paraId="2A8FB617">
            <w:pPr>
              <w:spacing w:line="243" w:lineRule="auto"/>
              <w:rPr>
                <w:rFonts w:ascii="Arial"/>
                <w:sz w:val="21"/>
              </w:rPr>
            </w:pPr>
          </w:p>
          <w:p w14:paraId="7061E892">
            <w:pPr>
              <w:spacing w:line="243" w:lineRule="auto"/>
              <w:rPr>
                <w:rFonts w:ascii="Arial"/>
                <w:sz w:val="21"/>
              </w:rPr>
            </w:pPr>
          </w:p>
          <w:p w14:paraId="64C66CCC">
            <w:pPr>
              <w:spacing w:line="244" w:lineRule="auto"/>
              <w:rPr>
                <w:rFonts w:ascii="Arial"/>
                <w:sz w:val="21"/>
              </w:rPr>
            </w:pPr>
          </w:p>
          <w:p w14:paraId="77B0DBA5">
            <w:pPr>
              <w:spacing w:line="244" w:lineRule="auto"/>
              <w:rPr>
                <w:rFonts w:ascii="Arial"/>
                <w:sz w:val="21"/>
              </w:rPr>
            </w:pPr>
          </w:p>
          <w:p w14:paraId="2949540A">
            <w:pPr>
              <w:pStyle w:val="6"/>
              <w:spacing w:before="68" w:line="280" w:lineRule="auto"/>
              <w:ind w:left="80" w:right="71" w:firstLine="1"/>
              <w:jc w:val="both"/>
            </w:pPr>
            <w:r>
              <w:rPr>
                <w:spacing w:val="-4"/>
              </w:rPr>
              <w:t>生态</w:t>
            </w:r>
            <w:r>
              <w:rPr>
                <w:spacing w:val="-3"/>
              </w:rPr>
              <w:t>环境现状</w:t>
            </w:r>
          </w:p>
        </w:tc>
        <w:tc>
          <w:tcPr>
            <w:tcW w:w="8507" w:type="dxa"/>
            <w:gridSpan w:val="7"/>
            <w:vAlign w:val="top"/>
          </w:tcPr>
          <w:p w14:paraId="5BB52AF5">
            <w:pPr>
              <w:pStyle w:val="6"/>
              <w:spacing w:before="122" w:line="233" w:lineRule="auto"/>
              <w:ind w:left="118"/>
              <w:rPr>
                <w:sz w:val="24"/>
                <w:szCs w:val="24"/>
              </w:rPr>
            </w:pPr>
            <w:r>
              <w:rPr>
                <w:rFonts w:ascii="Times New Roman" w:hAnsi="Times New Roman" w:eastAsia="Times New Roman" w:cs="Times New Roman"/>
                <w:b/>
                <w:bCs/>
                <w:spacing w:val="-3"/>
                <w:sz w:val="24"/>
                <w:szCs w:val="24"/>
              </w:rPr>
              <w:t>1</w:t>
            </w:r>
            <w:r>
              <w:rPr>
                <w:b/>
                <w:bCs/>
                <w:spacing w:val="-3"/>
                <w:sz w:val="24"/>
                <w:szCs w:val="24"/>
              </w:rPr>
              <w:t>、云南省主体功能区规划</w:t>
            </w:r>
          </w:p>
          <w:p w14:paraId="5E19BDE6">
            <w:pPr>
              <w:pStyle w:val="6"/>
              <w:spacing w:before="166" w:line="365" w:lineRule="auto"/>
              <w:ind w:left="111" w:right="42" w:firstLine="481"/>
              <w:jc w:val="both"/>
              <w:rPr>
                <w:sz w:val="24"/>
                <w:szCs w:val="24"/>
              </w:rPr>
            </w:pPr>
            <w:r>
              <w:rPr>
                <w:spacing w:val="-9"/>
                <w:sz w:val="24"/>
                <w:szCs w:val="24"/>
              </w:rPr>
              <w:t>《云南省主体功能区划》（云政发〔</w:t>
            </w:r>
            <w:r>
              <w:rPr>
                <w:rFonts w:ascii="Times New Roman" w:hAnsi="Times New Roman" w:eastAsia="Times New Roman" w:cs="Times New Roman"/>
                <w:spacing w:val="-9"/>
                <w:sz w:val="24"/>
                <w:szCs w:val="24"/>
              </w:rPr>
              <w:t>2014</w:t>
            </w:r>
            <w:r>
              <w:rPr>
                <w:spacing w:val="-9"/>
                <w:sz w:val="24"/>
                <w:szCs w:val="24"/>
              </w:rPr>
              <w:t>〕</w:t>
            </w:r>
            <w:r>
              <w:rPr>
                <w:rFonts w:ascii="Times New Roman" w:hAnsi="Times New Roman" w:eastAsia="Times New Roman" w:cs="Times New Roman"/>
                <w:spacing w:val="-9"/>
                <w:sz w:val="24"/>
                <w:szCs w:val="24"/>
              </w:rPr>
              <w:t>1</w:t>
            </w:r>
            <w:r>
              <w:rPr>
                <w:rFonts w:ascii="Times New Roman" w:hAnsi="Times New Roman" w:eastAsia="Times New Roman" w:cs="Times New Roman"/>
                <w:spacing w:val="20"/>
                <w:w w:val="101"/>
                <w:sz w:val="24"/>
                <w:szCs w:val="24"/>
              </w:rPr>
              <w:t xml:space="preserve"> </w:t>
            </w:r>
            <w:r>
              <w:rPr>
                <w:spacing w:val="-9"/>
                <w:sz w:val="24"/>
                <w:szCs w:val="24"/>
              </w:rPr>
              <w:t>号文）将云南省国土空间分为重</w:t>
            </w:r>
            <w:r>
              <w:rPr>
                <w:spacing w:val="-3"/>
                <w:sz w:val="24"/>
                <w:szCs w:val="24"/>
              </w:rPr>
              <w:t>点开发区域、限制开发区域和禁止开发区域</w:t>
            </w:r>
            <w:r>
              <w:rPr>
                <w:spacing w:val="-4"/>
                <w:sz w:val="24"/>
                <w:szCs w:val="24"/>
              </w:rPr>
              <w:t>三类。本工程位于会泽县迤车镇、乐</w:t>
            </w:r>
            <w:r>
              <w:rPr>
                <w:spacing w:val="-3"/>
                <w:sz w:val="24"/>
                <w:szCs w:val="24"/>
              </w:rPr>
              <w:t>业镇，属于国家农产品主产区。国家农产品主</w:t>
            </w:r>
            <w:r>
              <w:rPr>
                <w:spacing w:val="-4"/>
                <w:sz w:val="24"/>
                <w:szCs w:val="24"/>
              </w:rPr>
              <w:t>产区功能定位是保障粮食产品和主</w:t>
            </w:r>
            <w:r>
              <w:rPr>
                <w:spacing w:val="-2"/>
                <w:sz w:val="24"/>
                <w:szCs w:val="24"/>
              </w:rPr>
              <w:t>要农产品供给安全的基地，全省农业产业化的重要地区，现代农业的示范基地，</w:t>
            </w:r>
            <w:r>
              <w:rPr>
                <w:spacing w:val="-3"/>
                <w:sz w:val="24"/>
                <w:szCs w:val="24"/>
              </w:rPr>
              <w:t>农村居民安居乐业的美好家园，社会主义新农</w:t>
            </w:r>
            <w:r>
              <w:rPr>
                <w:spacing w:val="-4"/>
                <w:sz w:val="24"/>
                <w:szCs w:val="24"/>
              </w:rPr>
              <w:t>村建设的示范区。农产品主产区要</w:t>
            </w:r>
            <w:r>
              <w:rPr>
                <w:spacing w:val="-8"/>
                <w:sz w:val="24"/>
                <w:szCs w:val="24"/>
              </w:rPr>
              <w:t>以大力发展高原特色农业为重点，切实保护耕地，稳定粮食生产，发</w:t>
            </w:r>
            <w:r>
              <w:rPr>
                <w:spacing w:val="-9"/>
                <w:sz w:val="24"/>
                <w:szCs w:val="24"/>
              </w:rPr>
              <w:t>展现代农业，</w:t>
            </w:r>
            <w:r>
              <w:rPr>
                <w:spacing w:val="-3"/>
                <w:sz w:val="24"/>
                <w:szCs w:val="24"/>
              </w:rPr>
              <w:t>增强农业综合生产能力，增加农民收入，加</w:t>
            </w:r>
            <w:r>
              <w:rPr>
                <w:spacing w:val="-4"/>
                <w:sz w:val="24"/>
                <w:szCs w:val="24"/>
              </w:rPr>
              <w:t>快建设社会主义新农村，有效增强农</w:t>
            </w:r>
            <w:r>
              <w:rPr>
                <w:spacing w:val="-2"/>
                <w:sz w:val="24"/>
                <w:szCs w:val="24"/>
              </w:rPr>
              <w:t>产品供给保障能力，确保国家粮食安全和食品安全。</w:t>
            </w:r>
          </w:p>
          <w:p w14:paraId="436BBD35">
            <w:pPr>
              <w:pStyle w:val="6"/>
              <w:spacing w:line="233" w:lineRule="auto"/>
              <w:ind w:left="108"/>
              <w:rPr>
                <w:sz w:val="24"/>
                <w:szCs w:val="24"/>
              </w:rPr>
            </w:pPr>
            <w:r>
              <w:rPr>
                <w:rFonts w:ascii="Times New Roman" w:hAnsi="Times New Roman" w:eastAsia="Times New Roman" w:cs="Times New Roman"/>
                <w:b/>
                <w:bCs/>
                <w:spacing w:val="-3"/>
                <w:sz w:val="24"/>
                <w:szCs w:val="24"/>
              </w:rPr>
              <w:t>2</w:t>
            </w:r>
            <w:r>
              <w:rPr>
                <w:b/>
                <w:bCs/>
                <w:spacing w:val="-3"/>
                <w:sz w:val="24"/>
                <w:szCs w:val="24"/>
              </w:rPr>
              <w:t>、云南省生态功能区划</w:t>
            </w:r>
          </w:p>
          <w:p w14:paraId="23B8F1A5">
            <w:pPr>
              <w:pStyle w:val="6"/>
              <w:spacing w:before="167" w:line="365" w:lineRule="auto"/>
              <w:ind w:left="113" w:right="52" w:firstLine="478"/>
              <w:jc w:val="both"/>
              <w:rPr>
                <w:sz w:val="24"/>
                <w:szCs w:val="24"/>
              </w:rPr>
            </w:pPr>
            <w:r>
              <w:rPr>
                <w:spacing w:val="-8"/>
                <w:sz w:val="24"/>
                <w:szCs w:val="24"/>
              </w:rPr>
              <w:t>据《云南省生态功能区划》，本项目位于Ⅲ</w:t>
            </w:r>
            <w:r>
              <w:rPr>
                <w:rFonts w:ascii="Times New Roman" w:hAnsi="Times New Roman" w:eastAsia="Times New Roman" w:cs="Times New Roman"/>
                <w:spacing w:val="-9"/>
                <w:sz w:val="24"/>
                <w:szCs w:val="24"/>
              </w:rPr>
              <w:t>4-3</w:t>
            </w:r>
            <w:r>
              <w:rPr>
                <w:rFonts w:ascii="Times New Roman" w:hAnsi="Times New Roman" w:eastAsia="Times New Roman" w:cs="Times New Roman"/>
                <w:spacing w:val="37"/>
                <w:sz w:val="24"/>
                <w:szCs w:val="24"/>
              </w:rPr>
              <w:t xml:space="preserve"> </w:t>
            </w:r>
            <w:r>
              <w:rPr>
                <w:spacing w:val="-9"/>
                <w:sz w:val="24"/>
                <w:szCs w:val="24"/>
              </w:rPr>
              <w:t>以礼河、硝厂河高山深谷水土</w:t>
            </w:r>
            <w:r>
              <w:rPr>
                <w:spacing w:val="-4"/>
                <w:sz w:val="24"/>
                <w:szCs w:val="24"/>
              </w:rPr>
              <w:t>保持生态功能区，主要生态特征是：以石灰岩高山深谷地貌为主，年降雨量北部</w:t>
            </w:r>
            <w:r>
              <w:rPr>
                <w:rFonts w:ascii="Times New Roman" w:hAnsi="Times New Roman" w:eastAsia="Times New Roman" w:cs="Times New Roman"/>
                <w:spacing w:val="-2"/>
                <w:sz w:val="24"/>
                <w:szCs w:val="24"/>
              </w:rPr>
              <w:t>800-900</w:t>
            </w:r>
            <w:r>
              <w:rPr>
                <w:rFonts w:ascii="Times New Roman" w:hAnsi="Times New Roman" w:eastAsia="Times New Roman" w:cs="Times New Roman"/>
                <w:spacing w:val="40"/>
                <w:sz w:val="24"/>
                <w:szCs w:val="24"/>
              </w:rPr>
              <w:t xml:space="preserve"> </w:t>
            </w:r>
            <w:r>
              <w:rPr>
                <w:spacing w:val="-2"/>
                <w:sz w:val="24"/>
                <w:szCs w:val="24"/>
              </w:rPr>
              <w:t>毫米，南部地区</w:t>
            </w:r>
            <w:r>
              <w:rPr>
                <w:spacing w:val="-22"/>
                <w:sz w:val="24"/>
                <w:szCs w:val="24"/>
              </w:rPr>
              <w:t xml:space="preserve"> </w:t>
            </w:r>
            <w:r>
              <w:rPr>
                <w:rFonts w:ascii="Times New Roman" w:hAnsi="Times New Roman" w:eastAsia="Times New Roman" w:cs="Times New Roman"/>
                <w:spacing w:val="-2"/>
                <w:sz w:val="24"/>
                <w:szCs w:val="24"/>
              </w:rPr>
              <w:t>1000-1200</w:t>
            </w:r>
            <w:r>
              <w:rPr>
                <w:rFonts w:ascii="Times New Roman" w:hAnsi="Times New Roman" w:eastAsia="Times New Roman" w:cs="Times New Roman"/>
                <w:spacing w:val="23"/>
                <w:sz w:val="24"/>
                <w:szCs w:val="24"/>
              </w:rPr>
              <w:t xml:space="preserve"> </w:t>
            </w:r>
            <w:r>
              <w:rPr>
                <w:spacing w:val="-2"/>
                <w:sz w:val="24"/>
                <w:szCs w:val="24"/>
              </w:rPr>
              <w:t>毫米，植被主要为云南松林，土壤类型主要</w:t>
            </w:r>
            <w:r>
              <w:rPr>
                <w:spacing w:val="-6"/>
                <w:sz w:val="24"/>
                <w:szCs w:val="24"/>
              </w:rPr>
              <w:t>是红壤和棕壤。该区域的主要生态问题为森林覆盖率低、质量差，</w:t>
            </w:r>
            <w:r>
              <w:rPr>
                <w:spacing w:val="-32"/>
                <w:sz w:val="24"/>
                <w:szCs w:val="24"/>
              </w:rPr>
              <w:t xml:space="preserve"> </w:t>
            </w:r>
            <w:r>
              <w:rPr>
                <w:spacing w:val="-6"/>
                <w:sz w:val="24"/>
                <w:szCs w:val="24"/>
              </w:rPr>
              <w:t>土地退化和水</w:t>
            </w:r>
            <w:r>
              <w:rPr>
                <w:spacing w:val="-4"/>
                <w:sz w:val="24"/>
                <w:szCs w:val="24"/>
              </w:rPr>
              <w:t>土流失严重。主要生态系统服务功能为金沙江下游地带的水土保持。保护措施与</w:t>
            </w:r>
            <w:r>
              <w:rPr>
                <w:spacing w:val="-2"/>
                <w:sz w:val="24"/>
                <w:szCs w:val="24"/>
              </w:rPr>
              <w:t>发展方向为：调整产业结构，严格退耕还林，注意矿产资源开发后的生态保护，</w:t>
            </w:r>
            <w:r>
              <w:rPr>
                <w:spacing w:val="-3"/>
                <w:sz w:val="24"/>
                <w:szCs w:val="24"/>
              </w:rPr>
              <w:t>生态环境严重恶化地区实施生态移民。</w:t>
            </w:r>
          </w:p>
          <w:p w14:paraId="7914940E">
            <w:pPr>
              <w:pStyle w:val="6"/>
              <w:spacing w:line="233" w:lineRule="auto"/>
              <w:ind w:left="106"/>
              <w:rPr>
                <w:sz w:val="24"/>
                <w:szCs w:val="24"/>
              </w:rPr>
            </w:pPr>
            <w:r>
              <w:rPr>
                <w:rFonts w:ascii="Times New Roman" w:hAnsi="Times New Roman" w:eastAsia="Times New Roman" w:cs="Times New Roman"/>
                <w:b/>
                <w:bCs/>
                <w:spacing w:val="-5"/>
                <w:sz w:val="24"/>
                <w:szCs w:val="24"/>
              </w:rPr>
              <w:t>3</w:t>
            </w:r>
            <w:r>
              <w:rPr>
                <w:rFonts w:ascii="Times New Roman" w:hAnsi="Times New Roman" w:eastAsia="Times New Roman" w:cs="Times New Roman"/>
                <w:b/>
                <w:bCs/>
                <w:spacing w:val="-34"/>
                <w:sz w:val="24"/>
                <w:szCs w:val="24"/>
              </w:rPr>
              <w:t xml:space="preserve"> </w:t>
            </w:r>
            <w:r>
              <w:rPr>
                <w:b/>
                <w:bCs/>
                <w:spacing w:val="-5"/>
                <w:sz w:val="24"/>
                <w:szCs w:val="24"/>
              </w:rPr>
              <w:t>、陆生生态现状</w:t>
            </w:r>
          </w:p>
          <w:p w14:paraId="63DCE614">
            <w:pPr>
              <w:pStyle w:val="6"/>
              <w:spacing w:before="172"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）土地利用现状</w:t>
            </w:r>
          </w:p>
          <w:p w14:paraId="5E98D015">
            <w:pPr>
              <w:pStyle w:val="6"/>
              <w:spacing w:before="168" w:line="349" w:lineRule="auto"/>
              <w:ind w:left="111" w:right="110" w:firstLine="482"/>
              <w:jc w:val="both"/>
              <w:rPr>
                <w:sz w:val="24"/>
                <w:szCs w:val="24"/>
              </w:rPr>
            </w:pPr>
            <w:r>
              <w:rPr>
                <w:spacing w:val="-3"/>
                <w:sz w:val="24"/>
                <w:szCs w:val="24"/>
              </w:rPr>
              <w:t>依据《土地利用现状分类》（</w:t>
            </w:r>
            <w:r>
              <w:rPr>
                <w:rFonts w:ascii="Times New Roman" w:hAnsi="Times New Roman" w:eastAsia="Times New Roman" w:cs="Times New Roman"/>
                <w:spacing w:val="-3"/>
                <w:sz w:val="24"/>
                <w:szCs w:val="24"/>
              </w:rPr>
              <w:t>GB/T21010-2017</w:t>
            </w:r>
            <w:r>
              <w:rPr>
                <w:spacing w:val="-19"/>
                <w:sz w:val="24"/>
                <w:szCs w:val="24"/>
              </w:rPr>
              <w:t>），</w:t>
            </w:r>
            <w:r>
              <w:rPr>
                <w:spacing w:val="-3"/>
                <w:sz w:val="24"/>
                <w:szCs w:val="24"/>
              </w:rPr>
              <w:t>在卫星遥感影像解译的基础上，结合实地调查结果，综合分析后对评</w:t>
            </w:r>
            <w:r>
              <w:rPr>
                <w:spacing w:val="-4"/>
                <w:sz w:val="24"/>
                <w:szCs w:val="24"/>
              </w:rPr>
              <w:t>价区土地进行分类，将范围内土地利</w:t>
            </w:r>
            <w:r>
              <w:rPr>
                <w:spacing w:val="-2"/>
                <w:sz w:val="24"/>
                <w:szCs w:val="24"/>
              </w:rPr>
              <w:t>用现状分为耕地、林地、草地、其他土地共</w:t>
            </w:r>
            <w:r>
              <w:rPr>
                <w:spacing w:val="-40"/>
                <w:sz w:val="24"/>
                <w:szCs w:val="24"/>
              </w:rPr>
              <w:t xml:space="preserve"> </w:t>
            </w:r>
            <w:r>
              <w:rPr>
                <w:rFonts w:ascii="Times New Roman" w:hAnsi="Times New Roman" w:eastAsia="Times New Roman" w:cs="Times New Roman"/>
                <w:spacing w:val="-2"/>
                <w:sz w:val="24"/>
                <w:szCs w:val="24"/>
              </w:rPr>
              <w:t xml:space="preserve">4 </w:t>
            </w:r>
            <w:r>
              <w:rPr>
                <w:spacing w:val="-2"/>
                <w:sz w:val="24"/>
                <w:szCs w:val="24"/>
              </w:rPr>
              <w:t>大类。</w:t>
            </w:r>
          </w:p>
          <w:p w14:paraId="1C657C64">
            <w:pPr>
              <w:pStyle w:val="6"/>
              <w:spacing w:before="1" w:line="220" w:lineRule="auto"/>
              <w:ind w:left="2611"/>
            </w:pPr>
            <w:r>
              <w:rPr>
                <w:b/>
                <w:bCs/>
                <w:spacing w:val="-2"/>
              </w:rPr>
              <w:t>表</w:t>
            </w:r>
            <w:r>
              <w:rPr>
                <w:spacing w:val="-37"/>
              </w:rPr>
              <w:t xml:space="preserve"> </w:t>
            </w:r>
            <w:r>
              <w:rPr>
                <w:rFonts w:ascii="Times New Roman" w:hAnsi="Times New Roman" w:eastAsia="Times New Roman" w:cs="Times New Roman"/>
                <w:b/>
                <w:bCs/>
                <w:spacing w:val="-2"/>
              </w:rPr>
              <w:t xml:space="preserve">3-1    </w:t>
            </w:r>
            <w:r>
              <w:rPr>
                <w:b/>
                <w:bCs/>
                <w:spacing w:val="-2"/>
              </w:rPr>
              <w:t>评价区土地利用类型一览表</w:t>
            </w:r>
          </w:p>
        </w:tc>
      </w:tr>
      <w:tr w14:paraId="679751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005618D5">
            <w:pPr>
              <w:rPr>
                <w:rFonts w:ascii="Arial"/>
                <w:sz w:val="21"/>
              </w:rPr>
            </w:pPr>
          </w:p>
        </w:tc>
        <w:tc>
          <w:tcPr>
            <w:tcW w:w="122" w:type="dxa"/>
            <w:tcBorders>
              <w:top w:val="nil"/>
              <w:bottom w:val="nil"/>
            </w:tcBorders>
            <w:vAlign w:val="top"/>
          </w:tcPr>
          <w:p w14:paraId="5CEBA623">
            <w:pPr>
              <w:rPr>
                <w:rFonts w:ascii="Arial"/>
                <w:sz w:val="21"/>
              </w:rPr>
            </w:pPr>
          </w:p>
        </w:tc>
        <w:tc>
          <w:tcPr>
            <w:tcW w:w="720" w:type="dxa"/>
            <w:vAlign w:val="top"/>
          </w:tcPr>
          <w:p w14:paraId="0D16B66F">
            <w:pPr>
              <w:pStyle w:val="6"/>
              <w:spacing w:before="60" w:line="220" w:lineRule="auto"/>
              <w:ind w:left="151"/>
            </w:pPr>
            <w:r>
              <w:rPr>
                <w:b/>
                <w:bCs/>
                <w:spacing w:val="-4"/>
              </w:rPr>
              <w:t>序号</w:t>
            </w:r>
          </w:p>
        </w:tc>
        <w:tc>
          <w:tcPr>
            <w:tcW w:w="1843" w:type="dxa"/>
            <w:vAlign w:val="top"/>
          </w:tcPr>
          <w:p w14:paraId="351C3E8D">
            <w:pPr>
              <w:pStyle w:val="6"/>
              <w:spacing w:before="60" w:line="220" w:lineRule="auto"/>
              <w:ind w:left="612"/>
            </w:pPr>
            <w:r>
              <w:rPr>
                <w:b/>
                <w:bCs/>
                <w:spacing w:val="-5"/>
              </w:rPr>
              <w:t>一级类</w:t>
            </w:r>
          </w:p>
        </w:tc>
        <w:tc>
          <w:tcPr>
            <w:tcW w:w="2226" w:type="dxa"/>
            <w:vAlign w:val="top"/>
          </w:tcPr>
          <w:p w14:paraId="66B33F01">
            <w:pPr>
              <w:pStyle w:val="6"/>
              <w:spacing w:before="60" w:line="220" w:lineRule="auto"/>
              <w:ind w:left="805"/>
            </w:pPr>
            <w:r>
              <w:rPr>
                <w:b/>
                <w:bCs/>
                <w:spacing w:val="-4"/>
              </w:rPr>
              <w:t>二级类</w:t>
            </w:r>
          </w:p>
        </w:tc>
        <w:tc>
          <w:tcPr>
            <w:tcW w:w="1936" w:type="dxa"/>
            <w:vAlign w:val="top"/>
          </w:tcPr>
          <w:p w14:paraId="143C157E">
            <w:pPr>
              <w:pStyle w:val="6"/>
              <w:spacing w:before="60" w:line="220" w:lineRule="auto"/>
              <w:ind w:left="551"/>
              <w:rPr>
                <w:rFonts w:ascii="Times New Roman" w:hAnsi="Times New Roman" w:eastAsia="Times New Roman" w:cs="Times New Roman"/>
                <w:sz w:val="13"/>
                <w:szCs w:val="13"/>
              </w:rPr>
            </w:pPr>
            <w:r>
              <w:rPr>
                <w:b/>
                <w:bCs/>
                <w:spacing w:val="-1"/>
              </w:rPr>
              <w:t>面积</w:t>
            </w:r>
            <w:r>
              <w:rPr>
                <w:rFonts w:ascii="Times New Roman" w:hAnsi="Times New Roman" w:eastAsia="Times New Roman" w:cs="Times New Roman"/>
                <w:b/>
                <w:bCs/>
                <w:spacing w:val="-1"/>
              </w:rPr>
              <w:t>/hm</w:t>
            </w:r>
            <w:r>
              <w:rPr>
                <w:rFonts w:ascii="Times New Roman" w:hAnsi="Times New Roman" w:eastAsia="Times New Roman" w:cs="Times New Roman"/>
                <w:b/>
                <w:bCs/>
                <w:spacing w:val="-1"/>
                <w:position w:val="6"/>
                <w:sz w:val="13"/>
                <w:szCs w:val="13"/>
              </w:rPr>
              <w:t>2</w:t>
            </w:r>
          </w:p>
        </w:tc>
        <w:tc>
          <w:tcPr>
            <w:tcW w:w="1533" w:type="dxa"/>
            <w:vAlign w:val="top"/>
          </w:tcPr>
          <w:p w14:paraId="1F1B6685">
            <w:pPr>
              <w:pStyle w:val="6"/>
              <w:spacing w:before="60" w:line="220" w:lineRule="auto"/>
              <w:ind w:left="329"/>
              <w:rPr>
                <w:rFonts w:ascii="Times New Roman" w:hAnsi="Times New Roman" w:eastAsia="Times New Roman" w:cs="Times New Roman"/>
              </w:rPr>
            </w:pPr>
            <w:r>
              <w:rPr>
                <w:b/>
                <w:bCs/>
                <w:spacing w:val="-4"/>
              </w:rPr>
              <w:t>百分比</w:t>
            </w:r>
            <w:r>
              <w:rPr>
                <w:rFonts w:ascii="Times New Roman" w:hAnsi="Times New Roman" w:eastAsia="Times New Roman" w:cs="Times New Roman"/>
                <w:b/>
                <w:bCs/>
                <w:spacing w:val="-4"/>
              </w:rPr>
              <w:t>/%</w:t>
            </w:r>
          </w:p>
        </w:tc>
        <w:tc>
          <w:tcPr>
            <w:tcW w:w="127" w:type="dxa"/>
            <w:tcBorders>
              <w:top w:val="nil"/>
              <w:bottom w:val="nil"/>
            </w:tcBorders>
            <w:vAlign w:val="top"/>
          </w:tcPr>
          <w:p w14:paraId="4A39D449">
            <w:pPr>
              <w:rPr>
                <w:rFonts w:ascii="Arial"/>
                <w:sz w:val="21"/>
              </w:rPr>
            </w:pPr>
          </w:p>
        </w:tc>
      </w:tr>
      <w:tr w14:paraId="4BB6EA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43125662">
            <w:pPr>
              <w:rPr>
                <w:rFonts w:ascii="Arial"/>
                <w:sz w:val="21"/>
              </w:rPr>
            </w:pPr>
          </w:p>
        </w:tc>
        <w:tc>
          <w:tcPr>
            <w:tcW w:w="122" w:type="dxa"/>
            <w:tcBorders>
              <w:top w:val="nil"/>
              <w:bottom w:val="nil"/>
            </w:tcBorders>
            <w:vAlign w:val="top"/>
          </w:tcPr>
          <w:p w14:paraId="6170AAF2">
            <w:pPr>
              <w:rPr>
                <w:rFonts w:ascii="Arial"/>
                <w:sz w:val="21"/>
              </w:rPr>
            </w:pPr>
          </w:p>
        </w:tc>
        <w:tc>
          <w:tcPr>
            <w:tcW w:w="720" w:type="dxa"/>
            <w:vMerge w:val="restart"/>
            <w:tcBorders>
              <w:bottom w:val="nil"/>
            </w:tcBorders>
            <w:vAlign w:val="top"/>
          </w:tcPr>
          <w:p w14:paraId="35467407">
            <w:pPr>
              <w:spacing w:before="256" w:line="236" w:lineRule="auto"/>
              <w:ind w:left="327"/>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843" w:type="dxa"/>
            <w:vMerge w:val="restart"/>
            <w:tcBorders>
              <w:bottom w:val="nil"/>
            </w:tcBorders>
            <w:vAlign w:val="top"/>
          </w:tcPr>
          <w:p w14:paraId="7A828B29">
            <w:pPr>
              <w:pStyle w:val="6"/>
              <w:spacing w:before="221" w:line="220" w:lineRule="auto"/>
              <w:ind w:left="714"/>
            </w:pPr>
            <w:r>
              <w:rPr>
                <w:spacing w:val="-2"/>
              </w:rPr>
              <w:t>耕地</w:t>
            </w:r>
          </w:p>
        </w:tc>
        <w:tc>
          <w:tcPr>
            <w:tcW w:w="2226" w:type="dxa"/>
            <w:vAlign w:val="top"/>
          </w:tcPr>
          <w:p w14:paraId="30D7A72B">
            <w:pPr>
              <w:pStyle w:val="6"/>
              <w:spacing w:before="57" w:line="221" w:lineRule="auto"/>
              <w:ind w:left="909"/>
            </w:pPr>
            <w:r>
              <w:rPr>
                <w:spacing w:val="-3"/>
              </w:rPr>
              <w:t>水田</w:t>
            </w:r>
          </w:p>
        </w:tc>
        <w:tc>
          <w:tcPr>
            <w:tcW w:w="1936" w:type="dxa"/>
            <w:vAlign w:val="top"/>
          </w:tcPr>
          <w:p w14:paraId="409CFCFF">
            <w:pPr>
              <w:spacing w:before="89" w:line="211" w:lineRule="auto"/>
              <w:ind w:left="780"/>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69.3</w:t>
            </w:r>
          </w:p>
        </w:tc>
        <w:tc>
          <w:tcPr>
            <w:tcW w:w="1533" w:type="dxa"/>
            <w:vAlign w:val="top"/>
          </w:tcPr>
          <w:p w14:paraId="03099D4E">
            <w:pPr>
              <w:spacing w:before="89" w:line="211" w:lineRule="auto"/>
              <w:ind w:left="581"/>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3.20</w:t>
            </w:r>
          </w:p>
        </w:tc>
        <w:tc>
          <w:tcPr>
            <w:tcW w:w="127" w:type="dxa"/>
            <w:tcBorders>
              <w:top w:val="nil"/>
              <w:bottom w:val="nil"/>
            </w:tcBorders>
            <w:vAlign w:val="top"/>
          </w:tcPr>
          <w:p w14:paraId="1641F2F7">
            <w:pPr>
              <w:rPr>
                <w:rFonts w:ascii="Arial"/>
                <w:sz w:val="21"/>
              </w:rPr>
            </w:pPr>
          </w:p>
        </w:tc>
      </w:tr>
      <w:tr w14:paraId="67D253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DF98952">
            <w:pPr>
              <w:rPr>
                <w:rFonts w:ascii="Arial"/>
                <w:sz w:val="21"/>
              </w:rPr>
            </w:pPr>
          </w:p>
        </w:tc>
        <w:tc>
          <w:tcPr>
            <w:tcW w:w="122" w:type="dxa"/>
            <w:tcBorders>
              <w:top w:val="nil"/>
              <w:bottom w:val="nil"/>
            </w:tcBorders>
            <w:vAlign w:val="top"/>
          </w:tcPr>
          <w:p w14:paraId="729DBF43">
            <w:pPr>
              <w:rPr>
                <w:rFonts w:ascii="Arial"/>
                <w:sz w:val="21"/>
              </w:rPr>
            </w:pPr>
          </w:p>
        </w:tc>
        <w:tc>
          <w:tcPr>
            <w:tcW w:w="720" w:type="dxa"/>
            <w:vMerge w:val="continue"/>
            <w:tcBorders>
              <w:top w:val="nil"/>
            </w:tcBorders>
            <w:vAlign w:val="top"/>
          </w:tcPr>
          <w:p w14:paraId="112F1F62">
            <w:pPr>
              <w:rPr>
                <w:rFonts w:ascii="Arial"/>
                <w:sz w:val="21"/>
              </w:rPr>
            </w:pPr>
          </w:p>
        </w:tc>
        <w:tc>
          <w:tcPr>
            <w:tcW w:w="1843" w:type="dxa"/>
            <w:vMerge w:val="continue"/>
            <w:tcBorders>
              <w:top w:val="nil"/>
            </w:tcBorders>
            <w:vAlign w:val="top"/>
          </w:tcPr>
          <w:p w14:paraId="4D0FA325">
            <w:pPr>
              <w:rPr>
                <w:rFonts w:ascii="Arial"/>
                <w:sz w:val="21"/>
              </w:rPr>
            </w:pPr>
          </w:p>
        </w:tc>
        <w:tc>
          <w:tcPr>
            <w:tcW w:w="2226" w:type="dxa"/>
            <w:vAlign w:val="top"/>
          </w:tcPr>
          <w:p w14:paraId="3CF88C3B">
            <w:pPr>
              <w:pStyle w:val="6"/>
              <w:spacing w:before="57" w:line="222" w:lineRule="auto"/>
              <w:ind w:left="909"/>
            </w:pPr>
            <w:r>
              <w:rPr>
                <w:spacing w:val="-3"/>
              </w:rPr>
              <w:t>旱地</w:t>
            </w:r>
          </w:p>
        </w:tc>
        <w:tc>
          <w:tcPr>
            <w:tcW w:w="1936" w:type="dxa"/>
            <w:vAlign w:val="top"/>
          </w:tcPr>
          <w:p w14:paraId="1759AE16">
            <w:pPr>
              <w:spacing w:before="88" w:line="211" w:lineRule="auto"/>
              <w:ind w:left="664"/>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239.76</w:t>
            </w:r>
          </w:p>
        </w:tc>
        <w:tc>
          <w:tcPr>
            <w:tcW w:w="1533" w:type="dxa"/>
            <w:vAlign w:val="top"/>
          </w:tcPr>
          <w:p w14:paraId="6A094AA0">
            <w:pPr>
              <w:spacing w:before="88" w:line="211" w:lineRule="auto"/>
              <w:ind w:left="543"/>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11.09</w:t>
            </w:r>
          </w:p>
        </w:tc>
        <w:tc>
          <w:tcPr>
            <w:tcW w:w="127" w:type="dxa"/>
            <w:tcBorders>
              <w:top w:val="nil"/>
              <w:bottom w:val="nil"/>
            </w:tcBorders>
            <w:vAlign w:val="top"/>
          </w:tcPr>
          <w:p w14:paraId="6ACA0DB6">
            <w:pPr>
              <w:rPr>
                <w:rFonts w:ascii="Arial"/>
                <w:sz w:val="21"/>
              </w:rPr>
            </w:pPr>
          </w:p>
        </w:tc>
      </w:tr>
      <w:tr w14:paraId="1434F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03D4D7AC">
            <w:pPr>
              <w:rPr>
                <w:rFonts w:ascii="Arial"/>
                <w:sz w:val="21"/>
              </w:rPr>
            </w:pPr>
          </w:p>
        </w:tc>
        <w:tc>
          <w:tcPr>
            <w:tcW w:w="122" w:type="dxa"/>
            <w:tcBorders>
              <w:top w:val="nil"/>
              <w:bottom w:val="nil"/>
            </w:tcBorders>
            <w:vAlign w:val="top"/>
          </w:tcPr>
          <w:p w14:paraId="1225B3CF">
            <w:pPr>
              <w:rPr>
                <w:rFonts w:ascii="Arial"/>
                <w:sz w:val="21"/>
              </w:rPr>
            </w:pPr>
          </w:p>
        </w:tc>
        <w:tc>
          <w:tcPr>
            <w:tcW w:w="720" w:type="dxa"/>
            <w:vMerge w:val="restart"/>
            <w:tcBorders>
              <w:bottom w:val="nil"/>
            </w:tcBorders>
            <w:vAlign w:val="top"/>
          </w:tcPr>
          <w:p w14:paraId="1620B726">
            <w:pPr>
              <w:spacing w:before="256" w:line="236" w:lineRule="auto"/>
              <w:ind w:left="307"/>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843" w:type="dxa"/>
            <w:vMerge w:val="restart"/>
            <w:tcBorders>
              <w:bottom w:val="nil"/>
            </w:tcBorders>
            <w:vAlign w:val="top"/>
          </w:tcPr>
          <w:p w14:paraId="1DA205BB">
            <w:pPr>
              <w:pStyle w:val="6"/>
              <w:spacing w:before="220" w:line="221" w:lineRule="auto"/>
              <w:ind w:left="715"/>
            </w:pPr>
            <w:r>
              <w:rPr>
                <w:spacing w:val="-2"/>
              </w:rPr>
              <w:t>林地</w:t>
            </w:r>
          </w:p>
        </w:tc>
        <w:tc>
          <w:tcPr>
            <w:tcW w:w="2226" w:type="dxa"/>
            <w:vAlign w:val="top"/>
          </w:tcPr>
          <w:p w14:paraId="3FAD0017">
            <w:pPr>
              <w:pStyle w:val="6"/>
              <w:spacing w:before="57" w:line="221" w:lineRule="auto"/>
              <w:ind w:left="699"/>
            </w:pPr>
            <w:r>
              <w:rPr>
                <w:spacing w:val="-2"/>
              </w:rPr>
              <w:t>乔木林地</w:t>
            </w:r>
          </w:p>
        </w:tc>
        <w:tc>
          <w:tcPr>
            <w:tcW w:w="1936" w:type="dxa"/>
            <w:vAlign w:val="top"/>
          </w:tcPr>
          <w:p w14:paraId="3DDCA2EE">
            <w:pPr>
              <w:spacing w:before="88" w:line="211" w:lineRule="auto"/>
              <w:ind w:left="686"/>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126.99</w:t>
            </w:r>
          </w:p>
        </w:tc>
        <w:tc>
          <w:tcPr>
            <w:tcW w:w="1533" w:type="dxa"/>
            <w:vAlign w:val="top"/>
          </w:tcPr>
          <w:p w14:paraId="2B69FF38">
            <w:pPr>
              <w:spacing w:before="88" w:line="211" w:lineRule="auto"/>
              <w:ind w:left="583"/>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5.88</w:t>
            </w:r>
          </w:p>
        </w:tc>
        <w:tc>
          <w:tcPr>
            <w:tcW w:w="127" w:type="dxa"/>
            <w:tcBorders>
              <w:top w:val="nil"/>
              <w:bottom w:val="nil"/>
            </w:tcBorders>
            <w:vAlign w:val="top"/>
          </w:tcPr>
          <w:p w14:paraId="3C1DB141">
            <w:pPr>
              <w:rPr>
                <w:rFonts w:ascii="Arial"/>
                <w:sz w:val="21"/>
              </w:rPr>
            </w:pPr>
          </w:p>
        </w:tc>
      </w:tr>
      <w:tr w14:paraId="79C804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5CC26CE3">
            <w:pPr>
              <w:rPr>
                <w:rFonts w:ascii="Arial"/>
                <w:sz w:val="21"/>
              </w:rPr>
            </w:pPr>
          </w:p>
        </w:tc>
        <w:tc>
          <w:tcPr>
            <w:tcW w:w="122" w:type="dxa"/>
            <w:tcBorders>
              <w:top w:val="nil"/>
              <w:bottom w:val="nil"/>
            </w:tcBorders>
            <w:vAlign w:val="top"/>
          </w:tcPr>
          <w:p w14:paraId="2DD3C1BB">
            <w:pPr>
              <w:rPr>
                <w:rFonts w:ascii="Arial"/>
                <w:sz w:val="21"/>
              </w:rPr>
            </w:pPr>
          </w:p>
        </w:tc>
        <w:tc>
          <w:tcPr>
            <w:tcW w:w="720" w:type="dxa"/>
            <w:vMerge w:val="continue"/>
            <w:tcBorders>
              <w:top w:val="nil"/>
            </w:tcBorders>
            <w:vAlign w:val="top"/>
          </w:tcPr>
          <w:p w14:paraId="1DC3623C">
            <w:pPr>
              <w:rPr>
                <w:rFonts w:ascii="Arial"/>
                <w:sz w:val="21"/>
              </w:rPr>
            </w:pPr>
          </w:p>
        </w:tc>
        <w:tc>
          <w:tcPr>
            <w:tcW w:w="1843" w:type="dxa"/>
            <w:vMerge w:val="continue"/>
            <w:tcBorders>
              <w:top w:val="nil"/>
            </w:tcBorders>
            <w:vAlign w:val="top"/>
          </w:tcPr>
          <w:p w14:paraId="7395628A">
            <w:pPr>
              <w:rPr>
                <w:rFonts w:ascii="Arial"/>
                <w:sz w:val="21"/>
              </w:rPr>
            </w:pPr>
          </w:p>
        </w:tc>
        <w:tc>
          <w:tcPr>
            <w:tcW w:w="2226" w:type="dxa"/>
            <w:vAlign w:val="top"/>
          </w:tcPr>
          <w:p w14:paraId="5290E5E2">
            <w:pPr>
              <w:pStyle w:val="6"/>
              <w:spacing w:before="58" w:line="221" w:lineRule="auto"/>
              <w:ind w:left="700"/>
            </w:pPr>
            <w:r>
              <w:rPr>
                <w:spacing w:val="-2"/>
              </w:rPr>
              <w:t>灌木林地</w:t>
            </w:r>
          </w:p>
        </w:tc>
        <w:tc>
          <w:tcPr>
            <w:tcW w:w="1936" w:type="dxa"/>
            <w:vAlign w:val="top"/>
          </w:tcPr>
          <w:p w14:paraId="2C217C17">
            <w:pPr>
              <w:spacing w:before="89" w:line="210" w:lineRule="auto"/>
              <w:ind w:left="663"/>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444.87</w:t>
            </w:r>
          </w:p>
        </w:tc>
        <w:tc>
          <w:tcPr>
            <w:tcW w:w="1533" w:type="dxa"/>
            <w:vAlign w:val="top"/>
          </w:tcPr>
          <w:p w14:paraId="2580E7BE">
            <w:pPr>
              <w:spacing w:before="89" w:line="210" w:lineRule="auto"/>
              <w:ind w:left="522"/>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20.57</w:t>
            </w:r>
          </w:p>
        </w:tc>
        <w:tc>
          <w:tcPr>
            <w:tcW w:w="127" w:type="dxa"/>
            <w:tcBorders>
              <w:top w:val="nil"/>
              <w:bottom w:val="nil"/>
            </w:tcBorders>
            <w:vAlign w:val="top"/>
          </w:tcPr>
          <w:p w14:paraId="7044D8D9">
            <w:pPr>
              <w:rPr>
                <w:rFonts w:ascii="Arial"/>
                <w:sz w:val="21"/>
              </w:rPr>
            </w:pPr>
          </w:p>
        </w:tc>
      </w:tr>
      <w:tr w14:paraId="48DB9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71" w:type="dxa"/>
            <w:vMerge w:val="continue"/>
            <w:tcBorders>
              <w:top w:val="nil"/>
            </w:tcBorders>
            <w:vAlign w:val="top"/>
          </w:tcPr>
          <w:p w14:paraId="37935E3D">
            <w:pPr>
              <w:rPr>
                <w:rFonts w:ascii="Arial"/>
                <w:sz w:val="21"/>
              </w:rPr>
            </w:pPr>
          </w:p>
        </w:tc>
        <w:tc>
          <w:tcPr>
            <w:tcW w:w="122" w:type="dxa"/>
            <w:tcBorders>
              <w:top w:val="nil"/>
            </w:tcBorders>
            <w:vAlign w:val="top"/>
          </w:tcPr>
          <w:p w14:paraId="37B23BF4">
            <w:pPr>
              <w:rPr>
                <w:rFonts w:ascii="Arial"/>
                <w:sz w:val="21"/>
              </w:rPr>
            </w:pPr>
          </w:p>
        </w:tc>
        <w:tc>
          <w:tcPr>
            <w:tcW w:w="720" w:type="dxa"/>
            <w:vAlign w:val="top"/>
          </w:tcPr>
          <w:p w14:paraId="7AC02B3D">
            <w:pPr>
              <w:spacing w:before="93" w:line="231" w:lineRule="auto"/>
              <w:ind w:left="311"/>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843" w:type="dxa"/>
            <w:vAlign w:val="top"/>
          </w:tcPr>
          <w:p w14:paraId="155098C4">
            <w:pPr>
              <w:pStyle w:val="6"/>
              <w:spacing w:before="58" w:line="221" w:lineRule="auto"/>
              <w:ind w:left="716"/>
            </w:pPr>
            <w:r>
              <w:rPr>
                <w:spacing w:val="-2"/>
              </w:rPr>
              <w:t>草地</w:t>
            </w:r>
          </w:p>
        </w:tc>
        <w:tc>
          <w:tcPr>
            <w:tcW w:w="2226" w:type="dxa"/>
            <w:vAlign w:val="top"/>
          </w:tcPr>
          <w:p w14:paraId="7FA0C1F5">
            <w:pPr>
              <w:pStyle w:val="6"/>
              <w:spacing w:before="58" w:line="221" w:lineRule="auto"/>
              <w:ind w:left="699"/>
            </w:pPr>
            <w:r>
              <w:rPr>
                <w:spacing w:val="-2"/>
              </w:rPr>
              <w:t>其他草地</w:t>
            </w:r>
          </w:p>
        </w:tc>
        <w:tc>
          <w:tcPr>
            <w:tcW w:w="1936" w:type="dxa"/>
            <w:vAlign w:val="top"/>
          </w:tcPr>
          <w:p w14:paraId="56FBBB61">
            <w:pPr>
              <w:spacing w:before="89" w:line="224" w:lineRule="auto"/>
              <w:ind w:left="630"/>
              <w:rPr>
                <w:rFonts w:ascii="Times New Roman" w:hAnsi="Times New Roman" w:eastAsia="Times New Roman" w:cs="Times New Roman"/>
                <w:sz w:val="22"/>
                <w:szCs w:val="22"/>
              </w:rPr>
            </w:pPr>
            <w:r>
              <w:rPr>
                <w:rFonts w:ascii="Times New Roman" w:hAnsi="Times New Roman" w:eastAsia="Times New Roman" w:cs="Times New Roman"/>
                <w:spacing w:val="-3"/>
                <w:sz w:val="22"/>
                <w:szCs w:val="22"/>
              </w:rPr>
              <w:t>1278.81</w:t>
            </w:r>
          </w:p>
        </w:tc>
        <w:tc>
          <w:tcPr>
            <w:tcW w:w="1533" w:type="dxa"/>
            <w:vAlign w:val="top"/>
          </w:tcPr>
          <w:p w14:paraId="40F1D4B6">
            <w:pPr>
              <w:spacing w:before="89" w:line="224" w:lineRule="auto"/>
              <w:ind w:left="528"/>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59.14</w:t>
            </w:r>
          </w:p>
        </w:tc>
        <w:tc>
          <w:tcPr>
            <w:tcW w:w="127" w:type="dxa"/>
            <w:tcBorders>
              <w:top w:val="nil"/>
            </w:tcBorders>
            <w:vAlign w:val="top"/>
          </w:tcPr>
          <w:p w14:paraId="2441E31C">
            <w:pPr>
              <w:rPr>
                <w:rFonts w:ascii="Arial"/>
                <w:sz w:val="21"/>
              </w:rPr>
            </w:pPr>
          </w:p>
        </w:tc>
      </w:tr>
    </w:tbl>
    <w:p w14:paraId="3DB1A242">
      <w:pPr>
        <w:rPr>
          <w:rFonts w:ascii="Arial"/>
          <w:sz w:val="21"/>
        </w:rPr>
      </w:pPr>
    </w:p>
    <w:p w14:paraId="6D3FE7DE">
      <w:pPr>
        <w:rPr>
          <w:rFonts w:ascii="Arial" w:hAnsi="Arial" w:eastAsia="Arial" w:cs="Arial"/>
          <w:sz w:val="21"/>
          <w:szCs w:val="21"/>
        </w:rPr>
        <w:sectPr>
          <w:footerReference r:id="rId52" w:type="default"/>
          <w:pgSz w:w="11907" w:h="16841"/>
          <w:pgMar w:top="400" w:right="1408" w:bottom="1126" w:left="1414" w:header="0" w:footer="925" w:gutter="0"/>
          <w:cols w:space="720" w:num="1"/>
        </w:sectPr>
      </w:pPr>
    </w:p>
    <w:p w14:paraId="04B26A8E">
      <w:pPr>
        <w:spacing w:before="2"/>
      </w:pPr>
    </w:p>
    <w:p w14:paraId="25B0690B">
      <w:pPr>
        <w:spacing w:before="2"/>
      </w:pPr>
    </w:p>
    <w:p w14:paraId="669C9BC7">
      <w:pPr>
        <w:spacing w:before="1"/>
      </w:pPr>
    </w:p>
    <w:p w14:paraId="610F41A4">
      <w:pPr>
        <w:spacing w:before="1"/>
      </w:pPr>
    </w:p>
    <w:p w14:paraId="20540214">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22"/>
        <w:gridCol w:w="720"/>
        <w:gridCol w:w="1843"/>
        <w:gridCol w:w="2226"/>
        <w:gridCol w:w="1936"/>
        <w:gridCol w:w="1533"/>
        <w:gridCol w:w="127"/>
      </w:tblGrid>
      <w:tr w14:paraId="64EE5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571" w:type="dxa"/>
            <w:vMerge w:val="restart"/>
            <w:tcBorders>
              <w:bottom w:val="nil"/>
            </w:tcBorders>
            <w:vAlign w:val="top"/>
          </w:tcPr>
          <w:p w14:paraId="22737B5D">
            <w:pPr>
              <w:rPr>
                <w:rFonts w:ascii="Arial"/>
                <w:sz w:val="21"/>
              </w:rPr>
            </w:pPr>
          </w:p>
        </w:tc>
        <w:tc>
          <w:tcPr>
            <w:tcW w:w="842" w:type="dxa"/>
            <w:gridSpan w:val="2"/>
            <w:vAlign w:val="top"/>
          </w:tcPr>
          <w:p w14:paraId="7B1EF1E2">
            <w:pPr>
              <w:spacing w:before="16"/>
              <w:ind w:left="112"/>
              <w:rPr>
                <w:rFonts w:ascii="Times New Roman" w:hAnsi="Times New Roman" w:eastAsia="Times New Roman" w:cs="Times New Roman"/>
                <w:sz w:val="21"/>
                <w:szCs w:val="21"/>
              </w:rPr>
            </w:pPr>
            <w:r>
              <w:rPr>
                <w:rFonts w:ascii="Times New Roman" w:hAnsi="Times New Roman" w:eastAsia="Times New Roman" w:cs="Times New Roman"/>
                <w:position w:val="-5"/>
                <w:sz w:val="21"/>
                <w:szCs w:val="21"/>
              </w:rPr>
              <w:drawing>
                <wp:inline distT="0" distB="0" distL="0" distR="0">
                  <wp:extent cx="5715" cy="19621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218"/>
                          <a:stretch>
                            <a:fillRect/>
                          </a:stretch>
                        </pic:blipFill>
                        <pic:spPr>
                          <a:xfrm>
                            <a:off x="0" y="0"/>
                            <a:ext cx="6096" cy="196520"/>
                          </a:xfrm>
                          <a:prstGeom prst="rect">
                            <a:avLst/>
                          </a:prstGeom>
                        </pic:spPr>
                      </pic:pic>
                    </a:graphicData>
                  </a:graphic>
                </wp:inline>
              </w:drawing>
            </w:r>
            <w:r>
              <w:rPr>
                <w:rFonts w:ascii="Times New Roman" w:hAnsi="Times New Roman" w:eastAsia="Times New Roman" w:cs="Times New Roman"/>
                <w:spacing w:val="8"/>
                <w:sz w:val="21"/>
                <w:szCs w:val="21"/>
              </w:rPr>
              <w:t xml:space="preserve">     </w:t>
            </w:r>
            <w:r>
              <w:rPr>
                <w:rFonts w:ascii="Times New Roman" w:hAnsi="Times New Roman" w:eastAsia="Times New Roman" w:cs="Times New Roman"/>
                <w:sz w:val="21"/>
                <w:szCs w:val="21"/>
              </w:rPr>
              <w:t>4</w:t>
            </w:r>
          </w:p>
        </w:tc>
        <w:tc>
          <w:tcPr>
            <w:tcW w:w="1843" w:type="dxa"/>
            <w:vAlign w:val="top"/>
          </w:tcPr>
          <w:p w14:paraId="3A7B65A0">
            <w:pPr>
              <w:pStyle w:val="6"/>
              <w:spacing w:before="71" w:line="221" w:lineRule="auto"/>
              <w:ind w:left="506"/>
            </w:pPr>
            <w:r>
              <w:rPr>
                <w:spacing w:val="-2"/>
              </w:rPr>
              <w:t>其他土地</w:t>
            </w:r>
          </w:p>
        </w:tc>
        <w:tc>
          <w:tcPr>
            <w:tcW w:w="2226" w:type="dxa"/>
            <w:vAlign w:val="top"/>
          </w:tcPr>
          <w:p w14:paraId="28ACAF7C">
            <w:pPr>
              <w:pStyle w:val="6"/>
              <w:spacing w:before="70" w:line="220" w:lineRule="auto"/>
              <w:ind w:left="592"/>
            </w:pPr>
            <w:r>
              <w:rPr>
                <w:spacing w:val="-1"/>
              </w:rPr>
              <w:t>农村宅基地</w:t>
            </w:r>
          </w:p>
        </w:tc>
        <w:tc>
          <w:tcPr>
            <w:tcW w:w="1936" w:type="dxa"/>
            <w:vAlign w:val="top"/>
          </w:tcPr>
          <w:p w14:paraId="2FBA6B9A">
            <w:pPr>
              <w:spacing w:before="101" w:line="213" w:lineRule="auto"/>
              <w:ind w:left="775"/>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2.52</w:t>
            </w:r>
          </w:p>
        </w:tc>
        <w:tc>
          <w:tcPr>
            <w:tcW w:w="1660" w:type="dxa"/>
            <w:gridSpan w:val="2"/>
            <w:vAlign w:val="top"/>
          </w:tcPr>
          <w:p w14:paraId="598220A4">
            <w:pPr>
              <w:spacing w:before="16" w:line="233" w:lineRule="auto"/>
              <w:ind w:left="580"/>
              <w:rPr>
                <w:sz w:val="22"/>
                <w:szCs w:val="22"/>
              </w:rPr>
            </w:pPr>
            <w:r>
              <w:rPr>
                <w:rFonts w:ascii="Times New Roman" w:hAnsi="Times New Roman" w:eastAsia="Times New Roman" w:cs="Times New Roman"/>
                <w:spacing w:val="-2"/>
                <w:sz w:val="22"/>
                <w:szCs w:val="22"/>
              </w:rPr>
              <w:t>0.12</w:t>
            </w:r>
            <w:r>
              <w:rPr>
                <w:rFonts w:ascii="Times New Roman" w:hAnsi="Times New Roman" w:eastAsia="Times New Roman" w:cs="Times New Roman"/>
                <w:spacing w:val="1"/>
                <w:sz w:val="22"/>
                <w:szCs w:val="22"/>
              </w:rPr>
              <w:t xml:space="preserve">          </w:t>
            </w:r>
            <w:r>
              <w:rPr>
                <w:position w:val="-4"/>
                <w:sz w:val="22"/>
                <w:szCs w:val="22"/>
              </w:rPr>
              <w:drawing>
                <wp:inline distT="0" distB="0" distL="0" distR="0">
                  <wp:extent cx="5715" cy="19621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219"/>
                          <a:stretch>
                            <a:fillRect/>
                          </a:stretch>
                        </pic:blipFill>
                        <pic:spPr>
                          <a:xfrm>
                            <a:off x="0" y="0"/>
                            <a:ext cx="6095" cy="196520"/>
                          </a:xfrm>
                          <a:prstGeom prst="rect">
                            <a:avLst/>
                          </a:prstGeom>
                        </pic:spPr>
                      </pic:pic>
                    </a:graphicData>
                  </a:graphic>
                </wp:inline>
              </w:drawing>
            </w:r>
          </w:p>
        </w:tc>
      </w:tr>
      <w:tr w14:paraId="7029B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22CBDE0A">
            <w:pPr>
              <w:rPr>
                <w:rFonts w:ascii="Arial"/>
                <w:sz w:val="21"/>
              </w:rPr>
            </w:pPr>
          </w:p>
        </w:tc>
        <w:tc>
          <w:tcPr>
            <w:tcW w:w="122" w:type="dxa"/>
            <w:tcBorders>
              <w:right w:val="single" w:color="000000" w:sz="8" w:space="0"/>
            </w:tcBorders>
            <w:vAlign w:val="top"/>
          </w:tcPr>
          <w:p w14:paraId="17563DDA">
            <w:pPr>
              <w:rPr>
                <w:rFonts w:ascii="Arial"/>
                <w:sz w:val="21"/>
              </w:rPr>
            </w:pPr>
          </w:p>
        </w:tc>
        <w:tc>
          <w:tcPr>
            <w:tcW w:w="4789" w:type="dxa"/>
            <w:gridSpan w:val="3"/>
            <w:tcBorders>
              <w:left w:val="single" w:color="000000" w:sz="8" w:space="0"/>
            </w:tcBorders>
            <w:vAlign w:val="top"/>
          </w:tcPr>
          <w:p w14:paraId="7897D2B3">
            <w:pPr>
              <w:pStyle w:val="6"/>
              <w:spacing w:before="53" w:line="222" w:lineRule="auto"/>
              <w:ind w:left="2181"/>
            </w:pPr>
            <w:r>
              <w:rPr>
                <w:spacing w:val="-2"/>
              </w:rPr>
              <w:t>合计</w:t>
            </w:r>
          </w:p>
        </w:tc>
        <w:tc>
          <w:tcPr>
            <w:tcW w:w="1936" w:type="dxa"/>
            <w:vAlign w:val="top"/>
          </w:tcPr>
          <w:p w14:paraId="1CF7DF3E">
            <w:pPr>
              <w:spacing w:before="88" w:line="221" w:lineRule="auto"/>
              <w:ind w:left="62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2162.25</w:t>
            </w:r>
          </w:p>
        </w:tc>
        <w:tc>
          <w:tcPr>
            <w:tcW w:w="1533" w:type="dxa"/>
            <w:tcBorders>
              <w:right w:val="single" w:color="000000" w:sz="8" w:space="0"/>
            </w:tcBorders>
            <w:vAlign w:val="top"/>
          </w:tcPr>
          <w:p w14:paraId="54E1FA89">
            <w:pPr>
              <w:spacing w:before="88" w:line="221" w:lineRule="auto"/>
              <w:ind w:left="49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100.00</w:t>
            </w:r>
          </w:p>
        </w:tc>
        <w:tc>
          <w:tcPr>
            <w:tcW w:w="127" w:type="dxa"/>
            <w:tcBorders>
              <w:left w:val="single" w:color="000000" w:sz="8" w:space="0"/>
            </w:tcBorders>
            <w:vAlign w:val="top"/>
          </w:tcPr>
          <w:p w14:paraId="50BB9D91">
            <w:pPr>
              <w:rPr>
                <w:rFonts w:ascii="Arial"/>
                <w:sz w:val="21"/>
              </w:rPr>
            </w:pPr>
          </w:p>
        </w:tc>
      </w:tr>
      <w:tr w14:paraId="315ADA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05" w:hRule="atLeast"/>
        </w:trPr>
        <w:tc>
          <w:tcPr>
            <w:tcW w:w="571" w:type="dxa"/>
            <w:vMerge w:val="continue"/>
            <w:tcBorders>
              <w:top w:val="nil"/>
            </w:tcBorders>
            <w:vAlign w:val="top"/>
          </w:tcPr>
          <w:p w14:paraId="5F384B82">
            <w:pPr>
              <w:rPr>
                <w:rFonts w:ascii="Arial"/>
                <w:sz w:val="21"/>
              </w:rPr>
            </w:pPr>
          </w:p>
        </w:tc>
        <w:tc>
          <w:tcPr>
            <w:tcW w:w="8507" w:type="dxa"/>
            <w:gridSpan w:val="7"/>
            <w:vAlign w:val="top"/>
          </w:tcPr>
          <w:p w14:paraId="1A201DF9">
            <w:pPr>
              <w:pStyle w:val="6"/>
              <w:spacing w:before="118" w:line="360" w:lineRule="auto"/>
              <w:ind w:left="112" w:right="67" w:firstLine="480"/>
              <w:jc w:val="both"/>
              <w:rPr>
                <w:sz w:val="24"/>
                <w:szCs w:val="24"/>
              </w:rPr>
            </w:pPr>
            <w:r>
              <w:rPr>
                <w:spacing w:val="-3"/>
                <w:sz w:val="24"/>
                <w:szCs w:val="24"/>
              </w:rPr>
              <w:t>其中草地面积最大，为</w:t>
            </w:r>
            <w:r>
              <w:rPr>
                <w:spacing w:val="-13"/>
                <w:sz w:val="24"/>
                <w:szCs w:val="24"/>
              </w:rPr>
              <w:t xml:space="preserve"> </w:t>
            </w:r>
            <w:r>
              <w:rPr>
                <w:rFonts w:ascii="Times New Roman" w:hAnsi="Times New Roman" w:eastAsia="Times New Roman" w:cs="Times New Roman"/>
                <w:spacing w:val="-3"/>
                <w:sz w:val="24"/>
                <w:szCs w:val="24"/>
              </w:rPr>
              <w:t>1278.81hm</w:t>
            </w:r>
            <w:r>
              <w:rPr>
                <w:rFonts w:ascii="Times New Roman" w:hAnsi="Times New Roman" w:eastAsia="Times New Roman" w:cs="Times New Roman"/>
                <w:spacing w:val="-3"/>
                <w:position w:val="9"/>
                <w:sz w:val="16"/>
                <w:szCs w:val="16"/>
              </w:rPr>
              <w:t>2</w:t>
            </w:r>
            <w:r>
              <w:rPr>
                <w:spacing w:val="-3"/>
                <w:sz w:val="24"/>
                <w:szCs w:val="24"/>
              </w:rPr>
              <w:t xml:space="preserve">，占评价区总面积的 </w:t>
            </w:r>
            <w:r>
              <w:rPr>
                <w:rFonts w:ascii="Times New Roman" w:hAnsi="Times New Roman" w:eastAsia="Times New Roman" w:cs="Times New Roman"/>
                <w:spacing w:val="-3"/>
                <w:sz w:val="24"/>
                <w:szCs w:val="24"/>
              </w:rPr>
              <w:t>59.</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3"/>
                <w:sz w:val="24"/>
                <w:szCs w:val="24"/>
              </w:rPr>
              <w:t>14%</w:t>
            </w:r>
            <w:r>
              <w:rPr>
                <w:spacing w:val="-3"/>
                <w:sz w:val="24"/>
                <w:szCs w:val="24"/>
              </w:rPr>
              <w:t>；其次为林</w:t>
            </w:r>
            <w:r>
              <w:rPr>
                <w:spacing w:val="-2"/>
                <w:sz w:val="24"/>
                <w:szCs w:val="24"/>
              </w:rPr>
              <w:t>地，总面积为</w:t>
            </w:r>
            <w:r>
              <w:rPr>
                <w:spacing w:val="-48"/>
                <w:sz w:val="24"/>
                <w:szCs w:val="24"/>
              </w:rPr>
              <w:t xml:space="preserve"> </w:t>
            </w:r>
            <w:r>
              <w:rPr>
                <w:rFonts w:ascii="Times New Roman" w:hAnsi="Times New Roman" w:eastAsia="Times New Roman" w:cs="Times New Roman"/>
                <w:spacing w:val="-2"/>
                <w:sz w:val="24"/>
                <w:szCs w:val="24"/>
              </w:rPr>
              <w:t>571.86hm</w:t>
            </w:r>
            <w:r>
              <w:rPr>
                <w:rFonts w:ascii="Times New Roman" w:hAnsi="Times New Roman" w:eastAsia="Times New Roman" w:cs="Times New Roman"/>
                <w:spacing w:val="-2"/>
                <w:position w:val="9"/>
                <w:sz w:val="16"/>
                <w:szCs w:val="16"/>
              </w:rPr>
              <w:t>2</w:t>
            </w:r>
            <w:r>
              <w:rPr>
                <w:spacing w:val="-2"/>
                <w:sz w:val="24"/>
                <w:szCs w:val="24"/>
              </w:rPr>
              <w:t>，包括乔木林、灌木林地，占评价区总面积的</w:t>
            </w:r>
            <w:r>
              <w:rPr>
                <w:spacing w:val="-54"/>
                <w:sz w:val="24"/>
                <w:szCs w:val="24"/>
              </w:rPr>
              <w:t xml:space="preserve"> </w:t>
            </w:r>
            <w:r>
              <w:rPr>
                <w:rFonts w:ascii="Times New Roman" w:hAnsi="Times New Roman" w:eastAsia="Times New Roman" w:cs="Times New Roman"/>
                <w:spacing w:val="-2"/>
                <w:sz w:val="24"/>
                <w:szCs w:val="24"/>
              </w:rPr>
              <w:t>26.45%</w:t>
            </w:r>
            <w:r>
              <w:rPr>
                <w:spacing w:val="-2"/>
                <w:sz w:val="24"/>
                <w:szCs w:val="24"/>
              </w:rPr>
              <w:t>；</w:t>
            </w:r>
            <w:r>
              <w:rPr>
                <w:spacing w:val="-4"/>
                <w:sz w:val="24"/>
                <w:szCs w:val="24"/>
              </w:rPr>
              <w:t>耕地总面积为</w:t>
            </w:r>
            <w:r>
              <w:rPr>
                <w:spacing w:val="-37"/>
                <w:sz w:val="24"/>
                <w:szCs w:val="24"/>
              </w:rPr>
              <w:t xml:space="preserve"> </w:t>
            </w:r>
            <w:r>
              <w:rPr>
                <w:rFonts w:ascii="Times New Roman" w:hAnsi="Times New Roman" w:eastAsia="Times New Roman" w:cs="Times New Roman"/>
                <w:spacing w:val="-4"/>
                <w:sz w:val="24"/>
                <w:szCs w:val="24"/>
              </w:rPr>
              <w:t>309.06hm</w:t>
            </w:r>
            <w:r>
              <w:rPr>
                <w:rFonts w:ascii="Times New Roman" w:hAnsi="Times New Roman" w:eastAsia="Times New Roman" w:cs="Times New Roman"/>
                <w:spacing w:val="-4"/>
                <w:position w:val="9"/>
                <w:sz w:val="16"/>
                <w:szCs w:val="16"/>
              </w:rPr>
              <w:t>2</w:t>
            </w:r>
            <w:r>
              <w:rPr>
                <w:spacing w:val="-4"/>
                <w:sz w:val="24"/>
                <w:szCs w:val="24"/>
              </w:rPr>
              <w:t>，包括水田与旱地，占评价区总面积的</w:t>
            </w:r>
            <w:r>
              <w:rPr>
                <w:spacing w:val="-31"/>
                <w:sz w:val="24"/>
                <w:szCs w:val="24"/>
              </w:rPr>
              <w:t xml:space="preserve"> </w:t>
            </w:r>
            <w:r>
              <w:rPr>
                <w:rFonts w:ascii="Times New Roman" w:hAnsi="Times New Roman" w:eastAsia="Times New Roman" w:cs="Times New Roman"/>
                <w:spacing w:val="-4"/>
                <w:sz w:val="24"/>
                <w:szCs w:val="24"/>
              </w:rPr>
              <w:t>14.29%</w:t>
            </w:r>
            <w:r>
              <w:rPr>
                <w:spacing w:val="-4"/>
                <w:sz w:val="24"/>
                <w:szCs w:val="24"/>
              </w:rPr>
              <w:t>。</w:t>
            </w:r>
            <w:r>
              <w:rPr>
                <w:b/>
                <w:bCs/>
                <w:spacing w:val="-4"/>
                <w:sz w:val="24"/>
                <w:szCs w:val="24"/>
              </w:rPr>
              <w:t>详见生</w:t>
            </w:r>
            <w:r>
              <w:rPr>
                <w:b/>
                <w:bCs/>
                <w:spacing w:val="-3"/>
                <w:sz w:val="24"/>
                <w:szCs w:val="24"/>
              </w:rPr>
              <w:t>态环境影响专题评价。</w:t>
            </w:r>
          </w:p>
          <w:p w14:paraId="63959EF0">
            <w:pPr>
              <w:pStyle w:val="6"/>
              <w:spacing w:before="24"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）植被现状</w:t>
            </w:r>
          </w:p>
          <w:p w14:paraId="7BFC8A8A">
            <w:pPr>
              <w:pStyle w:val="6"/>
              <w:spacing w:before="168" w:line="365" w:lineRule="auto"/>
              <w:ind w:left="112" w:right="110" w:firstLine="480"/>
              <w:jc w:val="both"/>
              <w:rPr>
                <w:sz w:val="24"/>
                <w:szCs w:val="24"/>
              </w:rPr>
            </w:pPr>
            <w:r>
              <w:rPr>
                <w:spacing w:val="-7"/>
                <w:sz w:val="24"/>
                <w:szCs w:val="24"/>
              </w:rPr>
              <w:t>根据现场调查，参照《云南植被》（</w:t>
            </w:r>
            <w:r>
              <w:rPr>
                <w:rFonts w:ascii="Times New Roman" w:hAnsi="Times New Roman" w:eastAsia="Times New Roman" w:cs="Times New Roman"/>
                <w:spacing w:val="-7"/>
                <w:sz w:val="24"/>
                <w:szCs w:val="24"/>
              </w:rPr>
              <w:t>1987</w:t>
            </w:r>
            <w:r>
              <w:rPr>
                <w:spacing w:val="-58"/>
                <w:w w:val="93"/>
                <w:sz w:val="24"/>
                <w:szCs w:val="24"/>
              </w:rPr>
              <w:t>），</w:t>
            </w:r>
            <w:r>
              <w:rPr>
                <w:spacing w:val="-7"/>
                <w:sz w:val="24"/>
                <w:szCs w:val="24"/>
              </w:rPr>
              <w:t>评价区属于</w:t>
            </w:r>
            <w:r>
              <w:rPr>
                <w:spacing w:val="-54"/>
                <w:sz w:val="24"/>
                <w:szCs w:val="24"/>
              </w:rPr>
              <w:t xml:space="preserve"> </w:t>
            </w:r>
            <w:r>
              <w:rPr>
                <w:rFonts w:ascii="Times New Roman" w:hAnsi="Times New Roman" w:eastAsia="Times New Roman" w:cs="Times New Roman"/>
                <w:spacing w:val="-7"/>
                <w:sz w:val="24"/>
                <w:szCs w:val="24"/>
              </w:rPr>
              <w:t xml:space="preserve">II </w:t>
            </w:r>
            <w:r>
              <w:rPr>
                <w:spacing w:val="-7"/>
                <w:sz w:val="24"/>
                <w:szCs w:val="24"/>
              </w:rPr>
              <w:t>亚</w:t>
            </w:r>
            <w:r>
              <w:rPr>
                <w:spacing w:val="-8"/>
                <w:sz w:val="24"/>
                <w:szCs w:val="24"/>
              </w:rPr>
              <w:t>热带常绿阔叶林</w:t>
            </w:r>
            <w:r>
              <w:rPr>
                <w:spacing w:val="-3"/>
                <w:sz w:val="24"/>
                <w:szCs w:val="24"/>
              </w:rPr>
              <w:t>区域—</w:t>
            </w:r>
            <w:r>
              <w:rPr>
                <w:rFonts w:ascii="Times New Roman" w:hAnsi="Times New Roman" w:eastAsia="Times New Roman" w:cs="Times New Roman"/>
                <w:spacing w:val="-3"/>
                <w:sz w:val="24"/>
                <w:szCs w:val="24"/>
              </w:rPr>
              <w:t>IIA</w:t>
            </w:r>
            <w:r>
              <w:rPr>
                <w:rFonts w:ascii="Times New Roman" w:hAnsi="Times New Roman" w:eastAsia="Times New Roman" w:cs="Times New Roman"/>
                <w:spacing w:val="18"/>
                <w:w w:val="101"/>
                <w:sz w:val="24"/>
                <w:szCs w:val="24"/>
              </w:rPr>
              <w:t xml:space="preserve"> </w:t>
            </w:r>
            <w:r>
              <w:rPr>
                <w:spacing w:val="-3"/>
                <w:sz w:val="24"/>
                <w:szCs w:val="24"/>
              </w:rPr>
              <w:t>西部（半湿润）常绿阔叶林亚区域—</w:t>
            </w:r>
            <w:r>
              <w:rPr>
                <w:rFonts w:ascii="Times New Roman" w:hAnsi="Times New Roman" w:eastAsia="Times New Roman" w:cs="Times New Roman"/>
                <w:spacing w:val="-3"/>
                <w:sz w:val="24"/>
                <w:szCs w:val="24"/>
              </w:rPr>
              <w:t>IIAii</w:t>
            </w:r>
            <w:r>
              <w:rPr>
                <w:rFonts w:ascii="Times New Roman" w:hAnsi="Times New Roman" w:eastAsia="Times New Roman" w:cs="Times New Roman"/>
                <w:spacing w:val="16"/>
                <w:sz w:val="24"/>
                <w:szCs w:val="24"/>
              </w:rPr>
              <w:t xml:space="preserve"> </w:t>
            </w:r>
            <w:r>
              <w:rPr>
                <w:spacing w:val="-3"/>
                <w:sz w:val="24"/>
                <w:szCs w:val="24"/>
              </w:rPr>
              <w:t>高原亚热带北部常绿阔叶林</w:t>
            </w:r>
            <w:r>
              <w:rPr>
                <w:sz w:val="24"/>
                <w:szCs w:val="24"/>
              </w:rPr>
              <w:t>地带—</w:t>
            </w:r>
            <w:r>
              <w:rPr>
                <w:rFonts w:ascii="Times New Roman" w:hAnsi="Times New Roman" w:eastAsia="Times New Roman" w:cs="Times New Roman"/>
                <w:sz w:val="24"/>
                <w:szCs w:val="24"/>
              </w:rPr>
              <w:t xml:space="preserve">IIAii-1 </w:t>
            </w:r>
            <w:r>
              <w:rPr>
                <w:sz w:val="24"/>
                <w:szCs w:val="24"/>
              </w:rPr>
              <w:t>滇中、滇东高原半湿润常绿阔叶林、云南松</w:t>
            </w:r>
            <w:r>
              <w:rPr>
                <w:spacing w:val="-1"/>
                <w:sz w:val="24"/>
                <w:szCs w:val="24"/>
              </w:rPr>
              <w:t>林区—</w:t>
            </w:r>
            <w:r>
              <w:rPr>
                <w:rFonts w:ascii="Times New Roman" w:hAnsi="Times New Roman" w:eastAsia="Times New Roman" w:cs="Times New Roman"/>
                <w:spacing w:val="-1"/>
                <w:sz w:val="24"/>
                <w:szCs w:val="24"/>
              </w:rPr>
              <w:t xml:space="preserve">IIAii-1d </w:t>
            </w:r>
            <w:r>
              <w:rPr>
                <w:spacing w:val="-1"/>
                <w:sz w:val="24"/>
                <w:szCs w:val="24"/>
              </w:rPr>
              <w:t>滇东北</w:t>
            </w:r>
            <w:r>
              <w:rPr>
                <w:sz w:val="24"/>
                <w:szCs w:val="24"/>
              </w:rPr>
              <w:t xml:space="preserve">高原高、中山云南松林羊草草甸亚区。项目区域的自然植被可划分为 </w:t>
            </w:r>
            <w:r>
              <w:rPr>
                <w:rFonts w:ascii="Times New Roman" w:hAnsi="Times New Roman" w:eastAsia="Times New Roman" w:cs="Times New Roman"/>
                <w:sz w:val="24"/>
                <w:szCs w:val="24"/>
              </w:rPr>
              <w:t xml:space="preserve">3  </w:t>
            </w:r>
            <w:r>
              <w:rPr>
                <w:sz w:val="24"/>
                <w:szCs w:val="24"/>
              </w:rPr>
              <w:t>个</w:t>
            </w:r>
            <w:r>
              <w:rPr>
                <w:spacing w:val="-1"/>
                <w:sz w:val="24"/>
                <w:szCs w:val="24"/>
              </w:rPr>
              <w:t>植被型，</w:t>
            </w:r>
            <w:r>
              <w:rPr>
                <w:rFonts w:ascii="Times New Roman" w:hAnsi="Times New Roman" w:eastAsia="Times New Roman" w:cs="Times New Roman"/>
                <w:spacing w:val="-1"/>
                <w:sz w:val="24"/>
                <w:szCs w:val="24"/>
              </w:rPr>
              <w:t xml:space="preserve">3 </w:t>
            </w:r>
            <w:r>
              <w:rPr>
                <w:spacing w:val="-1"/>
                <w:sz w:val="24"/>
                <w:szCs w:val="24"/>
              </w:rPr>
              <w:t>个植被亚型，</w:t>
            </w:r>
            <w:r>
              <w:rPr>
                <w:rFonts w:ascii="Times New Roman" w:hAnsi="Times New Roman" w:eastAsia="Times New Roman" w:cs="Times New Roman"/>
                <w:spacing w:val="-1"/>
                <w:sz w:val="24"/>
                <w:szCs w:val="24"/>
              </w:rPr>
              <w:t xml:space="preserve">8 </w:t>
            </w:r>
            <w:r>
              <w:rPr>
                <w:spacing w:val="-1"/>
                <w:sz w:val="24"/>
                <w:szCs w:val="24"/>
              </w:rPr>
              <w:t>个群系。此外，评价区内还有旱地、水</w:t>
            </w:r>
            <w:r>
              <w:rPr>
                <w:spacing w:val="-2"/>
                <w:sz w:val="24"/>
                <w:szCs w:val="24"/>
              </w:rPr>
              <w:t>田等人工植被。</w:t>
            </w:r>
          </w:p>
          <w:p w14:paraId="00AD9EB2">
            <w:pPr>
              <w:pStyle w:val="6"/>
              <w:spacing w:before="6" w:line="363" w:lineRule="auto"/>
              <w:ind w:left="111" w:right="24" w:firstLine="480"/>
              <w:jc w:val="both"/>
              <w:rPr>
                <w:sz w:val="24"/>
                <w:szCs w:val="24"/>
              </w:rPr>
            </w:pPr>
            <w:r>
              <w:rPr>
                <w:spacing w:val="-1"/>
                <w:sz w:val="24"/>
                <w:szCs w:val="24"/>
              </w:rPr>
              <w:t>评价区内天然植被种类数量一般，人工植被以耕</w:t>
            </w:r>
            <w:r>
              <w:rPr>
                <w:spacing w:val="-2"/>
                <w:sz w:val="24"/>
                <w:szCs w:val="24"/>
              </w:rPr>
              <w:t>地为主，包括水田和旱地。</w:t>
            </w:r>
            <w:r>
              <w:rPr>
                <w:spacing w:val="-3"/>
                <w:sz w:val="24"/>
                <w:szCs w:val="24"/>
              </w:rPr>
              <w:t>评价区内自然植被类型的多样性不高，针叶</w:t>
            </w:r>
            <w:r>
              <w:rPr>
                <w:spacing w:val="-4"/>
                <w:sz w:val="24"/>
                <w:szCs w:val="24"/>
              </w:rPr>
              <w:t>林、灌丛和灌草丛植被类型单一，森</w:t>
            </w:r>
            <w:r>
              <w:rPr>
                <w:spacing w:val="-7"/>
                <w:sz w:val="24"/>
                <w:szCs w:val="24"/>
              </w:rPr>
              <w:t>林景观特征明显。针叶林以云南松林为主，</w:t>
            </w:r>
            <w:r>
              <w:rPr>
                <w:spacing w:val="55"/>
                <w:sz w:val="24"/>
                <w:szCs w:val="24"/>
              </w:rPr>
              <w:t xml:space="preserve"> </w:t>
            </w:r>
            <w:r>
              <w:rPr>
                <w:spacing w:val="-7"/>
                <w:sz w:val="24"/>
                <w:szCs w:val="24"/>
              </w:rPr>
              <w:t>灌丛为干热灌丛植被亚型，调查到</w:t>
            </w:r>
            <w:r>
              <w:rPr>
                <w:spacing w:val="-48"/>
                <w:sz w:val="24"/>
                <w:szCs w:val="24"/>
              </w:rPr>
              <w:t xml:space="preserve"> </w:t>
            </w:r>
            <w:r>
              <w:rPr>
                <w:rFonts w:ascii="Times New Roman" w:hAnsi="Times New Roman" w:eastAsia="Times New Roman" w:cs="Times New Roman"/>
                <w:spacing w:val="-7"/>
                <w:sz w:val="24"/>
                <w:szCs w:val="24"/>
              </w:rPr>
              <w:t>3</w:t>
            </w:r>
            <w:r>
              <w:rPr>
                <w:spacing w:val="-8"/>
                <w:sz w:val="24"/>
                <w:szCs w:val="24"/>
              </w:rPr>
              <w:t>种类型，分别为粉背黄栌灌丛、白刺花灌丛以及马桑灌丛。农业植被主要以玉米、</w:t>
            </w:r>
            <w:r>
              <w:rPr>
                <w:spacing w:val="-1"/>
                <w:sz w:val="24"/>
                <w:szCs w:val="24"/>
              </w:rPr>
              <w:t>马铃薯以及蚕豆等农作物和蔬菜为主。</w:t>
            </w:r>
            <w:r>
              <w:rPr>
                <w:b/>
                <w:bCs/>
                <w:spacing w:val="-1"/>
                <w:sz w:val="24"/>
                <w:szCs w:val="24"/>
              </w:rPr>
              <w:t>详见生态环境影响专题评价。</w:t>
            </w:r>
          </w:p>
          <w:p w14:paraId="5403EE23">
            <w:pPr>
              <w:pStyle w:val="6"/>
              <w:spacing w:before="6"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3</w:t>
            </w:r>
            <w:r>
              <w:rPr>
                <w:b/>
                <w:bCs/>
                <w:spacing w:val="-4"/>
                <w:sz w:val="24"/>
                <w:szCs w:val="24"/>
              </w:rPr>
              <w:t>）动物现状</w:t>
            </w:r>
          </w:p>
          <w:p w14:paraId="142DDACC">
            <w:pPr>
              <w:pStyle w:val="6"/>
              <w:spacing w:before="165" w:line="364" w:lineRule="auto"/>
              <w:ind w:left="112" w:right="22" w:firstLine="480"/>
              <w:jc w:val="both"/>
              <w:rPr>
                <w:sz w:val="24"/>
                <w:szCs w:val="24"/>
              </w:rPr>
            </w:pPr>
            <w:r>
              <w:rPr>
                <w:spacing w:val="-4"/>
                <w:sz w:val="24"/>
                <w:szCs w:val="24"/>
              </w:rPr>
              <w:t>根据实地考察及对相关资料进行综合分析，影响评价区分布的陆生野生脊椎</w:t>
            </w:r>
            <w:r>
              <w:rPr>
                <w:spacing w:val="-9"/>
                <w:sz w:val="24"/>
                <w:szCs w:val="24"/>
              </w:rPr>
              <w:t>动物有</w:t>
            </w:r>
            <w:r>
              <w:rPr>
                <w:spacing w:val="-41"/>
                <w:sz w:val="24"/>
                <w:szCs w:val="24"/>
              </w:rPr>
              <w:t xml:space="preserve"> </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18"/>
                <w:w w:val="101"/>
                <w:sz w:val="24"/>
                <w:szCs w:val="24"/>
              </w:rPr>
              <w:t xml:space="preserve"> </w:t>
            </w:r>
            <w:r>
              <w:rPr>
                <w:spacing w:val="-9"/>
                <w:sz w:val="24"/>
                <w:szCs w:val="24"/>
              </w:rPr>
              <w:t>纲</w:t>
            </w:r>
            <w:r>
              <w:rPr>
                <w:spacing w:val="-27"/>
                <w:sz w:val="24"/>
                <w:szCs w:val="24"/>
              </w:rPr>
              <w:t xml:space="preserve"> </w:t>
            </w:r>
            <w:r>
              <w:rPr>
                <w:rFonts w:ascii="Times New Roman" w:hAnsi="Times New Roman" w:eastAsia="Times New Roman" w:cs="Times New Roman"/>
                <w:spacing w:val="-9"/>
                <w:sz w:val="24"/>
                <w:szCs w:val="24"/>
              </w:rPr>
              <w:t xml:space="preserve">16  </w:t>
            </w:r>
            <w:r>
              <w:rPr>
                <w:spacing w:val="-9"/>
                <w:sz w:val="24"/>
                <w:szCs w:val="24"/>
              </w:rPr>
              <w:t>目</w:t>
            </w:r>
            <w:r>
              <w:rPr>
                <w:spacing w:val="-45"/>
                <w:sz w:val="24"/>
                <w:szCs w:val="24"/>
              </w:rPr>
              <w:t xml:space="preserve"> </w:t>
            </w:r>
            <w:r>
              <w:rPr>
                <w:rFonts w:ascii="Times New Roman" w:hAnsi="Times New Roman" w:eastAsia="Times New Roman" w:cs="Times New Roman"/>
                <w:spacing w:val="-9"/>
                <w:sz w:val="24"/>
                <w:szCs w:val="24"/>
              </w:rPr>
              <w:t>37</w:t>
            </w:r>
            <w:r>
              <w:rPr>
                <w:rFonts w:ascii="Times New Roman" w:hAnsi="Times New Roman" w:eastAsia="Times New Roman" w:cs="Times New Roman"/>
                <w:spacing w:val="12"/>
                <w:sz w:val="24"/>
                <w:szCs w:val="24"/>
              </w:rPr>
              <w:t xml:space="preserve"> </w:t>
            </w:r>
            <w:r>
              <w:rPr>
                <w:spacing w:val="-9"/>
                <w:sz w:val="24"/>
                <w:szCs w:val="24"/>
              </w:rPr>
              <w:t>科</w:t>
            </w:r>
            <w:r>
              <w:rPr>
                <w:spacing w:val="-45"/>
                <w:sz w:val="24"/>
                <w:szCs w:val="24"/>
              </w:rPr>
              <w:t xml:space="preserve"> </w:t>
            </w:r>
            <w:r>
              <w:rPr>
                <w:rFonts w:ascii="Times New Roman" w:hAnsi="Times New Roman" w:eastAsia="Times New Roman" w:cs="Times New Roman"/>
                <w:spacing w:val="-9"/>
                <w:sz w:val="24"/>
                <w:szCs w:val="24"/>
              </w:rPr>
              <w:t>63</w:t>
            </w:r>
            <w:r>
              <w:rPr>
                <w:rFonts w:ascii="Times New Roman" w:hAnsi="Times New Roman" w:eastAsia="Times New Roman" w:cs="Times New Roman"/>
                <w:spacing w:val="14"/>
                <w:sz w:val="24"/>
                <w:szCs w:val="24"/>
              </w:rPr>
              <w:t xml:space="preserve"> </w:t>
            </w:r>
            <w:r>
              <w:rPr>
                <w:spacing w:val="-9"/>
                <w:sz w:val="24"/>
                <w:szCs w:val="24"/>
              </w:rPr>
              <w:t>种，其中，爬行类有</w:t>
            </w:r>
            <w:r>
              <w:rPr>
                <w:spacing w:val="-27"/>
                <w:sz w:val="24"/>
                <w:szCs w:val="24"/>
              </w:rPr>
              <w:t xml:space="preserve"> </w:t>
            </w:r>
            <w:r>
              <w:rPr>
                <w:rFonts w:ascii="Times New Roman" w:hAnsi="Times New Roman" w:eastAsia="Times New Roman" w:cs="Times New Roman"/>
                <w:spacing w:val="-9"/>
                <w:sz w:val="24"/>
                <w:szCs w:val="24"/>
              </w:rPr>
              <w:t xml:space="preserve">1  </w:t>
            </w:r>
            <w:r>
              <w:rPr>
                <w:spacing w:val="-9"/>
                <w:sz w:val="24"/>
                <w:szCs w:val="24"/>
              </w:rPr>
              <w:t>目</w:t>
            </w:r>
            <w:r>
              <w:rPr>
                <w:spacing w:val="-45"/>
                <w:sz w:val="24"/>
                <w:szCs w:val="24"/>
              </w:rPr>
              <w:t xml:space="preserve"> </w:t>
            </w:r>
            <w:r>
              <w:rPr>
                <w:rFonts w:ascii="Times New Roman" w:hAnsi="Times New Roman" w:eastAsia="Times New Roman" w:cs="Times New Roman"/>
                <w:spacing w:val="-9"/>
                <w:sz w:val="24"/>
                <w:szCs w:val="24"/>
              </w:rPr>
              <w:t>3</w:t>
            </w:r>
            <w:r>
              <w:rPr>
                <w:rFonts w:ascii="Times New Roman" w:hAnsi="Times New Roman" w:eastAsia="Times New Roman" w:cs="Times New Roman"/>
                <w:spacing w:val="12"/>
                <w:sz w:val="24"/>
                <w:szCs w:val="24"/>
              </w:rPr>
              <w:t xml:space="preserve"> </w:t>
            </w:r>
            <w:r>
              <w:rPr>
                <w:spacing w:val="-9"/>
                <w:sz w:val="24"/>
                <w:szCs w:val="24"/>
              </w:rPr>
              <w:t>科</w:t>
            </w:r>
            <w:r>
              <w:rPr>
                <w:spacing w:val="-44"/>
                <w:sz w:val="24"/>
                <w:szCs w:val="24"/>
              </w:rPr>
              <w:t xml:space="preserve"> </w:t>
            </w:r>
            <w:r>
              <w:rPr>
                <w:rFonts w:ascii="Times New Roman" w:hAnsi="Times New Roman" w:eastAsia="Times New Roman" w:cs="Times New Roman"/>
                <w:spacing w:val="-9"/>
                <w:sz w:val="24"/>
                <w:szCs w:val="24"/>
              </w:rPr>
              <w:t>5</w:t>
            </w:r>
            <w:r>
              <w:rPr>
                <w:rFonts w:ascii="Times New Roman" w:hAnsi="Times New Roman" w:eastAsia="Times New Roman" w:cs="Times New Roman"/>
                <w:spacing w:val="15"/>
                <w:sz w:val="24"/>
                <w:szCs w:val="24"/>
              </w:rPr>
              <w:t xml:space="preserve"> </w:t>
            </w:r>
            <w:r>
              <w:rPr>
                <w:spacing w:val="-9"/>
                <w:sz w:val="24"/>
                <w:szCs w:val="24"/>
              </w:rPr>
              <w:t>种，两栖类有</w:t>
            </w:r>
            <w:r>
              <w:rPr>
                <w:spacing w:val="-27"/>
                <w:sz w:val="24"/>
                <w:szCs w:val="24"/>
              </w:rPr>
              <w:t xml:space="preserve"> </w:t>
            </w:r>
            <w:r>
              <w:rPr>
                <w:rFonts w:ascii="Times New Roman" w:hAnsi="Times New Roman" w:eastAsia="Times New Roman" w:cs="Times New Roman"/>
                <w:spacing w:val="-9"/>
                <w:sz w:val="24"/>
                <w:szCs w:val="24"/>
              </w:rPr>
              <w:t xml:space="preserve">1  </w:t>
            </w:r>
            <w:r>
              <w:rPr>
                <w:spacing w:val="-9"/>
                <w:sz w:val="24"/>
                <w:szCs w:val="24"/>
              </w:rPr>
              <w:t>目</w:t>
            </w:r>
            <w:r>
              <w:rPr>
                <w:spacing w:val="-52"/>
                <w:sz w:val="24"/>
                <w:szCs w:val="24"/>
              </w:rPr>
              <w:t xml:space="preserve"> </w:t>
            </w:r>
            <w:r>
              <w:rPr>
                <w:rFonts w:ascii="Times New Roman" w:hAnsi="Times New Roman" w:eastAsia="Times New Roman" w:cs="Times New Roman"/>
                <w:spacing w:val="-9"/>
                <w:sz w:val="24"/>
                <w:szCs w:val="24"/>
              </w:rPr>
              <w:t>4</w:t>
            </w:r>
            <w:r>
              <w:rPr>
                <w:spacing w:val="-8"/>
                <w:sz w:val="24"/>
                <w:szCs w:val="24"/>
              </w:rPr>
              <w:t>科</w:t>
            </w:r>
            <w:r>
              <w:rPr>
                <w:spacing w:val="-49"/>
                <w:sz w:val="24"/>
                <w:szCs w:val="24"/>
              </w:rPr>
              <w:t xml:space="preserve"> </w:t>
            </w:r>
            <w:r>
              <w:rPr>
                <w:rFonts w:ascii="Times New Roman" w:hAnsi="Times New Roman" w:eastAsia="Times New Roman" w:cs="Times New Roman"/>
                <w:spacing w:val="-8"/>
                <w:sz w:val="24"/>
                <w:szCs w:val="24"/>
              </w:rPr>
              <w:t xml:space="preserve">6 </w:t>
            </w:r>
            <w:r>
              <w:rPr>
                <w:spacing w:val="-8"/>
                <w:sz w:val="24"/>
                <w:szCs w:val="24"/>
              </w:rPr>
              <w:t>种，鸟类有</w:t>
            </w:r>
            <w:r>
              <w:rPr>
                <w:spacing w:val="-45"/>
                <w:sz w:val="24"/>
                <w:szCs w:val="24"/>
              </w:rPr>
              <w:t xml:space="preserve"> </w:t>
            </w:r>
            <w:r>
              <w:rPr>
                <w:rFonts w:ascii="Times New Roman" w:hAnsi="Times New Roman" w:eastAsia="Times New Roman" w:cs="Times New Roman"/>
                <w:spacing w:val="-8"/>
                <w:sz w:val="24"/>
                <w:szCs w:val="24"/>
              </w:rPr>
              <w:t xml:space="preserve">8  </w:t>
            </w:r>
            <w:r>
              <w:rPr>
                <w:spacing w:val="-8"/>
                <w:sz w:val="24"/>
                <w:szCs w:val="24"/>
              </w:rPr>
              <w:t>目</w:t>
            </w:r>
            <w:r>
              <w:rPr>
                <w:spacing w:val="-55"/>
                <w:sz w:val="24"/>
                <w:szCs w:val="24"/>
              </w:rPr>
              <w:t xml:space="preserve"> </w:t>
            </w:r>
            <w:r>
              <w:rPr>
                <w:rFonts w:ascii="Times New Roman" w:hAnsi="Times New Roman" w:eastAsia="Times New Roman" w:cs="Times New Roman"/>
                <w:spacing w:val="-8"/>
                <w:sz w:val="24"/>
                <w:szCs w:val="24"/>
              </w:rPr>
              <w:t xml:space="preserve">22 </w:t>
            </w:r>
            <w:r>
              <w:rPr>
                <w:spacing w:val="-8"/>
                <w:sz w:val="24"/>
                <w:szCs w:val="24"/>
              </w:rPr>
              <w:t>科</w:t>
            </w:r>
            <w:r>
              <w:rPr>
                <w:spacing w:val="-56"/>
                <w:sz w:val="24"/>
                <w:szCs w:val="24"/>
              </w:rPr>
              <w:t xml:space="preserve"> </w:t>
            </w:r>
            <w:r>
              <w:rPr>
                <w:rFonts w:ascii="Times New Roman" w:hAnsi="Times New Roman" w:eastAsia="Times New Roman" w:cs="Times New Roman"/>
                <w:spacing w:val="-8"/>
                <w:sz w:val="24"/>
                <w:szCs w:val="24"/>
              </w:rPr>
              <w:t xml:space="preserve">42 </w:t>
            </w:r>
            <w:r>
              <w:rPr>
                <w:spacing w:val="-8"/>
                <w:sz w:val="24"/>
                <w:szCs w:val="24"/>
              </w:rPr>
              <w:t>种，兽类共有</w:t>
            </w:r>
            <w:r>
              <w:rPr>
                <w:spacing w:val="-49"/>
                <w:sz w:val="24"/>
                <w:szCs w:val="24"/>
              </w:rPr>
              <w:t xml:space="preserve"> </w:t>
            </w:r>
            <w:r>
              <w:rPr>
                <w:rFonts w:ascii="Times New Roman" w:hAnsi="Times New Roman" w:eastAsia="Times New Roman" w:cs="Times New Roman"/>
                <w:spacing w:val="-8"/>
                <w:sz w:val="24"/>
                <w:szCs w:val="24"/>
              </w:rPr>
              <w:t xml:space="preserve">6  </w:t>
            </w:r>
            <w:r>
              <w:rPr>
                <w:spacing w:val="-8"/>
                <w:sz w:val="24"/>
                <w:szCs w:val="24"/>
              </w:rPr>
              <w:t>目</w:t>
            </w:r>
            <w:r>
              <w:rPr>
                <w:spacing w:val="-46"/>
                <w:sz w:val="24"/>
                <w:szCs w:val="24"/>
              </w:rPr>
              <w:t xml:space="preserve"> </w:t>
            </w:r>
            <w:r>
              <w:rPr>
                <w:rFonts w:ascii="Times New Roman" w:hAnsi="Times New Roman" w:eastAsia="Times New Roman" w:cs="Times New Roman"/>
                <w:spacing w:val="-8"/>
                <w:sz w:val="24"/>
                <w:szCs w:val="24"/>
              </w:rPr>
              <w:t xml:space="preserve">8 </w:t>
            </w:r>
            <w:r>
              <w:rPr>
                <w:spacing w:val="-8"/>
                <w:sz w:val="24"/>
                <w:szCs w:val="24"/>
              </w:rPr>
              <w:t>科</w:t>
            </w:r>
            <w:r>
              <w:rPr>
                <w:spacing w:val="-32"/>
                <w:sz w:val="24"/>
                <w:szCs w:val="24"/>
              </w:rPr>
              <w:t xml:space="preserve"> </w:t>
            </w:r>
            <w:r>
              <w:rPr>
                <w:rFonts w:ascii="Times New Roman" w:hAnsi="Times New Roman" w:eastAsia="Times New Roman" w:cs="Times New Roman"/>
                <w:spacing w:val="-9"/>
                <w:sz w:val="24"/>
                <w:szCs w:val="24"/>
              </w:rPr>
              <w:t>10</w:t>
            </w:r>
            <w:r>
              <w:rPr>
                <w:rFonts w:ascii="Times New Roman" w:hAnsi="Times New Roman" w:eastAsia="Times New Roman" w:cs="Times New Roman"/>
                <w:spacing w:val="10"/>
                <w:sz w:val="24"/>
                <w:szCs w:val="24"/>
              </w:rPr>
              <w:t xml:space="preserve"> </w:t>
            </w:r>
            <w:r>
              <w:rPr>
                <w:spacing w:val="-9"/>
                <w:sz w:val="24"/>
                <w:szCs w:val="24"/>
              </w:rPr>
              <w:t>种。评价区无国家一级、</w:t>
            </w:r>
            <w:r>
              <w:rPr>
                <w:spacing w:val="-1"/>
                <w:sz w:val="24"/>
                <w:szCs w:val="24"/>
              </w:rPr>
              <w:t>二级和云南省重点保护野生动物分布。评价区内常见动物有</w:t>
            </w:r>
            <w:r>
              <w:rPr>
                <w:spacing w:val="-2"/>
                <w:sz w:val="24"/>
                <w:szCs w:val="24"/>
              </w:rPr>
              <w:t>赤腹松鼠、黄胸鼠、</w:t>
            </w:r>
            <w:r>
              <w:rPr>
                <w:spacing w:val="-8"/>
                <w:sz w:val="24"/>
                <w:szCs w:val="24"/>
              </w:rPr>
              <w:t>小家鼠、褐家鼠、树麻雀、山斑鸠、白鹡鸰、黄臀鹎、铜蜓蜥、蓝尾石龙子、</w:t>
            </w:r>
            <w:r>
              <w:rPr>
                <w:spacing w:val="38"/>
                <w:sz w:val="24"/>
                <w:szCs w:val="24"/>
              </w:rPr>
              <w:t xml:space="preserve"> </w:t>
            </w:r>
            <w:r>
              <w:rPr>
                <w:spacing w:val="-8"/>
                <w:sz w:val="24"/>
                <w:szCs w:val="24"/>
              </w:rPr>
              <w:t>黑</w:t>
            </w:r>
            <w:r>
              <w:rPr>
                <w:spacing w:val="-2"/>
                <w:sz w:val="24"/>
                <w:szCs w:val="24"/>
              </w:rPr>
              <w:t>眶蟾蜍、泽蛙等。</w:t>
            </w:r>
            <w:r>
              <w:rPr>
                <w:b/>
                <w:bCs/>
                <w:spacing w:val="-2"/>
                <w:sz w:val="24"/>
                <w:szCs w:val="24"/>
              </w:rPr>
              <w:t>详见生态环境影响专题评价。</w:t>
            </w:r>
          </w:p>
          <w:p w14:paraId="66A09ECD">
            <w:pPr>
              <w:pStyle w:val="6"/>
              <w:spacing w:before="10" w:line="233" w:lineRule="auto"/>
              <w:ind w:left="109"/>
              <w:rPr>
                <w:sz w:val="24"/>
                <w:szCs w:val="24"/>
              </w:rPr>
            </w:pPr>
            <w:r>
              <w:rPr>
                <w:rFonts w:ascii="Times New Roman" w:hAnsi="Times New Roman" w:eastAsia="Times New Roman" w:cs="Times New Roman"/>
                <w:b/>
                <w:bCs/>
                <w:spacing w:val="-2"/>
                <w:sz w:val="24"/>
                <w:szCs w:val="24"/>
              </w:rPr>
              <w:t>4</w:t>
            </w:r>
            <w:r>
              <w:rPr>
                <w:b/>
                <w:bCs/>
                <w:spacing w:val="-2"/>
                <w:sz w:val="24"/>
                <w:szCs w:val="24"/>
              </w:rPr>
              <w:t>、环境空气质量现状</w:t>
            </w:r>
          </w:p>
          <w:p w14:paraId="2CEADD20">
            <w:pPr>
              <w:pStyle w:val="6"/>
              <w:spacing w:before="170" w:line="341" w:lineRule="auto"/>
              <w:ind w:left="113" w:right="107" w:firstLine="479"/>
              <w:jc w:val="both"/>
              <w:rPr>
                <w:sz w:val="24"/>
                <w:szCs w:val="24"/>
              </w:rPr>
            </w:pPr>
            <w:r>
              <w:rPr>
                <w:spacing w:val="-1"/>
                <w:sz w:val="24"/>
                <w:szCs w:val="24"/>
              </w:rPr>
              <w:t>根据《曲靖市环境质量年报（</w:t>
            </w:r>
            <w:r>
              <w:rPr>
                <w:rFonts w:ascii="Times New Roman" w:hAnsi="Times New Roman" w:eastAsia="Times New Roman" w:cs="Times New Roman"/>
                <w:spacing w:val="-1"/>
                <w:sz w:val="24"/>
                <w:szCs w:val="24"/>
              </w:rPr>
              <w:t>2023</w:t>
            </w:r>
            <w:r>
              <w:rPr>
                <w:rFonts w:ascii="Times New Roman" w:hAnsi="Times New Roman" w:eastAsia="Times New Roman" w:cs="Times New Roman"/>
                <w:spacing w:val="21"/>
                <w:sz w:val="24"/>
                <w:szCs w:val="24"/>
              </w:rPr>
              <w:t xml:space="preserve"> </w:t>
            </w:r>
            <w:r>
              <w:rPr>
                <w:spacing w:val="-1"/>
                <w:sz w:val="24"/>
                <w:szCs w:val="24"/>
              </w:rPr>
              <w:t>年）》，</w:t>
            </w:r>
            <w:r>
              <w:rPr>
                <w:rFonts w:ascii="Times New Roman" w:hAnsi="Times New Roman" w:eastAsia="Times New Roman" w:cs="Times New Roman"/>
                <w:spacing w:val="-1"/>
                <w:sz w:val="24"/>
                <w:szCs w:val="24"/>
              </w:rPr>
              <w:t>2023</w:t>
            </w:r>
            <w:r>
              <w:rPr>
                <w:rFonts w:ascii="Times New Roman" w:hAnsi="Times New Roman" w:eastAsia="Times New Roman" w:cs="Times New Roman"/>
                <w:spacing w:val="15"/>
                <w:w w:val="101"/>
                <w:sz w:val="24"/>
                <w:szCs w:val="24"/>
              </w:rPr>
              <w:t xml:space="preserve"> </w:t>
            </w:r>
            <w:r>
              <w:rPr>
                <w:spacing w:val="-1"/>
                <w:sz w:val="24"/>
                <w:szCs w:val="24"/>
              </w:rPr>
              <w:t>年曲靖市主城区环境空气</w:t>
            </w:r>
            <w:r>
              <w:rPr>
                <w:spacing w:val="-4"/>
                <w:sz w:val="24"/>
                <w:szCs w:val="24"/>
              </w:rPr>
              <w:t>质量自动监测有效天数</w:t>
            </w:r>
            <w:r>
              <w:rPr>
                <w:spacing w:val="-50"/>
                <w:sz w:val="24"/>
                <w:szCs w:val="24"/>
              </w:rPr>
              <w:t xml:space="preserve"> </w:t>
            </w:r>
            <w:r>
              <w:rPr>
                <w:rFonts w:ascii="Times New Roman" w:hAnsi="Times New Roman" w:eastAsia="Times New Roman" w:cs="Times New Roman"/>
                <w:spacing w:val="-4"/>
                <w:sz w:val="24"/>
                <w:szCs w:val="24"/>
              </w:rPr>
              <w:t>365</w:t>
            </w:r>
            <w:r>
              <w:rPr>
                <w:rFonts w:ascii="Times New Roman" w:hAnsi="Times New Roman" w:eastAsia="Times New Roman" w:cs="Times New Roman"/>
                <w:spacing w:val="14"/>
                <w:sz w:val="24"/>
                <w:szCs w:val="24"/>
              </w:rPr>
              <w:t xml:space="preserve"> </w:t>
            </w:r>
            <w:r>
              <w:rPr>
                <w:spacing w:val="-4"/>
                <w:sz w:val="24"/>
                <w:szCs w:val="24"/>
              </w:rPr>
              <w:t>天，其中优</w:t>
            </w:r>
            <w:r>
              <w:rPr>
                <w:spacing w:val="-31"/>
                <w:sz w:val="24"/>
                <w:szCs w:val="24"/>
              </w:rPr>
              <w:t xml:space="preserve"> </w:t>
            </w:r>
            <w:r>
              <w:rPr>
                <w:rFonts w:ascii="Times New Roman" w:hAnsi="Times New Roman" w:eastAsia="Times New Roman" w:cs="Times New Roman"/>
                <w:spacing w:val="-4"/>
                <w:sz w:val="24"/>
                <w:szCs w:val="24"/>
              </w:rPr>
              <w:t>181</w:t>
            </w:r>
            <w:r>
              <w:rPr>
                <w:rFonts w:ascii="Times New Roman" w:hAnsi="Times New Roman" w:eastAsia="Times New Roman" w:cs="Times New Roman"/>
                <w:spacing w:val="17"/>
                <w:sz w:val="24"/>
                <w:szCs w:val="24"/>
              </w:rPr>
              <w:t xml:space="preserve"> </w:t>
            </w:r>
            <w:r>
              <w:rPr>
                <w:spacing w:val="-4"/>
                <w:sz w:val="24"/>
                <w:szCs w:val="24"/>
              </w:rPr>
              <w:t>天、良</w:t>
            </w:r>
            <w:r>
              <w:rPr>
                <w:spacing w:val="-32"/>
                <w:sz w:val="24"/>
                <w:szCs w:val="24"/>
              </w:rPr>
              <w:t xml:space="preserve"> </w:t>
            </w:r>
            <w:r>
              <w:rPr>
                <w:rFonts w:ascii="Times New Roman" w:hAnsi="Times New Roman" w:eastAsia="Times New Roman" w:cs="Times New Roman"/>
                <w:spacing w:val="-4"/>
                <w:sz w:val="24"/>
                <w:szCs w:val="24"/>
              </w:rPr>
              <w:t>174</w:t>
            </w:r>
            <w:r>
              <w:rPr>
                <w:rFonts w:ascii="Times New Roman" w:hAnsi="Times New Roman" w:eastAsia="Times New Roman" w:cs="Times New Roman"/>
                <w:spacing w:val="14"/>
                <w:sz w:val="24"/>
                <w:szCs w:val="24"/>
              </w:rPr>
              <w:t xml:space="preserve"> </w:t>
            </w:r>
            <w:r>
              <w:rPr>
                <w:spacing w:val="-4"/>
                <w:sz w:val="24"/>
                <w:szCs w:val="24"/>
              </w:rPr>
              <w:t>天、轻度污</w:t>
            </w:r>
            <w:r>
              <w:rPr>
                <w:spacing w:val="-5"/>
                <w:sz w:val="24"/>
                <w:szCs w:val="24"/>
              </w:rPr>
              <w:t>染</w:t>
            </w:r>
            <w:r>
              <w:rPr>
                <w:spacing w:val="-31"/>
                <w:sz w:val="24"/>
                <w:szCs w:val="24"/>
              </w:rPr>
              <w:t xml:space="preserve"> </w:t>
            </w:r>
            <w:r>
              <w:rPr>
                <w:rFonts w:ascii="Times New Roman" w:hAnsi="Times New Roman" w:eastAsia="Times New Roman" w:cs="Times New Roman"/>
                <w:spacing w:val="-5"/>
                <w:sz w:val="24"/>
                <w:szCs w:val="24"/>
              </w:rPr>
              <w:t>10</w:t>
            </w:r>
            <w:r>
              <w:rPr>
                <w:rFonts w:ascii="Times New Roman" w:hAnsi="Times New Roman" w:eastAsia="Times New Roman" w:cs="Times New Roman"/>
                <w:spacing w:val="14"/>
                <w:sz w:val="24"/>
                <w:szCs w:val="24"/>
              </w:rPr>
              <w:t xml:space="preserve"> </w:t>
            </w:r>
            <w:r>
              <w:rPr>
                <w:spacing w:val="-5"/>
                <w:sz w:val="24"/>
                <w:szCs w:val="24"/>
              </w:rPr>
              <w:t>天，环</w:t>
            </w:r>
            <w:r>
              <w:rPr>
                <w:spacing w:val="-2"/>
                <w:sz w:val="24"/>
                <w:szCs w:val="24"/>
              </w:rPr>
              <w:t>境空气质量优良率</w:t>
            </w:r>
            <w:r>
              <w:rPr>
                <w:spacing w:val="-33"/>
                <w:sz w:val="24"/>
                <w:szCs w:val="24"/>
              </w:rPr>
              <w:t xml:space="preserve"> </w:t>
            </w:r>
            <w:r>
              <w:rPr>
                <w:rFonts w:ascii="Times New Roman" w:hAnsi="Times New Roman" w:eastAsia="Times New Roman" w:cs="Times New Roman"/>
                <w:spacing w:val="-2"/>
                <w:sz w:val="24"/>
                <w:szCs w:val="24"/>
              </w:rPr>
              <w:t>97.3%</w:t>
            </w:r>
            <w:r>
              <w:rPr>
                <w:spacing w:val="-2"/>
                <w:sz w:val="24"/>
                <w:szCs w:val="24"/>
              </w:rPr>
              <w:t>，环境空气质量日达标率为</w:t>
            </w:r>
            <w:r>
              <w:rPr>
                <w:spacing w:val="-50"/>
                <w:sz w:val="24"/>
                <w:szCs w:val="24"/>
              </w:rPr>
              <w:t xml:space="preserve"> </w:t>
            </w:r>
            <w:r>
              <w:rPr>
                <w:rFonts w:ascii="Times New Roman" w:hAnsi="Times New Roman" w:eastAsia="Times New Roman" w:cs="Times New Roman"/>
                <w:spacing w:val="-2"/>
                <w:sz w:val="24"/>
                <w:szCs w:val="24"/>
              </w:rPr>
              <w:t>97.3%</w:t>
            </w:r>
            <w:r>
              <w:rPr>
                <w:spacing w:val="-2"/>
                <w:sz w:val="24"/>
                <w:szCs w:val="24"/>
              </w:rPr>
              <w:t>，环境空气质量综合</w:t>
            </w:r>
            <w:r>
              <w:rPr>
                <w:spacing w:val="-1"/>
                <w:sz w:val="24"/>
                <w:szCs w:val="24"/>
              </w:rPr>
              <w:t>指数</w:t>
            </w:r>
            <w:r>
              <w:rPr>
                <w:spacing w:val="-54"/>
                <w:sz w:val="24"/>
                <w:szCs w:val="24"/>
              </w:rPr>
              <w:t xml:space="preserve"> </w:t>
            </w:r>
            <w:r>
              <w:rPr>
                <w:rFonts w:ascii="Times New Roman" w:hAnsi="Times New Roman" w:eastAsia="Times New Roman" w:cs="Times New Roman"/>
                <w:spacing w:val="-1"/>
                <w:sz w:val="24"/>
                <w:szCs w:val="24"/>
              </w:rPr>
              <w:t>2.7</w:t>
            </w:r>
            <w:r>
              <w:rPr>
                <w:spacing w:val="-1"/>
                <w:sz w:val="24"/>
                <w:szCs w:val="24"/>
              </w:rPr>
              <w:t>。其他县（市、区）环境空气质量自动监测有效天数为</w:t>
            </w:r>
            <w:r>
              <w:rPr>
                <w:spacing w:val="-36"/>
                <w:sz w:val="24"/>
                <w:szCs w:val="24"/>
              </w:rPr>
              <w:t xml:space="preserve"> </w:t>
            </w:r>
            <w:r>
              <w:rPr>
                <w:rFonts w:ascii="Times New Roman" w:hAnsi="Times New Roman" w:eastAsia="Times New Roman" w:cs="Times New Roman"/>
                <w:spacing w:val="-1"/>
                <w:sz w:val="24"/>
                <w:szCs w:val="24"/>
              </w:rPr>
              <w:t xml:space="preserve">353~364 </w:t>
            </w:r>
            <w:r>
              <w:rPr>
                <w:spacing w:val="-1"/>
                <w:sz w:val="24"/>
                <w:szCs w:val="24"/>
              </w:rPr>
              <w:t>天，环</w:t>
            </w:r>
          </w:p>
        </w:tc>
      </w:tr>
    </w:tbl>
    <w:p w14:paraId="476C19D2">
      <w:pPr>
        <w:rPr>
          <w:rFonts w:ascii="Arial"/>
          <w:sz w:val="21"/>
        </w:rPr>
      </w:pPr>
    </w:p>
    <w:p w14:paraId="75370800">
      <w:pPr>
        <w:rPr>
          <w:rFonts w:ascii="Arial" w:hAnsi="Arial" w:eastAsia="Arial" w:cs="Arial"/>
          <w:sz w:val="21"/>
          <w:szCs w:val="21"/>
        </w:rPr>
        <w:sectPr>
          <w:footerReference r:id="rId53" w:type="default"/>
          <w:pgSz w:w="11907" w:h="16841"/>
          <w:pgMar w:top="400" w:right="1408" w:bottom="1126" w:left="1414" w:header="0" w:footer="925" w:gutter="0"/>
          <w:cols w:space="720" w:num="1"/>
        </w:sectPr>
      </w:pPr>
    </w:p>
    <w:p w14:paraId="01DDEC50">
      <w:pPr>
        <w:spacing w:before="2"/>
      </w:pPr>
    </w:p>
    <w:p w14:paraId="270003BC">
      <w:pPr>
        <w:spacing w:before="2"/>
      </w:pPr>
    </w:p>
    <w:p w14:paraId="085B1C43">
      <w:pPr>
        <w:spacing w:before="1"/>
      </w:pPr>
    </w:p>
    <w:p w14:paraId="46665434">
      <w:pPr>
        <w:spacing w:before="1"/>
      </w:pPr>
    </w:p>
    <w:p w14:paraId="180417A7">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7BF478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1A435DC6">
            <w:pPr>
              <w:rPr>
                <w:rFonts w:ascii="Arial"/>
                <w:sz w:val="21"/>
              </w:rPr>
            </w:pPr>
          </w:p>
        </w:tc>
        <w:tc>
          <w:tcPr>
            <w:tcW w:w="8507" w:type="dxa"/>
            <w:vAlign w:val="top"/>
          </w:tcPr>
          <w:p w14:paraId="59CD031C">
            <w:pPr>
              <w:pStyle w:val="6"/>
              <w:spacing w:before="125" w:line="233" w:lineRule="auto"/>
              <w:ind w:left="113"/>
              <w:rPr>
                <w:sz w:val="24"/>
                <w:szCs w:val="24"/>
              </w:rPr>
            </w:pPr>
            <w:r>
              <w:rPr>
                <w:spacing w:val="-1"/>
                <w:sz w:val="24"/>
                <w:szCs w:val="24"/>
              </w:rPr>
              <w:t>境空气质量优良率为</w:t>
            </w:r>
            <w:r>
              <w:rPr>
                <w:spacing w:val="-50"/>
                <w:sz w:val="24"/>
                <w:szCs w:val="24"/>
              </w:rPr>
              <w:t xml:space="preserve"> </w:t>
            </w:r>
            <w:r>
              <w:rPr>
                <w:rFonts w:ascii="Times New Roman" w:hAnsi="Times New Roman" w:eastAsia="Times New Roman" w:cs="Times New Roman"/>
                <w:spacing w:val="-1"/>
                <w:sz w:val="24"/>
                <w:szCs w:val="24"/>
              </w:rPr>
              <w:t>96.9%~99.7%</w:t>
            </w:r>
            <w:r>
              <w:rPr>
                <w:spacing w:val="-1"/>
                <w:sz w:val="24"/>
                <w:szCs w:val="24"/>
              </w:rPr>
              <w:t>。</w:t>
            </w:r>
          </w:p>
          <w:p w14:paraId="5AD12E66">
            <w:pPr>
              <w:pStyle w:val="6"/>
              <w:spacing w:before="170" w:line="364" w:lineRule="auto"/>
              <w:ind w:left="112" w:right="22" w:firstLine="480"/>
              <w:jc w:val="both"/>
              <w:rPr>
                <w:sz w:val="24"/>
                <w:szCs w:val="24"/>
              </w:rPr>
            </w:pPr>
            <w:r>
              <w:rPr>
                <w:spacing w:val="-1"/>
                <w:sz w:val="24"/>
                <w:szCs w:val="24"/>
              </w:rPr>
              <w:t>本项目全线位于会泽县，会泽县</w:t>
            </w:r>
            <w:r>
              <w:rPr>
                <w:spacing w:val="-45"/>
                <w:sz w:val="24"/>
                <w:szCs w:val="24"/>
              </w:rPr>
              <w:t xml:space="preserve"> </w:t>
            </w:r>
            <w:r>
              <w:rPr>
                <w:rFonts w:ascii="Times New Roman" w:hAnsi="Times New Roman" w:eastAsia="Times New Roman" w:cs="Times New Roman"/>
                <w:spacing w:val="-1"/>
                <w:sz w:val="24"/>
                <w:szCs w:val="24"/>
              </w:rPr>
              <w:t>2023</w:t>
            </w:r>
            <w:r>
              <w:rPr>
                <w:rFonts w:ascii="Times New Roman" w:hAnsi="Times New Roman" w:eastAsia="Times New Roman" w:cs="Times New Roman"/>
                <w:spacing w:val="15"/>
                <w:w w:val="101"/>
                <w:sz w:val="24"/>
                <w:szCs w:val="24"/>
              </w:rPr>
              <w:t xml:space="preserve"> </w:t>
            </w:r>
            <w:r>
              <w:rPr>
                <w:spacing w:val="-1"/>
                <w:sz w:val="24"/>
                <w:szCs w:val="24"/>
              </w:rPr>
              <w:t>年环境空气质量自动监测有效天数为</w:t>
            </w:r>
            <w:r>
              <w:rPr>
                <w:rFonts w:ascii="Times New Roman" w:hAnsi="Times New Roman" w:eastAsia="Times New Roman" w:cs="Times New Roman"/>
                <w:spacing w:val="-2"/>
                <w:sz w:val="24"/>
                <w:szCs w:val="24"/>
              </w:rPr>
              <w:t xml:space="preserve">364 </w:t>
            </w:r>
            <w:r>
              <w:rPr>
                <w:spacing w:val="-2"/>
                <w:sz w:val="24"/>
                <w:szCs w:val="24"/>
              </w:rPr>
              <w:t>天，环境空气质量优良率为</w:t>
            </w:r>
            <w:r>
              <w:rPr>
                <w:spacing w:val="-39"/>
                <w:sz w:val="24"/>
                <w:szCs w:val="24"/>
              </w:rPr>
              <w:t xml:space="preserve"> </w:t>
            </w:r>
            <w:r>
              <w:rPr>
                <w:rFonts w:ascii="Times New Roman" w:hAnsi="Times New Roman" w:eastAsia="Times New Roman" w:cs="Times New Roman"/>
                <w:spacing w:val="-2"/>
                <w:sz w:val="24"/>
                <w:szCs w:val="24"/>
              </w:rPr>
              <w:t>99.7%</w:t>
            </w:r>
            <w:r>
              <w:rPr>
                <w:spacing w:val="-2"/>
                <w:sz w:val="24"/>
                <w:szCs w:val="24"/>
              </w:rPr>
              <w:t>，环境空气质量综合指数</w:t>
            </w:r>
            <w:r>
              <w:rPr>
                <w:spacing w:val="-54"/>
                <w:sz w:val="24"/>
                <w:szCs w:val="24"/>
              </w:rPr>
              <w:t xml:space="preserve"> </w:t>
            </w:r>
            <w:r>
              <w:rPr>
                <w:rFonts w:ascii="Times New Roman" w:hAnsi="Times New Roman" w:eastAsia="Times New Roman" w:cs="Times New Roman"/>
                <w:spacing w:val="-2"/>
                <w:sz w:val="24"/>
                <w:szCs w:val="24"/>
              </w:rPr>
              <w:t>2.43</w:t>
            </w:r>
            <w:r>
              <w:rPr>
                <w:rFonts w:ascii="Times New Roman" w:hAnsi="Times New Roman" w:eastAsia="Times New Roman" w:cs="Times New Roman"/>
                <w:spacing w:val="-27"/>
                <w:sz w:val="24"/>
                <w:szCs w:val="24"/>
              </w:rPr>
              <w:t xml:space="preserve"> </w:t>
            </w:r>
            <w:r>
              <w:rPr>
                <w:spacing w:val="-2"/>
                <w:sz w:val="24"/>
                <w:szCs w:val="24"/>
              </w:rPr>
              <w:t>。全县环境</w:t>
            </w:r>
            <w:r>
              <w:rPr>
                <w:spacing w:val="-11"/>
                <w:sz w:val="24"/>
                <w:szCs w:val="24"/>
              </w:rPr>
              <w:t>空气质量总体保持良好，可达到《环境空气质量标准》（</w:t>
            </w:r>
            <w:r>
              <w:rPr>
                <w:rFonts w:ascii="Times New Roman" w:hAnsi="Times New Roman" w:eastAsia="Times New Roman" w:cs="Times New Roman"/>
                <w:spacing w:val="-11"/>
                <w:sz w:val="24"/>
                <w:szCs w:val="24"/>
              </w:rPr>
              <w:t>GB3095-2012</w:t>
            </w:r>
            <w:r>
              <w:rPr>
                <w:spacing w:val="-11"/>
                <w:sz w:val="24"/>
                <w:szCs w:val="24"/>
              </w:rPr>
              <w:t>）二级标准。</w:t>
            </w:r>
          </w:p>
          <w:p w14:paraId="052CB60F">
            <w:pPr>
              <w:pStyle w:val="6"/>
              <w:spacing w:line="233" w:lineRule="auto"/>
              <w:ind w:left="111"/>
              <w:rPr>
                <w:sz w:val="24"/>
                <w:szCs w:val="24"/>
              </w:rPr>
            </w:pPr>
            <w:r>
              <w:rPr>
                <w:rFonts w:ascii="Times New Roman" w:hAnsi="Times New Roman" w:eastAsia="Times New Roman" w:cs="Times New Roman"/>
                <w:b/>
                <w:bCs/>
                <w:spacing w:val="-3"/>
                <w:sz w:val="24"/>
                <w:szCs w:val="24"/>
              </w:rPr>
              <w:t>5</w:t>
            </w:r>
            <w:r>
              <w:rPr>
                <w:b/>
                <w:bCs/>
                <w:spacing w:val="-3"/>
                <w:sz w:val="24"/>
                <w:szCs w:val="24"/>
              </w:rPr>
              <w:t>、地表水环境质量现状</w:t>
            </w:r>
          </w:p>
          <w:p w14:paraId="0B679A3B">
            <w:pPr>
              <w:pStyle w:val="6"/>
              <w:spacing w:before="167" w:line="365" w:lineRule="auto"/>
              <w:ind w:left="111" w:right="65" w:firstLine="484"/>
              <w:jc w:val="both"/>
              <w:rPr>
                <w:sz w:val="24"/>
                <w:szCs w:val="24"/>
              </w:rPr>
            </w:pPr>
            <w:r>
              <w:rPr>
                <w:spacing w:val="-4"/>
                <w:sz w:val="24"/>
                <w:szCs w:val="24"/>
              </w:rPr>
              <w:t>项目所在区域为牛栏江流域，最近的地表水体硝厂河为牛栏江支流，硝厂河</w:t>
            </w:r>
            <w:r>
              <w:rPr>
                <w:spacing w:val="-10"/>
                <w:sz w:val="24"/>
                <w:szCs w:val="24"/>
              </w:rPr>
              <w:t>源头为会泽县跃进水库。根据《云南省水功能区划》（</w:t>
            </w:r>
            <w:r>
              <w:rPr>
                <w:rFonts w:ascii="Times New Roman" w:hAnsi="Times New Roman" w:eastAsia="Times New Roman" w:cs="Times New Roman"/>
                <w:spacing w:val="-10"/>
                <w:sz w:val="24"/>
                <w:szCs w:val="24"/>
              </w:rPr>
              <w:t xml:space="preserve">2014 </w:t>
            </w:r>
            <w:r>
              <w:rPr>
                <w:spacing w:val="-10"/>
                <w:sz w:val="24"/>
                <w:szCs w:val="24"/>
              </w:rPr>
              <w:t>年修订</w:t>
            </w:r>
            <w:r>
              <w:rPr>
                <w:spacing w:val="-26"/>
                <w:sz w:val="24"/>
                <w:szCs w:val="24"/>
              </w:rPr>
              <w:t>），</w:t>
            </w:r>
            <w:r>
              <w:rPr>
                <w:spacing w:val="-10"/>
                <w:sz w:val="24"/>
                <w:szCs w:val="24"/>
              </w:rPr>
              <w:t>跃进水库会</w:t>
            </w:r>
            <w:r>
              <w:rPr>
                <w:spacing w:val="-6"/>
                <w:sz w:val="24"/>
                <w:szCs w:val="24"/>
              </w:rPr>
              <w:t>泽饮用、农业用水区：</w:t>
            </w:r>
            <w:r>
              <w:rPr>
                <w:spacing w:val="-31"/>
                <w:sz w:val="24"/>
                <w:szCs w:val="24"/>
              </w:rPr>
              <w:t xml:space="preserve"> </w:t>
            </w:r>
            <w:r>
              <w:rPr>
                <w:spacing w:val="-6"/>
                <w:sz w:val="24"/>
                <w:szCs w:val="24"/>
              </w:rPr>
              <w:t>会泽县跃进水库是牛栏江支流硝厂河源头，为会泽黑颈鹤</w:t>
            </w:r>
            <w:r>
              <w:rPr>
                <w:spacing w:val="-2"/>
                <w:sz w:val="24"/>
                <w:szCs w:val="24"/>
              </w:rPr>
              <w:t>国家级自然保护区大桥片区，总库容</w:t>
            </w:r>
            <w:r>
              <w:rPr>
                <w:spacing w:val="-46"/>
                <w:sz w:val="24"/>
                <w:szCs w:val="24"/>
              </w:rPr>
              <w:t xml:space="preserve"> </w:t>
            </w:r>
            <w:r>
              <w:rPr>
                <w:rFonts w:ascii="Times New Roman" w:hAnsi="Times New Roman" w:eastAsia="Times New Roman" w:cs="Times New Roman"/>
                <w:spacing w:val="-2"/>
                <w:sz w:val="24"/>
                <w:szCs w:val="24"/>
              </w:rPr>
              <w:t>5604</w:t>
            </w:r>
            <w:r>
              <w:rPr>
                <w:rFonts w:ascii="Times New Roman" w:hAnsi="Times New Roman" w:eastAsia="Times New Roman" w:cs="Times New Roman"/>
                <w:spacing w:val="15"/>
                <w:w w:val="101"/>
                <w:sz w:val="24"/>
                <w:szCs w:val="24"/>
              </w:rPr>
              <w:t xml:space="preserve"> </w:t>
            </w:r>
            <w:r>
              <w:rPr>
                <w:spacing w:val="-2"/>
                <w:sz w:val="24"/>
                <w:szCs w:val="24"/>
              </w:rPr>
              <w:t>万</w:t>
            </w:r>
            <w:r>
              <w:rPr>
                <w:spacing w:val="-59"/>
                <w:sz w:val="24"/>
                <w:szCs w:val="24"/>
              </w:rPr>
              <w:t xml:space="preserve"> </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2"/>
                <w:position w:val="9"/>
                <w:sz w:val="16"/>
                <w:szCs w:val="16"/>
              </w:rPr>
              <w:t>3</w:t>
            </w:r>
            <w:r>
              <w:rPr>
                <w:spacing w:val="-2"/>
                <w:sz w:val="24"/>
                <w:szCs w:val="24"/>
              </w:rPr>
              <w:t>，规划水平年水质目标为Ⅲ类。</w:t>
            </w:r>
            <w:r>
              <w:rPr>
                <w:spacing w:val="-1"/>
                <w:sz w:val="24"/>
                <w:szCs w:val="24"/>
              </w:rPr>
              <w:t xml:space="preserve">牛栏江滇黔缓冲区：由会泽县黄梨树水文站至鲁甸县江底，全长 </w:t>
            </w:r>
            <w:r>
              <w:rPr>
                <w:rFonts w:ascii="Times New Roman" w:hAnsi="Times New Roman" w:eastAsia="Times New Roman" w:cs="Times New Roman"/>
                <w:spacing w:val="-1"/>
                <w:sz w:val="24"/>
                <w:szCs w:val="24"/>
              </w:rPr>
              <w:t>99.2km</w:t>
            </w:r>
            <w:r>
              <w:rPr>
                <w:spacing w:val="-1"/>
                <w:sz w:val="24"/>
                <w:szCs w:val="24"/>
              </w:rPr>
              <w:t>，规划</w:t>
            </w:r>
            <w:r>
              <w:rPr>
                <w:spacing w:val="-3"/>
                <w:sz w:val="24"/>
                <w:szCs w:val="24"/>
              </w:rPr>
              <w:t>水平年水质目标为Ⅲ类。硝厂河暂未进行水功</w:t>
            </w:r>
            <w:r>
              <w:rPr>
                <w:spacing w:val="-4"/>
                <w:sz w:val="24"/>
                <w:szCs w:val="24"/>
              </w:rPr>
              <w:t>能区划，参照执行《地表水环境质</w:t>
            </w:r>
            <w:r>
              <w:rPr>
                <w:spacing w:val="-7"/>
                <w:sz w:val="24"/>
                <w:szCs w:val="24"/>
              </w:rPr>
              <w:t>量标准》（</w:t>
            </w:r>
            <w:r>
              <w:rPr>
                <w:rFonts w:ascii="Times New Roman" w:hAnsi="Times New Roman" w:eastAsia="Times New Roman" w:cs="Times New Roman"/>
                <w:spacing w:val="-7"/>
                <w:sz w:val="24"/>
                <w:szCs w:val="24"/>
              </w:rPr>
              <w:t>GB3838-2002</w:t>
            </w:r>
            <w:r>
              <w:rPr>
                <w:spacing w:val="-7"/>
                <w:sz w:val="24"/>
                <w:szCs w:val="24"/>
              </w:rPr>
              <w:t>）Ⅲ类水质标准。</w:t>
            </w:r>
          </w:p>
          <w:p w14:paraId="051E763B">
            <w:pPr>
              <w:pStyle w:val="6"/>
              <w:spacing w:before="3" w:line="358" w:lineRule="auto"/>
              <w:ind w:left="118" w:right="43" w:firstLine="473"/>
              <w:jc w:val="both"/>
              <w:rPr>
                <w:sz w:val="24"/>
                <w:szCs w:val="24"/>
              </w:rPr>
            </w:pPr>
            <w:r>
              <w:rPr>
                <w:spacing w:val="-1"/>
                <w:sz w:val="24"/>
                <w:szCs w:val="24"/>
              </w:rPr>
              <w:t>根据《曲靖市环境质量年报（</w:t>
            </w:r>
            <w:r>
              <w:rPr>
                <w:rFonts w:ascii="Times New Roman" w:hAnsi="Times New Roman" w:eastAsia="Times New Roman" w:cs="Times New Roman"/>
                <w:spacing w:val="-1"/>
                <w:sz w:val="24"/>
                <w:szCs w:val="24"/>
              </w:rPr>
              <w:t>2023</w:t>
            </w:r>
            <w:r>
              <w:rPr>
                <w:rFonts w:ascii="Times New Roman" w:hAnsi="Times New Roman" w:eastAsia="Times New Roman" w:cs="Times New Roman"/>
                <w:spacing w:val="21"/>
                <w:sz w:val="24"/>
                <w:szCs w:val="24"/>
              </w:rPr>
              <w:t xml:space="preserve"> </w:t>
            </w:r>
            <w:r>
              <w:rPr>
                <w:spacing w:val="-1"/>
                <w:sz w:val="24"/>
                <w:szCs w:val="24"/>
              </w:rPr>
              <w:t>年）》，</w:t>
            </w:r>
            <w:r>
              <w:rPr>
                <w:rFonts w:ascii="Times New Roman" w:hAnsi="Times New Roman" w:eastAsia="Times New Roman" w:cs="Times New Roman"/>
                <w:spacing w:val="-1"/>
                <w:sz w:val="24"/>
                <w:szCs w:val="24"/>
              </w:rPr>
              <w:t>2023</w:t>
            </w:r>
            <w:r>
              <w:rPr>
                <w:rFonts w:ascii="Times New Roman" w:hAnsi="Times New Roman" w:eastAsia="Times New Roman" w:cs="Times New Roman"/>
                <w:spacing w:val="15"/>
                <w:w w:val="101"/>
                <w:sz w:val="24"/>
                <w:szCs w:val="24"/>
              </w:rPr>
              <w:t xml:space="preserve"> </w:t>
            </w:r>
            <w:r>
              <w:rPr>
                <w:spacing w:val="-1"/>
                <w:sz w:val="24"/>
                <w:szCs w:val="24"/>
              </w:rPr>
              <w:t>年，工程下游最近硝厂河</w:t>
            </w:r>
            <w:r>
              <w:rPr>
                <w:spacing w:val="-11"/>
                <w:sz w:val="24"/>
                <w:szCs w:val="24"/>
              </w:rPr>
              <w:t>（市控）断面水质类别可达到《地表水环境质量标准》（</w:t>
            </w:r>
            <w:r>
              <w:rPr>
                <w:rFonts w:ascii="Times New Roman" w:hAnsi="Times New Roman" w:eastAsia="Times New Roman" w:cs="Times New Roman"/>
                <w:spacing w:val="-11"/>
                <w:sz w:val="24"/>
                <w:szCs w:val="24"/>
              </w:rPr>
              <w:t>GB38</w:t>
            </w:r>
            <w:r>
              <w:rPr>
                <w:rFonts w:ascii="Times New Roman" w:hAnsi="Times New Roman" w:eastAsia="Times New Roman" w:cs="Times New Roman"/>
                <w:spacing w:val="-12"/>
                <w:sz w:val="24"/>
                <w:szCs w:val="24"/>
              </w:rPr>
              <w:t>38-2002</w:t>
            </w:r>
            <w:r>
              <w:rPr>
                <w:spacing w:val="-12"/>
                <w:sz w:val="24"/>
                <w:szCs w:val="24"/>
              </w:rPr>
              <w:t>）Ⅱ类标准，</w:t>
            </w:r>
            <w:r>
              <w:rPr>
                <w:spacing w:val="-2"/>
                <w:sz w:val="24"/>
                <w:szCs w:val="24"/>
              </w:rPr>
              <w:t>区域水质现状较好。</w:t>
            </w:r>
          </w:p>
          <w:p w14:paraId="3538D1FC">
            <w:pPr>
              <w:pStyle w:val="6"/>
              <w:spacing w:before="25" w:line="233" w:lineRule="auto"/>
              <w:ind w:left="111"/>
              <w:rPr>
                <w:sz w:val="24"/>
                <w:szCs w:val="24"/>
              </w:rPr>
            </w:pPr>
            <w:r>
              <w:rPr>
                <w:rFonts w:ascii="Times New Roman" w:hAnsi="Times New Roman" w:eastAsia="Times New Roman" w:cs="Times New Roman"/>
                <w:b/>
                <w:bCs/>
                <w:spacing w:val="-3"/>
                <w:sz w:val="24"/>
                <w:szCs w:val="24"/>
              </w:rPr>
              <w:t>6</w:t>
            </w:r>
            <w:r>
              <w:rPr>
                <w:b/>
                <w:bCs/>
                <w:spacing w:val="-3"/>
                <w:sz w:val="24"/>
                <w:szCs w:val="24"/>
              </w:rPr>
              <w:t>、声环境质量现状</w:t>
            </w:r>
          </w:p>
          <w:p w14:paraId="4C50890B">
            <w:pPr>
              <w:pStyle w:val="6"/>
              <w:spacing w:before="169" w:line="233" w:lineRule="auto"/>
              <w:ind w:left="601"/>
              <w:rPr>
                <w:sz w:val="24"/>
                <w:szCs w:val="24"/>
              </w:rPr>
            </w:pPr>
            <w:r>
              <w:rPr>
                <w:b/>
                <w:bCs/>
                <w:spacing w:val="-7"/>
                <w:sz w:val="24"/>
                <w:szCs w:val="24"/>
              </w:rPr>
              <w:t>（</w:t>
            </w:r>
            <w:r>
              <w:rPr>
                <w:rFonts w:ascii="Times New Roman" w:hAnsi="Times New Roman" w:eastAsia="Times New Roman" w:cs="Times New Roman"/>
                <w:b/>
                <w:bCs/>
                <w:spacing w:val="-7"/>
                <w:sz w:val="24"/>
                <w:szCs w:val="24"/>
              </w:rPr>
              <w:t>1</w:t>
            </w:r>
            <w:r>
              <w:rPr>
                <w:b/>
                <w:bCs/>
                <w:spacing w:val="-7"/>
                <w:sz w:val="24"/>
                <w:szCs w:val="24"/>
              </w:rPr>
              <w:t>）监测布点</w:t>
            </w:r>
          </w:p>
          <w:p w14:paraId="4C703623">
            <w:pPr>
              <w:pStyle w:val="6"/>
              <w:spacing w:before="172" w:line="364" w:lineRule="auto"/>
              <w:ind w:left="112" w:right="109" w:firstLine="480"/>
              <w:jc w:val="both"/>
              <w:rPr>
                <w:sz w:val="24"/>
                <w:szCs w:val="24"/>
              </w:rPr>
            </w:pPr>
            <w:r>
              <w:rPr>
                <w:spacing w:val="-4"/>
                <w:sz w:val="24"/>
                <w:szCs w:val="24"/>
              </w:rPr>
              <w:t>根据《环境影响评价技术导则 声环境》（</w:t>
            </w:r>
            <w:r>
              <w:rPr>
                <w:rFonts w:ascii="Times New Roman" w:hAnsi="Times New Roman" w:eastAsia="Times New Roman" w:cs="Times New Roman"/>
                <w:spacing w:val="-4"/>
                <w:sz w:val="24"/>
                <w:szCs w:val="24"/>
              </w:rPr>
              <w:t>HJ2.4-20</w:t>
            </w:r>
            <w:r>
              <w:rPr>
                <w:rFonts w:ascii="Times New Roman" w:hAnsi="Times New Roman" w:eastAsia="Times New Roman" w:cs="Times New Roman"/>
                <w:spacing w:val="-5"/>
                <w:sz w:val="24"/>
                <w:szCs w:val="24"/>
              </w:rPr>
              <w:t>21</w:t>
            </w:r>
            <w:r>
              <w:rPr>
                <w:spacing w:val="-5"/>
                <w:sz w:val="24"/>
                <w:szCs w:val="24"/>
              </w:rPr>
              <w:t>）现场监测布点原则，</w:t>
            </w:r>
            <w:r>
              <w:rPr>
                <w:spacing w:val="-7"/>
                <w:sz w:val="24"/>
                <w:szCs w:val="24"/>
              </w:rPr>
              <w:t>布点应覆盖整个评价范围，包括厂界（场界、边界） 和声环境保护目标；评价范</w:t>
            </w:r>
            <w:r>
              <w:rPr>
                <w:spacing w:val="-4"/>
                <w:sz w:val="24"/>
                <w:szCs w:val="24"/>
              </w:rPr>
              <w:t>围内没有明显的声源时（如工业噪声、交通运输噪声、建设施工噪声、社会生活</w:t>
            </w:r>
            <w:r>
              <w:rPr>
                <w:spacing w:val="-7"/>
                <w:sz w:val="24"/>
                <w:szCs w:val="24"/>
              </w:rPr>
              <w:t>噪声等</w:t>
            </w:r>
            <w:r>
              <w:rPr>
                <w:spacing w:val="-19"/>
                <w:sz w:val="24"/>
                <w:szCs w:val="24"/>
              </w:rPr>
              <w:t>），</w:t>
            </w:r>
            <w:r>
              <w:rPr>
                <w:spacing w:val="-7"/>
                <w:sz w:val="24"/>
                <w:szCs w:val="24"/>
              </w:rPr>
              <w:t>可选择有代表性的区域布设测点。</w:t>
            </w:r>
          </w:p>
          <w:p w14:paraId="41F10BD0">
            <w:pPr>
              <w:pStyle w:val="6"/>
              <w:spacing w:before="3" w:line="362" w:lineRule="auto"/>
              <w:ind w:left="114" w:right="108" w:firstLine="479"/>
              <w:jc w:val="both"/>
              <w:rPr>
                <w:sz w:val="24"/>
                <w:szCs w:val="24"/>
              </w:rPr>
            </w:pPr>
            <w:r>
              <w:rPr>
                <w:spacing w:val="-4"/>
                <w:sz w:val="24"/>
                <w:szCs w:val="24"/>
              </w:rPr>
              <w:t>本次现状监测选择在声环境影响相对敏感、与线路边导线距离最近的建筑物</w:t>
            </w:r>
            <w:r>
              <w:rPr>
                <w:spacing w:val="-5"/>
                <w:sz w:val="24"/>
                <w:szCs w:val="24"/>
              </w:rPr>
              <w:t>处布点监测，还在</w:t>
            </w:r>
            <w:r>
              <w:rPr>
                <w:spacing w:val="-40"/>
                <w:sz w:val="24"/>
                <w:szCs w:val="24"/>
              </w:rPr>
              <w:t xml:space="preserve"> </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32"/>
                <w:w w:val="101"/>
                <w:sz w:val="24"/>
                <w:szCs w:val="24"/>
              </w:rPr>
              <w:t xml:space="preserve"> </w:t>
            </w:r>
            <w:r>
              <w:rPr>
                <w:spacing w:val="-5"/>
                <w:sz w:val="24"/>
                <w:szCs w:val="24"/>
              </w:rPr>
              <w:t>回输电线路的出线侧、改接点及与现有线路交叉点具备监测</w:t>
            </w:r>
            <w:r>
              <w:rPr>
                <w:spacing w:val="-2"/>
                <w:sz w:val="24"/>
                <w:szCs w:val="24"/>
              </w:rPr>
              <w:t>条件处设置了监测点。监测数据能够反映拟建线路沿线的声环境现状。</w:t>
            </w:r>
          </w:p>
          <w:p w14:paraId="2CA2F527">
            <w:pPr>
              <w:pStyle w:val="6"/>
              <w:spacing w:before="9" w:line="365" w:lineRule="auto"/>
              <w:ind w:left="130" w:right="109" w:firstLine="463"/>
              <w:rPr>
                <w:sz w:val="24"/>
                <w:szCs w:val="24"/>
              </w:rPr>
            </w:pPr>
            <w:r>
              <w:rPr>
                <w:spacing w:val="-4"/>
                <w:sz w:val="24"/>
                <w:szCs w:val="24"/>
              </w:rPr>
              <w:t>本次现状监测点位布设符合导则要求，且具有一定代表性，基本能反映项目</w:t>
            </w:r>
            <w:r>
              <w:rPr>
                <w:spacing w:val="-8"/>
                <w:sz w:val="24"/>
                <w:szCs w:val="24"/>
              </w:rPr>
              <w:t>区声环境现状。</w:t>
            </w:r>
          </w:p>
          <w:p w14:paraId="5B1862B4">
            <w:pPr>
              <w:pStyle w:val="6"/>
              <w:spacing w:before="1" w:line="234" w:lineRule="auto"/>
              <w:ind w:left="601"/>
              <w:rPr>
                <w:sz w:val="24"/>
                <w:szCs w:val="24"/>
              </w:rPr>
            </w:pPr>
            <w:r>
              <w:rPr>
                <w:b/>
                <w:bCs/>
                <w:spacing w:val="-6"/>
                <w:sz w:val="24"/>
                <w:szCs w:val="24"/>
              </w:rPr>
              <w:t>（</w:t>
            </w:r>
            <w:r>
              <w:rPr>
                <w:rFonts w:ascii="Times New Roman" w:hAnsi="Times New Roman" w:eastAsia="Times New Roman" w:cs="Times New Roman"/>
                <w:b/>
                <w:bCs/>
                <w:spacing w:val="-6"/>
                <w:sz w:val="24"/>
                <w:szCs w:val="24"/>
              </w:rPr>
              <w:t>2</w:t>
            </w:r>
            <w:r>
              <w:rPr>
                <w:b/>
                <w:bCs/>
                <w:spacing w:val="-6"/>
                <w:sz w:val="24"/>
                <w:szCs w:val="24"/>
              </w:rPr>
              <w:t>）监测因子</w:t>
            </w:r>
          </w:p>
          <w:p w14:paraId="06EB6FAF">
            <w:pPr>
              <w:pStyle w:val="6"/>
              <w:spacing w:before="171" w:line="233" w:lineRule="auto"/>
              <w:ind w:left="592"/>
              <w:rPr>
                <w:sz w:val="24"/>
                <w:szCs w:val="24"/>
              </w:rPr>
            </w:pPr>
            <w:r>
              <w:rPr>
                <w:spacing w:val="-4"/>
                <w:sz w:val="24"/>
                <w:szCs w:val="24"/>
              </w:rPr>
              <w:t>每个监测点离地</w:t>
            </w:r>
            <w:r>
              <w:rPr>
                <w:spacing w:val="-17"/>
                <w:sz w:val="24"/>
                <w:szCs w:val="24"/>
              </w:rPr>
              <w:t xml:space="preserve"> </w:t>
            </w:r>
            <w:r>
              <w:rPr>
                <w:rFonts w:ascii="Times New Roman" w:hAnsi="Times New Roman" w:eastAsia="Times New Roman" w:cs="Times New Roman"/>
                <w:spacing w:val="-4"/>
                <w:sz w:val="24"/>
                <w:szCs w:val="24"/>
              </w:rPr>
              <w:t>1.2m</w:t>
            </w:r>
            <w:r>
              <w:rPr>
                <w:rFonts w:ascii="Times New Roman" w:hAnsi="Times New Roman" w:eastAsia="Times New Roman" w:cs="Times New Roman"/>
                <w:spacing w:val="14"/>
                <w:sz w:val="24"/>
                <w:szCs w:val="24"/>
              </w:rPr>
              <w:t xml:space="preserve"> </w:t>
            </w:r>
            <w:r>
              <w:rPr>
                <w:spacing w:val="-4"/>
                <w:sz w:val="24"/>
                <w:szCs w:val="24"/>
              </w:rPr>
              <w:t>处的连续等效</w:t>
            </w:r>
            <w:r>
              <w:rPr>
                <w:spacing w:val="-57"/>
                <w:sz w:val="24"/>
                <w:szCs w:val="24"/>
              </w:rPr>
              <w:t xml:space="preserve"> </w:t>
            </w:r>
            <w:r>
              <w:rPr>
                <w:rFonts w:ascii="Times New Roman" w:hAnsi="Times New Roman" w:eastAsia="Times New Roman" w:cs="Times New Roman"/>
                <w:spacing w:val="-4"/>
                <w:sz w:val="24"/>
                <w:szCs w:val="24"/>
              </w:rPr>
              <w:t xml:space="preserve">A </w:t>
            </w:r>
            <w:r>
              <w:rPr>
                <w:spacing w:val="-4"/>
                <w:sz w:val="24"/>
                <w:szCs w:val="24"/>
              </w:rPr>
              <w:t>声级。</w:t>
            </w:r>
          </w:p>
        </w:tc>
      </w:tr>
    </w:tbl>
    <w:p w14:paraId="79DDE9BF">
      <w:pPr>
        <w:rPr>
          <w:rFonts w:ascii="Arial"/>
          <w:sz w:val="21"/>
        </w:rPr>
      </w:pPr>
    </w:p>
    <w:p w14:paraId="79647497">
      <w:pPr>
        <w:rPr>
          <w:rFonts w:ascii="Arial" w:hAnsi="Arial" w:eastAsia="Arial" w:cs="Arial"/>
          <w:sz w:val="21"/>
          <w:szCs w:val="21"/>
        </w:rPr>
        <w:sectPr>
          <w:footerReference r:id="rId54" w:type="default"/>
          <w:pgSz w:w="11907" w:h="16841"/>
          <w:pgMar w:top="400" w:right="1408" w:bottom="1126" w:left="1414" w:header="0" w:footer="925" w:gutter="0"/>
          <w:cols w:space="720" w:num="1"/>
        </w:sectPr>
      </w:pPr>
    </w:p>
    <w:p w14:paraId="14534274">
      <w:pPr>
        <w:spacing w:before="2"/>
      </w:pPr>
    </w:p>
    <w:p w14:paraId="499EE6FD">
      <w:pPr>
        <w:spacing w:before="2"/>
      </w:pPr>
    </w:p>
    <w:p w14:paraId="76FD8724">
      <w:pPr>
        <w:spacing w:before="1"/>
      </w:pPr>
    </w:p>
    <w:p w14:paraId="1A7E5995">
      <w:pPr>
        <w:spacing w:before="1"/>
      </w:pPr>
    </w:p>
    <w:p w14:paraId="6AA8B0ED">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3"/>
        <w:gridCol w:w="681"/>
        <w:gridCol w:w="478"/>
        <w:gridCol w:w="648"/>
        <w:gridCol w:w="909"/>
        <w:gridCol w:w="775"/>
        <w:gridCol w:w="501"/>
        <w:gridCol w:w="1053"/>
        <w:gridCol w:w="91"/>
        <w:gridCol w:w="273"/>
        <w:gridCol w:w="1293"/>
        <w:gridCol w:w="281"/>
        <w:gridCol w:w="125"/>
        <w:gridCol w:w="1166"/>
        <w:gridCol w:w="120"/>
      </w:tblGrid>
      <w:tr w14:paraId="3C5E52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45" w:hRule="atLeast"/>
        </w:trPr>
        <w:tc>
          <w:tcPr>
            <w:tcW w:w="571" w:type="dxa"/>
            <w:vMerge w:val="restart"/>
            <w:tcBorders>
              <w:bottom w:val="nil"/>
            </w:tcBorders>
            <w:vAlign w:val="top"/>
          </w:tcPr>
          <w:p w14:paraId="0B861151">
            <w:pPr>
              <w:rPr>
                <w:rFonts w:ascii="Arial"/>
                <w:sz w:val="21"/>
              </w:rPr>
            </w:pPr>
          </w:p>
        </w:tc>
        <w:tc>
          <w:tcPr>
            <w:tcW w:w="8507" w:type="dxa"/>
            <w:gridSpan w:val="15"/>
            <w:vAlign w:val="top"/>
          </w:tcPr>
          <w:p w14:paraId="3ADA8AAA">
            <w:pPr>
              <w:pStyle w:val="6"/>
              <w:spacing w:before="125" w:line="233" w:lineRule="auto"/>
              <w:ind w:left="601"/>
              <w:rPr>
                <w:sz w:val="24"/>
                <w:szCs w:val="24"/>
              </w:rPr>
            </w:pPr>
            <w:r>
              <w:rPr>
                <w:b/>
                <w:bCs/>
                <w:spacing w:val="-6"/>
                <w:sz w:val="24"/>
                <w:szCs w:val="24"/>
              </w:rPr>
              <w:t>（</w:t>
            </w:r>
            <w:r>
              <w:rPr>
                <w:rFonts w:ascii="Times New Roman" w:hAnsi="Times New Roman" w:eastAsia="Times New Roman" w:cs="Times New Roman"/>
                <w:b/>
                <w:bCs/>
                <w:spacing w:val="-6"/>
                <w:sz w:val="24"/>
                <w:szCs w:val="24"/>
              </w:rPr>
              <w:t>3</w:t>
            </w:r>
            <w:r>
              <w:rPr>
                <w:b/>
                <w:bCs/>
                <w:spacing w:val="-6"/>
                <w:sz w:val="24"/>
                <w:szCs w:val="24"/>
              </w:rPr>
              <w:t>）监测频次</w:t>
            </w:r>
          </w:p>
          <w:p w14:paraId="66735621">
            <w:pPr>
              <w:pStyle w:val="6"/>
              <w:spacing w:before="168" w:line="220" w:lineRule="auto"/>
              <w:ind w:left="591"/>
              <w:rPr>
                <w:sz w:val="24"/>
                <w:szCs w:val="24"/>
              </w:rPr>
            </w:pPr>
            <w:r>
              <w:rPr>
                <w:spacing w:val="-4"/>
                <w:sz w:val="24"/>
                <w:szCs w:val="24"/>
              </w:rPr>
              <w:t>昼、夜各测一次。</w:t>
            </w:r>
          </w:p>
          <w:p w14:paraId="26094F00">
            <w:pPr>
              <w:pStyle w:val="6"/>
              <w:spacing w:before="187"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4</w:t>
            </w:r>
            <w:r>
              <w:rPr>
                <w:b/>
                <w:bCs/>
                <w:spacing w:val="-4"/>
                <w:sz w:val="24"/>
                <w:szCs w:val="24"/>
              </w:rPr>
              <w:t>）监测方法和仪器</w:t>
            </w:r>
          </w:p>
          <w:p w14:paraId="2736AE99">
            <w:pPr>
              <w:pStyle w:val="6"/>
              <w:spacing w:before="171" w:line="235" w:lineRule="auto"/>
              <w:ind w:left="611"/>
              <w:rPr>
                <w:sz w:val="24"/>
                <w:szCs w:val="24"/>
              </w:rPr>
            </w:pPr>
            <w:r>
              <w:rPr>
                <w:rFonts w:ascii="Times New Roman" w:hAnsi="Times New Roman" w:eastAsia="Times New Roman" w:cs="Times New Roman"/>
                <w:spacing w:val="-6"/>
                <w:sz w:val="24"/>
                <w:szCs w:val="24"/>
              </w:rPr>
              <w:t>1</w:t>
            </w:r>
            <w:r>
              <w:rPr>
                <w:spacing w:val="-6"/>
                <w:sz w:val="24"/>
                <w:szCs w:val="24"/>
              </w:rPr>
              <w:t>）监测方法</w:t>
            </w:r>
          </w:p>
          <w:p w14:paraId="7B7095E9">
            <w:pPr>
              <w:pStyle w:val="6"/>
              <w:spacing w:before="168" w:line="234" w:lineRule="auto"/>
              <w:ind w:left="593"/>
              <w:rPr>
                <w:sz w:val="24"/>
                <w:szCs w:val="24"/>
              </w:rPr>
            </w:pPr>
            <w:r>
              <w:rPr>
                <w:spacing w:val="-6"/>
                <w:sz w:val="24"/>
                <w:szCs w:val="24"/>
              </w:rPr>
              <w:t>《声环境质量标准》（</w:t>
            </w:r>
            <w:r>
              <w:rPr>
                <w:rFonts w:ascii="Times New Roman" w:hAnsi="Times New Roman" w:eastAsia="Times New Roman" w:cs="Times New Roman"/>
                <w:spacing w:val="-6"/>
                <w:sz w:val="24"/>
                <w:szCs w:val="24"/>
              </w:rPr>
              <w:t>GB3096-2008</w:t>
            </w:r>
            <w:r>
              <w:rPr>
                <w:spacing w:val="-6"/>
                <w:sz w:val="24"/>
                <w:szCs w:val="24"/>
              </w:rPr>
              <w:t>）</w:t>
            </w:r>
          </w:p>
          <w:p w14:paraId="3DBDF1CE">
            <w:pPr>
              <w:pStyle w:val="6"/>
              <w:spacing w:before="172" w:line="233" w:lineRule="auto"/>
              <w:ind w:left="588"/>
              <w:rPr>
                <w:sz w:val="24"/>
                <w:szCs w:val="24"/>
              </w:rPr>
            </w:pPr>
            <w:r>
              <w:rPr>
                <w:rFonts w:ascii="Times New Roman" w:hAnsi="Times New Roman" w:eastAsia="Times New Roman" w:cs="Times New Roman"/>
                <w:spacing w:val="-3"/>
                <w:sz w:val="24"/>
                <w:szCs w:val="24"/>
              </w:rPr>
              <w:t>2</w:t>
            </w:r>
            <w:r>
              <w:rPr>
                <w:spacing w:val="-3"/>
                <w:sz w:val="24"/>
                <w:szCs w:val="24"/>
              </w:rPr>
              <w:t>）监测仪器</w:t>
            </w:r>
          </w:p>
          <w:p w14:paraId="3CF621C5">
            <w:pPr>
              <w:pStyle w:val="6"/>
              <w:spacing w:before="168" w:line="220" w:lineRule="auto"/>
              <w:ind w:left="603"/>
              <w:rPr>
                <w:sz w:val="24"/>
                <w:szCs w:val="24"/>
              </w:rPr>
            </w:pPr>
            <w:r>
              <w:rPr>
                <w:spacing w:val="-4"/>
                <w:sz w:val="24"/>
                <w:szCs w:val="24"/>
              </w:rPr>
              <w:t>噪声监测仪器主要参数见下表。</w:t>
            </w:r>
          </w:p>
          <w:p w14:paraId="77344B10">
            <w:pPr>
              <w:pStyle w:val="6"/>
              <w:spacing w:before="126" w:line="226" w:lineRule="auto"/>
              <w:ind w:left="3034"/>
            </w:pPr>
            <w:r>
              <w:rPr>
                <w:b/>
                <w:bCs/>
                <w:spacing w:val="-2"/>
              </w:rPr>
              <w:t>表</w:t>
            </w:r>
            <w:r>
              <w:rPr>
                <w:spacing w:val="-38"/>
              </w:rPr>
              <w:t xml:space="preserve"> </w:t>
            </w:r>
            <w:r>
              <w:rPr>
                <w:rFonts w:ascii="Times New Roman" w:hAnsi="Times New Roman" w:eastAsia="Times New Roman" w:cs="Times New Roman"/>
                <w:b/>
                <w:bCs/>
                <w:spacing w:val="-2"/>
              </w:rPr>
              <w:t xml:space="preserve">3-2    </w:t>
            </w:r>
            <w:r>
              <w:rPr>
                <w:b/>
                <w:bCs/>
                <w:spacing w:val="-2"/>
              </w:rPr>
              <w:t>监测仪器主要参数</w:t>
            </w:r>
          </w:p>
        </w:tc>
      </w:tr>
      <w:tr w14:paraId="517B2E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571" w:type="dxa"/>
            <w:vMerge w:val="continue"/>
            <w:tcBorders>
              <w:top w:val="nil"/>
              <w:bottom w:val="nil"/>
            </w:tcBorders>
            <w:vAlign w:val="top"/>
          </w:tcPr>
          <w:p w14:paraId="1D6F6E89">
            <w:pPr>
              <w:rPr>
                <w:rFonts w:ascii="Arial"/>
                <w:sz w:val="21"/>
              </w:rPr>
            </w:pPr>
          </w:p>
        </w:tc>
        <w:tc>
          <w:tcPr>
            <w:tcW w:w="113" w:type="dxa"/>
            <w:tcBorders>
              <w:top w:val="nil"/>
              <w:bottom w:val="nil"/>
            </w:tcBorders>
            <w:vAlign w:val="top"/>
          </w:tcPr>
          <w:p w14:paraId="100E07E2">
            <w:pPr>
              <w:rPr>
                <w:rFonts w:ascii="Arial"/>
                <w:sz w:val="21"/>
              </w:rPr>
            </w:pPr>
          </w:p>
        </w:tc>
        <w:tc>
          <w:tcPr>
            <w:tcW w:w="1159" w:type="dxa"/>
            <w:gridSpan w:val="2"/>
            <w:vAlign w:val="top"/>
          </w:tcPr>
          <w:p w14:paraId="431F590A">
            <w:pPr>
              <w:pStyle w:val="6"/>
              <w:spacing w:before="54" w:line="222" w:lineRule="auto"/>
              <w:ind w:left="162"/>
            </w:pPr>
            <w:r>
              <w:rPr>
                <w:b/>
                <w:bCs/>
                <w:spacing w:val="-4"/>
              </w:rPr>
              <w:t>监测时间</w:t>
            </w:r>
          </w:p>
        </w:tc>
        <w:tc>
          <w:tcPr>
            <w:tcW w:w="1557" w:type="dxa"/>
            <w:gridSpan w:val="2"/>
            <w:vAlign w:val="top"/>
          </w:tcPr>
          <w:p w14:paraId="325C153B">
            <w:pPr>
              <w:pStyle w:val="6"/>
              <w:spacing w:before="54" w:line="221" w:lineRule="auto"/>
              <w:ind w:left="362"/>
            </w:pPr>
            <w:r>
              <w:rPr>
                <w:b/>
                <w:bCs/>
                <w:spacing w:val="-4"/>
              </w:rPr>
              <w:t>监测仪器</w:t>
            </w:r>
          </w:p>
        </w:tc>
        <w:tc>
          <w:tcPr>
            <w:tcW w:w="1276" w:type="dxa"/>
            <w:gridSpan w:val="2"/>
            <w:vAlign w:val="top"/>
          </w:tcPr>
          <w:p w14:paraId="37D362DC">
            <w:pPr>
              <w:pStyle w:val="6"/>
              <w:spacing w:before="54" w:line="221" w:lineRule="auto"/>
              <w:ind w:left="221"/>
            </w:pPr>
            <w:r>
              <w:rPr>
                <w:b/>
                <w:bCs/>
                <w:spacing w:val="-4"/>
              </w:rPr>
              <w:t>仪器编号</w:t>
            </w:r>
          </w:p>
        </w:tc>
        <w:tc>
          <w:tcPr>
            <w:tcW w:w="1417" w:type="dxa"/>
            <w:gridSpan w:val="3"/>
            <w:vAlign w:val="top"/>
          </w:tcPr>
          <w:p w14:paraId="15094E1A">
            <w:pPr>
              <w:pStyle w:val="6"/>
              <w:spacing w:before="55" w:line="221" w:lineRule="auto"/>
              <w:ind w:left="294"/>
            </w:pPr>
            <w:r>
              <w:rPr>
                <w:b/>
                <w:bCs/>
                <w:spacing w:val="-4"/>
              </w:rPr>
              <w:t>校准单位</w:t>
            </w:r>
          </w:p>
        </w:tc>
        <w:tc>
          <w:tcPr>
            <w:tcW w:w="1699" w:type="dxa"/>
            <w:gridSpan w:val="3"/>
            <w:vAlign w:val="top"/>
          </w:tcPr>
          <w:p w14:paraId="2142F5F9">
            <w:pPr>
              <w:pStyle w:val="6"/>
              <w:spacing w:before="54" w:line="220" w:lineRule="auto"/>
              <w:ind w:left="227"/>
            </w:pPr>
            <w:r>
              <w:rPr>
                <w:b/>
                <w:bCs/>
                <w:spacing w:val="-3"/>
              </w:rPr>
              <w:t>校准证书编号</w:t>
            </w:r>
          </w:p>
        </w:tc>
        <w:tc>
          <w:tcPr>
            <w:tcW w:w="1166" w:type="dxa"/>
            <w:vAlign w:val="top"/>
          </w:tcPr>
          <w:p w14:paraId="5586FA2E">
            <w:pPr>
              <w:pStyle w:val="6"/>
              <w:spacing w:before="55" w:line="221" w:lineRule="auto"/>
              <w:ind w:left="275"/>
            </w:pPr>
            <w:r>
              <w:rPr>
                <w:b/>
                <w:bCs/>
                <w:spacing w:val="-4"/>
              </w:rPr>
              <w:t>有效期</w:t>
            </w:r>
          </w:p>
        </w:tc>
        <w:tc>
          <w:tcPr>
            <w:tcW w:w="120" w:type="dxa"/>
            <w:tcBorders>
              <w:top w:val="nil"/>
              <w:bottom w:val="nil"/>
            </w:tcBorders>
            <w:vAlign w:val="top"/>
          </w:tcPr>
          <w:p w14:paraId="406A7710">
            <w:pPr>
              <w:rPr>
                <w:rFonts w:ascii="Arial"/>
                <w:sz w:val="21"/>
              </w:rPr>
            </w:pPr>
          </w:p>
        </w:tc>
      </w:tr>
      <w:tr w14:paraId="2E07E9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1" w:type="dxa"/>
            <w:vMerge w:val="continue"/>
            <w:tcBorders>
              <w:top w:val="nil"/>
              <w:bottom w:val="nil"/>
            </w:tcBorders>
            <w:vAlign w:val="top"/>
          </w:tcPr>
          <w:p w14:paraId="55F1109A">
            <w:pPr>
              <w:rPr>
                <w:rFonts w:ascii="Arial"/>
                <w:sz w:val="21"/>
              </w:rPr>
            </w:pPr>
          </w:p>
        </w:tc>
        <w:tc>
          <w:tcPr>
            <w:tcW w:w="113" w:type="dxa"/>
            <w:tcBorders>
              <w:top w:val="nil"/>
              <w:bottom w:val="nil"/>
            </w:tcBorders>
            <w:vAlign w:val="top"/>
          </w:tcPr>
          <w:p w14:paraId="73A55BF5">
            <w:pPr>
              <w:rPr>
                <w:rFonts w:ascii="Arial"/>
                <w:sz w:val="21"/>
              </w:rPr>
            </w:pPr>
          </w:p>
        </w:tc>
        <w:tc>
          <w:tcPr>
            <w:tcW w:w="1159" w:type="dxa"/>
            <w:gridSpan w:val="2"/>
            <w:vAlign w:val="top"/>
          </w:tcPr>
          <w:p w14:paraId="7AD234F7">
            <w:pPr>
              <w:spacing w:before="91" w:line="233" w:lineRule="auto"/>
              <w:ind w:left="15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2025.4.10</w:t>
            </w:r>
          </w:p>
          <w:p w14:paraId="5A97C34A">
            <w:pPr>
              <w:spacing w:before="79" w:line="221" w:lineRule="auto"/>
              <w:ind w:left="335"/>
              <w:rPr>
                <w:rFonts w:ascii="Times New Roman" w:hAnsi="Times New Roman" w:eastAsia="Times New Roman" w:cs="Times New Roman"/>
                <w:sz w:val="21"/>
                <w:szCs w:val="21"/>
              </w:rPr>
            </w:pPr>
            <w:r>
              <w:rPr>
                <w:rFonts w:ascii="Times New Roman" w:hAnsi="Times New Roman" w:eastAsia="Times New Roman" w:cs="Times New Roman"/>
                <w:sz w:val="21"/>
                <w:szCs w:val="21"/>
              </w:rPr>
              <w:t>~4.12</w:t>
            </w:r>
          </w:p>
        </w:tc>
        <w:tc>
          <w:tcPr>
            <w:tcW w:w="1557" w:type="dxa"/>
            <w:gridSpan w:val="2"/>
            <w:vAlign w:val="top"/>
          </w:tcPr>
          <w:p w14:paraId="402EC343">
            <w:pPr>
              <w:pStyle w:val="6"/>
              <w:spacing w:before="55" w:line="267" w:lineRule="auto"/>
              <w:ind w:left="335" w:right="144" w:hanging="173"/>
              <w:rPr>
                <w:rFonts w:ascii="Times New Roman" w:hAnsi="Times New Roman" w:eastAsia="Times New Roman" w:cs="Times New Roman"/>
              </w:rPr>
            </w:pPr>
            <w:r>
              <w:rPr>
                <w:spacing w:val="-3"/>
              </w:rPr>
              <w:t>多功能声级计</w:t>
            </w:r>
            <w:r>
              <w:rPr>
                <w:rFonts w:ascii="Times New Roman" w:hAnsi="Times New Roman" w:eastAsia="Times New Roman" w:cs="Times New Roman"/>
                <w:spacing w:val="-6"/>
              </w:rPr>
              <w:t>AWA5688</w:t>
            </w:r>
          </w:p>
        </w:tc>
        <w:tc>
          <w:tcPr>
            <w:tcW w:w="1276" w:type="dxa"/>
            <w:gridSpan w:val="2"/>
            <w:vAlign w:val="top"/>
          </w:tcPr>
          <w:p w14:paraId="373813FC">
            <w:pPr>
              <w:spacing w:before="247" w:line="233" w:lineRule="auto"/>
              <w:ind w:left="23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10346576</w:t>
            </w:r>
          </w:p>
        </w:tc>
        <w:tc>
          <w:tcPr>
            <w:tcW w:w="1417" w:type="dxa"/>
            <w:gridSpan w:val="3"/>
            <w:vAlign w:val="top"/>
          </w:tcPr>
          <w:p w14:paraId="540B27C8">
            <w:pPr>
              <w:pStyle w:val="6"/>
              <w:spacing w:before="55" w:line="221" w:lineRule="auto"/>
              <w:ind w:left="208"/>
            </w:pPr>
            <w:r>
              <w:rPr>
                <w:spacing w:val="-5"/>
              </w:rPr>
              <w:t>中检西南计</w:t>
            </w:r>
          </w:p>
          <w:p w14:paraId="56FFC9EF">
            <w:pPr>
              <w:pStyle w:val="6"/>
              <w:spacing w:before="63" w:line="221" w:lineRule="auto"/>
              <w:ind w:left="188"/>
            </w:pPr>
            <w:r>
              <w:rPr>
                <w:spacing w:val="-1"/>
              </w:rPr>
              <w:t>量有限公司</w:t>
            </w:r>
          </w:p>
        </w:tc>
        <w:tc>
          <w:tcPr>
            <w:tcW w:w="1699" w:type="dxa"/>
            <w:gridSpan w:val="3"/>
            <w:vAlign w:val="top"/>
          </w:tcPr>
          <w:p w14:paraId="60955E02">
            <w:pPr>
              <w:spacing w:before="246" w:line="234" w:lineRule="auto"/>
              <w:ind w:left="14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8020158210-004</w:t>
            </w:r>
          </w:p>
        </w:tc>
        <w:tc>
          <w:tcPr>
            <w:tcW w:w="1166" w:type="dxa"/>
            <w:vAlign w:val="top"/>
          </w:tcPr>
          <w:p w14:paraId="19F78D7C">
            <w:pPr>
              <w:spacing w:before="247" w:line="233" w:lineRule="auto"/>
              <w:ind w:left="16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2025.8.28</w:t>
            </w:r>
          </w:p>
        </w:tc>
        <w:tc>
          <w:tcPr>
            <w:tcW w:w="120" w:type="dxa"/>
            <w:tcBorders>
              <w:top w:val="nil"/>
              <w:bottom w:val="nil"/>
            </w:tcBorders>
            <w:vAlign w:val="top"/>
          </w:tcPr>
          <w:p w14:paraId="7F5DEB6E">
            <w:pPr>
              <w:rPr>
                <w:rFonts w:ascii="Arial"/>
                <w:sz w:val="21"/>
              </w:rPr>
            </w:pPr>
          </w:p>
        </w:tc>
      </w:tr>
      <w:tr w14:paraId="3CE345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9" w:hRule="atLeast"/>
        </w:trPr>
        <w:tc>
          <w:tcPr>
            <w:tcW w:w="571" w:type="dxa"/>
            <w:vMerge w:val="continue"/>
            <w:tcBorders>
              <w:top w:val="nil"/>
              <w:bottom w:val="nil"/>
            </w:tcBorders>
            <w:vAlign w:val="top"/>
          </w:tcPr>
          <w:p w14:paraId="19523BE0">
            <w:pPr>
              <w:rPr>
                <w:rFonts w:ascii="Arial"/>
                <w:sz w:val="21"/>
              </w:rPr>
            </w:pPr>
          </w:p>
        </w:tc>
        <w:tc>
          <w:tcPr>
            <w:tcW w:w="8507" w:type="dxa"/>
            <w:gridSpan w:val="15"/>
            <w:vAlign w:val="top"/>
          </w:tcPr>
          <w:p w14:paraId="154FACAC">
            <w:pPr>
              <w:pStyle w:val="6"/>
              <w:spacing w:before="118" w:line="234"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5</w:t>
            </w:r>
            <w:r>
              <w:rPr>
                <w:b/>
                <w:bCs/>
                <w:spacing w:val="-4"/>
                <w:sz w:val="24"/>
                <w:szCs w:val="24"/>
              </w:rPr>
              <w:t>）监测环境情况</w:t>
            </w:r>
          </w:p>
          <w:p w14:paraId="6DDC24C8">
            <w:pPr>
              <w:pStyle w:val="6"/>
              <w:spacing w:before="170" w:line="220" w:lineRule="auto"/>
              <w:ind w:left="593"/>
              <w:rPr>
                <w:sz w:val="24"/>
                <w:szCs w:val="24"/>
              </w:rPr>
            </w:pPr>
            <w:r>
              <w:rPr>
                <w:spacing w:val="-4"/>
                <w:sz w:val="24"/>
                <w:szCs w:val="24"/>
              </w:rPr>
              <w:t>监测期间环境情况详见下表。</w:t>
            </w:r>
          </w:p>
          <w:p w14:paraId="568CF681">
            <w:pPr>
              <w:pStyle w:val="6"/>
              <w:spacing w:before="123" w:line="226" w:lineRule="auto"/>
              <w:ind w:left="3139"/>
            </w:pPr>
            <w:r>
              <w:rPr>
                <w:b/>
                <w:bCs/>
                <w:spacing w:val="-2"/>
              </w:rPr>
              <w:t>表</w:t>
            </w:r>
            <w:r>
              <w:rPr>
                <w:spacing w:val="-39"/>
              </w:rPr>
              <w:t xml:space="preserve"> </w:t>
            </w:r>
            <w:r>
              <w:rPr>
                <w:rFonts w:ascii="Times New Roman" w:hAnsi="Times New Roman" w:eastAsia="Times New Roman" w:cs="Times New Roman"/>
                <w:b/>
                <w:bCs/>
                <w:spacing w:val="-2"/>
              </w:rPr>
              <w:t xml:space="preserve">3-3    </w:t>
            </w:r>
            <w:r>
              <w:rPr>
                <w:b/>
                <w:bCs/>
                <w:spacing w:val="-2"/>
              </w:rPr>
              <w:t>监测时天气情况</w:t>
            </w:r>
          </w:p>
        </w:tc>
      </w:tr>
      <w:tr w14:paraId="2C442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71" w:type="dxa"/>
            <w:vMerge w:val="continue"/>
            <w:tcBorders>
              <w:top w:val="nil"/>
              <w:bottom w:val="nil"/>
            </w:tcBorders>
            <w:vAlign w:val="top"/>
          </w:tcPr>
          <w:p w14:paraId="03A17DBA">
            <w:pPr>
              <w:rPr>
                <w:rFonts w:ascii="Arial"/>
                <w:sz w:val="21"/>
              </w:rPr>
            </w:pPr>
          </w:p>
        </w:tc>
        <w:tc>
          <w:tcPr>
            <w:tcW w:w="113" w:type="dxa"/>
            <w:tcBorders>
              <w:top w:val="nil"/>
              <w:bottom w:val="nil"/>
            </w:tcBorders>
            <w:vAlign w:val="top"/>
          </w:tcPr>
          <w:p w14:paraId="0E23BB0F">
            <w:pPr>
              <w:rPr>
                <w:rFonts w:ascii="Arial"/>
                <w:sz w:val="21"/>
              </w:rPr>
            </w:pPr>
          </w:p>
        </w:tc>
        <w:tc>
          <w:tcPr>
            <w:tcW w:w="1807" w:type="dxa"/>
            <w:gridSpan w:val="3"/>
            <w:vAlign w:val="top"/>
          </w:tcPr>
          <w:p w14:paraId="6AC08248">
            <w:pPr>
              <w:pStyle w:val="6"/>
              <w:spacing w:before="212" w:line="223" w:lineRule="auto"/>
              <w:ind w:left="704"/>
            </w:pPr>
            <w:r>
              <w:rPr>
                <w:b/>
                <w:bCs/>
                <w:spacing w:val="-7"/>
              </w:rPr>
              <w:t>时间</w:t>
            </w:r>
          </w:p>
        </w:tc>
        <w:tc>
          <w:tcPr>
            <w:tcW w:w="1684" w:type="dxa"/>
            <w:gridSpan w:val="2"/>
            <w:vAlign w:val="top"/>
          </w:tcPr>
          <w:p w14:paraId="69766B14">
            <w:pPr>
              <w:pStyle w:val="6"/>
              <w:spacing w:before="212" w:line="236" w:lineRule="auto"/>
              <w:ind w:left="312"/>
            </w:pPr>
            <w:r>
              <w:rPr>
                <w:b/>
                <w:bCs/>
                <w:spacing w:val="18"/>
              </w:rPr>
              <w:t>气温(</w:t>
            </w:r>
            <w:r>
              <w:rPr>
                <w:rFonts w:ascii="Times New Roman" w:hAnsi="Times New Roman" w:eastAsia="Times New Roman" w:cs="Times New Roman"/>
                <w:b/>
                <w:bCs/>
                <w:spacing w:val="18"/>
              </w:rPr>
              <w:t>℃</w:t>
            </w:r>
            <w:r>
              <w:rPr>
                <w:b/>
                <w:bCs/>
                <w:spacing w:val="18"/>
              </w:rPr>
              <w:t>)</w:t>
            </w:r>
          </w:p>
        </w:tc>
        <w:tc>
          <w:tcPr>
            <w:tcW w:w="1554" w:type="dxa"/>
            <w:gridSpan w:val="2"/>
            <w:vAlign w:val="top"/>
          </w:tcPr>
          <w:p w14:paraId="4C542A0F">
            <w:pPr>
              <w:pStyle w:val="6"/>
              <w:spacing w:before="213" w:line="235" w:lineRule="auto"/>
              <w:ind w:left="202"/>
            </w:pPr>
            <w:r>
              <w:rPr>
                <w:b/>
                <w:bCs/>
                <w:spacing w:val="-3"/>
              </w:rPr>
              <w:t>风速（</w:t>
            </w:r>
            <w:r>
              <w:rPr>
                <w:rFonts w:ascii="Times New Roman" w:hAnsi="Times New Roman" w:eastAsia="Times New Roman" w:cs="Times New Roman"/>
                <w:b/>
                <w:bCs/>
                <w:spacing w:val="-3"/>
              </w:rPr>
              <w:t>m/s</w:t>
            </w:r>
            <w:r>
              <w:rPr>
                <w:b/>
                <w:bCs/>
                <w:spacing w:val="-3"/>
              </w:rPr>
              <w:t>）</w:t>
            </w:r>
          </w:p>
        </w:tc>
        <w:tc>
          <w:tcPr>
            <w:tcW w:w="1938" w:type="dxa"/>
            <w:gridSpan w:val="4"/>
            <w:vAlign w:val="top"/>
          </w:tcPr>
          <w:p w14:paraId="44542718">
            <w:pPr>
              <w:pStyle w:val="6"/>
              <w:spacing w:before="54" w:line="251" w:lineRule="auto"/>
              <w:ind w:left="510" w:right="504" w:firstLine="44"/>
            </w:pPr>
            <w:r>
              <w:rPr>
                <w:b/>
                <w:bCs/>
                <w:spacing w:val="-4"/>
              </w:rPr>
              <w:t>相对湿度</w:t>
            </w:r>
            <w:r>
              <w:rPr>
                <w:b/>
                <w:bCs/>
                <w:spacing w:val="-7"/>
              </w:rPr>
              <w:t>（</w:t>
            </w:r>
            <w:r>
              <w:rPr>
                <w:rFonts w:ascii="Times New Roman" w:hAnsi="Times New Roman" w:eastAsia="Times New Roman" w:cs="Times New Roman"/>
                <w:b/>
                <w:bCs/>
                <w:spacing w:val="-7"/>
              </w:rPr>
              <w:t>%HR</w:t>
            </w:r>
            <w:r>
              <w:rPr>
                <w:b/>
                <w:bCs/>
                <w:spacing w:val="-7"/>
              </w:rPr>
              <w:t>）</w:t>
            </w:r>
          </w:p>
        </w:tc>
        <w:tc>
          <w:tcPr>
            <w:tcW w:w="1291" w:type="dxa"/>
            <w:gridSpan w:val="2"/>
            <w:vAlign w:val="top"/>
          </w:tcPr>
          <w:p w14:paraId="492CE3B0">
            <w:pPr>
              <w:pStyle w:val="6"/>
              <w:spacing w:before="212" w:line="221" w:lineRule="auto"/>
              <w:ind w:left="237"/>
            </w:pPr>
            <w:r>
              <w:rPr>
                <w:b/>
                <w:bCs/>
                <w:spacing w:val="-4"/>
              </w:rPr>
              <w:t>天气状况</w:t>
            </w:r>
          </w:p>
        </w:tc>
        <w:tc>
          <w:tcPr>
            <w:tcW w:w="120" w:type="dxa"/>
            <w:tcBorders>
              <w:top w:val="nil"/>
              <w:bottom w:val="nil"/>
            </w:tcBorders>
            <w:vAlign w:val="top"/>
          </w:tcPr>
          <w:p w14:paraId="28109F5D">
            <w:pPr>
              <w:rPr>
                <w:rFonts w:ascii="Arial"/>
                <w:sz w:val="21"/>
              </w:rPr>
            </w:pPr>
          </w:p>
        </w:tc>
      </w:tr>
      <w:tr w14:paraId="0BC2BD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65302A1F">
            <w:pPr>
              <w:rPr>
                <w:rFonts w:ascii="Arial"/>
                <w:sz w:val="21"/>
              </w:rPr>
            </w:pPr>
          </w:p>
        </w:tc>
        <w:tc>
          <w:tcPr>
            <w:tcW w:w="113" w:type="dxa"/>
            <w:tcBorders>
              <w:top w:val="nil"/>
              <w:bottom w:val="nil"/>
            </w:tcBorders>
            <w:vAlign w:val="top"/>
          </w:tcPr>
          <w:p w14:paraId="6645DF66">
            <w:pPr>
              <w:rPr>
                <w:rFonts w:ascii="Arial"/>
                <w:sz w:val="21"/>
              </w:rPr>
            </w:pPr>
          </w:p>
        </w:tc>
        <w:tc>
          <w:tcPr>
            <w:tcW w:w="1807" w:type="dxa"/>
            <w:gridSpan w:val="3"/>
            <w:vAlign w:val="top"/>
          </w:tcPr>
          <w:p w14:paraId="08957C39">
            <w:pPr>
              <w:spacing w:before="89" w:line="220" w:lineRule="auto"/>
              <w:ind w:left="24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2025.4.</w:t>
            </w:r>
            <w:r>
              <w:rPr>
                <w:rFonts w:ascii="Times New Roman" w:hAnsi="Times New Roman" w:eastAsia="Times New Roman" w:cs="Times New Roman"/>
                <w:spacing w:val="-27"/>
                <w:sz w:val="21"/>
                <w:szCs w:val="21"/>
              </w:rPr>
              <w:t xml:space="preserve"> </w:t>
            </w:r>
            <w:r>
              <w:rPr>
                <w:rFonts w:ascii="Times New Roman" w:hAnsi="Times New Roman" w:eastAsia="Times New Roman" w:cs="Times New Roman"/>
                <w:spacing w:val="-2"/>
                <w:sz w:val="21"/>
                <w:szCs w:val="21"/>
              </w:rPr>
              <w:t>10~4.12</w:t>
            </w:r>
          </w:p>
        </w:tc>
        <w:tc>
          <w:tcPr>
            <w:tcW w:w="1684" w:type="dxa"/>
            <w:gridSpan w:val="2"/>
            <w:vAlign w:val="top"/>
          </w:tcPr>
          <w:p w14:paraId="77813DEA">
            <w:pPr>
              <w:spacing w:before="89" w:line="220" w:lineRule="auto"/>
              <w:ind w:left="41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22.6~32.2</w:t>
            </w:r>
          </w:p>
        </w:tc>
        <w:tc>
          <w:tcPr>
            <w:tcW w:w="1554" w:type="dxa"/>
            <w:gridSpan w:val="2"/>
            <w:vAlign w:val="top"/>
          </w:tcPr>
          <w:p w14:paraId="243B02FD">
            <w:pPr>
              <w:spacing w:before="89" w:line="220" w:lineRule="auto"/>
              <w:ind w:left="4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0.3~4.0</w:t>
            </w:r>
          </w:p>
        </w:tc>
        <w:tc>
          <w:tcPr>
            <w:tcW w:w="1938" w:type="dxa"/>
            <w:gridSpan w:val="4"/>
            <w:vAlign w:val="top"/>
          </w:tcPr>
          <w:p w14:paraId="68EFBC24">
            <w:pPr>
              <w:spacing w:before="89" w:line="220" w:lineRule="auto"/>
              <w:ind w:left="64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13~29.3</w:t>
            </w:r>
          </w:p>
        </w:tc>
        <w:tc>
          <w:tcPr>
            <w:tcW w:w="1291" w:type="dxa"/>
            <w:gridSpan w:val="2"/>
            <w:vAlign w:val="top"/>
          </w:tcPr>
          <w:p w14:paraId="07C6E934">
            <w:pPr>
              <w:pStyle w:val="6"/>
              <w:spacing w:before="54" w:line="221" w:lineRule="auto"/>
              <w:ind w:left="558"/>
            </w:pPr>
            <w:r>
              <w:t>晴</w:t>
            </w:r>
          </w:p>
        </w:tc>
        <w:tc>
          <w:tcPr>
            <w:tcW w:w="120" w:type="dxa"/>
            <w:tcBorders>
              <w:top w:val="nil"/>
              <w:bottom w:val="nil"/>
            </w:tcBorders>
            <w:vAlign w:val="top"/>
          </w:tcPr>
          <w:p w14:paraId="1AFE1C84">
            <w:pPr>
              <w:rPr>
                <w:rFonts w:ascii="Arial"/>
                <w:sz w:val="21"/>
              </w:rPr>
            </w:pPr>
          </w:p>
        </w:tc>
      </w:tr>
      <w:tr w14:paraId="76379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0" w:hRule="atLeast"/>
        </w:trPr>
        <w:tc>
          <w:tcPr>
            <w:tcW w:w="571" w:type="dxa"/>
            <w:vMerge w:val="continue"/>
            <w:tcBorders>
              <w:top w:val="nil"/>
              <w:bottom w:val="nil"/>
            </w:tcBorders>
            <w:vAlign w:val="top"/>
          </w:tcPr>
          <w:p w14:paraId="1ACE0603">
            <w:pPr>
              <w:rPr>
                <w:rFonts w:ascii="Arial"/>
                <w:sz w:val="21"/>
              </w:rPr>
            </w:pPr>
          </w:p>
        </w:tc>
        <w:tc>
          <w:tcPr>
            <w:tcW w:w="8507" w:type="dxa"/>
            <w:gridSpan w:val="15"/>
            <w:vAlign w:val="top"/>
          </w:tcPr>
          <w:p w14:paraId="4AC23402">
            <w:pPr>
              <w:pStyle w:val="6"/>
              <w:spacing w:before="118" w:line="234"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6</w:t>
            </w:r>
            <w:r>
              <w:rPr>
                <w:b/>
                <w:bCs/>
                <w:spacing w:val="-4"/>
                <w:sz w:val="24"/>
                <w:szCs w:val="24"/>
              </w:rPr>
              <w:t>）监测结果及分析</w:t>
            </w:r>
          </w:p>
          <w:p w14:paraId="405B0FFB">
            <w:pPr>
              <w:pStyle w:val="6"/>
              <w:spacing w:before="171" w:line="219" w:lineRule="auto"/>
              <w:ind w:left="593"/>
              <w:rPr>
                <w:sz w:val="24"/>
                <w:szCs w:val="24"/>
              </w:rPr>
            </w:pPr>
            <w:r>
              <w:rPr>
                <w:spacing w:val="-4"/>
                <w:sz w:val="24"/>
                <w:szCs w:val="24"/>
              </w:rPr>
              <w:t>本次现状监测结果见下表。</w:t>
            </w:r>
          </w:p>
          <w:p w14:paraId="6A2DB05C">
            <w:pPr>
              <w:pStyle w:val="6"/>
              <w:spacing w:before="124" w:line="226" w:lineRule="auto"/>
              <w:ind w:left="1927"/>
              <w:rPr>
                <w:rFonts w:ascii="仿宋" w:hAnsi="仿宋" w:eastAsia="仿宋" w:cs="仿宋"/>
              </w:rPr>
            </w:pPr>
            <w:r>
              <w:rPr>
                <w:b/>
                <w:bCs/>
                <w:spacing w:val="-4"/>
              </w:rPr>
              <w:t>表</w:t>
            </w:r>
            <w:r>
              <w:rPr>
                <w:spacing w:val="-51"/>
              </w:rPr>
              <w:t xml:space="preserve"> </w:t>
            </w:r>
            <w:r>
              <w:rPr>
                <w:rFonts w:ascii="Times New Roman" w:hAnsi="Times New Roman" w:eastAsia="Times New Roman" w:cs="Times New Roman"/>
                <w:b/>
                <w:bCs/>
                <w:spacing w:val="-4"/>
              </w:rPr>
              <w:t xml:space="preserve">3-4    </w:t>
            </w:r>
            <w:r>
              <w:rPr>
                <w:b/>
                <w:bCs/>
                <w:spacing w:val="-4"/>
              </w:rPr>
              <w:t>项目声环境现状监测结果</w:t>
            </w:r>
            <w:r>
              <w:rPr>
                <w:spacing w:val="-4"/>
              </w:rPr>
              <w:t xml:space="preserve">  </w:t>
            </w:r>
            <w:r>
              <w:rPr>
                <w:b/>
                <w:bCs/>
                <w:spacing w:val="-4"/>
              </w:rPr>
              <w:t>单位</w:t>
            </w:r>
            <w:r>
              <w:rPr>
                <w:b/>
                <w:bCs/>
                <w:spacing w:val="-5"/>
              </w:rPr>
              <w:t>：</w:t>
            </w:r>
            <w:r>
              <w:rPr>
                <w:rFonts w:ascii="Times New Roman" w:hAnsi="Times New Roman" w:eastAsia="Times New Roman" w:cs="Times New Roman"/>
                <w:b/>
                <w:bCs/>
                <w:spacing w:val="-5"/>
              </w:rPr>
              <w:t>dB</w:t>
            </w:r>
            <w:r>
              <w:rPr>
                <w:rFonts w:ascii="仿宋" w:hAnsi="仿宋" w:eastAsia="仿宋" w:cs="仿宋"/>
                <w:b/>
                <w:bCs/>
                <w:spacing w:val="-5"/>
              </w:rPr>
              <w:t>（</w:t>
            </w:r>
            <w:r>
              <w:rPr>
                <w:rFonts w:ascii="Times New Roman" w:hAnsi="Times New Roman" w:eastAsia="Times New Roman" w:cs="Times New Roman"/>
                <w:b/>
                <w:bCs/>
                <w:spacing w:val="-5"/>
              </w:rPr>
              <w:t>A</w:t>
            </w:r>
            <w:r>
              <w:rPr>
                <w:rFonts w:ascii="仿宋" w:hAnsi="仿宋" w:eastAsia="仿宋" w:cs="仿宋"/>
                <w:b/>
                <w:bCs/>
                <w:spacing w:val="-5"/>
              </w:rPr>
              <w:t>）</w:t>
            </w:r>
          </w:p>
        </w:tc>
      </w:tr>
      <w:tr w14:paraId="14E4B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3A80CCF9">
            <w:pPr>
              <w:rPr>
                <w:rFonts w:ascii="Arial"/>
                <w:sz w:val="21"/>
              </w:rPr>
            </w:pPr>
          </w:p>
        </w:tc>
        <w:tc>
          <w:tcPr>
            <w:tcW w:w="113" w:type="dxa"/>
            <w:tcBorders>
              <w:top w:val="nil"/>
              <w:bottom w:val="nil"/>
            </w:tcBorders>
            <w:vAlign w:val="top"/>
          </w:tcPr>
          <w:p w14:paraId="10300F97">
            <w:pPr>
              <w:rPr>
                <w:rFonts w:ascii="Arial"/>
                <w:sz w:val="21"/>
              </w:rPr>
            </w:pPr>
          </w:p>
        </w:tc>
        <w:tc>
          <w:tcPr>
            <w:tcW w:w="681" w:type="dxa"/>
            <w:vAlign w:val="top"/>
          </w:tcPr>
          <w:p w14:paraId="590C4C28">
            <w:pPr>
              <w:pStyle w:val="6"/>
              <w:spacing w:before="54" w:line="221" w:lineRule="auto"/>
              <w:ind w:left="134"/>
            </w:pPr>
            <w:r>
              <w:rPr>
                <w:b/>
                <w:bCs/>
                <w:spacing w:val="-5"/>
              </w:rPr>
              <w:t>编号</w:t>
            </w:r>
          </w:p>
        </w:tc>
        <w:tc>
          <w:tcPr>
            <w:tcW w:w="4455" w:type="dxa"/>
            <w:gridSpan w:val="7"/>
            <w:vAlign w:val="top"/>
          </w:tcPr>
          <w:p w14:paraId="15F0EA5D">
            <w:pPr>
              <w:pStyle w:val="6"/>
              <w:spacing w:before="54" w:line="222" w:lineRule="auto"/>
              <w:ind w:left="1812"/>
            </w:pPr>
            <w:r>
              <w:rPr>
                <w:b/>
                <w:bCs/>
                <w:spacing w:val="-4"/>
              </w:rPr>
              <w:t>测点位置</w:t>
            </w:r>
          </w:p>
        </w:tc>
        <w:tc>
          <w:tcPr>
            <w:tcW w:w="1566" w:type="dxa"/>
            <w:gridSpan w:val="2"/>
            <w:vAlign w:val="top"/>
          </w:tcPr>
          <w:p w14:paraId="147E0544">
            <w:pPr>
              <w:pStyle w:val="6"/>
              <w:spacing w:before="55" w:line="223" w:lineRule="auto"/>
              <w:ind w:left="577"/>
            </w:pPr>
            <w:r>
              <w:rPr>
                <w:b/>
                <w:bCs/>
                <w:spacing w:val="-4"/>
              </w:rPr>
              <w:t>昼间</w:t>
            </w:r>
          </w:p>
        </w:tc>
        <w:tc>
          <w:tcPr>
            <w:tcW w:w="1572" w:type="dxa"/>
            <w:gridSpan w:val="3"/>
            <w:vAlign w:val="top"/>
          </w:tcPr>
          <w:p w14:paraId="2A68A567">
            <w:pPr>
              <w:pStyle w:val="6"/>
              <w:spacing w:before="54" w:line="221" w:lineRule="auto"/>
              <w:ind w:left="585"/>
            </w:pPr>
            <w:r>
              <w:rPr>
                <w:b/>
                <w:bCs/>
                <w:spacing w:val="-5"/>
              </w:rPr>
              <w:t>夜间</w:t>
            </w:r>
          </w:p>
        </w:tc>
        <w:tc>
          <w:tcPr>
            <w:tcW w:w="120" w:type="dxa"/>
            <w:tcBorders>
              <w:top w:val="nil"/>
              <w:bottom w:val="nil"/>
            </w:tcBorders>
            <w:vAlign w:val="top"/>
          </w:tcPr>
          <w:p w14:paraId="0FFDF147">
            <w:pPr>
              <w:rPr>
                <w:rFonts w:ascii="Arial"/>
                <w:sz w:val="21"/>
              </w:rPr>
            </w:pPr>
          </w:p>
        </w:tc>
      </w:tr>
      <w:tr w14:paraId="35040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51DC69CC">
            <w:pPr>
              <w:rPr>
                <w:rFonts w:ascii="Arial"/>
                <w:sz w:val="21"/>
              </w:rPr>
            </w:pPr>
          </w:p>
        </w:tc>
        <w:tc>
          <w:tcPr>
            <w:tcW w:w="113" w:type="dxa"/>
            <w:tcBorders>
              <w:top w:val="nil"/>
              <w:bottom w:val="nil"/>
            </w:tcBorders>
            <w:vAlign w:val="top"/>
          </w:tcPr>
          <w:p w14:paraId="0FC31DC9">
            <w:pPr>
              <w:rPr>
                <w:rFonts w:ascii="Arial"/>
                <w:sz w:val="21"/>
              </w:rPr>
            </w:pPr>
          </w:p>
        </w:tc>
        <w:tc>
          <w:tcPr>
            <w:tcW w:w="681" w:type="dxa"/>
            <w:vAlign w:val="top"/>
          </w:tcPr>
          <w:p w14:paraId="2B3B9046">
            <w:pPr>
              <w:spacing w:before="93" w:line="187"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N1</w:t>
            </w:r>
          </w:p>
        </w:tc>
        <w:tc>
          <w:tcPr>
            <w:tcW w:w="4455" w:type="dxa"/>
            <w:gridSpan w:val="7"/>
            <w:vAlign w:val="top"/>
          </w:tcPr>
          <w:p w14:paraId="07E01062">
            <w:pPr>
              <w:pStyle w:val="6"/>
              <w:spacing w:before="54" w:line="220" w:lineRule="auto"/>
              <w:ind w:left="978"/>
            </w:pPr>
            <w:r>
              <w:rPr>
                <w:spacing w:val="-1"/>
              </w:rPr>
              <w:t>乐业镇黑山村大黑山居民点</w:t>
            </w:r>
          </w:p>
        </w:tc>
        <w:tc>
          <w:tcPr>
            <w:tcW w:w="1566" w:type="dxa"/>
            <w:gridSpan w:val="2"/>
            <w:vAlign w:val="top"/>
          </w:tcPr>
          <w:p w14:paraId="6CB40AC8">
            <w:pPr>
              <w:spacing w:before="89" w:line="220" w:lineRule="auto"/>
              <w:ind w:left="67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w:t>
            </w:r>
          </w:p>
        </w:tc>
        <w:tc>
          <w:tcPr>
            <w:tcW w:w="1572" w:type="dxa"/>
            <w:gridSpan w:val="3"/>
            <w:vAlign w:val="top"/>
          </w:tcPr>
          <w:p w14:paraId="43718867">
            <w:pPr>
              <w:spacing w:before="89" w:line="220" w:lineRule="auto"/>
              <w:ind w:left="68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w:t>
            </w:r>
          </w:p>
        </w:tc>
        <w:tc>
          <w:tcPr>
            <w:tcW w:w="120" w:type="dxa"/>
            <w:tcBorders>
              <w:top w:val="nil"/>
              <w:bottom w:val="nil"/>
            </w:tcBorders>
            <w:vAlign w:val="top"/>
          </w:tcPr>
          <w:p w14:paraId="69083C1B">
            <w:pPr>
              <w:rPr>
                <w:rFonts w:ascii="Arial"/>
                <w:sz w:val="21"/>
              </w:rPr>
            </w:pPr>
          </w:p>
        </w:tc>
      </w:tr>
      <w:tr w14:paraId="0E0AFD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0AE29266">
            <w:pPr>
              <w:rPr>
                <w:rFonts w:ascii="Arial"/>
                <w:sz w:val="21"/>
              </w:rPr>
            </w:pPr>
          </w:p>
        </w:tc>
        <w:tc>
          <w:tcPr>
            <w:tcW w:w="113" w:type="dxa"/>
            <w:tcBorders>
              <w:top w:val="nil"/>
              <w:bottom w:val="nil"/>
            </w:tcBorders>
            <w:vAlign w:val="top"/>
          </w:tcPr>
          <w:p w14:paraId="1D334747">
            <w:pPr>
              <w:rPr>
                <w:rFonts w:ascii="Arial"/>
                <w:sz w:val="21"/>
              </w:rPr>
            </w:pPr>
          </w:p>
        </w:tc>
        <w:tc>
          <w:tcPr>
            <w:tcW w:w="681" w:type="dxa"/>
            <w:vAlign w:val="top"/>
          </w:tcPr>
          <w:p w14:paraId="18FA4193">
            <w:pPr>
              <w:spacing w:before="93" w:line="187"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N2</w:t>
            </w:r>
          </w:p>
        </w:tc>
        <w:tc>
          <w:tcPr>
            <w:tcW w:w="4455" w:type="dxa"/>
            <w:gridSpan w:val="7"/>
            <w:vAlign w:val="top"/>
          </w:tcPr>
          <w:p w14:paraId="1F96B8A6">
            <w:pPr>
              <w:pStyle w:val="6"/>
              <w:spacing w:before="55" w:line="220" w:lineRule="auto"/>
              <w:ind w:left="1083"/>
            </w:pPr>
            <w:r>
              <w:rPr>
                <w:spacing w:val="-1"/>
              </w:rPr>
              <w:t>乐业镇黑山村坝上居民点</w:t>
            </w:r>
          </w:p>
        </w:tc>
        <w:tc>
          <w:tcPr>
            <w:tcW w:w="1566" w:type="dxa"/>
            <w:gridSpan w:val="2"/>
            <w:vAlign w:val="top"/>
          </w:tcPr>
          <w:p w14:paraId="7CEEC57D">
            <w:pPr>
              <w:spacing w:before="90" w:line="217" w:lineRule="auto"/>
              <w:ind w:left="67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c>
          <w:tcPr>
            <w:tcW w:w="1572" w:type="dxa"/>
            <w:gridSpan w:val="3"/>
            <w:vAlign w:val="top"/>
          </w:tcPr>
          <w:p w14:paraId="08ECB997">
            <w:pPr>
              <w:spacing w:before="90" w:line="217" w:lineRule="auto"/>
              <w:ind w:left="68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120" w:type="dxa"/>
            <w:tcBorders>
              <w:top w:val="nil"/>
              <w:bottom w:val="nil"/>
            </w:tcBorders>
            <w:vAlign w:val="top"/>
          </w:tcPr>
          <w:p w14:paraId="2E48509A">
            <w:pPr>
              <w:rPr>
                <w:rFonts w:ascii="Arial"/>
                <w:sz w:val="21"/>
              </w:rPr>
            </w:pPr>
          </w:p>
        </w:tc>
      </w:tr>
      <w:tr w14:paraId="080413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76702A8">
            <w:pPr>
              <w:rPr>
                <w:rFonts w:ascii="Arial"/>
                <w:sz w:val="21"/>
              </w:rPr>
            </w:pPr>
          </w:p>
        </w:tc>
        <w:tc>
          <w:tcPr>
            <w:tcW w:w="113" w:type="dxa"/>
            <w:tcBorders>
              <w:top w:val="nil"/>
              <w:bottom w:val="nil"/>
            </w:tcBorders>
            <w:vAlign w:val="top"/>
          </w:tcPr>
          <w:p w14:paraId="45954F93">
            <w:pPr>
              <w:rPr>
                <w:rFonts w:ascii="Arial"/>
                <w:sz w:val="21"/>
              </w:rPr>
            </w:pPr>
          </w:p>
        </w:tc>
        <w:tc>
          <w:tcPr>
            <w:tcW w:w="681" w:type="dxa"/>
            <w:vAlign w:val="top"/>
          </w:tcPr>
          <w:p w14:paraId="506250B1">
            <w:pPr>
              <w:spacing w:before="96" w:line="187"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N3</w:t>
            </w:r>
          </w:p>
        </w:tc>
        <w:tc>
          <w:tcPr>
            <w:tcW w:w="4455" w:type="dxa"/>
            <w:gridSpan w:val="7"/>
            <w:vAlign w:val="top"/>
          </w:tcPr>
          <w:p w14:paraId="7A086C94">
            <w:pPr>
              <w:pStyle w:val="6"/>
              <w:spacing w:before="57" w:line="220" w:lineRule="auto"/>
              <w:ind w:left="1083"/>
            </w:pPr>
            <w:r>
              <w:rPr>
                <w:spacing w:val="-1"/>
              </w:rPr>
              <w:t>乐业镇黑山村小街居民点</w:t>
            </w:r>
          </w:p>
        </w:tc>
        <w:tc>
          <w:tcPr>
            <w:tcW w:w="1566" w:type="dxa"/>
            <w:gridSpan w:val="2"/>
            <w:vAlign w:val="top"/>
          </w:tcPr>
          <w:p w14:paraId="2EB60005">
            <w:pPr>
              <w:spacing w:before="92" w:line="217" w:lineRule="auto"/>
              <w:ind w:left="67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1572" w:type="dxa"/>
            <w:gridSpan w:val="3"/>
            <w:vAlign w:val="top"/>
          </w:tcPr>
          <w:p w14:paraId="06DE0080">
            <w:pPr>
              <w:spacing w:before="92" w:line="217" w:lineRule="auto"/>
              <w:ind w:left="68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20" w:type="dxa"/>
            <w:tcBorders>
              <w:top w:val="nil"/>
              <w:bottom w:val="nil"/>
            </w:tcBorders>
            <w:vAlign w:val="top"/>
          </w:tcPr>
          <w:p w14:paraId="729DECA9">
            <w:pPr>
              <w:rPr>
                <w:rFonts w:ascii="Arial"/>
                <w:sz w:val="21"/>
              </w:rPr>
            </w:pPr>
          </w:p>
        </w:tc>
      </w:tr>
      <w:tr w14:paraId="1BDD9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00C1F387">
            <w:pPr>
              <w:rPr>
                <w:rFonts w:ascii="Arial"/>
                <w:sz w:val="21"/>
              </w:rPr>
            </w:pPr>
          </w:p>
        </w:tc>
        <w:tc>
          <w:tcPr>
            <w:tcW w:w="113" w:type="dxa"/>
            <w:tcBorders>
              <w:top w:val="nil"/>
              <w:bottom w:val="nil"/>
            </w:tcBorders>
            <w:vAlign w:val="top"/>
          </w:tcPr>
          <w:p w14:paraId="38206BA8">
            <w:pPr>
              <w:rPr>
                <w:rFonts w:ascii="Arial"/>
                <w:sz w:val="21"/>
              </w:rPr>
            </w:pPr>
          </w:p>
        </w:tc>
        <w:tc>
          <w:tcPr>
            <w:tcW w:w="681" w:type="dxa"/>
            <w:vAlign w:val="top"/>
          </w:tcPr>
          <w:p w14:paraId="67B1ADE5">
            <w:pPr>
              <w:spacing w:before="94" w:line="187"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N4</w:t>
            </w:r>
          </w:p>
        </w:tc>
        <w:tc>
          <w:tcPr>
            <w:tcW w:w="4455" w:type="dxa"/>
            <w:gridSpan w:val="7"/>
            <w:vAlign w:val="top"/>
          </w:tcPr>
          <w:p w14:paraId="03273B3A">
            <w:pPr>
              <w:pStyle w:val="6"/>
              <w:spacing w:before="55" w:line="220" w:lineRule="auto"/>
              <w:ind w:left="1076"/>
            </w:pPr>
            <w:r>
              <w:rPr>
                <w:spacing w:val="-1"/>
              </w:rPr>
              <w:t>迤车镇索桥村后沟居民点</w:t>
            </w:r>
          </w:p>
        </w:tc>
        <w:tc>
          <w:tcPr>
            <w:tcW w:w="1566" w:type="dxa"/>
            <w:gridSpan w:val="2"/>
            <w:vAlign w:val="top"/>
          </w:tcPr>
          <w:p w14:paraId="4631D416">
            <w:pPr>
              <w:spacing w:before="90" w:line="219" w:lineRule="auto"/>
              <w:ind w:left="68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53</w:t>
            </w:r>
          </w:p>
        </w:tc>
        <w:tc>
          <w:tcPr>
            <w:tcW w:w="1572" w:type="dxa"/>
            <w:gridSpan w:val="3"/>
            <w:vAlign w:val="top"/>
          </w:tcPr>
          <w:p w14:paraId="5F28C0C6">
            <w:pPr>
              <w:spacing w:before="90" w:line="219" w:lineRule="auto"/>
              <w:ind w:left="68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20" w:type="dxa"/>
            <w:tcBorders>
              <w:top w:val="nil"/>
              <w:bottom w:val="nil"/>
            </w:tcBorders>
            <w:vAlign w:val="top"/>
          </w:tcPr>
          <w:p w14:paraId="057E7636">
            <w:pPr>
              <w:rPr>
                <w:rFonts w:ascii="Arial"/>
                <w:sz w:val="21"/>
              </w:rPr>
            </w:pPr>
          </w:p>
        </w:tc>
      </w:tr>
      <w:tr w14:paraId="32673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B8457A8">
            <w:pPr>
              <w:rPr>
                <w:rFonts w:ascii="Arial"/>
                <w:sz w:val="21"/>
              </w:rPr>
            </w:pPr>
          </w:p>
        </w:tc>
        <w:tc>
          <w:tcPr>
            <w:tcW w:w="113" w:type="dxa"/>
            <w:tcBorders>
              <w:top w:val="nil"/>
              <w:bottom w:val="nil"/>
            </w:tcBorders>
            <w:vAlign w:val="top"/>
          </w:tcPr>
          <w:p w14:paraId="45B62032">
            <w:pPr>
              <w:rPr>
                <w:rFonts w:ascii="Arial"/>
                <w:sz w:val="21"/>
              </w:rPr>
            </w:pPr>
          </w:p>
        </w:tc>
        <w:tc>
          <w:tcPr>
            <w:tcW w:w="681" w:type="dxa"/>
            <w:vAlign w:val="top"/>
          </w:tcPr>
          <w:p w14:paraId="3AD43CF8">
            <w:pPr>
              <w:spacing w:before="97" w:line="184"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N5</w:t>
            </w:r>
          </w:p>
        </w:tc>
        <w:tc>
          <w:tcPr>
            <w:tcW w:w="4455" w:type="dxa"/>
            <w:gridSpan w:val="7"/>
            <w:vAlign w:val="top"/>
          </w:tcPr>
          <w:p w14:paraId="323FCC6B">
            <w:pPr>
              <w:pStyle w:val="6"/>
              <w:spacing w:before="55" w:line="221" w:lineRule="auto"/>
              <w:ind w:left="1291"/>
            </w:pPr>
            <w:r>
              <w:rPr>
                <w:spacing w:val="-2"/>
              </w:rPr>
              <w:t>原者迤Ⅰ回改接点处</w:t>
            </w:r>
          </w:p>
        </w:tc>
        <w:tc>
          <w:tcPr>
            <w:tcW w:w="1566" w:type="dxa"/>
            <w:gridSpan w:val="2"/>
            <w:vAlign w:val="top"/>
          </w:tcPr>
          <w:p w14:paraId="62C2FE07">
            <w:pPr>
              <w:spacing w:before="91" w:line="218" w:lineRule="auto"/>
              <w:ind w:left="68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1572" w:type="dxa"/>
            <w:gridSpan w:val="3"/>
            <w:vAlign w:val="top"/>
          </w:tcPr>
          <w:p w14:paraId="4967E2ED">
            <w:pPr>
              <w:spacing w:before="91" w:line="218" w:lineRule="auto"/>
              <w:ind w:left="68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20" w:type="dxa"/>
            <w:tcBorders>
              <w:top w:val="nil"/>
              <w:bottom w:val="nil"/>
            </w:tcBorders>
            <w:vAlign w:val="top"/>
          </w:tcPr>
          <w:p w14:paraId="3EDC850A">
            <w:pPr>
              <w:rPr>
                <w:rFonts w:ascii="Arial"/>
                <w:sz w:val="21"/>
              </w:rPr>
            </w:pPr>
          </w:p>
        </w:tc>
      </w:tr>
      <w:tr w14:paraId="0BAAF3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5335F22C">
            <w:pPr>
              <w:rPr>
                <w:rFonts w:ascii="Arial"/>
                <w:sz w:val="21"/>
              </w:rPr>
            </w:pPr>
          </w:p>
        </w:tc>
        <w:tc>
          <w:tcPr>
            <w:tcW w:w="113" w:type="dxa"/>
            <w:tcBorders>
              <w:top w:val="nil"/>
              <w:bottom w:val="nil"/>
            </w:tcBorders>
            <w:vAlign w:val="top"/>
          </w:tcPr>
          <w:p w14:paraId="6D4B9CBC">
            <w:pPr>
              <w:rPr>
                <w:rFonts w:ascii="Arial"/>
                <w:sz w:val="21"/>
              </w:rPr>
            </w:pPr>
          </w:p>
        </w:tc>
        <w:tc>
          <w:tcPr>
            <w:tcW w:w="681" w:type="dxa"/>
            <w:vAlign w:val="top"/>
          </w:tcPr>
          <w:p w14:paraId="3AF3FA3D">
            <w:pPr>
              <w:spacing w:before="95" w:line="187"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N6</w:t>
            </w:r>
          </w:p>
        </w:tc>
        <w:tc>
          <w:tcPr>
            <w:tcW w:w="4455" w:type="dxa"/>
            <w:gridSpan w:val="7"/>
            <w:vAlign w:val="top"/>
          </w:tcPr>
          <w:p w14:paraId="291CFE8B">
            <w:pPr>
              <w:pStyle w:val="6"/>
              <w:spacing w:before="56" w:line="222" w:lineRule="auto"/>
              <w:ind w:left="1395"/>
            </w:pPr>
            <w:r>
              <w:rPr>
                <w:spacing w:val="-2"/>
              </w:rPr>
              <w:t>与者迤Ⅱ回交叉点</w:t>
            </w:r>
          </w:p>
        </w:tc>
        <w:tc>
          <w:tcPr>
            <w:tcW w:w="1566" w:type="dxa"/>
            <w:gridSpan w:val="2"/>
            <w:vAlign w:val="top"/>
          </w:tcPr>
          <w:p w14:paraId="1E57A617">
            <w:pPr>
              <w:spacing w:before="91" w:line="218" w:lineRule="auto"/>
              <w:ind w:left="67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1572" w:type="dxa"/>
            <w:gridSpan w:val="3"/>
            <w:vAlign w:val="top"/>
          </w:tcPr>
          <w:p w14:paraId="000E6A06">
            <w:pPr>
              <w:spacing w:before="91"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120" w:type="dxa"/>
            <w:tcBorders>
              <w:top w:val="nil"/>
              <w:bottom w:val="nil"/>
            </w:tcBorders>
            <w:vAlign w:val="top"/>
          </w:tcPr>
          <w:p w14:paraId="3F4BFFA4">
            <w:pPr>
              <w:rPr>
                <w:rFonts w:ascii="Arial"/>
                <w:sz w:val="21"/>
              </w:rPr>
            </w:pPr>
          </w:p>
        </w:tc>
      </w:tr>
      <w:tr w14:paraId="72F27F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78D239B8">
            <w:pPr>
              <w:rPr>
                <w:rFonts w:ascii="Arial"/>
                <w:sz w:val="21"/>
              </w:rPr>
            </w:pPr>
          </w:p>
        </w:tc>
        <w:tc>
          <w:tcPr>
            <w:tcW w:w="113" w:type="dxa"/>
            <w:tcBorders>
              <w:top w:val="nil"/>
              <w:bottom w:val="nil"/>
            </w:tcBorders>
            <w:vAlign w:val="top"/>
          </w:tcPr>
          <w:p w14:paraId="2A72A97D">
            <w:pPr>
              <w:rPr>
                <w:rFonts w:ascii="Arial"/>
                <w:sz w:val="21"/>
              </w:rPr>
            </w:pPr>
          </w:p>
        </w:tc>
        <w:tc>
          <w:tcPr>
            <w:tcW w:w="681" w:type="dxa"/>
            <w:vAlign w:val="top"/>
          </w:tcPr>
          <w:p w14:paraId="039E56A4">
            <w:pPr>
              <w:spacing w:before="98" w:line="184"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N7</w:t>
            </w:r>
          </w:p>
        </w:tc>
        <w:tc>
          <w:tcPr>
            <w:tcW w:w="4455" w:type="dxa"/>
            <w:gridSpan w:val="7"/>
            <w:vAlign w:val="top"/>
          </w:tcPr>
          <w:p w14:paraId="47D19C9E">
            <w:pPr>
              <w:pStyle w:val="6"/>
              <w:spacing w:before="57" w:line="223" w:lineRule="auto"/>
              <w:ind w:left="1422"/>
              <w:rPr>
                <w:rFonts w:ascii="Times New Roman" w:hAnsi="Times New Roman" w:eastAsia="Times New Roman" w:cs="Times New Roman"/>
              </w:rPr>
            </w:pPr>
            <w:r>
              <w:rPr>
                <w:spacing w:val="-2"/>
              </w:rPr>
              <w:t>与大迤线交叉点</w:t>
            </w:r>
            <w:r>
              <w:rPr>
                <w:spacing w:val="-24"/>
              </w:rPr>
              <w:t xml:space="preserve"> </w:t>
            </w:r>
            <w:r>
              <w:rPr>
                <w:rFonts w:ascii="Times New Roman" w:hAnsi="Times New Roman" w:eastAsia="Times New Roman" w:cs="Times New Roman"/>
                <w:spacing w:val="-2"/>
              </w:rPr>
              <w:t>1</w:t>
            </w:r>
          </w:p>
        </w:tc>
        <w:tc>
          <w:tcPr>
            <w:tcW w:w="1566" w:type="dxa"/>
            <w:gridSpan w:val="2"/>
            <w:vAlign w:val="top"/>
          </w:tcPr>
          <w:p w14:paraId="4A8E3B73">
            <w:pPr>
              <w:spacing w:before="91" w:line="218" w:lineRule="auto"/>
              <w:ind w:left="67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w:t>
            </w:r>
          </w:p>
        </w:tc>
        <w:tc>
          <w:tcPr>
            <w:tcW w:w="1572" w:type="dxa"/>
            <w:gridSpan w:val="3"/>
            <w:vAlign w:val="top"/>
          </w:tcPr>
          <w:p w14:paraId="3DBFF2F5">
            <w:pPr>
              <w:spacing w:before="91" w:line="218" w:lineRule="auto"/>
              <w:ind w:left="68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20" w:type="dxa"/>
            <w:tcBorders>
              <w:top w:val="nil"/>
              <w:bottom w:val="nil"/>
            </w:tcBorders>
            <w:vAlign w:val="top"/>
          </w:tcPr>
          <w:p w14:paraId="2D7E1A7C">
            <w:pPr>
              <w:rPr>
                <w:rFonts w:ascii="Arial"/>
                <w:sz w:val="21"/>
              </w:rPr>
            </w:pPr>
          </w:p>
        </w:tc>
      </w:tr>
      <w:tr w14:paraId="7D830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020216E3">
            <w:pPr>
              <w:rPr>
                <w:rFonts w:ascii="Arial"/>
                <w:sz w:val="21"/>
              </w:rPr>
            </w:pPr>
          </w:p>
        </w:tc>
        <w:tc>
          <w:tcPr>
            <w:tcW w:w="113" w:type="dxa"/>
            <w:tcBorders>
              <w:top w:val="nil"/>
              <w:bottom w:val="nil"/>
            </w:tcBorders>
            <w:vAlign w:val="top"/>
          </w:tcPr>
          <w:p w14:paraId="76D0EA30">
            <w:pPr>
              <w:rPr>
                <w:rFonts w:ascii="Arial"/>
                <w:sz w:val="21"/>
              </w:rPr>
            </w:pPr>
          </w:p>
        </w:tc>
        <w:tc>
          <w:tcPr>
            <w:tcW w:w="681" w:type="dxa"/>
            <w:vAlign w:val="top"/>
          </w:tcPr>
          <w:p w14:paraId="3F8A349A">
            <w:pPr>
              <w:spacing w:before="95" w:line="187"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N8</w:t>
            </w:r>
          </w:p>
        </w:tc>
        <w:tc>
          <w:tcPr>
            <w:tcW w:w="4455" w:type="dxa"/>
            <w:gridSpan w:val="7"/>
            <w:vAlign w:val="top"/>
          </w:tcPr>
          <w:p w14:paraId="67AECF44">
            <w:pPr>
              <w:pStyle w:val="6"/>
              <w:spacing w:before="57" w:line="221" w:lineRule="auto"/>
              <w:ind w:left="1422"/>
              <w:rPr>
                <w:rFonts w:ascii="Times New Roman" w:hAnsi="Times New Roman" w:eastAsia="Times New Roman" w:cs="Times New Roman"/>
              </w:rPr>
            </w:pPr>
            <w:r>
              <w:rPr>
                <w:spacing w:val="-2"/>
              </w:rPr>
              <w:t>与大迤线交叉点</w:t>
            </w:r>
            <w:r>
              <w:rPr>
                <w:spacing w:val="-44"/>
              </w:rPr>
              <w:t xml:space="preserve"> </w:t>
            </w:r>
            <w:r>
              <w:rPr>
                <w:rFonts w:ascii="Times New Roman" w:hAnsi="Times New Roman" w:eastAsia="Times New Roman" w:cs="Times New Roman"/>
                <w:spacing w:val="-2"/>
              </w:rPr>
              <w:t>2</w:t>
            </w:r>
          </w:p>
        </w:tc>
        <w:tc>
          <w:tcPr>
            <w:tcW w:w="1566" w:type="dxa"/>
            <w:gridSpan w:val="2"/>
            <w:vAlign w:val="top"/>
          </w:tcPr>
          <w:p w14:paraId="11B11C47">
            <w:pPr>
              <w:spacing w:before="92" w:line="215" w:lineRule="auto"/>
              <w:ind w:left="67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w:t>
            </w:r>
          </w:p>
        </w:tc>
        <w:tc>
          <w:tcPr>
            <w:tcW w:w="1572" w:type="dxa"/>
            <w:gridSpan w:val="3"/>
            <w:vAlign w:val="top"/>
          </w:tcPr>
          <w:p w14:paraId="42051411">
            <w:pPr>
              <w:spacing w:before="92" w:line="215" w:lineRule="auto"/>
              <w:ind w:left="68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w:t>
            </w:r>
          </w:p>
        </w:tc>
        <w:tc>
          <w:tcPr>
            <w:tcW w:w="120" w:type="dxa"/>
            <w:tcBorders>
              <w:top w:val="nil"/>
              <w:bottom w:val="nil"/>
            </w:tcBorders>
            <w:vAlign w:val="top"/>
          </w:tcPr>
          <w:p w14:paraId="44DA0258">
            <w:pPr>
              <w:rPr>
                <w:rFonts w:ascii="Arial"/>
                <w:sz w:val="21"/>
              </w:rPr>
            </w:pPr>
          </w:p>
        </w:tc>
      </w:tr>
      <w:tr w14:paraId="25E57E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69E62CA4">
            <w:pPr>
              <w:rPr>
                <w:rFonts w:ascii="Arial"/>
                <w:sz w:val="21"/>
              </w:rPr>
            </w:pPr>
          </w:p>
        </w:tc>
        <w:tc>
          <w:tcPr>
            <w:tcW w:w="113" w:type="dxa"/>
            <w:tcBorders>
              <w:top w:val="nil"/>
              <w:bottom w:val="nil"/>
            </w:tcBorders>
            <w:vAlign w:val="top"/>
          </w:tcPr>
          <w:p w14:paraId="4B8E63B0">
            <w:pPr>
              <w:rPr>
                <w:rFonts w:ascii="Arial"/>
                <w:sz w:val="21"/>
              </w:rPr>
            </w:pPr>
          </w:p>
        </w:tc>
        <w:tc>
          <w:tcPr>
            <w:tcW w:w="681" w:type="dxa"/>
            <w:vAlign w:val="top"/>
          </w:tcPr>
          <w:p w14:paraId="193DEFB3">
            <w:pPr>
              <w:spacing w:before="95" w:line="215" w:lineRule="auto"/>
              <w:ind w:left="20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N9</w:t>
            </w:r>
          </w:p>
        </w:tc>
        <w:tc>
          <w:tcPr>
            <w:tcW w:w="4455" w:type="dxa"/>
            <w:gridSpan w:val="7"/>
            <w:vAlign w:val="top"/>
          </w:tcPr>
          <w:p w14:paraId="565EA355">
            <w:pPr>
              <w:pStyle w:val="6"/>
              <w:spacing w:before="60" w:line="221" w:lineRule="auto"/>
              <w:ind w:left="1422"/>
              <w:rPr>
                <w:rFonts w:ascii="Times New Roman" w:hAnsi="Times New Roman" w:eastAsia="Times New Roman" w:cs="Times New Roman"/>
              </w:rPr>
            </w:pPr>
            <w:r>
              <w:rPr>
                <w:spacing w:val="-2"/>
              </w:rPr>
              <w:t>与大迤线交叉点</w:t>
            </w:r>
            <w:r>
              <w:rPr>
                <w:spacing w:val="-40"/>
              </w:rPr>
              <w:t xml:space="preserve"> </w:t>
            </w:r>
            <w:r>
              <w:rPr>
                <w:rFonts w:ascii="Times New Roman" w:hAnsi="Times New Roman" w:eastAsia="Times New Roman" w:cs="Times New Roman"/>
                <w:spacing w:val="-2"/>
              </w:rPr>
              <w:t>3</w:t>
            </w:r>
          </w:p>
        </w:tc>
        <w:tc>
          <w:tcPr>
            <w:tcW w:w="1566" w:type="dxa"/>
            <w:gridSpan w:val="2"/>
            <w:vAlign w:val="top"/>
          </w:tcPr>
          <w:p w14:paraId="10741A81">
            <w:pPr>
              <w:spacing w:before="95" w:line="215" w:lineRule="auto"/>
              <w:ind w:left="68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51</w:t>
            </w:r>
          </w:p>
        </w:tc>
        <w:tc>
          <w:tcPr>
            <w:tcW w:w="1572" w:type="dxa"/>
            <w:gridSpan w:val="3"/>
            <w:vAlign w:val="top"/>
          </w:tcPr>
          <w:p w14:paraId="7CC0DED6">
            <w:pPr>
              <w:spacing w:before="95" w:line="215" w:lineRule="auto"/>
              <w:ind w:left="68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20" w:type="dxa"/>
            <w:tcBorders>
              <w:top w:val="nil"/>
              <w:bottom w:val="nil"/>
            </w:tcBorders>
            <w:vAlign w:val="top"/>
          </w:tcPr>
          <w:p w14:paraId="5B79505C">
            <w:pPr>
              <w:rPr>
                <w:rFonts w:ascii="Arial"/>
                <w:sz w:val="21"/>
              </w:rPr>
            </w:pPr>
          </w:p>
        </w:tc>
      </w:tr>
      <w:tr w14:paraId="50469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6795F1DA">
            <w:pPr>
              <w:rPr>
                <w:rFonts w:ascii="Arial"/>
                <w:sz w:val="21"/>
              </w:rPr>
            </w:pPr>
          </w:p>
        </w:tc>
        <w:tc>
          <w:tcPr>
            <w:tcW w:w="113" w:type="dxa"/>
            <w:tcBorders>
              <w:top w:val="nil"/>
              <w:bottom w:val="nil"/>
            </w:tcBorders>
            <w:vAlign w:val="top"/>
          </w:tcPr>
          <w:p w14:paraId="5B636C39">
            <w:pPr>
              <w:rPr>
                <w:rFonts w:ascii="Arial"/>
                <w:sz w:val="21"/>
              </w:rPr>
            </w:pPr>
          </w:p>
        </w:tc>
        <w:tc>
          <w:tcPr>
            <w:tcW w:w="681" w:type="dxa"/>
            <w:vAlign w:val="top"/>
          </w:tcPr>
          <w:p w14:paraId="6A125ECA">
            <w:pPr>
              <w:spacing w:before="92" w:line="217" w:lineRule="auto"/>
              <w:ind w:left="15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N10</w:t>
            </w:r>
          </w:p>
        </w:tc>
        <w:tc>
          <w:tcPr>
            <w:tcW w:w="4455" w:type="dxa"/>
            <w:gridSpan w:val="7"/>
            <w:vAlign w:val="top"/>
          </w:tcPr>
          <w:p w14:paraId="1E6FE0EA">
            <w:pPr>
              <w:pStyle w:val="6"/>
              <w:spacing w:before="57" w:line="223" w:lineRule="auto"/>
              <w:ind w:left="1422"/>
              <w:rPr>
                <w:rFonts w:ascii="Times New Roman" w:hAnsi="Times New Roman" w:eastAsia="Times New Roman" w:cs="Times New Roman"/>
              </w:rPr>
            </w:pPr>
            <w:r>
              <w:rPr>
                <w:spacing w:val="-2"/>
              </w:rPr>
              <w:t>与赖迤线交叉点</w:t>
            </w:r>
            <w:r>
              <w:rPr>
                <w:spacing w:val="-24"/>
              </w:rPr>
              <w:t xml:space="preserve"> </w:t>
            </w:r>
            <w:r>
              <w:rPr>
                <w:rFonts w:ascii="Times New Roman" w:hAnsi="Times New Roman" w:eastAsia="Times New Roman" w:cs="Times New Roman"/>
                <w:spacing w:val="-2"/>
              </w:rPr>
              <w:t>1</w:t>
            </w:r>
          </w:p>
        </w:tc>
        <w:tc>
          <w:tcPr>
            <w:tcW w:w="1566" w:type="dxa"/>
            <w:gridSpan w:val="2"/>
            <w:vAlign w:val="top"/>
          </w:tcPr>
          <w:p w14:paraId="6F2E2FEB">
            <w:pPr>
              <w:spacing w:before="92" w:line="217" w:lineRule="auto"/>
              <w:ind w:left="68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52</w:t>
            </w:r>
          </w:p>
        </w:tc>
        <w:tc>
          <w:tcPr>
            <w:tcW w:w="1572" w:type="dxa"/>
            <w:gridSpan w:val="3"/>
            <w:vAlign w:val="top"/>
          </w:tcPr>
          <w:p w14:paraId="3564E60D">
            <w:pPr>
              <w:spacing w:before="92" w:line="217" w:lineRule="auto"/>
              <w:ind w:left="68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20" w:type="dxa"/>
            <w:tcBorders>
              <w:top w:val="nil"/>
              <w:bottom w:val="nil"/>
            </w:tcBorders>
            <w:vAlign w:val="top"/>
          </w:tcPr>
          <w:p w14:paraId="7F290DAA">
            <w:pPr>
              <w:rPr>
                <w:rFonts w:ascii="Arial"/>
                <w:sz w:val="21"/>
              </w:rPr>
            </w:pPr>
          </w:p>
        </w:tc>
      </w:tr>
      <w:tr w14:paraId="79D3D2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1084982">
            <w:pPr>
              <w:rPr>
                <w:rFonts w:ascii="Arial"/>
                <w:sz w:val="21"/>
              </w:rPr>
            </w:pPr>
          </w:p>
        </w:tc>
        <w:tc>
          <w:tcPr>
            <w:tcW w:w="113" w:type="dxa"/>
            <w:tcBorders>
              <w:top w:val="nil"/>
              <w:bottom w:val="nil"/>
            </w:tcBorders>
            <w:vAlign w:val="top"/>
          </w:tcPr>
          <w:p w14:paraId="64A12767">
            <w:pPr>
              <w:rPr>
                <w:rFonts w:ascii="Arial"/>
                <w:sz w:val="21"/>
              </w:rPr>
            </w:pPr>
          </w:p>
        </w:tc>
        <w:tc>
          <w:tcPr>
            <w:tcW w:w="681" w:type="dxa"/>
            <w:vAlign w:val="top"/>
          </w:tcPr>
          <w:p w14:paraId="14A4121C">
            <w:pPr>
              <w:spacing w:before="92" w:line="217" w:lineRule="auto"/>
              <w:ind w:left="15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N11</w:t>
            </w:r>
          </w:p>
        </w:tc>
        <w:tc>
          <w:tcPr>
            <w:tcW w:w="4455" w:type="dxa"/>
            <w:gridSpan w:val="7"/>
            <w:vAlign w:val="top"/>
          </w:tcPr>
          <w:p w14:paraId="5F20F27F">
            <w:pPr>
              <w:pStyle w:val="6"/>
              <w:spacing w:before="57" w:line="223" w:lineRule="auto"/>
              <w:ind w:left="1422"/>
              <w:rPr>
                <w:rFonts w:ascii="Times New Roman" w:hAnsi="Times New Roman" w:eastAsia="Times New Roman" w:cs="Times New Roman"/>
              </w:rPr>
            </w:pPr>
            <w:r>
              <w:rPr>
                <w:spacing w:val="-2"/>
              </w:rPr>
              <w:t>与赖迤线交叉点</w:t>
            </w:r>
            <w:r>
              <w:rPr>
                <w:spacing w:val="-44"/>
              </w:rPr>
              <w:t xml:space="preserve"> </w:t>
            </w:r>
            <w:r>
              <w:rPr>
                <w:rFonts w:ascii="Times New Roman" w:hAnsi="Times New Roman" w:eastAsia="Times New Roman" w:cs="Times New Roman"/>
                <w:spacing w:val="-2"/>
              </w:rPr>
              <w:t>2</w:t>
            </w:r>
          </w:p>
        </w:tc>
        <w:tc>
          <w:tcPr>
            <w:tcW w:w="1566" w:type="dxa"/>
            <w:gridSpan w:val="2"/>
            <w:vAlign w:val="top"/>
          </w:tcPr>
          <w:p w14:paraId="6F2BC5F1">
            <w:pPr>
              <w:spacing w:before="92" w:line="217" w:lineRule="auto"/>
              <w:ind w:left="67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c>
          <w:tcPr>
            <w:tcW w:w="1572" w:type="dxa"/>
            <w:gridSpan w:val="3"/>
            <w:vAlign w:val="top"/>
          </w:tcPr>
          <w:p w14:paraId="3054BC24">
            <w:pPr>
              <w:spacing w:before="92" w:line="217" w:lineRule="auto"/>
              <w:ind w:left="68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w:t>
            </w:r>
          </w:p>
        </w:tc>
        <w:tc>
          <w:tcPr>
            <w:tcW w:w="120" w:type="dxa"/>
            <w:tcBorders>
              <w:top w:val="nil"/>
              <w:bottom w:val="nil"/>
            </w:tcBorders>
            <w:vAlign w:val="top"/>
          </w:tcPr>
          <w:p w14:paraId="18B4E73F">
            <w:pPr>
              <w:rPr>
                <w:rFonts w:ascii="Arial"/>
                <w:sz w:val="21"/>
              </w:rPr>
            </w:pPr>
          </w:p>
        </w:tc>
      </w:tr>
      <w:tr w14:paraId="6140D3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3912341">
            <w:pPr>
              <w:rPr>
                <w:rFonts w:ascii="Arial"/>
                <w:sz w:val="21"/>
              </w:rPr>
            </w:pPr>
          </w:p>
        </w:tc>
        <w:tc>
          <w:tcPr>
            <w:tcW w:w="113" w:type="dxa"/>
            <w:tcBorders>
              <w:top w:val="nil"/>
              <w:bottom w:val="nil"/>
            </w:tcBorders>
            <w:vAlign w:val="top"/>
          </w:tcPr>
          <w:p w14:paraId="4ED9F6A7">
            <w:pPr>
              <w:rPr>
                <w:rFonts w:ascii="Arial"/>
                <w:sz w:val="21"/>
              </w:rPr>
            </w:pPr>
          </w:p>
        </w:tc>
        <w:tc>
          <w:tcPr>
            <w:tcW w:w="681" w:type="dxa"/>
            <w:vAlign w:val="top"/>
          </w:tcPr>
          <w:p w14:paraId="318D91DC">
            <w:pPr>
              <w:spacing w:before="93" w:line="216" w:lineRule="auto"/>
              <w:ind w:left="15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N12</w:t>
            </w:r>
          </w:p>
        </w:tc>
        <w:tc>
          <w:tcPr>
            <w:tcW w:w="4455" w:type="dxa"/>
            <w:gridSpan w:val="7"/>
            <w:vAlign w:val="top"/>
          </w:tcPr>
          <w:p w14:paraId="2D7088FA">
            <w:pPr>
              <w:pStyle w:val="6"/>
              <w:spacing w:before="58" w:line="220" w:lineRule="auto"/>
              <w:ind w:left="1390"/>
            </w:pPr>
            <w:r>
              <w:rPr>
                <w:spacing w:val="-1"/>
              </w:rPr>
              <w:t>迤车牵引站站址处</w:t>
            </w:r>
          </w:p>
        </w:tc>
        <w:tc>
          <w:tcPr>
            <w:tcW w:w="1566" w:type="dxa"/>
            <w:gridSpan w:val="2"/>
            <w:vAlign w:val="top"/>
          </w:tcPr>
          <w:p w14:paraId="1D40EAAF">
            <w:pPr>
              <w:spacing w:before="93" w:line="216" w:lineRule="auto"/>
              <w:ind w:left="67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w:t>
            </w:r>
          </w:p>
        </w:tc>
        <w:tc>
          <w:tcPr>
            <w:tcW w:w="1572" w:type="dxa"/>
            <w:gridSpan w:val="3"/>
            <w:vAlign w:val="top"/>
          </w:tcPr>
          <w:p w14:paraId="0D52674C">
            <w:pPr>
              <w:spacing w:before="93"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w:t>
            </w:r>
          </w:p>
        </w:tc>
        <w:tc>
          <w:tcPr>
            <w:tcW w:w="120" w:type="dxa"/>
            <w:tcBorders>
              <w:top w:val="nil"/>
              <w:bottom w:val="nil"/>
            </w:tcBorders>
            <w:vAlign w:val="top"/>
          </w:tcPr>
          <w:p w14:paraId="2B3AA324">
            <w:pPr>
              <w:rPr>
                <w:rFonts w:ascii="Arial"/>
                <w:sz w:val="21"/>
              </w:rPr>
            </w:pPr>
          </w:p>
        </w:tc>
      </w:tr>
      <w:tr w14:paraId="24A8DC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7" w:hRule="atLeast"/>
        </w:trPr>
        <w:tc>
          <w:tcPr>
            <w:tcW w:w="571" w:type="dxa"/>
            <w:vMerge w:val="continue"/>
            <w:tcBorders>
              <w:top w:val="nil"/>
            </w:tcBorders>
            <w:vAlign w:val="top"/>
          </w:tcPr>
          <w:p w14:paraId="045E2A6C">
            <w:pPr>
              <w:rPr>
                <w:rFonts w:ascii="Arial"/>
                <w:sz w:val="21"/>
              </w:rPr>
            </w:pPr>
          </w:p>
        </w:tc>
        <w:tc>
          <w:tcPr>
            <w:tcW w:w="8507" w:type="dxa"/>
            <w:gridSpan w:val="15"/>
            <w:vAlign w:val="top"/>
          </w:tcPr>
          <w:p w14:paraId="7FAAFDE7">
            <w:pPr>
              <w:pStyle w:val="6"/>
              <w:spacing w:before="122" w:line="317" w:lineRule="auto"/>
              <w:ind w:left="111" w:right="109" w:firstLine="483"/>
              <w:rPr>
                <w:sz w:val="24"/>
                <w:szCs w:val="24"/>
              </w:rPr>
            </w:pPr>
            <w:r>
              <w:rPr>
                <w:rFonts w:ascii="Times New Roman" w:hAnsi="Times New Roman" w:eastAsia="Times New Roman" w:cs="Times New Roman"/>
                <w:spacing w:val="-3"/>
                <w:sz w:val="24"/>
                <w:szCs w:val="24"/>
              </w:rPr>
              <w:t>500kV</w:t>
            </w:r>
            <w:r>
              <w:rPr>
                <w:rFonts w:ascii="Times New Roman" w:hAnsi="Times New Roman" w:eastAsia="Times New Roman" w:cs="Times New Roman"/>
                <w:spacing w:val="16"/>
                <w:w w:val="101"/>
                <w:sz w:val="24"/>
                <w:szCs w:val="24"/>
              </w:rPr>
              <w:t xml:space="preserve"> </w:t>
            </w:r>
            <w:r>
              <w:rPr>
                <w:spacing w:val="-3"/>
                <w:sz w:val="24"/>
                <w:szCs w:val="24"/>
              </w:rPr>
              <w:t>乐业变站址、</w:t>
            </w:r>
            <w:r>
              <w:rPr>
                <w:rFonts w:ascii="Times New Roman" w:hAnsi="Times New Roman" w:eastAsia="Times New Roman" w:cs="Times New Roman"/>
                <w:spacing w:val="-3"/>
                <w:sz w:val="24"/>
                <w:szCs w:val="24"/>
              </w:rPr>
              <w:t xml:space="preserve">220kV </w:t>
            </w:r>
            <w:r>
              <w:rPr>
                <w:spacing w:val="-3"/>
                <w:sz w:val="24"/>
                <w:szCs w:val="24"/>
              </w:rPr>
              <w:t>迤车变厂界声</w:t>
            </w:r>
            <w:r>
              <w:rPr>
                <w:spacing w:val="-4"/>
                <w:sz w:val="24"/>
                <w:szCs w:val="24"/>
              </w:rPr>
              <w:t>环境现状引用已批复的《</w:t>
            </w:r>
            <w:r>
              <w:rPr>
                <w:rFonts w:ascii="Times New Roman" w:hAnsi="Times New Roman" w:eastAsia="Times New Roman" w:cs="Times New Roman"/>
                <w:spacing w:val="-4"/>
                <w:sz w:val="24"/>
                <w:szCs w:val="24"/>
              </w:rPr>
              <w:t>500kV</w:t>
            </w:r>
            <w:r>
              <w:rPr>
                <w:rFonts w:ascii="Times New Roman" w:hAnsi="Times New Roman" w:eastAsia="Times New Roman" w:cs="Times New Roman"/>
                <w:spacing w:val="17"/>
                <w:sz w:val="24"/>
                <w:szCs w:val="24"/>
              </w:rPr>
              <w:t xml:space="preserve"> </w:t>
            </w:r>
            <w:r>
              <w:rPr>
                <w:spacing w:val="-4"/>
                <w:sz w:val="24"/>
                <w:szCs w:val="24"/>
              </w:rPr>
              <w:t>乐</w:t>
            </w:r>
            <w:r>
              <w:rPr>
                <w:spacing w:val="12"/>
                <w:sz w:val="24"/>
                <w:szCs w:val="24"/>
              </w:rPr>
              <w:t xml:space="preserve">业变 </w:t>
            </w:r>
            <w:r>
              <w:rPr>
                <w:rFonts w:ascii="Times New Roman" w:hAnsi="Times New Roman" w:eastAsia="Times New Roman" w:cs="Times New Roman"/>
                <w:spacing w:val="12"/>
                <w:sz w:val="24"/>
                <w:szCs w:val="24"/>
              </w:rPr>
              <w:t>220</w:t>
            </w:r>
            <w:r>
              <w:rPr>
                <w:rFonts w:ascii="Times New Roman" w:hAnsi="Times New Roman" w:eastAsia="Times New Roman" w:cs="Times New Roman"/>
                <w:sz w:val="24"/>
                <w:szCs w:val="24"/>
              </w:rPr>
              <w:t>kV</w:t>
            </w:r>
            <w:r>
              <w:rPr>
                <w:rFonts w:ascii="Times New Roman" w:hAnsi="Times New Roman" w:eastAsia="Times New Roman" w:cs="Times New Roman"/>
                <w:spacing w:val="12"/>
                <w:sz w:val="24"/>
                <w:szCs w:val="24"/>
              </w:rPr>
              <w:t xml:space="preserve">  </w:t>
            </w:r>
            <w:r>
              <w:rPr>
                <w:spacing w:val="12"/>
                <w:sz w:val="24"/>
                <w:szCs w:val="24"/>
              </w:rPr>
              <w:t>接入系统工程环境影响报告表》中的现状监测数据，监测时间</w:t>
            </w:r>
          </w:p>
        </w:tc>
      </w:tr>
    </w:tbl>
    <w:p w14:paraId="1DAD7EC5">
      <w:pPr>
        <w:rPr>
          <w:rFonts w:ascii="Arial"/>
          <w:sz w:val="21"/>
        </w:rPr>
      </w:pPr>
    </w:p>
    <w:p w14:paraId="53F03FB0">
      <w:pPr>
        <w:rPr>
          <w:rFonts w:ascii="Arial" w:hAnsi="Arial" w:eastAsia="Arial" w:cs="Arial"/>
          <w:sz w:val="21"/>
          <w:szCs w:val="21"/>
        </w:rPr>
        <w:sectPr>
          <w:footerReference r:id="rId55" w:type="default"/>
          <w:pgSz w:w="11907" w:h="16841"/>
          <w:pgMar w:top="400" w:right="1408" w:bottom="1126" w:left="1414" w:header="0" w:footer="925" w:gutter="0"/>
          <w:cols w:space="720" w:num="1"/>
        </w:sectPr>
      </w:pPr>
    </w:p>
    <w:p w14:paraId="4C83DCF0">
      <w:pPr>
        <w:spacing w:before="2"/>
      </w:pPr>
    </w:p>
    <w:p w14:paraId="3F951B8A">
      <w:pPr>
        <w:spacing w:before="2"/>
      </w:pPr>
    </w:p>
    <w:p w14:paraId="2FF8DA02">
      <w:pPr>
        <w:spacing w:before="1"/>
      </w:pPr>
    </w:p>
    <w:p w14:paraId="3C0895B1">
      <w:pPr>
        <w:spacing w:before="1"/>
      </w:pPr>
    </w:p>
    <w:p w14:paraId="00D7CDE6">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67836E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4" w:hRule="atLeast"/>
        </w:trPr>
        <w:tc>
          <w:tcPr>
            <w:tcW w:w="571" w:type="dxa"/>
            <w:vAlign w:val="top"/>
          </w:tcPr>
          <w:p w14:paraId="39FB2E6F">
            <w:pPr>
              <w:rPr>
                <w:rFonts w:ascii="Arial"/>
                <w:sz w:val="21"/>
              </w:rPr>
            </w:pPr>
          </w:p>
        </w:tc>
        <w:tc>
          <w:tcPr>
            <w:tcW w:w="8507" w:type="dxa"/>
            <w:vAlign w:val="top"/>
          </w:tcPr>
          <w:p w14:paraId="1F21A1B3">
            <w:pPr>
              <w:pStyle w:val="6"/>
              <w:spacing w:before="125" w:line="232" w:lineRule="auto"/>
              <w:ind w:left="108"/>
              <w:rPr>
                <w:sz w:val="24"/>
                <w:szCs w:val="24"/>
              </w:rPr>
            </w:pPr>
            <w:r>
              <w:rPr>
                <w:rFonts w:ascii="Times New Roman" w:hAnsi="Times New Roman" w:eastAsia="Times New Roman" w:cs="Times New Roman"/>
                <w:spacing w:val="-2"/>
                <w:sz w:val="24"/>
                <w:szCs w:val="24"/>
              </w:rPr>
              <w:t>2024.9.2~9.3</w:t>
            </w:r>
            <w:r>
              <w:rPr>
                <w:rFonts w:ascii="Times New Roman" w:hAnsi="Times New Roman" w:eastAsia="Times New Roman" w:cs="Times New Roman"/>
                <w:spacing w:val="-30"/>
                <w:sz w:val="24"/>
                <w:szCs w:val="24"/>
              </w:rPr>
              <w:t xml:space="preserve"> </w:t>
            </w:r>
            <w:r>
              <w:rPr>
                <w:spacing w:val="-2"/>
                <w:sz w:val="24"/>
                <w:szCs w:val="24"/>
              </w:rPr>
              <w:t>，监测报告见附</w:t>
            </w:r>
            <w:r>
              <w:rPr>
                <w:spacing w:val="-3"/>
                <w:sz w:val="24"/>
                <w:szCs w:val="24"/>
              </w:rPr>
              <w:t>件，监测数据见下表。</w:t>
            </w:r>
          </w:p>
          <w:p w14:paraId="6AC60F48">
            <w:pPr>
              <w:pStyle w:val="6"/>
              <w:spacing w:before="107" w:line="231" w:lineRule="auto"/>
              <w:ind w:left="1668"/>
            </w:pPr>
            <w:r>
              <w:rPr>
                <w:b/>
                <w:bCs/>
                <w:spacing w:val="-1"/>
              </w:rPr>
              <w:t>表</w:t>
            </w:r>
            <w:r>
              <w:rPr>
                <w:spacing w:val="-47"/>
              </w:rPr>
              <w:t xml:space="preserve"> </w:t>
            </w:r>
            <w:r>
              <w:rPr>
                <w:rFonts w:ascii="Times New Roman" w:hAnsi="Times New Roman" w:eastAsia="Times New Roman" w:cs="Times New Roman"/>
                <w:b/>
                <w:bCs/>
                <w:spacing w:val="-1"/>
              </w:rPr>
              <w:t xml:space="preserve">3-5    </w:t>
            </w:r>
            <w:r>
              <w:rPr>
                <w:b/>
                <w:bCs/>
                <w:spacing w:val="-1"/>
              </w:rPr>
              <w:t>引用项目声环境现状监测结果</w:t>
            </w:r>
            <w:r>
              <w:rPr>
                <w:spacing w:val="-1"/>
              </w:rPr>
              <w:t xml:space="preserve">  </w:t>
            </w:r>
            <w:r>
              <w:rPr>
                <w:b/>
                <w:bCs/>
                <w:spacing w:val="-1"/>
              </w:rPr>
              <w:t>单位</w:t>
            </w:r>
            <w:r>
              <w:rPr>
                <w:b/>
                <w:bCs/>
                <w:spacing w:val="-2"/>
              </w:rPr>
              <w:t>：</w:t>
            </w:r>
            <w:r>
              <w:rPr>
                <w:rFonts w:ascii="Times New Roman" w:hAnsi="Times New Roman" w:eastAsia="Times New Roman" w:cs="Times New Roman"/>
                <w:b/>
                <w:bCs/>
                <w:spacing w:val="-2"/>
              </w:rPr>
              <w:t>dB</w:t>
            </w:r>
            <w:r>
              <w:rPr>
                <w:b/>
                <w:bCs/>
                <w:spacing w:val="-2"/>
              </w:rPr>
              <w:t>（</w:t>
            </w:r>
            <w:r>
              <w:rPr>
                <w:rFonts w:ascii="Times New Roman" w:hAnsi="Times New Roman" w:eastAsia="Times New Roman" w:cs="Times New Roman"/>
                <w:b/>
                <w:bCs/>
                <w:spacing w:val="-2"/>
              </w:rPr>
              <w:t>A</w:t>
            </w:r>
            <w:r>
              <w:rPr>
                <w:b/>
                <w:bCs/>
                <w:spacing w:val="-2"/>
              </w:rPr>
              <w:t>）</w:t>
            </w:r>
          </w:p>
          <w:tbl>
            <w:tblPr>
              <w:tblStyle w:val="5"/>
              <w:tblW w:w="8284" w:type="dxa"/>
              <w:tblInd w:w="1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25"/>
              <w:gridCol w:w="3030"/>
              <w:gridCol w:w="991"/>
              <w:gridCol w:w="994"/>
              <w:gridCol w:w="2444"/>
            </w:tblGrid>
            <w:tr w14:paraId="5C445E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825" w:type="dxa"/>
                  <w:vAlign w:val="top"/>
                </w:tcPr>
                <w:p w14:paraId="2FAE7C1D">
                  <w:pPr>
                    <w:pStyle w:val="6"/>
                    <w:spacing w:before="57" w:line="221" w:lineRule="auto"/>
                    <w:ind w:left="208"/>
                  </w:pPr>
                  <w:r>
                    <w:rPr>
                      <w:b/>
                      <w:bCs/>
                      <w:spacing w:val="-5"/>
                    </w:rPr>
                    <w:t>编号</w:t>
                  </w:r>
                </w:p>
              </w:tc>
              <w:tc>
                <w:tcPr>
                  <w:tcW w:w="3030" w:type="dxa"/>
                  <w:vAlign w:val="top"/>
                </w:tcPr>
                <w:p w14:paraId="253B85D4">
                  <w:pPr>
                    <w:pStyle w:val="6"/>
                    <w:spacing w:before="58" w:line="222" w:lineRule="auto"/>
                    <w:ind w:left="1099"/>
                  </w:pPr>
                  <w:r>
                    <w:rPr>
                      <w:b/>
                      <w:bCs/>
                      <w:spacing w:val="-4"/>
                    </w:rPr>
                    <w:t>测点位置</w:t>
                  </w:r>
                </w:p>
              </w:tc>
              <w:tc>
                <w:tcPr>
                  <w:tcW w:w="991" w:type="dxa"/>
                  <w:vAlign w:val="top"/>
                </w:tcPr>
                <w:p w14:paraId="328DE6F6">
                  <w:pPr>
                    <w:pStyle w:val="6"/>
                    <w:spacing w:before="58" w:line="223" w:lineRule="auto"/>
                    <w:ind w:left="290"/>
                  </w:pPr>
                  <w:r>
                    <w:rPr>
                      <w:b/>
                      <w:bCs/>
                      <w:spacing w:val="-4"/>
                    </w:rPr>
                    <w:t>昼间</w:t>
                  </w:r>
                </w:p>
              </w:tc>
              <w:tc>
                <w:tcPr>
                  <w:tcW w:w="994" w:type="dxa"/>
                  <w:vAlign w:val="top"/>
                </w:tcPr>
                <w:p w14:paraId="6990E7D8">
                  <w:pPr>
                    <w:pStyle w:val="6"/>
                    <w:spacing w:before="57" w:line="221" w:lineRule="auto"/>
                    <w:ind w:left="292"/>
                  </w:pPr>
                  <w:r>
                    <w:rPr>
                      <w:b/>
                      <w:bCs/>
                      <w:spacing w:val="-5"/>
                    </w:rPr>
                    <w:t>夜间</w:t>
                  </w:r>
                </w:p>
              </w:tc>
              <w:tc>
                <w:tcPr>
                  <w:tcW w:w="2444" w:type="dxa"/>
                  <w:vAlign w:val="top"/>
                </w:tcPr>
                <w:p w14:paraId="0264031A">
                  <w:pPr>
                    <w:pStyle w:val="6"/>
                    <w:spacing w:before="58" w:line="222" w:lineRule="auto"/>
                    <w:ind w:left="1019"/>
                  </w:pPr>
                  <w:r>
                    <w:rPr>
                      <w:b/>
                      <w:bCs/>
                      <w:spacing w:val="-5"/>
                    </w:rPr>
                    <w:t>备注</w:t>
                  </w:r>
                </w:p>
              </w:tc>
            </w:tr>
            <w:tr w14:paraId="3FF66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25" w:type="dxa"/>
                  <w:vAlign w:val="top"/>
                </w:tcPr>
                <w:p w14:paraId="0AC5B907">
                  <w:pPr>
                    <w:spacing w:before="98" w:line="184" w:lineRule="auto"/>
                    <w:ind w:left="27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N7</w:t>
                  </w:r>
                </w:p>
              </w:tc>
              <w:tc>
                <w:tcPr>
                  <w:tcW w:w="3030" w:type="dxa"/>
                  <w:vAlign w:val="top"/>
                </w:tcPr>
                <w:p w14:paraId="4482AF95">
                  <w:pPr>
                    <w:pStyle w:val="6"/>
                    <w:spacing w:before="56" w:line="220" w:lineRule="auto"/>
                    <w:ind w:left="365"/>
                  </w:pPr>
                  <w:r>
                    <w:rPr>
                      <w:spacing w:val="-2"/>
                    </w:rPr>
                    <w:t>本项目出线处（迤车侧）</w:t>
                  </w:r>
                </w:p>
              </w:tc>
              <w:tc>
                <w:tcPr>
                  <w:tcW w:w="991" w:type="dxa"/>
                  <w:vAlign w:val="top"/>
                </w:tcPr>
                <w:p w14:paraId="374CEB85">
                  <w:pPr>
                    <w:spacing w:before="91" w:line="218" w:lineRule="auto"/>
                    <w:ind w:left="3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c>
                <w:tcPr>
                  <w:tcW w:w="994" w:type="dxa"/>
                  <w:vAlign w:val="top"/>
                </w:tcPr>
                <w:p w14:paraId="05BC3159">
                  <w:pPr>
                    <w:spacing w:before="91" w:line="218" w:lineRule="auto"/>
                    <w:ind w:left="3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2444" w:type="dxa"/>
                  <w:vAlign w:val="top"/>
                </w:tcPr>
                <w:p w14:paraId="5A6C9753">
                  <w:pPr>
                    <w:pStyle w:val="6"/>
                    <w:spacing w:before="57" w:line="221" w:lineRule="auto"/>
                    <w:ind w:left="392"/>
                  </w:pPr>
                  <w:r>
                    <w:rPr>
                      <w:rFonts w:ascii="Times New Roman" w:hAnsi="Times New Roman" w:eastAsia="Times New Roman" w:cs="Times New Roman"/>
                      <w:spacing w:val="-3"/>
                    </w:rPr>
                    <w:t>500kV</w:t>
                  </w:r>
                  <w:r>
                    <w:rPr>
                      <w:rFonts w:ascii="Times New Roman" w:hAnsi="Times New Roman" w:eastAsia="Times New Roman" w:cs="Times New Roman"/>
                      <w:spacing w:val="22"/>
                    </w:rPr>
                    <w:t xml:space="preserve"> </w:t>
                  </w:r>
                  <w:r>
                    <w:rPr>
                      <w:spacing w:val="-3"/>
                    </w:rPr>
                    <w:t>乐业变厂界</w:t>
                  </w:r>
                </w:p>
              </w:tc>
            </w:tr>
            <w:tr w14:paraId="0ED720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25" w:type="dxa"/>
                  <w:vAlign w:val="top"/>
                </w:tcPr>
                <w:p w14:paraId="7507202B">
                  <w:pPr>
                    <w:spacing w:before="93" w:line="187" w:lineRule="auto"/>
                    <w:ind w:left="27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N8</w:t>
                  </w:r>
                </w:p>
              </w:tc>
              <w:tc>
                <w:tcPr>
                  <w:tcW w:w="3030" w:type="dxa"/>
                  <w:vAlign w:val="top"/>
                </w:tcPr>
                <w:p w14:paraId="5637F42C">
                  <w:pPr>
                    <w:pStyle w:val="6"/>
                    <w:spacing w:before="54" w:line="220" w:lineRule="auto"/>
                    <w:ind w:left="365"/>
                  </w:pPr>
                  <w:r>
                    <w:rPr>
                      <w:spacing w:val="-2"/>
                    </w:rPr>
                    <w:t>本项目出线处（者海侧）</w:t>
                  </w:r>
                </w:p>
              </w:tc>
              <w:tc>
                <w:tcPr>
                  <w:tcW w:w="991" w:type="dxa"/>
                  <w:vAlign w:val="top"/>
                </w:tcPr>
                <w:p w14:paraId="7999FFD6">
                  <w:pPr>
                    <w:spacing w:before="89" w:line="220" w:lineRule="auto"/>
                    <w:ind w:left="39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994" w:type="dxa"/>
                  <w:vAlign w:val="top"/>
                </w:tcPr>
                <w:p w14:paraId="56CFF24E">
                  <w:pPr>
                    <w:spacing w:before="89" w:line="220" w:lineRule="auto"/>
                    <w:ind w:left="3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2444" w:type="dxa"/>
                  <w:vAlign w:val="top"/>
                </w:tcPr>
                <w:p w14:paraId="4F04C5C8">
                  <w:pPr>
                    <w:pStyle w:val="6"/>
                    <w:spacing w:before="55" w:line="221" w:lineRule="auto"/>
                    <w:ind w:left="392"/>
                  </w:pPr>
                  <w:r>
                    <w:rPr>
                      <w:rFonts w:ascii="Times New Roman" w:hAnsi="Times New Roman" w:eastAsia="Times New Roman" w:cs="Times New Roman"/>
                      <w:spacing w:val="-3"/>
                    </w:rPr>
                    <w:t>500kV</w:t>
                  </w:r>
                  <w:r>
                    <w:rPr>
                      <w:rFonts w:ascii="Times New Roman" w:hAnsi="Times New Roman" w:eastAsia="Times New Roman" w:cs="Times New Roman"/>
                      <w:spacing w:val="22"/>
                    </w:rPr>
                    <w:t xml:space="preserve"> </w:t>
                  </w:r>
                  <w:r>
                    <w:rPr>
                      <w:spacing w:val="-3"/>
                    </w:rPr>
                    <w:t>乐业变厂界</w:t>
                  </w:r>
                </w:p>
              </w:tc>
            </w:tr>
            <w:tr w14:paraId="64F84A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25" w:type="dxa"/>
                  <w:vAlign w:val="top"/>
                </w:tcPr>
                <w:p w14:paraId="044390AD">
                  <w:pPr>
                    <w:spacing w:before="91" w:line="189" w:lineRule="auto"/>
                    <w:ind w:left="27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N9</w:t>
                  </w:r>
                </w:p>
              </w:tc>
              <w:tc>
                <w:tcPr>
                  <w:tcW w:w="3030" w:type="dxa"/>
                  <w:vAlign w:val="top"/>
                </w:tcPr>
                <w:p w14:paraId="49BE681E">
                  <w:pPr>
                    <w:pStyle w:val="6"/>
                    <w:spacing w:before="54" w:line="221" w:lineRule="auto"/>
                    <w:ind w:left="468"/>
                  </w:pPr>
                  <w:r>
                    <w:rPr>
                      <w:rFonts w:ascii="Times New Roman" w:hAnsi="Times New Roman" w:eastAsia="Times New Roman" w:cs="Times New Roman"/>
                      <w:spacing w:val="-1"/>
                    </w:rPr>
                    <w:t xml:space="preserve">220kV </w:t>
                  </w:r>
                  <w:r>
                    <w:rPr>
                      <w:spacing w:val="-1"/>
                    </w:rPr>
                    <w:t>迤车变厂界东侧</w:t>
                  </w:r>
                </w:p>
              </w:tc>
              <w:tc>
                <w:tcPr>
                  <w:tcW w:w="991" w:type="dxa"/>
                  <w:vAlign w:val="top"/>
                </w:tcPr>
                <w:p w14:paraId="7CC16196">
                  <w:pPr>
                    <w:spacing w:before="90" w:line="219" w:lineRule="auto"/>
                    <w:ind w:left="3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w:t>
                  </w:r>
                </w:p>
              </w:tc>
              <w:tc>
                <w:tcPr>
                  <w:tcW w:w="994" w:type="dxa"/>
                  <w:vAlign w:val="top"/>
                </w:tcPr>
                <w:p w14:paraId="135370EE">
                  <w:pPr>
                    <w:spacing w:before="90" w:line="219" w:lineRule="auto"/>
                    <w:ind w:left="3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2444" w:type="dxa"/>
                  <w:vMerge w:val="restart"/>
                  <w:tcBorders>
                    <w:bottom w:val="nil"/>
                  </w:tcBorders>
                  <w:vAlign w:val="top"/>
                </w:tcPr>
                <w:p w14:paraId="59F09805">
                  <w:pPr>
                    <w:spacing w:line="317" w:lineRule="auto"/>
                    <w:rPr>
                      <w:rFonts w:ascii="Arial"/>
                      <w:sz w:val="21"/>
                    </w:rPr>
                  </w:pPr>
                </w:p>
                <w:p w14:paraId="1C54A380">
                  <w:pPr>
                    <w:spacing w:line="318" w:lineRule="auto"/>
                    <w:rPr>
                      <w:rFonts w:ascii="Arial"/>
                      <w:sz w:val="21"/>
                    </w:rPr>
                  </w:pPr>
                </w:p>
                <w:p w14:paraId="353EF02D">
                  <w:pPr>
                    <w:pStyle w:val="6"/>
                    <w:spacing w:before="68" w:line="221" w:lineRule="auto"/>
                    <w:ind w:left="386"/>
                  </w:pPr>
                  <w:r>
                    <w:rPr>
                      <w:rFonts w:ascii="Times New Roman" w:hAnsi="Times New Roman" w:eastAsia="Times New Roman" w:cs="Times New Roman"/>
                      <w:spacing w:val="-1"/>
                    </w:rPr>
                    <w:t xml:space="preserve">220kV </w:t>
                  </w:r>
                  <w:r>
                    <w:rPr>
                      <w:spacing w:val="-1"/>
                    </w:rPr>
                    <w:t>迤车变厂界</w:t>
                  </w:r>
                </w:p>
              </w:tc>
            </w:tr>
            <w:tr w14:paraId="5557AA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825" w:type="dxa"/>
                  <w:vAlign w:val="top"/>
                </w:tcPr>
                <w:p w14:paraId="0C8B10E5">
                  <w:pPr>
                    <w:spacing w:before="92" w:line="189" w:lineRule="auto"/>
                    <w:ind w:left="2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N10</w:t>
                  </w:r>
                </w:p>
              </w:tc>
              <w:tc>
                <w:tcPr>
                  <w:tcW w:w="3030" w:type="dxa"/>
                  <w:vAlign w:val="top"/>
                </w:tcPr>
                <w:p w14:paraId="3745EB02">
                  <w:pPr>
                    <w:pStyle w:val="6"/>
                    <w:spacing w:before="55" w:line="221" w:lineRule="auto"/>
                    <w:ind w:left="468"/>
                  </w:pPr>
                  <w:r>
                    <w:rPr>
                      <w:rFonts w:ascii="Times New Roman" w:hAnsi="Times New Roman" w:eastAsia="Times New Roman" w:cs="Times New Roman"/>
                      <w:spacing w:val="-1"/>
                    </w:rPr>
                    <w:t xml:space="preserve">220kV </w:t>
                  </w:r>
                  <w:r>
                    <w:rPr>
                      <w:spacing w:val="-1"/>
                    </w:rPr>
                    <w:t>迤车变厂界南侧</w:t>
                  </w:r>
                </w:p>
              </w:tc>
              <w:tc>
                <w:tcPr>
                  <w:tcW w:w="991" w:type="dxa"/>
                  <w:vAlign w:val="top"/>
                </w:tcPr>
                <w:p w14:paraId="28C6AB4D">
                  <w:pPr>
                    <w:spacing w:before="90" w:line="218" w:lineRule="auto"/>
                    <w:ind w:left="3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w:t>
                  </w:r>
                </w:p>
              </w:tc>
              <w:tc>
                <w:tcPr>
                  <w:tcW w:w="994" w:type="dxa"/>
                  <w:vAlign w:val="top"/>
                </w:tcPr>
                <w:p w14:paraId="7F6D0DE4">
                  <w:pPr>
                    <w:spacing w:before="90" w:line="218" w:lineRule="auto"/>
                    <w:ind w:left="3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2444" w:type="dxa"/>
                  <w:vMerge w:val="continue"/>
                  <w:tcBorders>
                    <w:top w:val="nil"/>
                    <w:bottom w:val="nil"/>
                  </w:tcBorders>
                  <w:vAlign w:val="top"/>
                </w:tcPr>
                <w:p w14:paraId="0491BEDA">
                  <w:pPr>
                    <w:rPr>
                      <w:rFonts w:ascii="Arial"/>
                      <w:sz w:val="21"/>
                    </w:rPr>
                  </w:pPr>
                </w:p>
              </w:tc>
            </w:tr>
            <w:tr w14:paraId="6C745D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25" w:type="dxa"/>
                  <w:vAlign w:val="top"/>
                </w:tcPr>
                <w:p w14:paraId="627DF17A">
                  <w:pPr>
                    <w:spacing w:before="93" w:line="189" w:lineRule="auto"/>
                    <w:ind w:left="23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N11</w:t>
                  </w:r>
                </w:p>
              </w:tc>
              <w:tc>
                <w:tcPr>
                  <w:tcW w:w="3030" w:type="dxa"/>
                  <w:vAlign w:val="top"/>
                </w:tcPr>
                <w:p w14:paraId="12CDC749">
                  <w:pPr>
                    <w:pStyle w:val="6"/>
                    <w:spacing w:before="56" w:line="221" w:lineRule="auto"/>
                    <w:ind w:left="468"/>
                  </w:pPr>
                  <w:r>
                    <w:rPr>
                      <w:rFonts w:ascii="Times New Roman" w:hAnsi="Times New Roman" w:eastAsia="Times New Roman" w:cs="Times New Roman"/>
                      <w:spacing w:val="-1"/>
                    </w:rPr>
                    <w:t xml:space="preserve">220kV </w:t>
                  </w:r>
                  <w:r>
                    <w:rPr>
                      <w:spacing w:val="-1"/>
                    </w:rPr>
                    <w:t>迤车变厂界西侧</w:t>
                  </w:r>
                </w:p>
              </w:tc>
              <w:tc>
                <w:tcPr>
                  <w:tcW w:w="991" w:type="dxa"/>
                  <w:vAlign w:val="top"/>
                </w:tcPr>
                <w:p w14:paraId="26D831E6">
                  <w:pPr>
                    <w:spacing w:before="91" w:line="218" w:lineRule="auto"/>
                    <w:ind w:left="3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994" w:type="dxa"/>
                  <w:vAlign w:val="top"/>
                </w:tcPr>
                <w:p w14:paraId="30992E4F">
                  <w:pPr>
                    <w:spacing w:before="91" w:line="218" w:lineRule="auto"/>
                    <w:ind w:left="3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2444" w:type="dxa"/>
                  <w:vMerge w:val="continue"/>
                  <w:tcBorders>
                    <w:top w:val="nil"/>
                    <w:bottom w:val="nil"/>
                  </w:tcBorders>
                  <w:vAlign w:val="top"/>
                </w:tcPr>
                <w:p w14:paraId="1A61DB38">
                  <w:pPr>
                    <w:rPr>
                      <w:rFonts w:ascii="Arial"/>
                      <w:sz w:val="21"/>
                    </w:rPr>
                  </w:pPr>
                </w:p>
              </w:tc>
            </w:tr>
            <w:tr w14:paraId="613197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825" w:type="dxa"/>
                  <w:vAlign w:val="top"/>
                </w:tcPr>
                <w:p w14:paraId="363EDA3E">
                  <w:pPr>
                    <w:spacing w:before="93" w:line="189" w:lineRule="auto"/>
                    <w:ind w:left="2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N12</w:t>
                  </w:r>
                </w:p>
              </w:tc>
              <w:tc>
                <w:tcPr>
                  <w:tcW w:w="3030" w:type="dxa"/>
                  <w:vAlign w:val="top"/>
                </w:tcPr>
                <w:p w14:paraId="3B7724A7">
                  <w:pPr>
                    <w:pStyle w:val="6"/>
                    <w:spacing w:before="57" w:line="220" w:lineRule="auto"/>
                    <w:ind w:left="468"/>
                  </w:pPr>
                  <w:r>
                    <w:rPr>
                      <w:rFonts w:ascii="Times New Roman" w:hAnsi="Times New Roman" w:eastAsia="Times New Roman" w:cs="Times New Roman"/>
                      <w:spacing w:val="-1"/>
                    </w:rPr>
                    <w:t xml:space="preserve">220kV </w:t>
                  </w:r>
                  <w:r>
                    <w:rPr>
                      <w:spacing w:val="-1"/>
                    </w:rPr>
                    <w:t>迤车变厂界北侧</w:t>
                  </w:r>
                </w:p>
              </w:tc>
              <w:tc>
                <w:tcPr>
                  <w:tcW w:w="991" w:type="dxa"/>
                  <w:vAlign w:val="top"/>
                </w:tcPr>
                <w:p w14:paraId="55AA3E5C">
                  <w:pPr>
                    <w:spacing w:before="92" w:line="214" w:lineRule="auto"/>
                    <w:ind w:left="3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994" w:type="dxa"/>
                  <w:vAlign w:val="top"/>
                </w:tcPr>
                <w:p w14:paraId="3EE9F365">
                  <w:pPr>
                    <w:spacing w:before="92" w:line="214" w:lineRule="auto"/>
                    <w:ind w:left="3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2444" w:type="dxa"/>
                  <w:vMerge w:val="continue"/>
                  <w:tcBorders>
                    <w:top w:val="nil"/>
                    <w:bottom w:val="nil"/>
                  </w:tcBorders>
                  <w:vAlign w:val="top"/>
                </w:tcPr>
                <w:p w14:paraId="6553F048">
                  <w:pPr>
                    <w:rPr>
                      <w:rFonts w:ascii="Arial"/>
                      <w:sz w:val="21"/>
                    </w:rPr>
                  </w:pPr>
                </w:p>
              </w:tc>
            </w:tr>
            <w:tr w14:paraId="7E296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825" w:type="dxa"/>
                  <w:vAlign w:val="top"/>
                </w:tcPr>
                <w:p w14:paraId="21C16677">
                  <w:pPr>
                    <w:spacing w:before="97" w:line="189" w:lineRule="auto"/>
                    <w:ind w:left="2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N13</w:t>
                  </w:r>
                </w:p>
              </w:tc>
              <w:tc>
                <w:tcPr>
                  <w:tcW w:w="3030" w:type="dxa"/>
                  <w:vAlign w:val="top"/>
                </w:tcPr>
                <w:p w14:paraId="1AD09892">
                  <w:pPr>
                    <w:pStyle w:val="6"/>
                    <w:spacing w:before="60" w:line="220" w:lineRule="auto"/>
                    <w:ind w:left="153"/>
                  </w:pPr>
                  <w:r>
                    <w:rPr>
                      <w:rFonts w:ascii="Times New Roman" w:hAnsi="Times New Roman" w:eastAsia="Times New Roman" w:cs="Times New Roman"/>
                      <w:spacing w:val="-1"/>
                    </w:rPr>
                    <w:t xml:space="preserve">220kV </w:t>
                  </w:r>
                  <w:r>
                    <w:rPr>
                      <w:spacing w:val="-1"/>
                    </w:rPr>
                    <w:t>迤车变本期改造间隔侧</w:t>
                  </w:r>
                </w:p>
              </w:tc>
              <w:tc>
                <w:tcPr>
                  <w:tcW w:w="991" w:type="dxa"/>
                  <w:vAlign w:val="top"/>
                </w:tcPr>
                <w:p w14:paraId="5D3A5D12">
                  <w:pPr>
                    <w:spacing w:before="95" w:line="218" w:lineRule="auto"/>
                    <w:ind w:left="3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994" w:type="dxa"/>
                  <w:vAlign w:val="top"/>
                </w:tcPr>
                <w:p w14:paraId="1599ADB3">
                  <w:pPr>
                    <w:spacing w:before="95" w:line="218" w:lineRule="auto"/>
                    <w:ind w:left="3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w:t>
                  </w:r>
                </w:p>
              </w:tc>
              <w:tc>
                <w:tcPr>
                  <w:tcW w:w="2444" w:type="dxa"/>
                  <w:vMerge w:val="continue"/>
                  <w:tcBorders>
                    <w:top w:val="nil"/>
                  </w:tcBorders>
                  <w:vAlign w:val="top"/>
                </w:tcPr>
                <w:p w14:paraId="706CDDBD">
                  <w:pPr>
                    <w:rPr>
                      <w:rFonts w:ascii="Arial"/>
                      <w:sz w:val="21"/>
                    </w:rPr>
                  </w:pPr>
                </w:p>
              </w:tc>
            </w:tr>
          </w:tbl>
          <w:p w14:paraId="6A38E5BF">
            <w:pPr>
              <w:pStyle w:val="6"/>
              <w:spacing w:before="117" w:line="220" w:lineRule="auto"/>
              <w:ind w:left="593"/>
              <w:rPr>
                <w:sz w:val="24"/>
                <w:szCs w:val="24"/>
              </w:rPr>
            </w:pPr>
            <w:r>
              <w:rPr>
                <w:spacing w:val="-2"/>
                <w:sz w:val="24"/>
                <w:szCs w:val="24"/>
              </w:rPr>
              <w:t>监测数据表明：</w:t>
            </w:r>
          </w:p>
          <w:p w14:paraId="58D49C83">
            <w:pPr>
              <w:pStyle w:val="6"/>
              <w:spacing w:before="191" w:line="364" w:lineRule="auto"/>
              <w:ind w:left="108" w:right="89" w:firstLine="483"/>
              <w:rPr>
                <w:sz w:val="24"/>
                <w:szCs w:val="24"/>
              </w:rPr>
            </w:pPr>
            <w:r>
              <w:rPr>
                <w:spacing w:val="1"/>
                <w:sz w:val="24"/>
                <w:szCs w:val="24"/>
              </w:rPr>
              <w:t>①拟建输电线路沿线及声环境保护目标处昼间噪声监测值在</w:t>
            </w:r>
            <w:r>
              <w:rPr>
                <w:rFonts w:ascii="Times New Roman" w:hAnsi="Times New Roman" w:eastAsia="Times New Roman" w:cs="Times New Roman"/>
                <w:spacing w:val="1"/>
                <w:sz w:val="24"/>
                <w:szCs w:val="24"/>
              </w:rPr>
              <w:t>43~53</w:t>
            </w:r>
            <w:r>
              <w:rPr>
                <w:rFonts w:ascii="Times New Roman" w:hAnsi="Times New Roman" w:eastAsia="Times New Roman" w:cs="Times New Roman"/>
                <w:sz w:val="24"/>
                <w:szCs w:val="24"/>
              </w:rPr>
              <w:t>dB</w:t>
            </w:r>
            <w:r>
              <w:rPr>
                <w:spacing w:val="1"/>
                <w:sz w:val="24"/>
                <w:szCs w:val="24"/>
              </w:rPr>
              <w:t>（</w:t>
            </w:r>
            <w:r>
              <w:rPr>
                <w:rFonts w:ascii="Times New Roman" w:hAnsi="Times New Roman" w:eastAsia="Times New Roman" w:cs="Times New Roman"/>
                <w:spacing w:val="1"/>
                <w:sz w:val="24"/>
                <w:szCs w:val="24"/>
              </w:rPr>
              <w:t>A</w:t>
            </w:r>
            <w:r>
              <w:rPr>
                <w:spacing w:val="1"/>
                <w:sz w:val="24"/>
                <w:szCs w:val="24"/>
              </w:rPr>
              <w:t>）</w:t>
            </w:r>
            <w:r>
              <w:rPr>
                <w:spacing w:val="-16"/>
                <w:sz w:val="24"/>
                <w:szCs w:val="24"/>
              </w:rPr>
              <w:t>之间，夜间噪声监测值在</w:t>
            </w:r>
            <w:r>
              <w:rPr>
                <w:spacing w:val="-47"/>
                <w:sz w:val="24"/>
                <w:szCs w:val="24"/>
              </w:rPr>
              <w:t xml:space="preserve"> </w:t>
            </w:r>
            <w:r>
              <w:rPr>
                <w:rFonts w:ascii="Times New Roman" w:hAnsi="Times New Roman" w:eastAsia="Times New Roman" w:cs="Times New Roman"/>
                <w:spacing w:val="-16"/>
                <w:sz w:val="24"/>
                <w:szCs w:val="24"/>
              </w:rPr>
              <w:t>38~43dB</w:t>
            </w:r>
            <w:r>
              <w:rPr>
                <w:spacing w:val="-16"/>
                <w:sz w:val="24"/>
                <w:szCs w:val="24"/>
              </w:rPr>
              <w:t>（</w:t>
            </w:r>
            <w:r>
              <w:rPr>
                <w:rFonts w:ascii="Times New Roman" w:hAnsi="Times New Roman" w:eastAsia="Times New Roman" w:cs="Times New Roman"/>
                <w:spacing w:val="-16"/>
                <w:sz w:val="24"/>
                <w:szCs w:val="24"/>
              </w:rPr>
              <w:t>A</w:t>
            </w:r>
            <w:r>
              <w:rPr>
                <w:spacing w:val="-16"/>
                <w:sz w:val="24"/>
                <w:szCs w:val="24"/>
              </w:rPr>
              <w:t>）之间，均满足《声环境质量标准》（</w:t>
            </w:r>
            <w:r>
              <w:rPr>
                <w:rFonts w:ascii="Times New Roman" w:hAnsi="Times New Roman" w:eastAsia="Times New Roman" w:cs="Times New Roman"/>
                <w:spacing w:val="-16"/>
                <w:sz w:val="24"/>
                <w:szCs w:val="24"/>
              </w:rPr>
              <w:t>GB3096-</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6"/>
                <w:sz w:val="24"/>
                <w:szCs w:val="24"/>
              </w:rPr>
              <w:t>2008</w:t>
            </w:r>
            <w:r>
              <w:rPr>
                <w:spacing w:val="-6"/>
                <w:sz w:val="24"/>
                <w:szCs w:val="24"/>
              </w:rPr>
              <w:t xml:space="preserve">）中 </w:t>
            </w:r>
            <w:r>
              <w:rPr>
                <w:rFonts w:ascii="Times New Roman" w:hAnsi="Times New Roman" w:eastAsia="Times New Roman" w:cs="Times New Roman"/>
                <w:spacing w:val="-6"/>
                <w:sz w:val="24"/>
                <w:szCs w:val="24"/>
              </w:rPr>
              <w:t xml:space="preserve">1 </w:t>
            </w:r>
            <w:r>
              <w:rPr>
                <w:spacing w:val="-6"/>
                <w:sz w:val="24"/>
                <w:szCs w:val="24"/>
              </w:rPr>
              <w:t>类标准限值要求。</w:t>
            </w:r>
          </w:p>
          <w:p w14:paraId="5FC00554">
            <w:pPr>
              <w:pStyle w:val="6"/>
              <w:spacing w:before="4" w:line="363" w:lineRule="auto"/>
              <w:ind w:left="112" w:right="107" w:firstLine="478"/>
              <w:rPr>
                <w:sz w:val="24"/>
                <w:szCs w:val="24"/>
              </w:rPr>
            </w:pPr>
            <w:r>
              <w:rPr>
                <w:spacing w:val="-2"/>
                <w:sz w:val="24"/>
                <w:szCs w:val="24"/>
              </w:rPr>
              <w:t>②</w:t>
            </w:r>
            <w:r>
              <w:rPr>
                <w:rFonts w:ascii="Times New Roman" w:hAnsi="Times New Roman" w:eastAsia="Times New Roman" w:cs="Times New Roman"/>
                <w:spacing w:val="-2"/>
                <w:sz w:val="24"/>
                <w:szCs w:val="24"/>
              </w:rPr>
              <w:t>500kV</w:t>
            </w:r>
            <w:r>
              <w:rPr>
                <w:rFonts w:ascii="Times New Roman" w:hAnsi="Times New Roman" w:eastAsia="Times New Roman" w:cs="Times New Roman"/>
                <w:spacing w:val="29"/>
                <w:sz w:val="24"/>
                <w:szCs w:val="24"/>
              </w:rPr>
              <w:t xml:space="preserve"> </w:t>
            </w:r>
            <w:r>
              <w:rPr>
                <w:spacing w:val="-2"/>
                <w:sz w:val="24"/>
                <w:szCs w:val="24"/>
              </w:rPr>
              <w:t>乐业变站址昼间噪声监测值在</w:t>
            </w:r>
            <w:r>
              <w:rPr>
                <w:spacing w:val="-50"/>
                <w:sz w:val="24"/>
                <w:szCs w:val="24"/>
              </w:rPr>
              <w:t xml:space="preserve"> </w:t>
            </w:r>
            <w:r>
              <w:rPr>
                <w:rFonts w:ascii="Times New Roman" w:hAnsi="Times New Roman" w:eastAsia="Times New Roman" w:cs="Times New Roman"/>
                <w:spacing w:val="-2"/>
                <w:sz w:val="24"/>
                <w:szCs w:val="24"/>
              </w:rPr>
              <w:t>38~45dB</w:t>
            </w:r>
            <w:r>
              <w:rPr>
                <w:spacing w:val="-2"/>
                <w:sz w:val="24"/>
                <w:szCs w:val="24"/>
              </w:rPr>
              <w:t>（</w:t>
            </w:r>
            <w:r>
              <w:rPr>
                <w:rFonts w:ascii="Times New Roman" w:hAnsi="Times New Roman" w:eastAsia="Times New Roman" w:cs="Times New Roman"/>
                <w:spacing w:val="-2"/>
                <w:sz w:val="24"/>
                <w:szCs w:val="24"/>
              </w:rPr>
              <w:t>A</w:t>
            </w:r>
            <w:r>
              <w:rPr>
                <w:spacing w:val="-2"/>
                <w:sz w:val="24"/>
                <w:szCs w:val="24"/>
              </w:rPr>
              <w:t>）之间，夜间噪声监测</w:t>
            </w:r>
            <w:r>
              <w:rPr>
                <w:spacing w:val="-1"/>
                <w:sz w:val="24"/>
                <w:szCs w:val="24"/>
              </w:rPr>
              <w:t xml:space="preserve">值为 </w:t>
            </w:r>
            <w:r>
              <w:rPr>
                <w:rFonts w:ascii="Times New Roman" w:hAnsi="Times New Roman" w:eastAsia="Times New Roman" w:cs="Times New Roman"/>
                <w:spacing w:val="-1"/>
                <w:sz w:val="24"/>
                <w:szCs w:val="24"/>
              </w:rPr>
              <w:t>37dB</w:t>
            </w:r>
            <w:r>
              <w:rPr>
                <w:spacing w:val="-1"/>
                <w:sz w:val="24"/>
                <w:szCs w:val="24"/>
              </w:rPr>
              <w:t>（</w:t>
            </w:r>
            <w:r>
              <w:rPr>
                <w:rFonts w:ascii="Times New Roman" w:hAnsi="Times New Roman" w:eastAsia="Times New Roman" w:cs="Times New Roman"/>
                <w:spacing w:val="-1"/>
                <w:sz w:val="24"/>
                <w:szCs w:val="24"/>
              </w:rPr>
              <w:t>A</w:t>
            </w:r>
            <w:r>
              <w:rPr>
                <w:spacing w:val="-62"/>
                <w:w w:val="97"/>
                <w:sz w:val="24"/>
                <w:szCs w:val="24"/>
              </w:rPr>
              <w:t>）；</w:t>
            </w:r>
            <w:r>
              <w:rPr>
                <w:spacing w:val="-1"/>
                <w:sz w:val="24"/>
                <w:szCs w:val="24"/>
              </w:rPr>
              <w:t xml:space="preserve">迤车牵引站站址处昼间噪声监测值为 </w:t>
            </w:r>
            <w:r>
              <w:rPr>
                <w:rFonts w:ascii="Times New Roman" w:hAnsi="Times New Roman" w:eastAsia="Times New Roman" w:cs="Times New Roman"/>
                <w:spacing w:val="-1"/>
                <w:sz w:val="24"/>
                <w:szCs w:val="24"/>
              </w:rPr>
              <w:t>49d</w:t>
            </w:r>
            <w:r>
              <w:rPr>
                <w:rFonts w:ascii="Times New Roman" w:hAnsi="Times New Roman" w:eastAsia="Times New Roman" w:cs="Times New Roman"/>
                <w:spacing w:val="-2"/>
                <w:sz w:val="24"/>
                <w:szCs w:val="24"/>
              </w:rPr>
              <w:t>B</w:t>
            </w:r>
            <w:r>
              <w:rPr>
                <w:spacing w:val="-2"/>
                <w:sz w:val="24"/>
                <w:szCs w:val="24"/>
              </w:rPr>
              <w:t>（</w:t>
            </w:r>
            <w:r>
              <w:rPr>
                <w:rFonts w:ascii="Times New Roman" w:hAnsi="Times New Roman" w:eastAsia="Times New Roman" w:cs="Times New Roman"/>
                <w:spacing w:val="-2"/>
                <w:sz w:val="24"/>
                <w:szCs w:val="24"/>
              </w:rPr>
              <w:t>A</w:t>
            </w:r>
            <w:r>
              <w:rPr>
                <w:spacing w:val="-62"/>
                <w:w w:val="97"/>
                <w:sz w:val="24"/>
                <w:szCs w:val="24"/>
              </w:rPr>
              <w:t>），</w:t>
            </w:r>
            <w:r>
              <w:rPr>
                <w:spacing w:val="-2"/>
                <w:sz w:val="24"/>
                <w:szCs w:val="24"/>
              </w:rPr>
              <w:t>夜间噪声监</w:t>
            </w:r>
            <w:r>
              <w:rPr>
                <w:spacing w:val="-6"/>
                <w:sz w:val="24"/>
                <w:szCs w:val="24"/>
              </w:rPr>
              <w:t>测值为</w:t>
            </w:r>
            <w:r>
              <w:rPr>
                <w:spacing w:val="-50"/>
                <w:sz w:val="24"/>
                <w:szCs w:val="24"/>
              </w:rPr>
              <w:t xml:space="preserve"> </w:t>
            </w:r>
            <w:r>
              <w:rPr>
                <w:rFonts w:ascii="Times New Roman" w:hAnsi="Times New Roman" w:eastAsia="Times New Roman" w:cs="Times New Roman"/>
                <w:spacing w:val="-6"/>
                <w:sz w:val="24"/>
                <w:szCs w:val="24"/>
              </w:rPr>
              <w:t>39dB</w:t>
            </w:r>
            <w:r>
              <w:rPr>
                <w:spacing w:val="-6"/>
                <w:sz w:val="24"/>
                <w:szCs w:val="24"/>
              </w:rPr>
              <w:t>（</w:t>
            </w:r>
            <w:r>
              <w:rPr>
                <w:rFonts w:ascii="Times New Roman" w:hAnsi="Times New Roman" w:eastAsia="Times New Roman" w:cs="Times New Roman"/>
                <w:spacing w:val="-6"/>
                <w:sz w:val="24"/>
                <w:szCs w:val="24"/>
              </w:rPr>
              <w:t>A</w:t>
            </w:r>
            <w:r>
              <w:rPr>
                <w:spacing w:val="-58"/>
                <w:sz w:val="24"/>
                <w:szCs w:val="24"/>
              </w:rPr>
              <w:t>）；</w:t>
            </w:r>
            <w:r>
              <w:rPr>
                <w:spacing w:val="-6"/>
                <w:sz w:val="24"/>
                <w:szCs w:val="24"/>
              </w:rPr>
              <w:t>都可以满足《声环境质量标准》（</w:t>
            </w:r>
            <w:r>
              <w:rPr>
                <w:rFonts w:ascii="Times New Roman" w:hAnsi="Times New Roman" w:eastAsia="Times New Roman" w:cs="Times New Roman"/>
                <w:spacing w:val="-6"/>
                <w:sz w:val="24"/>
                <w:szCs w:val="24"/>
              </w:rPr>
              <w:t>GB3096-2008</w:t>
            </w:r>
            <w:r>
              <w:rPr>
                <w:spacing w:val="-6"/>
                <w:sz w:val="24"/>
                <w:szCs w:val="24"/>
              </w:rPr>
              <w:t>）中</w:t>
            </w:r>
            <w:r>
              <w:rPr>
                <w:spacing w:val="-28"/>
                <w:sz w:val="24"/>
                <w:szCs w:val="24"/>
              </w:rPr>
              <w:t xml:space="preserve"> </w:t>
            </w:r>
            <w:r>
              <w:rPr>
                <w:rFonts w:ascii="Times New Roman" w:hAnsi="Times New Roman" w:eastAsia="Times New Roman" w:cs="Times New Roman"/>
                <w:spacing w:val="-6"/>
                <w:sz w:val="24"/>
                <w:szCs w:val="24"/>
              </w:rPr>
              <w:t xml:space="preserve">2 </w:t>
            </w:r>
            <w:r>
              <w:rPr>
                <w:spacing w:val="-6"/>
                <w:sz w:val="24"/>
                <w:szCs w:val="24"/>
              </w:rPr>
              <w:t>类标准</w:t>
            </w:r>
            <w:r>
              <w:rPr>
                <w:spacing w:val="-8"/>
                <w:sz w:val="24"/>
                <w:szCs w:val="24"/>
              </w:rPr>
              <w:t>限值要求。</w:t>
            </w:r>
          </w:p>
          <w:p w14:paraId="4C034B0E">
            <w:pPr>
              <w:pStyle w:val="6"/>
              <w:spacing w:before="4" w:line="365" w:lineRule="auto"/>
              <w:ind w:left="108" w:right="108" w:firstLine="480"/>
              <w:jc w:val="both"/>
              <w:rPr>
                <w:sz w:val="24"/>
                <w:szCs w:val="24"/>
              </w:rPr>
            </w:pPr>
            <w:r>
              <w:rPr>
                <w:rFonts w:ascii="Times New Roman" w:hAnsi="Times New Roman" w:eastAsia="Times New Roman" w:cs="Times New Roman"/>
                <w:spacing w:val="-1"/>
                <w:sz w:val="24"/>
                <w:szCs w:val="24"/>
              </w:rPr>
              <w:t xml:space="preserve">220kV </w:t>
            </w:r>
            <w:r>
              <w:rPr>
                <w:spacing w:val="-1"/>
                <w:sz w:val="24"/>
                <w:szCs w:val="24"/>
              </w:rPr>
              <w:t>迤车变厂界四周昼间噪声监测值在</w:t>
            </w:r>
            <w:r>
              <w:rPr>
                <w:spacing w:val="-55"/>
                <w:sz w:val="24"/>
                <w:szCs w:val="24"/>
              </w:rPr>
              <w:t xml:space="preserve"> </w:t>
            </w:r>
            <w:r>
              <w:rPr>
                <w:rFonts w:ascii="Times New Roman" w:hAnsi="Times New Roman" w:eastAsia="Times New Roman" w:cs="Times New Roman"/>
                <w:spacing w:val="-1"/>
                <w:sz w:val="24"/>
                <w:szCs w:val="24"/>
              </w:rPr>
              <w:t>43~49dB</w:t>
            </w:r>
            <w:r>
              <w:rPr>
                <w:spacing w:val="-1"/>
                <w:sz w:val="24"/>
                <w:szCs w:val="24"/>
              </w:rPr>
              <w:t>（</w:t>
            </w:r>
            <w:r>
              <w:rPr>
                <w:rFonts w:ascii="Times New Roman" w:hAnsi="Times New Roman" w:eastAsia="Times New Roman" w:cs="Times New Roman"/>
                <w:spacing w:val="-1"/>
                <w:sz w:val="24"/>
                <w:szCs w:val="24"/>
              </w:rPr>
              <w:t>A</w:t>
            </w:r>
            <w:r>
              <w:rPr>
                <w:spacing w:val="-1"/>
                <w:sz w:val="24"/>
                <w:szCs w:val="24"/>
              </w:rPr>
              <w:t>）之间，夜间噪声监</w:t>
            </w:r>
            <w:r>
              <w:rPr>
                <w:spacing w:val="-8"/>
                <w:sz w:val="24"/>
                <w:szCs w:val="24"/>
              </w:rPr>
              <w:t>测值在</w:t>
            </w:r>
            <w:r>
              <w:rPr>
                <w:spacing w:val="-49"/>
                <w:sz w:val="24"/>
                <w:szCs w:val="24"/>
              </w:rPr>
              <w:t xml:space="preserve"> </w:t>
            </w:r>
            <w:r>
              <w:rPr>
                <w:rFonts w:ascii="Times New Roman" w:hAnsi="Times New Roman" w:eastAsia="Times New Roman" w:cs="Times New Roman"/>
                <w:spacing w:val="-8"/>
                <w:sz w:val="24"/>
                <w:szCs w:val="24"/>
              </w:rPr>
              <w:t>37~39dB</w:t>
            </w:r>
            <w:r>
              <w:rPr>
                <w:spacing w:val="-8"/>
                <w:sz w:val="24"/>
                <w:szCs w:val="24"/>
              </w:rPr>
              <w:t>（</w:t>
            </w:r>
            <w:r>
              <w:rPr>
                <w:rFonts w:ascii="Times New Roman" w:hAnsi="Times New Roman" w:eastAsia="Times New Roman" w:cs="Times New Roman"/>
                <w:spacing w:val="-8"/>
                <w:sz w:val="24"/>
                <w:szCs w:val="24"/>
              </w:rPr>
              <w:t>A</w:t>
            </w:r>
            <w:r>
              <w:rPr>
                <w:spacing w:val="-8"/>
                <w:sz w:val="24"/>
                <w:szCs w:val="24"/>
              </w:rPr>
              <w:t>）之间，满足《工业企业厂界环境噪声排放标准》（</w:t>
            </w:r>
            <w:r>
              <w:rPr>
                <w:rFonts w:ascii="Times New Roman" w:hAnsi="Times New Roman" w:eastAsia="Times New Roman" w:cs="Times New Roman"/>
                <w:spacing w:val="-8"/>
                <w:sz w:val="24"/>
                <w:szCs w:val="24"/>
              </w:rPr>
              <w:t>GB12348-</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3"/>
                <w:sz w:val="24"/>
                <w:szCs w:val="24"/>
              </w:rPr>
              <w:t>2008</w:t>
            </w:r>
            <w:r>
              <w:rPr>
                <w:spacing w:val="-3"/>
                <w:sz w:val="24"/>
                <w:szCs w:val="24"/>
              </w:rPr>
              <w:t>）</w:t>
            </w:r>
            <w:r>
              <w:rPr>
                <w:rFonts w:ascii="Times New Roman" w:hAnsi="Times New Roman" w:eastAsia="Times New Roman" w:cs="Times New Roman"/>
                <w:spacing w:val="-3"/>
                <w:sz w:val="24"/>
                <w:szCs w:val="24"/>
              </w:rPr>
              <w:t xml:space="preserve">2 </w:t>
            </w:r>
            <w:r>
              <w:rPr>
                <w:spacing w:val="-3"/>
                <w:sz w:val="24"/>
                <w:szCs w:val="24"/>
              </w:rPr>
              <w:t>类标准限值要求。</w:t>
            </w:r>
          </w:p>
          <w:p w14:paraId="2AEA69CD">
            <w:pPr>
              <w:pStyle w:val="6"/>
              <w:spacing w:line="219" w:lineRule="auto"/>
              <w:ind w:left="595"/>
              <w:rPr>
                <w:sz w:val="24"/>
                <w:szCs w:val="24"/>
              </w:rPr>
            </w:pPr>
            <w:r>
              <w:rPr>
                <w:spacing w:val="-3"/>
                <w:sz w:val="24"/>
                <w:szCs w:val="24"/>
              </w:rPr>
              <w:t>综上，项目区域声环境质量现状良好。</w:t>
            </w:r>
          </w:p>
          <w:p w14:paraId="73A6C47A">
            <w:pPr>
              <w:pStyle w:val="6"/>
              <w:spacing w:before="188" w:line="233" w:lineRule="auto"/>
              <w:ind w:left="111"/>
              <w:rPr>
                <w:sz w:val="24"/>
                <w:szCs w:val="24"/>
              </w:rPr>
            </w:pPr>
            <w:r>
              <w:rPr>
                <w:rFonts w:ascii="Times New Roman" w:hAnsi="Times New Roman" w:eastAsia="Times New Roman" w:cs="Times New Roman"/>
                <w:b/>
                <w:bCs/>
                <w:spacing w:val="-3"/>
                <w:sz w:val="24"/>
                <w:szCs w:val="24"/>
              </w:rPr>
              <w:t>7</w:t>
            </w:r>
            <w:r>
              <w:rPr>
                <w:b/>
                <w:bCs/>
                <w:spacing w:val="-3"/>
                <w:sz w:val="24"/>
                <w:szCs w:val="24"/>
              </w:rPr>
              <w:t>、电磁环境质量现状</w:t>
            </w:r>
          </w:p>
          <w:p w14:paraId="7ACFDCD8">
            <w:pPr>
              <w:pStyle w:val="6"/>
              <w:spacing w:before="172" w:line="218" w:lineRule="auto"/>
              <w:ind w:left="592"/>
              <w:rPr>
                <w:sz w:val="24"/>
                <w:szCs w:val="24"/>
              </w:rPr>
            </w:pPr>
            <w:r>
              <w:rPr>
                <w:spacing w:val="-2"/>
                <w:sz w:val="24"/>
                <w:szCs w:val="24"/>
              </w:rPr>
              <w:t>根据电磁环境影响专题现状评价结论，本工程区域电磁环境质量现状如下：</w:t>
            </w:r>
          </w:p>
          <w:p w14:paraId="28AC6194">
            <w:pPr>
              <w:pStyle w:val="6"/>
              <w:spacing w:before="190" w:line="365" w:lineRule="auto"/>
              <w:ind w:left="108" w:right="108" w:firstLine="484"/>
              <w:rPr>
                <w:sz w:val="24"/>
                <w:szCs w:val="24"/>
              </w:rPr>
            </w:pPr>
            <w:r>
              <w:rPr>
                <w:spacing w:val="-1"/>
                <w:sz w:val="24"/>
                <w:szCs w:val="24"/>
              </w:rPr>
              <w:t>拟建输电线路电磁环境保护目标处工频电场强</w:t>
            </w:r>
            <w:r>
              <w:rPr>
                <w:spacing w:val="-2"/>
                <w:sz w:val="24"/>
                <w:szCs w:val="24"/>
              </w:rPr>
              <w:t>度在</w:t>
            </w:r>
            <w:r>
              <w:rPr>
                <w:spacing w:val="-24"/>
                <w:sz w:val="24"/>
                <w:szCs w:val="24"/>
              </w:rPr>
              <w:t xml:space="preserve"> </w:t>
            </w:r>
            <w:r>
              <w:rPr>
                <w:rFonts w:ascii="Times New Roman" w:hAnsi="Times New Roman" w:eastAsia="Times New Roman" w:cs="Times New Roman"/>
                <w:spacing w:val="-2"/>
                <w:sz w:val="24"/>
                <w:szCs w:val="24"/>
              </w:rPr>
              <w:t>0.457~2.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2"/>
                <w:sz w:val="24"/>
                <w:szCs w:val="24"/>
              </w:rPr>
              <w:t>153V/m</w:t>
            </w:r>
            <w:r>
              <w:rPr>
                <w:rFonts w:ascii="Times New Roman" w:hAnsi="Times New Roman" w:eastAsia="Times New Roman" w:cs="Times New Roman"/>
                <w:spacing w:val="37"/>
                <w:sz w:val="24"/>
                <w:szCs w:val="24"/>
              </w:rPr>
              <w:t xml:space="preserve"> </w:t>
            </w:r>
            <w:r>
              <w:rPr>
                <w:spacing w:val="-2"/>
                <w:sz w:val="24"/>
                <w:szCs w:val="24"/>
              </w:rPr>
              <w:t xml:space="preserve">之间，工频磁感应强度在 </w:t>
            </w:r>
            <w:r>
              <w:rPr>
                <w:rFonts w:ascii="Times New Roman" w:hAnsi="Times New Roman" w:eastAsia="Times New Roman" w:cs="Times New Roman"/>
                <w:spacing w:val="-2"/>
                <w:sz w:val="24"/>
                <w:szCs w:val="24"/>
              </w:rPr>
              <w:t xml:space="preserve">0.012~0.045µT  </w:t>
            </w:r>
            <w:r>
              <w:rPr>
                <w:spacing w:val="-2"/>
                <w:sz w:val="24"/>
                <w:szCs w:val="24"/>
              </w:rPr>
              <w:t>之间，满足《电磁环境控制</w:t>
            </w:r>
            <w:r>
              <w:rPr>
                <w:spacing w:val="-3"/>
                <w:sz w:val="24"/>
                <w:szCs w:val="24"/>
              </w:rPr>
              <w:t>限值》（</w:t>
            </w:r>
            <w:r>
              <w:rPr>
                <w:rFonts w:ascii="Times New Roman" w:hAnsi="Times New Roman" w:eastAsia="Times New Roman" w:cs="Times New Roman"/>
                <w:spacing w:val="-3"/>
                <w:sz w:val="24"/>
                <w:szCs w:val="24"/>
              </w:rPr>
              <w:t>GB8702-</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4"/>
                <w:sz w:val="24"/>
                <w:szCs w:val="24"/>
              </w:rPr>
              <w:t>2014</w:t>
            </w:r>
            <w:r>
              <w:rPr>
                <w:spacing w:val="-4"/>
                <w:sz w:val="24"/>
                <w:szCs w:val="24"/>
              </w:rPr>
              <w:t>）的要求。</w:t>
            </w:r>
          </w:p>
          <w:p w14:paraId="5CDA0218">
            <w:pPr>
              <w:pStyle w:val="6"/>
              <w:spacing w:before="4" w:line="340" w:lineRule="auto"/>
              <w:ind w:left="108" w:right="107" w:firstLine="486"/>
              <w:jc w:val="both"/>
              <w:rPr>
                <w:sz w:val="24"/>
                <w:szCs w:val="24"/>
              </w:rPr>
            </w:pPr>
            <w:r>
              <w:rPr>
                <w:rFonts w:ascii="Times New Roman" w:hAnsi="Times New Roman" w:eastAsia="Times New Roman" w:cs="Times New Roman"/>
                <w:spacing w:val="-2"/>
                <w:sz w:val="24"/>
                <w:szCs w:val="24"/>
              </w:rPr>
              <w:t>500kV</w:t>
            </w:r>
            <w:r>
              <w:rPr>
                <w:rFonts w:ascii="Times New Roman" w:hAnsi="Times New Roman" w:eastAsia="Times New Roman" w:cs="Times New Roman"/>
                <w:spacing w:val="38"/>
                <w:w w:val="101"/>
                <w:sz w:val="24"/>
                <w:szCs w:val="24"/>
              </w:rPr>
              <w:t xml:space="preserve"> </w:t>
            </w:r>
            <w:r>
              <w:rPr>
                <w:spacing w:val="-2"/>
                <w:sz w:val="24"/>
                <w:szCs w:val="24"/>
              </w:rPr>
              <w:t xml:space="preserve">乐业变厂界处工频电场强度在 </w:t>
            </w:r>
            <w:r>
              <w:rPr>
                <w:rFonts w:ascii="Times New Roman" w:hAnsi="Times New Roman" w:eastAsia="Times New Roman" w:cs="Times New Roman"/>
                <w:spacing w:val="-2"/>
                <w:sz w:val="24"/>
                <w:szCs w:val="24"/>
              </w:rPr>
              <w:t>11.40~12.91V/m</w:t>
            </w:r>
            <w:r>
              <w:rPr>
                <w:rFonts w:ascii="Times New Roman" w:hAnsi="Times New Roman" w:eastAsia="Times New Roman" w:cs="Times New Roman"/>
                <w:spacing w:val="34"/>
                <w:sz w:val="24"/>
                <w:szCs w:val="24"/>
              </w:rPr>
              <w:t xml:space="preserve"> </w:t>
            </w:r>
            <w:r>
              <w:rPr>
                <w:spacing w:val="-2"/>
                <w:sz w:val="24"/>
                <w:szCs w:val="24"/>
              </w:rPr>
              <w:t>之间，工频磁感应强</w:t>
            </w:r>
            <w:r>
              <w:rPr>
                <w:spacing w:val="-6"/>
                <w:sz w:val="24"/>
                <w:szCs w:val="24"/>
              </w:rPr>
              <w:t>度</w:t>
            </w:r>
            <w:r>
              <w:rPr>
                <w:spacing w:val="-43"/>
                <w:sz w:val="24"/>
                <w:szCs w:val="24"/>
              </w:rPr>
              <w:t xml:space="preserve"> </w:t>
            </w:r>
            <w:r>
              <w:rPr>
                <w:spacing w:val="-6"/>
                <w:sz w:val="24"/>
                <w:szCs w:val="24"/>
              </w:rPr>
              <w:t>在</w:t>
            </w:r>
            <w:r>
              <w:rPr>
                <w:spacing w:val="68"/>
                <w:sz w:val="24"/>
                <w:szCs w:val="24"/>
              </w:rPr>
              <w:t xml:space="preserve"> </w:t>
            </w:r>
            <w:r>
              <w:rPr>
                <w:rFonts w:ascii="Times New Roman" w:hAnsi="Times New Roman" w:eastAsia="Times New Roman" w:cs="Times New Roman"/>
                <w:spacing w:val="-6"/>
                <w:sz w:val="24"/>
                <w:szCs w:val="24"/>
              </w:rPr>
              <w:t xml:space="preserve">0.0966~0.0990µT   </w:t>
            </w:r>
            <w:r>
              <w:rPr>
                <w:spacing w:val="-6"/>
                <w:sz w:val="24"/>
                <w:szCs w:val="24"/>
              </w:rPr>
              <w:t>之</w:t>
            </w:r>
            <w:r>
              <w:rPr>
                <w:spacing w:val="-27"/>
                <w:sz w:val="24"/>
                <w:szCs w:val="24"/>
              </w:rPr>
              <w:t xml:space="preserve"> </w:t>
            </w:r>
            <w:r>
              <w:rPr>
                <w:spacing w:val="-6"/>
                <w:sz w:val="24"/>
                <w:szCs w:val="24"/>
              </w:rPr>
              <w:t>间</w:t>
            </w:r>
            <w:r>
              <w:rPr>
                <w:spacing w:val="-25"/>
                <w:sz w:val="24"/>
                <w:szCs w:val="24"/>
              </w:rPr>
              <w:t xml:space="preserve"> </w:t>
            </w:r>
            <w:r>
              <w:rPr>
                <w:spacing w:val="-6"/>
                <w:sz w:val="24"/>
                <w:szCs w:val="24"/>
              </w:rPr>
              <w:t>；</w:t>
            </w:r>
            <w:r>
              <w:rPr>
                <w:spacing w:val="-50"/>
                <w:sz w:val="24"/>
                <w:szCs w:val="24"/>
              </w:rPr>
              <w:t xml:space="preserve"> </w:t>
            </w:r>
            <w:r>
              <w:rPr>
                <w:rFonts w:ascii="Times New Roman" w:hAnsi="Times New Roman" w:eastAsia="Times New Roman" w:cs="Times New Roman"/>
                <w:spacing w:val="-6"/>
                <w:sz w:val="24"/>
                <w:szCs w:val="24"/>
              </w:rPr>
              <w:t xml:space="preserve">220kV   </w:t>
            </w:r>
            <w:r>
              <w:rPr>
                <w:spacing w:val="-6"/>
                <w:sz w:val="24"/>
                <w:szCs w:val="24"/>
              </w:rPr>
              <w:t>迤</w:t>
            </w:r>
            <w:r>
              <w:rPr>
                <w:spacing w:val="-42"/>
                <w:sz w:val="24"/>
                <w:szCs w:val="24"/>
              </w:rPr>
              <w:t xml:space="preserve"> </w:t>
            </w:r>
            <w:r>
              <w:rPr>
                <w:spacing w:val="-6"/>
                <w:sz w:val="24"/>
                <w:szCs w:val="24"/>
              </w:rPr>
              <w:t>车</w:t>
            </w:r>
            <w:r>
              <w:rPr>
                <w:spacing w:val="-46"/>
                <w:sz w:val="24"/>
                <w:szCs w:val="24"/>
              </w:rPr>
              <w:t xml:space="preserve"> </w:t>
            </w:r>
            <w:r>
              <w:rPr>
                <w:spacing w:val="-6"/>
                <w:sz w:val="24"/>
                <w:szCs w:val="24"/>
              </w:rPr>
              <w:t>变</w:t>
            </w:r>
            <w:r>
              <w:rPr>
                <w:spacing w:val="-43"/>
                <w:sz w:val="24"/>
                <w:szCs w:val="24"/>
              </w:rPr>
              <w:t xml:space="preserve"> </w:t>
            </w:r>
            <w:r>
              <w:rPr>
                <w:spacing w:val="-6"/>
                <w:sz w:val="24"/>
                <w:szCs w:val="24"/>
              </w:rPr>
              <w:t>厂</w:t>
            </w:r>
            <w:r>
              <w:rPr>
                <w:spacing w:val="-40"/>
                <w:sz w:val="24"/>
                <w:szCs w:val="24"/>
              </w:rPr>
              <w:t xml:space="preserve"> </w:t>
            </w:r>
            <w:r>
              <w:rPr>
                <w:spacing w:val="-6"/>
                <w:sz w:val="24"/>
                <w:szCs w:val="24"/>
              </w:rPr>
              <w:t>界</w:t>
            </w:r>
            <w:r>
              <w:rPr>
                <w:spacing w:val="-42"/>
                <w:sz w:val="24"/>
                <w:szCs w:val="24"/>
              </w:rPr>
              <w:t xml:space="preserve"> </w:t>
            </w:r>
            <w:r>
              <w:rPr>
                <w:spacing w:val="-6"/>
                <w:sz w:val="24"/>
                <w:szCs w:val="24"/>
              </w:rPr>
              <w:t>处</w:t>
            </w:r>
            <w:r>
              <w:rPr>
                <w:spacing w:val="-43"/>
                <w:sz w:val="24"/>
                <w:szCs w:val="24"/>
              </w:rPr>
              <w:t xml:space="preserve"> </w:t>
            </w:r>
            <w:r>
              <w:rPr>
                <w:spacing w:val="-6"/>
                <w:sz w:val="24"/>
                <w:szCs w:val="24"/>
              </w:rPr>
              <w:t>工</w:t>
            </w:r>
            <w:r>
              <w:rPr>
                <w:spacing w:val="-45"/>
                <w:sz w:val="24"/>
                <w:szCs w:val="24"/>
              </w:rPr>
              <w:t xml:space="preserve"> </w:t>
            </w:r>
            <w:r>
              <w:rPr>
                <w:spacing w:val="-6"/>
                <w:sz w:val="24"/>
                <w:szCs w:val="24"/>
              </w:rPr>
              <w:t>频 电</w:t>
            </w:r>
            <w:r>
              <w:rPr>
                <w:spacing w:val="-47"/>
                <w:sz w:val="24"/>
                <w:szCs w:val="24"/>
              </w:rPr>
              <w:t xml:space="preserve"> </w:t>
            </w:r>
            <w:r>
              <w:rPr>
                <w:spacing w:val="-6"/>
                <w:sz w:val="24"/>
                <w:szCs w:val="24"/>
              </w:rPr>
              <w:t>场</w:t>
            </w:r>
            <w:r>
              <w:rPr>
                <w:spacing w:val="-40"/>
                <w:sz w:val="24"/>
                <w:szCs w:val="24"/>
              </w:rPr>
              <w:t xml:space="preserve"> </w:t>
            </w:r>
            <w:r>
              <w:rPr>
                <w:spacing w:val="-6"/>
                <w:sz w:val="24"/>
                <w:szCs w:val="24"/>
              </w:rPr>
              <w:t>强</w:t>
            </w:r>
            <w:r>
              <w:rPr>
                <w:spacing w:val="-47"/>
                <w:sz w:val="24"/>
                <w:szCs w:val="24"/>
              </w:rPr>
              <w:t xml:space="preserve"> </w:t>
            </w:r>
            <w:r>
              <w:rPr>
                <w:spacing w:val="-6"/>
                <w:sz w:val="24"/>
                <w:szCs w:val="24"/>
              </w:rPr>
              <w:t>度</w:t>
            </w:r>
            <w:r>
              <w:rPr>
                <w:spacing w:val="-47"/>
                <w:sz w:val="24"/>
                <w:szCs w:val="24"/>
              </w:rPr>
              <w:t xml:space="preserve"> </w:t>
            </w:r>
            <w:r>
              <w:rPr>
                <w:spacing w:val="-6"/>
                <w:sz w:val="24"/>
                <w:szCs w:val="24"/>
              </w:rPr>
              <w:t>在</w:t>
            </w:r>
            <w:r>
              <w:rPr>
                <w:rFonts w:ascii="Times New Roman" w:hAnsi="Times New Roman" w:eastAsia="Times New Roman" w:cs="Times New Roman"/>
                <w:spacing w:val="-1"/>
                <w:sz w:val="24"/>
                <w:szCs w:val="24"/>
              </w:rPr>
              <w:t>2.652~1099.4V/m</w:t>
            </w:r>
            <w:r>
              <w:rPr>
                <w:rFonts w:ascii="Times New Roman" w:hAnsi="Times New Roman" w:eastAsia="Times New Roman" w:cs="Times New Roman"/>
                <w:spacing w:val="35"/>
                <w:sz w:val="24"/>
                <w:szCs w:val="24"/>
              </w:rPr>
              <w:t xml:space="preserve"> </w:t>
            </w:r>
            <w:r>
              <w:rPr>
                <w:spacing w:val="-1"/>
                <w:sz w:val="24"/>
                <w:szCs w:val="24"/>
              </w:rPr>
              <w:t>之间，工频磁感</w:t>
            </w:r>
            <w:r>
              <w:rPr>
                <w:spacing w:val="-2"/>
                <w:sz w:val="24"/>
                <w:szCs w:val="24"/>
              </w:rPr>
              <w:t>应强度在</w:t>
            </w:r>
            <w:r>
              <w:rPr>
                <w:spacing w:val="-30"/>
                <w:sz w:val="24"/>
                <w:szCs w:val="24"/>
              </w:rPr>
              <w:t xml:space="preserve"> </w:t>
            </w:r>
            <w:r>
              <w:rPr>
                <w:rFonts w:ascii="Times New Roman" w:hAnsi="Times New Roman" w:eastAsia="Times New Roman" w:cs="Times New Roman"/>
                <w:spacing w:val="-2"/>
                <w:sz w:val="24"/>
                <w:szCs w:val="24"/>
              </w:rPr>
              <w:t>0.</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2"/>
                <w:sz w:val="24"/>
                <w:szCs w:val="24"/>
              </w:rPr>
              <w:t>1011~3.6077µT</w:t>
            </w:r>
            <w:r>
              <w:rPr>
                <w:rFonts w:ascii="Times New Roman" w:hAnsi="Times New Roman" w:eastAsia="Times New Roman" w:cs="Times New Roman"/>
                <w:spacing w:val="33"/>
                <w:sz w:val="24"/>
                <w:szCs w:val="24"/>
              </w:rPr>
              <w:t xml:space="preserve"> </w:t>
            </w:r>
            <w:r>
              <w:rPr>
                <w:spacing w:val="-2"/>
                <w:sz w:val="24"/>
                <w:szCs w:val="24"/>
              </w:rPr>
              <w:t>之间；迤车牵引站</w:t>
            </w:r>
            <w:r>
              <w:rPr>
                <w:spacing w:val="-3"/>
                <w:sz w:val="24"/>
                <w:szCs w:val="24"/>
              </w:rPr>
              <w:t>站址处工频电场强度为</w:t>
            </w:r>
            <w:r>
              <w:rPr>
                <w:spacing w:val="-50"/>
                <w:sz w:val="24"/>
                <w:szCs w:val="24"/>
              </w:rPr>
              <w:t xml:space="preserve"> </w:t>
            </w:r>
            <w:r>
              <w:rPr>
                <w:rFonts w:ascii="Times New Roman" w:hAnsi="Times New Roman" w:eastAsia="Times New Roman" w:cs="Times New Roman"/>
                <w:spacing w:val="-3"/>
                <w:sz w:val="24"/>
                <w:szCs w:val="24"/>
              </w:rPr>
              <w:t>0.467V/m</w:t>
            </w:r>
            <w:r>
              <w:rPr>
                <w:spacing w:val="-3"/>
                <w:sz w:val="24"/>
                <w:szCs w:val="24"/>
              </w:rPr>
              <w:t>，工频磁感应强度为</w:t>
            </w:r>
            <w:r>
              <w:rPr>
                <w:spacing w:val="-51"/>
                <w:sz w:val="24"/>
                <w:szCs w:val="24"/>
              </w:rPr>
              <w:t xml:space="preserve"> </w:t>
            </w:r>
            <w:r>
              <w:rPr>
                <w:rFonts w:ascii="Times New Roman" w:hAnsi="Times New Roman" w:eastAsia="Times New Roman" w:cs="Times New Roman"/>
                <w:spacing w:val="-3"/>
                <w:sz w:val="24"/>
                <w:szCs w:val="24"/>
              </w:rPr>
              <w:t>0</w:t>
            </w:r>
            <w:r>
              <w:rPr>
                <w:rFonts w:ascii="Times New Roman" w:hAnsi="Times New Roman" w:eastAsia="Times New Roman" w:cs="Times New Roman"/>
                <w:spacing w:val="-4"/>
                <w:sz w:val="24"/>
                <w:szCs w:val="24"/>
              </w:rPr>
              <w:t>.011µT</w:t>
            </w:r>
            <w:r>
              <w:rPr>
                <w:spacing w:val="-4"/>
                <w:sz w:val="24"/>
                <w:szCs w:val="24"/>
              </w:rPr>
              <w:t>；都可以满足《电</w:t>
            </w:r>
          </w:p>
        </w:tc>
      </w:tr>
    </w:tbl>
    <w:p w14:paraId="4614E7D4">
      <w:pPr>
        <w:rPr>
          <w:rFonts w:ascii="Arial"/>
          <w:sz w:val="21"/>
        </w:rPr>
      </w:pPr>
    </w:p>
    <w:p w14:paraId="1A0398AF">
      <w:pPr>
        <w:rPr>
          <w:rFonts w:ascii="Arial" w:hAnsi="Arial" w:eastAsia="Arial" w:cs="Arial"/>
          <w:sz w:val="21"/>
          <w:szCs w:val="21"/>
        </w:rPr>
        <w:sectPr>
          <w:footerReference r:id="rId56" w:type="default"/>
          <w:pgSz w:w="11907" w:h="16841"/>
          <w:pgMar w:top="400" w:right="1408" w:bottom="1126" w:left="1414" w:header="0" w:footer="925" w:gutter="0"/>
          <w:cols w:space="720" w:num="1"/>
        </w:sectPr>
      </w:pPr>
    </w:p>
    <w:p w14:paraId="4A1210CD">
      <w:pPr>
        <w:spacing w:before="2"/>
      </w:pPr>
    </w:p>
    <w:p w14:paraId="7D7DE714">
      <w:pPr>
        <w:spacing w:before="2"/>
      </w:pPr>
    </w:p>
    <w:p w14:paraId="04C6ACE8">
      <w:pPr>
        <w:spacing w:before="1"/>
      </w:pPr>
    </w:p>
    <w:p w14:paraId="62CB0C58">
      <w:pPr>
        <w:spacing w:before="1"/>
      </w:pPr>
    </w:p>
    <w:p w14:paraId="49129B7A">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0E3899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5" w:hRule="atLeast"/>
        </w:trPr>
        <w:tc>
          <w:tcPr>
            <w:tcW w:w="571" w:type="dxa"/>
            <w:vAlign w:val="top"/>
          </w:tcPr>
          <w:p w14:paraId="7E1F3176">
            <w:pPr>
              <w:rPr>
                <w:rFonts w:ascii="Arial"/>
                <w:sz w:val="21"/>
              </w:rPr>
            </w:pPr>
          </w:p>
        </w:tc>
        <w:tc>
          <w:tcPr>
            <w:tcW w:w="8507" w:type="dxa"/>
            <w:vAlign w:val="top"/>
          </w:tcPr>
          <w:p w14:paraId="33E4A287">
            <w:pPr>
              <w:pStyle w:val="6"/>
              <w:spacing w:before="125" w:line="233" w:lineRule="auto"/>
              <w:ind w:left="112"/>
              <w:rPr>
                <w:sz w:val="24"/>
                <w:szCs w:val="24"/>
              </w:rPr>
            </w:pPr>
            <w:r>
              <w:rPr>
                <w:spacing w:val="-7"/>
                <w:sz w:val="24"/>
                <w:szCs w:val="24"/>
              </w:rPr>
              <w:t>磁环境控制限值》（</w:t>
            </w:r>
            <w:r>
              <w:rPr>
                <w:rFonts w:ascii="Times New Roman" w:hAnsi="Times New Roman" w:eastAsia="Times New Roman" w:cs="Times New Roman"/>
                <w:spacing w:val="-7"/>
                <w:sz w:val="24"/>
                <w:szCs w:val="24"/>
              </w:rPr>
              <w:t>GB8702-2014</w:t>
            </w:r>
            <w:r>
              <w:rPr>
                <w:spacing w:val="-7"/>
                <w:sz w:val="24"/>
                <w:szCs w:val="24"/>
              </w:rPr>
              <w:t>）的要求。</w:t>
            </w:r>
          </w:p>
          <w:p w14:paraId="63A785FE">
            <w:pPr>
              <w:pStyle w:val="6"/>
              <w:spacing w:before="167" w:line="333" w:lineRule="auto"/>
              <w:ind w:left="108" w:right="117" w:firstLine="485"/>
              <w:jc w:val="both"/>
              <w:rPr>
                <w:sz w:val="24"/>
                <w:szCs w:val="24"/>
              </w:rPr>
            </w:pPr>
            <w:r>
              <w:rPr>
                <w:spacing w:val="-16"/>
                <w:sz w:val="24"/>
                <w:szCs w:val="24"/>
              </w:rPr>
              <w:t>本</w:t>
            </w:r>
            <w:r>
              <w:rPr>
                <w:spacing w:val="-32"/>
                <w:sz w:val="24"/>
                <w:szCs w:val="24"/>
              </w:rPr>
              <w:t xml:space="preserve"> </w:t>
            </w:r>
            <w:r>
              <w:rPr>
                <w:spacing w:val="-16"/>
                <w:sz w:val="24"/>
                <w:szCs w:val="24"/>
              </w:rPr>
              <w:t>项 目 改</w:t>
            </w:r>
            <w:r>
              <w:rPr>
                <w:spacing w:val="-38"/>
                <w:sz w:val="24"/>
                <w:szCs w:val="24"/>
              </w:rPr>
              <w:t xml:space="preserve"> </w:t>
            </w:r>
            <w:r>
              <w:rPr>
                <w:spacing w:val="-16"/>
                <w:sz w:val="24"/>
                <w:szCs w:val="24"/>
              </w:rPr>
              <w:t>接 点 、</w:t>
            </w:r>
            <w:r>
              <w:rPr>
                <w:spacing w:val="-29"/>
                <w:sz w:val="24"/>
                <w:szCs w:val="24"/>
              </w:rPr>
              <w:t xml:space="preserve"> </w:t>
            </w:r>
            <w:r>
              <w:rPr>
                <w:spacing w:val="-16"/>
                <w:sz w:val="24"/>
                <w:szCs w:val="24"/>
              </w:rPr>
              <w:t>与</w:t>
            </w:r>
            <w:r>
              <w:rPr>
                <w:spacing w:val="-34"/>
                <w:sz w:val="24"/>
                <w:szCs w:val="24"/>
              </w:rPr>
              <w:t xml:space="preserve"> </w:t>
            </w:r>
            <w:r>
              <w:rPr>
                <w:spacing w:val="-16"/>
                <w:sz w:val="24"/>
                <w:szCs w:val="24"/>
              </w:rPr>
              <w:t>现</w:t>
            </w:r>
            <w:r>
              <w:rPr>
                <w:spacing w:val="-36"/>
                <w:sz w:val="24"/>
                <w:szCs w:val="24"/>
              </w:rPr>
              <w:t xml:space="preserve"> </w:t>
            </w:r>
            <w:r>
              <w:rPr>
                <w:spacing w:val="-16"/>
                <w:sz w:val="24"/>
                <w:szCs w:val="24"/>
              </w:rPr>
              <w:t>有 电</w:t>
            </w:r>
            <w:r>
              <w:rPr>
                <w:spacing w:val="-33"/>
                <w:sz w:val="24"/>
                <w:szCs w:val="24"/>
              </w:rPr>
              <w:t xml:space="preserve"> </w:t>
            </w:r>
            <w:r>
              <w:rPr>
                <w:spacing w:val="-16"/>
                <w:sz w:val="24"/>
                <w:szCs w:val="24"/>
              </w:rPr>
              <w:t>力</w:t>
            </w:r>
            <w:r>
              <w:rPr>
                <w:spacing w:val="-33"/>
                <w:sz w:val="24"/>
                <w:szCs w:val="24"/>
              </w:rPr>
              <w:t xml:space="preserve"> </w:t>
            </w:r>
            <w:r>
              <w:rPr>
                <w:spacing w:val="-16"/>
                <w:sz w:val="24"/>
                <w:szCs w:val="24"/>
              </w:rPr>
              <w:t>线</w:t>
            </w:r>
            <w:r>
              <w:rPr>
                <w:spacing w:val="-32"/>
                <w:sz w:val="24"/>
                <w:szCs w:val="24"/>
              </w:rPr>
              <w:t xml:space="preserve"> </w:t>
            </w:r>
            <w:r>
              <w:rPr>
                <w:spacing w:val="-16"/>
                <w:sz w:val="24"/>
                <w:szCs w:val="24"/>
              </w:rPr>
              <w:t>路</w:t>
            </w:r>
            <w:r>
              <w:rPr>
                <w:spacing w:val="-30"/>
                <w:sz w:val="24"/>
                <w:szCs w:val="24"/>
              </w:rPr>
              <w:t xml:space="preserve"> </w:t>
            </w:r>
            <w:r>
              <w:rPr>
                <w:spacing w:val="-16"/>
                <w:sz w:val="24"/>
                <w:szCs w:val="24"/>
              </w:rPr>
              <w:t>交</w:t>
            </w:r>
            <w:r>
              <w:rPr>
                <w:spacing w:val="-34"/>
                <w:sz w:val="24"/>
                <w:szCs w:val="24"/>
              </w:rPr>
              <w:t xml:space="preserve"> </w:t>
            </w:r>
            <w:r>
              <w:rPr>
                <w:spacing w:val="-16"/>
                <w:sz w:val="24"/>
                <w:szCs w:val="24"/>
              </w:rPr>
              <w:t>叉</w:t>
            </w:r>
            <w:r>
              <w:rPr>
                <w:spacing w:val="-24"/>
                <w:sz w:val="24"/>
                <w:szCs w:val="24"/>
              </w:rPr>
              <w:t xml:space="preserve"> </w:t>
            </w:r>
            <w:r>
              <w:rPr>
                <w:spacing w:val="-16"/>
                <w:sz w:val="24"/>
                <w:szCs w:val="24"/>
              </w:rPr>
              <w:t>点</w:t>
            </w:r>
            <w:r>
              <w:rPr>
                <w:spacing w:val="-30"/>
                <w:sz w:val="24"/>
                <w:szCs w:val="24"/>
              </w:rPr>
              <w:t xml:space="preserve"> </w:t>
            </w:r>
            <w:r>
              <w:rPr>
                <w:spacing w:val="-16"/>
                <w:sz w:val="24"/>
                <w:szCs w:val="24"/>
              </w:rPr>
              <w:t>处</w:t>
            </w:r>
            <w:r>
              <w:rPr>
                <w:spacing w:val="-33"/>
                <w:sz w:val="24"/>
                <w:szCs w:val="24"/>
              </w:rPr>
              <w:t xml:space="preserve"> </w:t>
            </w:r>
            <w:r>
              <w:rPr>
                <w:spacing w:val="-16"/>
                <w:sz w:val="24"/>
                <w:szCs w:val="24"/>
              </w:rPr>
              <w:t>工</w:t>
            </w:r>
            <w:r>
              <w:rPr>
                <w:spacing w:val="-36"/>
                <w:sz w:val="24"/>
                <w:szCs w:val="24"/>
              </w:rPr>
              <w:t xml:space="preserve"> </w:t>
            </w:r>
            <w:r>
              <w:rPr>
                <w:spacing w:val="-16"/>
                <w:sz w:val="24"/>
                <w:szCs w:val="24"/>
              </w:rPr>
              <w:t>频 电</w:t>
            </w:r>
            <w:r>
              <w:rPr>
                <w:spacing w:val="-35"/>
                <w:sz w:val="24"/>
                <w:szCs w:val="24"/>
              </w:rPr>
              <w:t xml:space="preserve"> </w:t>
            </w:r>
            <w:r>
              <w:rPr>
                <w:spacing w:val="-16"/>
                <w:sz w:val="24"/>
                <w:szCs w:val="24"/>
              </w:rPr>
              <w:t>场</w:t>
            </w:r>
            <w:r>
              <w:rPr>
                <w:spacing w:val="-30"/>
                <w:sz w:val="24"/>
                <w:szCs w:val="24"/>
              </w:rPr>
              <w:t xml:space="preserve"> </w:t>
            </w:r>
            <w:r>
              <w:rPr>
                <w:spacing w:val="-16"/>
                <w:sz w:val="24"/>
                <w:szCs w:val="24"/>
              </w:rPr>
              <w:t>强</w:t>
            </w:r>
            <w:r>
              <w:rPr>
                <w:spacing w:val="-38"/>
                <w:sz w:val="24"/>
                <w:szCs w:val="24"/>
              </w:rPr>
              <w:t xml:space="preserve"> </w:t>
            </w:r>
            <w:r>
              <w:rPr>
                <w:spacing w:val="-16"/>
                <w:sz w:val="24"/>
                <w:szCs w:val="24"/>
              </w:rPr>
              <w:t>度</w:t>
            </w:r>
            <w:r>
              <w:rPr>
                <w:spacing w:val="-37"/>
                <w:sz w:val="24"/>
                <w:szCs w:val="24"/>
              </w:rPr>
              <w:t xml:space="preserve"> </w:t>
            </w:r>
            <w:r>
              <w:rPr>
                <w:spacing w:val="-16"/>
                <w:sz w:val="24"/>
                <w:szCs w:val="24"/>
              </w:rPr>
              <w:t>在</w:t>
            </w:r>
            <w:r>
              <w:rPr>
                <w:rFonts w:ascii="Times New Roman" w:hAnsi="Times New Roman" w:eastAsia="Times New Roman" w:cs="Times New Roman"/>
                <w:spacing w:val="-2"/>
                <w:sz w:val="24"/>
                <w:szCs w:val="24"/>
              </w:rPr>
              <w:t xml:space="preserve">29.971~1104.920V/m </w:t>
            </w:r>
            <w:r>
              <w:rPr>
                <w:spacing w:val="-2"/>
                <w:sz w:val="24"/>
                <w:szCs w:val="24"/>
              </w:rPr>
              <w:t>之间，工频磁感应强度在</w:t>
            </w:r>
            <w:r>
              <w:rPr>
                <w:spacing w:val="-35"/>
                <w:sz w:val="24"/>
                <w:szCs w:val="24"/>
              </w:rPr>
              <w:t xml:space="preserve"> </w:t>
            </w:r>
            <w:r>
              <w:rPr>
                <w:rFonts w:ascii="Times New Roman" w:hAnsi="Times New Roman" w:eastAsia="Times New Roman" w:cs="Times New Roman"/>
                <w:spacing w:val="-2"/>
                <w:sz w:val="24"/>
                <w:szCs w:val="24"/>
              </w:rPr>
              <w:t xml:space="preserve">0.024~1.669µT </w:t>
            </w:r>
            <w:r>
              <w:rPr>
                <w:spacing w:val="-2"/>
                <w:sz w:val="24"/>
                <w:szCs w:val="24"/>
              </w:rPr>
              <w:t>之间，满足《电磁</w:t>
            </w:r>
            <w:r>
              <w:rPr>
                <w:spacing w:val="-6"/>
                <w:sz w:val="24"/>
                <w:szCs w:val="24"/>
              </w:rPr>
              <w:t>环境控制限值》（</w:t>
            </w:r>
            <w:r>
              <w:rPr>
                <w:rFonts w:ascii="Times New Roman" w:hAnsi="Times New Roman" w:eastAsia="Times New Roman" w:cs="Times New Roman"/>
                <w:spacing w:val="-6"/>
                <w:sz w:val="24"/>
                <w:szCs w:val="24"/>
              </w:rPr>
              <w:t>GB8702-2014</w:t>
            </w:r>
            <w:r>
              <w:rPr>
                <w:spacing w:val="-6"/>
                <w:sz w:val="24"/>
                <w:szCs w:val="24"/>
              </w:rPr>
              <w:t>）的要求。</w:t>
            </w:r>
          </w:p>
        </w:tc>
      </w:tr>
      <w:tr w14:paraId="2865E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385" w:hRule="atLeast"/>
        </w:trPr>
        <w:tc>
          <w:tcPr>
            <w:tcW w:w="571" w:type="dxa"/>
            <w:vAlign w:val="top"/>
          </w:tcPr>
          <w:p w14:paraId="045A3AAD">
            <w:pPr>
              <w:spacing w:line="254" w:lineRule="auto"/>
              <w:rPr>
                <w:rFonts w:ascii="Arial"/>
                <w:sz w:val="21"/>
              </w:rPr>
            </w:pPr>
          </w:p>
          <w:p w14:paraId="1020D910">
            <w:pPr>
              <w:spacing w:line="254" w:lineRule="auto"/>
              <w:rPr>
                <w:rFonts w:ascii="Arial"/>
                <w:sz w:val="21"/>
              </w:rPr>
            </w:pPr>
          </w:p>
          <w:p w14:paraId="62F90F1F">
            <w:pPr>
              <w:spacing w:line="254" w:lineRule="auto"/>
              <w:rPr>
                <w:rFonts w:ascii="Arial"/>
                <w:sz w:val="21"/>
              </w:rPr>
            </w:pPr>
          </w:p>
          <w:p w14:paraId="6CAEBDFE">
            <w:pPr>
              <w:spacing w:line="254" w:lineRule="auto"/>
              <w:rPr>
                <w:rFonts w:ascii="Arial"/>
                <w:sz w:val="21"/>
              </w:rPr>
            </w:pPr>
          </w:p>
          <w:p w14:paraId="2C1DB013">
            <w:pPr>
              <w:spacing w:line="254" w:lineRule="auto"/>
              <w:rPr>
                <w:rFonts w:ascii="Arial"/>
                <w:sz w:val="21"/>
              </w:rPr>
            </w:pPr>
          </w:p>
          <w:p w14:paraId="207DC398">
            <w:pPr>
              <w:spacing w:line="255" w:lineRule="auto"/>
              <w:rPr>
                <w:rFonts w:ascii="Arial"/>
                <w:sz w:val="21"/>
              </w:rPr>
            </w:pPr>
          </w:p>
          <w:p w14:paraId="0A4B9C3D">
            <w:pPr>
              <w:spacing w:line="255" w:lineRule="auto"/>
              <w:rPr>
                <w:rFonts w:ascii="Arial"/>
                <w:sz w:val="21"/>
              </w:rPr>
            </w:pPr>
          </w:p>
          <w:p w14:paraId="4C1154DC">
            <w:pPr>
              <w:spacing w:line="255" w:lineRule="auto"/>
              <w:rPr>
                <w:rFonts w:ascii="Arial"/>
                <w:sz w:val="21"/>
              </w:rPr>
            </w:pPr>
          </w:p>
          <w:p w14:paraId="5E8C6493">
            <w:pPr>
              <w:spacing w:line="255" w:lineRule="auto"/>
              <w:rPr>
                <w:rFonts w:ascii="Arial"/>
                <w:sz w:val="21"/>
              </w:rPr>
            </w:pPr>
          </w:p>
          <w:p w14:paraId="6DA45C17">
            <w:pPr>
              <w:spacing w:line="255" w:lineRule="auto"/>
              <w:rPr>
                <w:rFonts w:ascii="Arial"/>
                <w:sz w:val="21"/>
              </w:rPr>
            </w:pPr>
          </w:p>
          <w:p w14:paraId="03591CC8">
            <w:pPr>
              <w:spacing w:line="255" w:lineRule="auto"/>
              <w:rPr>
                <w:rFonts w:ascii="Arial"/>
                <w:sz w:val="21"/>
              </w:rPr>
            </w:pPr>
          </w:p>
          <w:p w14:paraId="1F53D7FC">
            <w:pPr>
              <w:spacing w:line="255" w:lineRule="auto"/>
              <w:rPr>
                <w:rFonts w:ascii="Arial"/>
                <w:sz w:val="21"/>
              </w:rPr>
            </w:pPr>
          </w:p>
          <w:p w14:paraId="26B5C751">
            <w:pPr>
              <w:spacing w:line="255" w:lineRule="auto"/>
              <w:rPr>
                <w:rFonts w:ascii="Arial"/>
                <w:sz w:val="21"/>
              </w:rPr>
            </w:pPr>
          </w:p>
          <w:p w14:paraId="64A5588C">
            <w:pPr>
              <w:spacing w:line="255" w:lineRule="auto"/>
              <w:rPr>
                <w:rFonts w:ascii="Arial"/>
                <w:sz w:val="21"/>
              </w:rPr>
            </w:pPr>
          </w:p>
          <w:p w14:paraId="13740B36">
            <w:pPr>
              <w:spacing w:line="255" w:lineRule="auto"/>
              <w:rPr>
                <w:rFonts w:ascii="Arial"/>
                <w:sz w:val="21"/>
              </w:rPr>
            </w:pPr>
          </w:p>
          <w:p w14:paraId="7CB42712">
            <w:pPr>
              <w:spacing w:line="255" w:lineRule="auto"/>
              <w:rPr>
                <w:rFonts w:ascii="Arial"/>
                <w:sz w:val="21"/>
              </w:rPr>
            </w:pPr>
          </w:p>
          <w:p w14:paraId="174FF72C">
            <w:pPr>
              <w:pStyle w:val="6"/>
              <w:spacing w:before="68" w:line="278" w:lineRule="auto"/>
              <w:ind w:left="80" w:right="71" w:firstLine="4"/>
              <w:jc w:val="both"/>
            </w:pPr>
            <w:r>
              <w:rPr>
                <w:spacing w:val="-6"/>
              </w:rPr>
              <w:t>与项</w:t>
            </w:r>
            <w:r>
              <w:rPr>
                <w:spacing w:val="-3"/>
              </w:rPr>
              <w:t>目有关的原有环境污染和生态破坏问</w:t>
            </w:r>
            <w:r>
              <w:rPr>
                <w:spacing w:val="33"/>
                <w:w w:val="131"/>
              </w:rPr>
              <w:t>题</w:t>
            </w:r>
          </w:p>
        </w:tc>
        <w:tc>
          <w:tcPr>
            <w:tcW w:w="8507" w:type="dxa"/>
            <w:vAlign w:val="top"/>
          </w:tcPr>
          <w:p w14:paraId="3EA70A58">
            <w:pPr>
              <w:pStyle w:val="6"/>
              <w:spacing w:before="119" w:line="365" w:lineRule="auto"/>
              <w:ind w:left="108" w:right="24" w:firstLine="484"/>
              <w:rPr>
                <w:sz w:val="24"/>
                <w:szCs w:val="24"/>
              </w:rPr>
            </w:pPr>
            <w:r>
              <w:rPr>
                <w:spacing w:val="-3"/>
                <w:sz w:val="24"/>
                <w:szCs w:val="24"/>
              </w:rPr>
              <w:t>根据建设内容，与本项目相关的工程有本期输</w:t>
            </w:r>
            <w:r>
              <w:rPr>
                <w:spacing w:val="-4"/>
                <w:sz w:val="24"/>
                <w:szCs w:val="24"/>
              </w:rPr>
              <w:t>电线路接入的</w:t>
            </w:r>
            <w:r>
              <w:rPr>
                <w:spacing w:val="-47"/>
                <w:sz w:val="24"/>
                <w:szCs w:val="24"/>
              </w:rPr>
              <w:t xml:space="preserve"> </w:t>
            </w:r>
            <w:r>
              <w:rPr>
                <w:rFonts w:ascii="Times New Roman" w:hAnsi="Times New Roman" w:eastAsia="Times New Roman" w:cs="Times New Roman"/>
                <w:spacing w:val="-4"/>
                <w:sz w:val="24"/>
                <w:szCs w:val="24"/>
              </w:rPr>
              <w:t>500kV</w:t>
            </w:r>
            <w:r>
              <w:rPr>
                <w:rFonts w:ascii="Times New Roman" w:hAnsi="Times New Roman" w:eastAsia="Times New Roman" w:cs="Times New Roman"/>
                <w:spacing w:val="17"/>
                <w:sz w:val="24"/>
                <w:szCs w:val="24"/>
              </w:rPr>
              <w:t xml:space="preserve"> </w:t>
            </w:r>
            <w:r>
              <w:rPr>
                <w:spacing w:val="-4"/>
                <w:sz w:val="24"/>
                <w:szCs w:val="24"/>
              </w:rPr>
              <w:t>乐业变、</w:t>
            </w:r>
            <w:r>
              <w:rPr>
                <w:sz w:val="24"/>
                <w:szCs w:val="24"/>
              </w:rPr>
              <w:t xml:space="preserve"> </w:t>
            </w:r>
            <w:r>
              <w:rPr>
                <w:rFonts w:ascii="Times New Roman" w:hAnsi="Times New Roman" w:eastAsia="Times New Roman" w:cs="Times New Roman"/>
                <w:spacing w:val="-1"/>
                <w:sz w:val="24"/>
                <w:szCs w:val="24"/>
              </w:rPr>
              <w:t xml:space="preserve">220kV </w:t>
            </w:r>
            <w:r>
              <w:rPr>
                <w:spacing w:val="-1"/>
                <w:sz w:val="24"/>
                <w:szCs w:val="24"/>
              </w:rPr>
              <w:t>迤车变、迤车牵引变，及其被改接的</w:t>
            </w:r>
            <w:r>
              <w:rPr>
                <w:spacing w:val="-54"/>
                <w:sz w:val="24"/>
                <w:szCs w:val="24"/>
              </w:rPr>
              <w:t xml:space="preserve"> </w:t>
            </w:r>
            <w:r>
              <w:rPr>
                <w:rFonts w:ascii="Times New Roman" w:hAnsi="Times New Roman" w:eastAsia="Times New Roman" w:cs="Times New Roman"/>
                <w:spacing w:val="-1"/>
                <w:sz w:val="24"/>
                <w:szCs w:val="24"/>
              </w:rPr>
              <w:t xml:space="preserve">220kV </w:t>
            </w:r>
            <w:r>
              <w:rPr>
                <w:spacing w:val="-2"/>
                <w:sz w:val="24"/>
                <w:szCs w:val="24"/>
              </w:rPr>
              <w:t>者迤Ⅰ回线。</w:t>
            </w:r>
          </w:p>
          <w:p w14:paraId="56BD1889">
            <w:pPr>
              <w:pStyle w:val="6"/>
              <w:spacing w:line="234" w:lineRule="auto"/>
              <w:ind w:left="601"/>
              <w:rPr>
                <w:sz w:val="24"/>
                <w:szCs w:val="24"/>
              </w:rPr>
            </w:pPr>
            <w:r>
              <w:rPr>
                <w:b/>
                <w:bCs/>
                <w:spacing w:val="-5"/>
                <w:sz w:val="24"/>
                <w:szCs w:val="24"/>
              </w:rPr>
              <w:t>（</w:t>
            </w:r>
            <w:r>
              <w:rPr>
                <w:rFonts w:ascii="Times New Roman" w:hAnsi="Times New Roman" w:eastAsia="Times New Roman" w:cs="Times New Roman"/>
                <w:b/>
                <w:bCs/>
                <w:spacing w:val="-5"/>
                <w:sz w:val="24"/>
                <w:szCs w:val="24"/>
              </w:rPr>
              <w:t>1</w:t>
            </w:r>
            <w:r>
              <w:rPr>
                <w:b/>
                <w:bCs/>
                <w:spacing w:val="-5"/>
                <w:sz w:val="24"/>
                <w:szCs w:val="24"/>
              </w:rPr>
              <w:t>）相关环保手续</w:t>
            </w:r>
          </w:p>
          <w:p w14:paraId="12C3CFF2">
            <w:pPr>
              <w:pStyle w:val="6"/>
              <w:spacing w:before="168" w:line="365" w:lineRule="auto"/>
              <w:ind w:left="118" w:right="108" w:firstLine="476"/>
              <w:jc w:val="both"/>
              <w:rPr>
                <w:sz w:val="24"/>
                <w:szCs w:val="24"/>
              </w:rPr>
            </w:pPr>
            <w:r>
              <w:rPr>
                <w:rFonts w:ascii="Times New Roman" w:hAnsi="Times New Roman" w:eastAsia="Times New Roman" w:cs="Times New Roman"/>
                <w:spacing w:val="-2"/>
                <w:sz w:val="24"/>
                <w:szCs w:val="24"/>
              </w:rPr>
              <w:t>500kV</w:t>
            </w:r>
            <w:r>
              <w:rPr>
                <w:rFonts w:ascii="Times New Roman" w:hAnsi="Times New Roman" w:eastAsia="Times New Roman" w:cs="Times New Roman"/>
                <w:spacing w:val="29"/>
                <w:sz w:val="24"/>
                <w:szCs w:val="24"/>
              </w:rPr>
              <w:t xml:space="preserve"> </w:t>
            </w:r>
            <w:r>
              <w:rPr>
                <w:spacing w:val="-2"/>
                <w:sz w:val="24"/>
                <w:szCs w:val="24"/>
              </w:rPr>
              <w:t>乐业变电站属于</w:t>
            </w:r>
            <w:r>
              <w:rPr>
                <w:spacing w:val="-37"/>
                <w:sz w:val="24"/>
                <w:szCs w:val="24"/>
              </w:rPr>
              <w:t xml:space="preserve"> </w:t>
            </w:r>
            <w:r>
              <w:rPr>
                <w:rFonts w:ascii="Times New Roman" w:hAnsi="Times New Roman" w:eastAsia="Times New Roman" w:cs="Times New Roman"/>
                <w:spacing w:val="-2"/>
                <w:sz w:val="24"/>
                <w:szCs w:val="24"/>
              </w:rPr>
              <w:t>500</w:t>
            </w:r>
            <w:r>
              <w:rPr>
                <w:rFonts w:ascii="Times New Roman" w:hAnsi="Times New Roman" w:eastAsia="Times New Roman" w:cs="Times New Roman"/>
                <w:spacing w:val="22"/>
                <w:sz w:val="24"/>
                <w:szCs w:val="24"/>
              </w:rPr>
              <w:t xml:space="preserve"> </w:t>
            </w:r>
            <w:r>
              <w:rPr>
                <w:spacing w:val="-2"/>
                <w:sz w:val="24"/>
                <w:szCs w:val="24"/>
              </w:rPr>
              <w:t>千伏乐业输变电工程的建</w:t>
            </w:r>
            <w:r>
              <w:rPr>
                <w:spacing w:val="-3"/>
                <w:sz w:val="24"/>
                <w:szCs w:val="24"/>
              </w:rPr>
              <w:t>设内容，</w:t>
            </w:r>
            <w:r>
              <w:rPr>
                <w:rFonts w:ascii="Times New Roman" w:hAnsi="Times New Roman" w:eastAsia="Times New Roman" w:cs="Times New Roman"/>
                <w:spacing w:val="-3"/>
                <w:sz w:val="24"/>
                <w:szCs w:val="24"/>
              </w:rPr>
              <w:t>2024</w:t>
            </w:r>
            <w:r>
              <w:rPr>
                <w:rFonts w:ascii="Times New Roman" w:hAnsi="Times New Roman" w:eastAsia="Times New Roman" w:cs="Times New Roman"/>
                <w:spacing w:val="22"/>
                <w:w w:val="101"/>
                <w:sz w:val="24"/>
                <w:szCs w:val="24"/>
              </w:rPr>
              <w:t xml:space="preserve"> </w:t>
            </w:r>
            <w:r>
              <w:rPr>
                <w:spacing w:val="-3"/>
                <w:sz w:val="24"/>
                <w:szCs w:val="24"/>
              </w:rPr>
              <w:t>年</w:t>
            </w:r>
            <w:r>
              <w:rPr>
                <w:spacing w:val="-38"/>
                <w:sz w:val="24"/>
                <w:szCs w:val="24"/>
              </w:rPr>
              <w:t xml:space="preserve"> </w:t>
            </w:r>
            <w:r>
              <w:rPr>
                <w:rFonts w:ascii="Times New Roman" w:hAnsi="Times New Roman" w:eastAsia="Times New Roman" w:cs="Times New Roman"/>
                <w:spacing w:val="-3"/>
                <w:sz w:val="24"/>
                <w:szCs w:val="24"/>
              </w:rPr>
              <w:t>9</w:t>
            </w:r>
            <w:r>
              <w:rPr>
                <w:rFonts w:ascii="Times New Roman" w:hAnsi="Times New Roman" w:eastAsia="Times New Roman" w:cs="Times New Roman"/>
                <w:spacing w:val="27"/>
                <w:sz w:val="24"/>
                <w:szCs w:val="24"/>
              </w:rPr>
              <w:t xml:space="preserve"> </w:t>
            </w:r>
            <w:r>
              <w:rPr>
                <w:spacing w:val="-3"/>
                <w:sz w:val="24"/>
                <w:szCs w:val="24"/>
              </w:rPr>
              <w:t>月</w:t>
            </w:r>
            <w:r>
              <w:rPr>
                <w:rFonts w:ascii="Times New Roman" w:hAnsi="Times New Roman" w:eastAsia="Times New Roman" w:cs="Times New Roman"/>
                <w:spacing w:val="-2"/>
                <w:sz w:val="24"/>
                <w:szCs w:val="24"/>
              </w:rPr>
              <w:t xml:space="preserve">18  </w:t>
            </w:r>
            <w:r>
              <w:rPr>
                <w:spacing w:val="-2"/>
                <w:sz w:val="24"/>
                <w:szCs w:val="24"/>
              </w:rPr>
              <w:t>日，取得云南省生态环境厅下发的关于</w:t>
            </w:r>
            <w:r>
              <w:rPr>
                <w:spacing w:val="-21"/>
                <w:sz w:val="24"/>
                <w:szCs w:val="24"/>
              </w:rPr>
              <w:t xml:space="preserve"> </w:t>
            </w:r>
            <w:r>
              <w:rPr>
                <w:rFonts w:ascii="Times New Roman" w:hAnsi="Times New Roman" w:eastAsia="Times New Roman" w:cs="Times New Roman"/>
                <w:spacing w:val="-2"/>
                <w:sz w:val="24"/>
                <w:szCs w:val="24"/>
              </w:rPr>
              <w:t>500</w:t>
            </w:r>
            <w:r>
              <w:rPr>
                <w:rFonts w:ascii="Times New Roman" w:hAnsi="Times New Roman" w:eastAsia="Times New Roman" w:cs="Times New Roman"/>
                <w:spacing w:val="31"/>
                <w:sz w:val="24"/>
                <w:szCs w:val="24"/>
              </w:rPr>
              <w:t xml:space="preserve"> </w:t>
            </w:r>
            <w:r>
              <w:rPr>
                <w:spacing w:val="-2"/>
                <w:sz w:val="24"/>
                <w:szCs w:val="24"/>
              </w:rPr>
              <w:t>千伏乐业输变电工程环境影响报</w:t>
            </w:r>
            <w:r>
              <w:rPr>
                <w:spacing w:val="-4"/>
                <w:sz w:val="24"/>
                <w:szCs w:val="24"/>
              </w:rPr>
              <w:t>告书的批复（云环审〔</w:t>
            </w:r>
            <w:r>
              <w:rPr>
                <w:rFonts w:ascii="Times New Roman" w:hAnsi="Times New Roman" w:eastAsia="Times New Roman" w:cs="Times New Roman"/>
                <w:spacing w:val="-4"/>
                <w:sz w:val="24"/>
                <w:szCs w:val="24"/>
              </w:rPr>
              <w:t>2024</w:t>
            </w:r>
            <w:r>
              <w:rPr>
                <w:spacing w:val="-4"/>
                <w:sz w:val="24"/>
                <w:szCs w:val="24"/>
              </w:rPr>
              <w:t>〕</w:t>
            </w:r>
            <w:r>
              <w:rPr>
                <w:rFonts w:ascii="Times New Roman" w:hAnsi="Times New Roman" w:eastAsia="Times New Roman" w:cs="Times New Roman"/>
                <w:spacing w:val="-4"/>
                <w:sz w:val="24"/>
                <w:szCs w:val="24"/>
              </w:rPr>
              <w:t>2-15</w:t>
            </w:r>
            <w:r>
              <w:rPr>
                <w:rFonts w:ascii="Times New Roman" w:hAnsi="Times New Roman" w:eastAsia="Times New Roman" w:cs="Times New Roman"/>
                <w:spacing w:val="17"/>
                <w:sz w:val="24"/>
                <w:szCs w:val="24"/>
              </w:rPr>
              <w:t xml:space="preserve"> </w:t>
            </w:r>
            <w:r>
              <w:rPr>
                <w:spacing w:val="-4"/>
                <w:sz w:val="24"/>
                <w:szCs w:val="24"/>
              </w:rPr>
              <w:t>号</w:t>
            </w:r>
            <w:r>
              <w:rPr>
                <w:spacing w:val="-35"/>
                <w:sz w:val="24"/>
                <w:szCs w:val="24"/>
              </w:rPr>
              <w:t>），</w:t>
            </w:r>
            <w:r>
              <w:rPr>
                <w:spacing w:val="-4"/>
                <w:sz w:val="24"/>
                <w:szCs w:val="24"/>
              </w:rPr>
              <w:t>目前还未建成投运。</w:t>
            </w:r>
          </w:p>
          <w:p w14:paraId="01FDBE23">
            <w:pPr>
              <w:pStyle w:val="6"/>
              <w:spacing w:before="3" w:line="359" w:lineRule="auto"/>
              <w:ind w:left="118" w:right="42" w:firstLine="469"/>
              <w:jc w:val="both"/>
              <w:rPr>
                <w:sz w:val="24"/>
                <w:szCs w:val="24"/>
              </w:rPr>
            </w:pP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25"/>
                <w:w w:val="101"/>
                <w:sz w:val="24"/>
                <w:szCs w:val="24"/>
              </w:rPr>
              <w:t xml:space="preserve"> </w:t>
            </w:r>
            <w:r>
              <w:rPr>
                <w:spacing w:val="-1"/>
                <w:sz w:val="24"/>
                <w:szCs w:val="24"/>
              </w:rPr>
              <w:t>迤车变电站属于</w:t>
            </w:r>
            <w:r>
              <w:rPr>
                <w:spacing w:val="-38"/>
                <w:sz w:val="24"/>
                <w:szCs w:val="24"/>
              </w:rPr>
              <w:t xml:space="preserve"> </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25"/>
                <w:sz w:val="24"/>
                <w:szCs w:val="24"/>
              </w:rPr>
              <w:t xml:space="preserve"> </w:t>
            </w:r>
            <w:r>
              <w:rPr>
                <w:spacing w:val="-1"/>
                <w:sz w:val="24"/>
                <w:szCs w:val="24"/>
              </w:rPr>
              <w:t>会泽迤车输变电工程的建</w:t>
            </w:r>
            <w:r>
              <w:rPr>
                <w:spacing w:val="-2"/>
                <w:sz w:val="24"/>
                <w:szCs w:val="24"/>
              </w:rPr>
              <w:t>设内容，</w:t>
            </w:r>
            <w:r>
              <w:rPr>
                <w:rFonts w:ascii="Times New Roman" w:hAnsi="Times New Roman" w:eastAsia="Times New Roman" w:cs="Times New Roman"/>
                <w:spacing w:val="-2"/>
                <w:sz w:val="24"/>
                <w:szCs w:val="24"/>
              </w:rPr>
              <w:t>2008</w:t>
            </w:r>
            <w:r>
              <w:rPr>
                <w:rFonts w:ascii="Times New Roman" w:hAnsi="Times New Roman" w:eastAsia="Times New Roman" w:cs="Times New Roman"/>
                <w:spacing w:val="27"/>
                <w:w w:val="101"/>
                <w:sz w:val="24"/>
                <w:szCs w:val="24"/>
              </w:rPr>
              <w:t xml:space="preserve"> </w:t>
            </w:r>
            <w:r>
              <w:rPr>
                <w:spacing w:val="-2"/>
                <w:sz w:val="24"/>
                <w:szCs w:val="24"/>
              </w:rPr>
              <w:t>年</w:t>
            </w:r>
            <w:r>
              <w:rPr>
                <w:spacing w:val="-34"/>
                <w:sz w:val="24"/>
                <w:szCs w:val="24"/>
              </w:rPr>
              <w:t xml:space="preserve"> </w:t>
            </w:r>
            <w:r>
              <w:rPr>
                <w:rFonts w:ascii="Times New Roman" w:hAnsi="Times New Roman" w:eastAsia="Times New Roman" w:cs="Times New Roman"/>
                <w:spacing w:val="-2"/>
                <w:sz w:val="24"/>
                <w:szCs w:val="24"/>
              </w:rPr>
              <w:t>3</w:t>
            </w:r>
            <w:r>
              <w:rPr>
                <w:spacing w:val="1"/>
                <w:sz w:val="24"/>
                <w:szCs w:val="24"/>
              </w:rPr>
              <w:t xml:space="preserve">月 </w:t>
            </w:r>
            <w:r>
              <w:rPr>
                <w:rFonts w:ascii="Times New Roman" w:hAnsi="Times New Roman" w:eastAsia="Times New Roman" w:cs="Times New Roman"/>
                <w:spacing w:val="1"/>
                <w:sz w:val="24"/>
                <w:szCs w:val="24"/>
              </w:rPr>
              <w:t xml:space="preserve">10   </w:t>
            </w:r>
            <w:r>
              <w:rPr>
                <w:spacing w:val="1"/>
                <w:sz w:val="24"/>
                <w:szCs w:val="24"/>
              </w:rPr>
              <w:t>日，取得原曲靖市环境保护局下发的准予行政许可决定书（曲环辐许准</w:t>
            </w:r>
            <w:r>
              <w:rPr>
                <w:spacing w:val="-9"/>
                <w:sz w:val="24"/>
                <w:szCs w:val="24"/>
              </w:rPr>
              <w:t>〔</w:t>
            </w:r>
            <w:r>
              <w:rPr>
                <w:rFonts w:ascii="Times New Roman" w:hAnsi="Times New Roman" w:eastAsia="Times New Roman" w:cs="Times New Roman"/>
                <w:spacing w:val="-9"/>
                <w:sz w:val="24"/>
                <w:szCs w:val="24"/>
              </w:rPr>
              <w:t>2008</w:t>
            </w:r>
            <w:r>
              <w:rPr>
                <w:spacing w:val="-9"/>
                <w:sz w:val="24"/>
                <w:szCs w:val="24"/>
              </w:rPr>
              <w:t>〕</w:t>
            </w:r>
            <w:r>
              <w:rPr>
                <w:rFonts w:ascii="Times New Roman" w:hAnsi="Times New Roman" w:eastAsia="Times New Roman" w:cs="Times New Roman"/>
                <w:spacing w:val="-9"/>
                <w:sz w:val="24"/>
                <w:szCs w:val="24"/>
              </w:rPr>
              <w:t>4</w:t>
            </w:r>
            <w:r>
              <w:rPr>
                <w:rFonts w:ascii="Times New Roman" w:hAnsi="Times New Roman" w:eastAsia="Times New Roman" w:cs="Times New Roman"/>
                <w:spacing w:val="15"/>
                <w:w w:val="101"/>
                <w:sz w:val="24"/>
                <w:szCs w:val="24"/>
              </w:rPr>
              <w:t xml:space="preserve"> </w:t>
            </w:r>
            <w:r>
              <w:rPr>
                <w:spacing w:val="-9"/>
                <w:sz w:val="24"/>
                <w:szCs w:val="24"/>
              </w:rPr>
              <w:t>号</w:t>
            </w:r>
            <w:r>
              <w:rPr>
                <w:spacing w:val="-46"/>
                <w:sz w:val="24"/>
                <w:szCs w:val="24"/>
              </w:rPr>
              <w:t>）；</w:t>
            </w:r>
            <w:r>
              <w:rPr>
                <w:rFonts w:ascii="Times New Roman" w:hAnsi="Times New Roman" w:eastAsia="Times New Roman" w:cs="Times New Roman"/>
                <w:spacing w:val="-9"/>
                <w:sz w:val="24"/>
                <w:szCs w:val="24"/>
              </w:rPr>
              <w:t>2010</w:t>
            </w:r>
            <w:r>
              <w:rPr>
                <w:rFonts w:ascii="Times New Roman" w:hAnsi="Times New Roman" w:eastAsia="Times New Roman" w:cs="Times New Roman"/>
                <w:spacing w:val="12"/>
                <w:sz w:val="24"/>
                <w:szCs w:val="24"/>
              </w:rPr>
              <w:t xml:space="preserve"> </w:t>
            </w:r>
            <w:r>
              <w:rPr>
                <w:spacing w:val="-9"/>
                <w:sz w:val="24"/>
                <w:szCs w:val="24"/>
              </w:rPr>
              <w:t>年</w:t>
            </w:r>
            <w:r>
              <w:rPr>
                <w:spacing w:val="-32"/>
                <w:sz w:val="24"/>
                <w:szCs w:val="24"/>
              </w:rPr>
              <w:t xml:space="preserve"> </w:t>
            </w:r>
            <w:r>
              <w:rPr>
                <w:rFonts w:ascii="Times New Roman" w:hAnsi="Times New Roman" w:eastAsia="Times New Roman" w:cs="Times New Roman"/>
                <w:spacing w:val="-9"/>
                <w:sz w:val="24"/>
                <w:szCs w:val="24"/>
              </w:rPr>
              <w:t>12</w:t>
            </w:r>
            <w:r>
              <w:rPr>
                <w:rFonts w:ascii="Times New Roman" w:hAnsi="Times New Roman" w:eastAsia="Times New Roman" w:cs="Times New Roman"/>
                <w:spacing w:val="16"/>
                <w:sz w:val="24"/>
                <w:szCs w:val="24"/>
              </w:rPr>
              <w:t xml:space="preserve"> </w:t>
            </w:r>
            <w:r>
              <w:rPr>
                <w:spacing w:val="-9"/>
                <w:sz w:val="24"/>
                <w:szCs w:val="24"/>
              </w:rPr>
              <w:t>月</w:t>
            </w:r>
            <w:r>
              <w:rPr>
                <w:spacing w:val="-32"/>
                <w:sz w:val="24"/>
                <w:szCs w:val="24"/>
              </w:rPr>
              <w:t xml:space="preserve"> </w:t>
            </w:r>
            <w:r>
              <w:rPr>
                <w:rFonts w:ascii="Times New Roman" w:hAnsi="Times New Roman" w:eastAsia="Times New Roman" w:cs="Times New Roman"/>
                <w:spacing w:val="-9"/>
                <w:sz w:val="24"/>
                <w:szCs w:val="24"/>
              </w:rPr>
              <w:t>15</w:t>
            </w:r>
            <w:r>
              <w:rPr>
                <w:rFonts w:ascii="Times New Roman" w:hAnsi="Times New Roman" w:eastAsia="Times New Roman" w:cs="Times New Roman"/>
                <w:spacing w:val="51"/>
                <w:sz w:val="24"/>
                <w:szCs w:val="24"/>
              </w:rPr>
              <w:t xml:space="preserve"> </w:t>
            </w:r>
            <w:r>
              <w:rPr>
                <w:spacing w:val="-9"/>
                <w:sz w:val="24"/>
                <w:szCs w:val="24"/>
              </w:rPr>
              <w:t>日，取得原曲靖市环境保护局出</w:t>
            </w:r>
            <w:r>
              <w:rPr>
                <w:spacing w:val="-10"/>
                <w:sz w:val="24"/>
                <w:szCs w:val="24"/>
              </w:rPr>
              <w:t>具的验收意见，</w:t>
            </w:r>
            <w:r>
              <w:rPr>
                <w:spacing w:val="-2"/>
                <w:sz w:val="24"/>
                <w:szCs w:val="24"/>
              </w:rPr>
              <w:t>同意</w:t>
            </w:r>
            <w:r>
              <w:rPr>
                <w:spacing w:val="-53"/>
                <w:sz w:val="24"/>
                <w:szCs w:val="24"/>
              </w:rPr>
              <w:t xml:space="preserve"> </w:t>
            </w:r>
            <w:r>
              <w:rPr>
                <w:rFonts w:ascii="Times New Roman" w:hAnsi="Times New Roman" w:eastAsia="Times New Roman" w:cs="Times New Roman"/>
                <w:spacing w:val="-2"/>
                <w:sz w:val="24"/>
                <w:szCs w:val="24"/>
              </w:rPr>
              <w:t xml:space="preserve">220kV </w:t>
            </w:r>
            <w:r>
              <w:rPr>
                <w:spacing w:val="-2"/>
                <w:sz w:val="24"/>
                <w:szCs w:val="24"/>
              </w:rPr>
              <w:t>会泽迤车输变电工程通过竣工环境保护验收。</w:t>
            </w:r>
          </w:p>
          <w:p w14:paraId="7643DB95">
            <w:pPr>
              <w:pStyle w:val="6"/>
              <w:spacing w:before="25" w:line="356" w:lineRule="auto"/>
              <w:ind w:left="116" w:right="107" w:firstLine="476"/>
              <w:rPr>
                <w:sz w:val="24"/>
                <w:szCs w:val="24"/>
              </w:rPr>
            </w:pPr>
            <w:r>
              <w:rPr>
                <w:spacing w:val="-9"/>
                <w:sz w:val="24"/>
                <w:szCs w:val="24"/>
              </w:rPr>
              <w:t>被改接线路（</w:t>
            </w:r>
            <w:r>
              <w:rPr>
                <w:rFonts w:ascii="Times New Roman" w:hAnsi="Times New Roman" w:eastAsia="Times New Roman" w:cs="Times New Roman"/>
                <w:spacing w:val="-9"/>
                <w:sz w:val="24"/>
                <w:szCs w:val="24"/>
              </w:rPr>
              <w:t xml:space="preserve">220kV </w:t>
            </w:r>
            <w:r>
              <w:rPr>
                <w:spacing w:val="-9"/>
                <w:sz w:val="24"/>
                <w:szCs w:val="24"/>
              </w:rPr>
              <w:t>者迤Ⅰ线</w:t>
            </w:r>
            <w:r>
              <w:rPr>
                <w:spacing w:val="-23"/>
                <w:sz w:val="24"/>
                <w:szCs w:val="24"/>
              </w:rPr>
              <w:t>），</w:t>
            </w:r>
            <w:r>
              <w:rPr>
                <w:spacing w:val="-9"/>
                <w:sz w:val="24"/>
                <w:szCs w:val="24"/>
              </w:rPr>
              <w:t>由于建设年限久远（</w:t>
            </w:r>
            <w:r>
              <w:rPr>
                <w:rFonts w:ascii="Times New Roman" w:hAnsi="Times New Roman" w:eastAsia="Times New Roman" w:cs="Times New Roman"/>
                <w:spacing w:val="-9"/>
                <w:sz w:val="24"/>
                <w:szCs w:val="24"/>
              </w:rPr>
              <w:t xml:space="preserve">1997 </w:t>
            </w:r>
            <w:r>
              <w:rPr>
                <w:spacing w:val="-9"/>
                <w:sz w:val="24"/>
                <w:szCs w:val="24"/>
              </w:rPr>
              <w:t>年</w:t>
            </w:r>
            <w:r>
              <w:rPr>
                <w:spacing w:val="-23"/>
                <w:sz w:val="24"/>
                <w:szCs w:val="24"/>
              </w:rPr>
              <w:t>），</w:t>
            </w:r>
            <w:r>
              <w:rPr>
                <w:spacing w:val="-9"/>
                <w:sz w:val="24"/>
                <w:szCs w:val="24"/>
              </w:rPr>
              <w:t>期间产权也</w:t>
            </w:r>
            <w:r>
              <w:rPr>
                <w:spacing w:val="-3"/>
                <w:sz w:val="24"/>
                <w:szCs w:val="24"/>
              </w:rPr>
              <w:t>发生过变动，未找到环保相关手续。</w:t>
            </w:r>
          </w:p>
          <w:p w14:paraId="027E2E58">
            <w:pPr>
              <w:pStyle w:val="6"/>
              <w:spacing w:before="24"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）现状调查情况</w:t>
            </w:r>
          </w:p>
          <w:p w14:paraId="4F408205">
            <w:pPr>
              <w:pStyle w:val="6"/>
              <w:spacing w:before="168" w:line="365" w:lineRule="auto"/>
              <w:ind w:left="112" w:right="109" w:firstLine="480"/>
              <w:jc w:val="both"/>
              <w:rPr>
                <w:sz w:val="24"/>
                <w:szCs w:val="24"/>
              </w:rPr>
            </w:pPr>
            <w:r>
              <w:rPr>
                <w:spacing w:val="-4"/>
                <w:sz w:val="24"/>
                <w:szCs w:val="24"/>
              </w:rPr>
              <w:t>本工程区域主要噪声源有道路交通噪声、社会生活噪声、已运行的变电站及</w:t>
            </w:r>
            <w:r>
              <w:rPr>
                <w:spacing w:val="-3"/>
                <w:sz w:val="24"/>
                <w:szCs w:val="24"/>
              </w:rPr>
              <w:t>高压输电线路；电磁环境污染源主要是已运</w:t>
            </w:r>
            <w:r>
              <w:rPr>
                <w:spacing w:val="-4"/>
                <w:sz w:val="24"/>
                <w:szCs w:val="24"/>
              </w:rPr>
              <w:t>行的变电站及高压输电线路。本次环境现状监测结果表明，本工程评价范围内的电磁环境和声环境现状均满足相应国家标准要求，未发现明显环境问题。现状调查期间也未发现环境空气、水环境等</w:t>
            </w:r>
            <w:r>
              <w:rPr>
                <w:spacing w:val="-6"/>
                <w:sz w:val="24"/>
                <w:szCs w:val="24"/>
              </w:rPr>
              <w:t>环境污染问题。</w:t>
            </w:r>
          </w:p>
          <w:p w14:paraId="5562C56C">
            <w:pPr>
              <w:pStyle w:val="6"/>
              <w:spacing w:before="1" w:line="234" w:lineRule="auto"/>
              <w:ind w:left="601"/>
              <w:rPr>
                <w:sz w:val="24"/>
                <w:szCs w:val="24"/>
              </w:rPr>
            </w:pPr>
            <w:r>
              <w:rPr>
                <w:b/>
                <w:bCs/>
                <w:spacing w:val="-7"/>
                <w:sz w:val="24"/>
                <w:szCs w:val="24"/>
              </w:rPr>
              <w:t>（</w:t>
            </w:r>
            <w:r>
              <w:rPr>
                <w:rFonts w:ascii="Times New Roman" w:hAnsi="Times New Roman" w:eastAsia="Times New Roman" w:cs="Times New Roman"/>
                <w:b/>
                <w:bCs/>
                <w:spacing w:val="-7"/>
                <w:sz w:val="24"/>
                <w:szCs w:val="24"/>
              </w:rPr>
              <w:t>3</w:t>
            </w:r>
            <w:r>
              <w:rPr>
                <w:b/>
                <w:bCs/>
                <w:spacing w:val="-7"/>
                <w:sz w:val="24"/>
                <w:szCs w:val="24"/>
              </w:rPr>
              <w:t>）结论</w:t>
            </w:r>
          </w:p>
          <w:p w14:paraId="318194CE">
            <w:pPr>
              <w:pStyle w:val="6"/>
              <w:spacing w:before="167" w:line="346" w:lineRule="auto"/>
              <w:ind w:left="111" w:right="109" w:firstLine="483"/>
              <w:jc w:val="both"/>
              <w:rPr>
                <w:sz w:val="24"/>
                <w:szCs w:val="24"/>
              </w:rPr>
            </w:pPr>
            <w:r>
              <w:rPr>
                <w:spacing w:val="-4"/>
                <w:sz w:val="24"/>
                <w:szCs w:val="24"/>
              </w:rPr>
              <w:t>综上所述，与本项目有关的工程投运至今，运行状况良好，噪声、电磁辐射</w:t>
            </w:r>
            <w:r>
              <w:rPr>
                <w:spacing w:val="-3"/>
                <w:sz w:val="24"/>
                <w:szCs w:val="24"/>
              </w:rPr>
              <w:t>均能达标排放，建设单位未收到相关的投诉意</w:t>
            </w:r>
            <w:r>
              <w:rPr>
                <w:spacing w:val="-4"/>
                <w:sz w:val="24"/>
                <w:szCs w:val="24"/>
              </w:rPr>
              <w:t>见。本项目涉及的已建工程产生的污染物均能满足相应评价标准限值要求或均有相应的环保措施处理处置，本期工程建设不必针对原有污染物采取新的环保措施。本工程建设不存在制约项目建设的原有污染物和环境问题。</w:t>
            </w:r>
          </w:p>
        </w:tc>
      </w:tr>
    </w:tbl>
    <w:p w14:paraId="725EEE3D">
      <w:pPr>
        <w:rPr>
          <w:rFonts w:ascii="Arial"/>
          <w:sz w:val="21"/>
        </w:rPr>
      </w:pPr>
    </w:p>
    <w:p w14:paraId="093A0542">
      <w:pPr>
        <w:rPr>
          <w:rFonts w:ascii="Arial" w:hAnsi="Arial" w:eastAsia="Arial" w:cs="Arial"/>
          <w:sz w:val="21"/>
          <w:szCs w:val="21"/>
        </w:rPr>
        <w:sectPr>
          <w:footerReference r:id="rId57" w:type="default"/>
          <w:pgSz w:w="11907" w:h="16841"/>
          <w:pgMar w:top="400" w:right="1408" w:bottom="1126" w:left="1414" w:header="0" w:footer="925" w:gutter="0"/>
          <w:cols w:space="720" w:num="1"/>
        </w:sectPr>
      </w:pPr>
    </w:p>
    <w:p w14:paraId="092ECEA7">
      <w:pPr>
        <w:spacing w:before="2"/>
      </w:pPr>
    </w:p>
    <w:p w14:paraId="05411466">
      <w:pPr>
        <w:spacing w:before="2"/>
      </w:pPr>
    </w:p>
    <w:p w14:paraId="418FD5CC">
      <w:pPr>
        <w:spacing w:before="1"/>
      </w:pPr>
    </w:p>
    <w:p w14:paraId="791EC556">
      <w:pPr>
        <w:spacing w:before="1"/>
      </w:pPr>
    </w:p>
    <w:p w14:paraId="3D514881">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4387A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482" w:hRule="atLeast"/>
        </w:trPr>
        <w:tc>
          <w:tcPr>
            <w:tcW w:w="571" w:type="dxa"/>
            <w:vAlign w:val="top"/>
          </w:tcPr>
          <w:p w14:paraId="5113CB5A">
            <w:pPr>
              <w:spacing w:line="242" w:lineRule="auto"/>
              <w:rPr>
                <w:rFonts w:ascii="Arial"/>
                <w:sz w:val="21"/>
              </w:rPr>
            </w:pPr>
          </w:p>
          <w:p w14:paraId="026CB7E7">
            <w:pPr>
              <w:spacing w:line="242" w:lineRule="auto"/>
              <w:rPr>
                <w:rFonts w:ascii="Arial"/>
                <w:sz w:val="21"/>
              </w:rPr>
            </w:pPr>
          </w:p>
          <w:p w14:paraId="2E68E7EF">
            <w:pPr>
              <w:spacing w:line="242" w:lineRule="auto"/>
              <w:rPr>
                <w:rFonts w:ascii="Arial"/>
                <w:sz w:val="21"/>
              </w:rPr>
            </w:pPr>
          </w:p>
          <w:p w14:paraId="2F1169BC">
            <w:pPr>
              <w:spacing w:line="242" w:lineRule="auto"/>
              <w:rPr>
                <w:rFonts w:ascii="Arial"/>
                <w:sz w:val="21"/>
              </w:rPr>
            </w:pPr>
          </w:p>
          <w:p w14:paraId="176C814A">
            <w:pPr>
              <w:spacing w:line="242" w:lineRule="auto"/>
              <w:rPr>
                <w:rFonts w:ascii="Arial"/>
                <w:sz w:val="21"/>
              </w:rPr>
            </w:pPr>
          </w:p>
          <w:p w14:paraId="78FE2FC1">
            <w:pPr>
              <w:spacing w:line="242" w:lineRule="auto"/>
              <w:rPr>
                <w:rFonts w:ascii="Arial"/>
                <w:sz w:val="21"/>
              </w:rPr>
            </w:pPr>
          </w:p>
          <w:p w14:paraId="39F833A4">
            <w:pPr>
              <w:spacing w:line="242" w:lineRule="auto"/>
              <w:rPr>
                <w:rFonts w:ascii="Arial"/>
                <w:sz w:val="21"/>
              </w:rPr>
            </w:pPr>
          </w:p>
          <w:p w14:paraId="3A8025CF">
            <w:pPr>
              <w:spacing w:line="242" w:lineRule="auto"/>
              <w:rPr>
                <w:rFonts w:ascii="Arial"/>
                <w:sz w:val="21"/>
              </w:rPr>
            </w:pPr>
          </w:p>
          <w:p w14:paraId="586FFCCE">
            <w:pPr>
              <w:spacing w:line="242" w:lineRule="auto"/>
              <w:rPr>
                <w:rFonts w:ascii="Arial"/>
                <w:sz w:val="21"/>
              </w:rPr>
            </w:pPr>
          </w:p>
          <w:p w14:paraId="0CA602C3">
            <w:pPr>
              <w:spacing w:line="242" w:lineRule="auto"/>
              <w:rPr>
                <w:rFonts w:ascii="Arial"/>
                <w:sz w:val="21"/>
              </w:rPr>
            </w:pPr>
          </w:p>
          <w:p w14:paraId="012E1BB0">
            <w:pPr>
              <w:spacing w:line="242" w:lineRule="auto"/>
              <w:rPr>
                <w:rFonts w:ascii="Arial"/>
                <w:sz w:val="21"/>
              </w:rPr>
            </w:pPr>
          </w:p>
          <w:p w14:paraId="415391E1">
            <w:pPr>
              <w:spacing w:line="242" w:lineRule="auto"/>
              <w:rPr>
                <w:rFonts w:ascii="Arial"/>
                <w:sz w:val="21"/>
              </w:rPr>
            </w:pPr>
          </w:p>
          <w:p w14:paraId="64C73B56">
            <w:pPr>
              <w:spacing w:line="242" w:lineRule="auto"/>
              <w:rPr>
                <w:rFonts w:ascii="Arial"/>
                <w:sz w:val="21"/>
              </w:rPr>
            </w:pPr>
          </w:p>
          <w:p w14:paraId="548BA7E8">
            <w:pPr>
              <w:spacing w:line="242" w:lineRule="auto"/>
              <w:rPr>
                <w:rFonts w:ascii="Arial"/>
                <w:sz w:val="21"/>
              </w:rPr>
            </w:pPr>
          </w:p>
          <w:p w14:paraId="00E19039">
            <w:pPr>
              <w:spacing w:line="242" w:lineRule="auto"/>
              <w:rPr>
                <w:rFonts w:ascii="Arial"/>
                <w:sz w:val="21"/>
              </w:rPr>
            </w:pPr>
          </w:p>
          <w:p w14:paraId="448B7A48">
            <w:pPr>
              <w:spacing w:line="242" w:lineRule="auto"/>
              <w:rPr>
                <w:rFonts w:ascii="Arial"/>
                <w:sz w:val="21"/>
              </w:rPr>
            </w:pPr>
          </w:p>
          <w:p w14:paraId="08718FAC">
            <w:pPr>
              <w:spacing w:line="242" w:lineRule="auto"/>
              <w:rPr>
                <w:rFonts w:ascii="Arial"/>
                <w:sz w:val="21"/>
              </w:rPr>
            </w:pPr>
          </w:p>
          <w:p w14:paraId="271F2C92">
            <w:pPr>
              <w:spacing w:line="242" w:lineRule="auto"/>
              <w:rPr>
                <w:rFonts w:ascii="Arial"/>
                <w:sz w:val="21"/>
              </w:rPr>
            </w:pPr>
          </w:p>
          <w:p w14:paraId="31FEA423">
            <w:pPr>
              <w:spacing w:line="242" w:lineRule="auto"/>
              <w:rPr>
                <w:rFonts w:ascii="Arial"/>
                <w:sz w:val="21"/>
              </w:rPr>
            </w:pPr>
          </w:p>
          <w:p w14:paraId="36E6AD5D">
            <w:pPr>
              <w:spacing w:line="243" w:lineRule="auto"/>
              <w:rPr>
                <w:rFonts w:ascii="Arial"/>
                <w:sz w:val="21"/>
              </w:rPr>
            </w:pPr>
          </w:p>
          <w:p w14:paraId="1F709A9E">
            <w:pPr>
              <w:spacing w:line="243" w:lineRule="auto"/>
              <w:rPr>
                <w:rFonts w:ascii="Arial"/>
                <w:sz w:val="21"/>
              </w:rPr>
            </w:pPr>
          </w:p>
          <w:p w14:paraId="05F614A9">
            <w:pPr>
              <w:spacing w:line="243" w:lineRule="auto"/>
              <w:rPr>
                <w:rFonts w:ascii="Arial"/>
                <w:sz w:val="21"/>
              </w:rPr>
            </w:pPr>
          </w:p>
          <w:p w14:paraId="78B95FDA">
            <w:pPr>
              <w:spacing w:line="243" w:lineRule="auto"/>
              <w:rPr>
                <w:rFonts w:ascii="Arial"/>
                <w:sz w:val="21"/>
              </w:rPr>
            </w:pPr>
          </w:p>
          <w:p w14:paraId="2E48784D">
            <w:pPr>
              <w:spacing w:line="243" w:lineRule="auto"/>
              <w:rPr>
                <w:rFonts w:ascii="Arial"/>
                <w:sz w:val="21"/>
              </w:rPr>
            </w:pPr>
          </w:p>
          <w:p w14:paraId="0F71A3C3">
            <w:pPr>
              <w:spacing w:line="243" w:lineRule="auto"/>
              <w:rPr>
                <w:rFonts w:ascii="Arial"/>
                <w:sz w:val="21"/>
              </w:rPr>
            </w:pPr>
          </w:p>
          <w:p w14:paraId="0E69D2E0">
            <w:pPr>
              <w:pStyle w:val="6"/>
              <w:spacing w:before="69" w:line="279" w:lineRule="auto"/>
              <w:ind w:left="80" w:right="71" w:firstLine="1"/>
              <w:jc w:val="both"/>
            </w:pPr>
            <w:r>
              <w:rPr>
                <w:spacing w:val="-4"/>
              </w:rPr>
              <w:t>生态</w:t>
            </w:r>
            <w:r>
              <w:rPr>
                <w:spacing w:val="-3"/>
              </w:rPr>
              <w:t>环境保护目标</w:t>
            </w:r>
          </w:p>
        </w:tc>
        <w:tc>
          <w:tcPr>
            <w:tcW w:w="8507" w:type="dxa"/>
            <w:vAlign w:val="top"/>
          </w:tcPr>
          <w:p w14:paraId="2706DF7A">
            <w:pPr>
              <w:pStyle w:val="6"/>
              <w:spacing w:before="124" w:line="364" w:lineRule="auto"/>
              <w:ind w:left="119" w:right="112" w:firstLine="472"/>
              <w:rPr>
                <w:sz w:val="24"/>
                <w:szCs w:val="24"/>
              </w:rPr>
            </w:pPr>
            <w:r>
              <w:rPr>
                <w:spacing w:val="-10"/>
                <w:sz w:val="24"/>
                <w:szCs w:val="24"/>
              </w:rPr>
              <w:t>根据《建设项目环境影响报告表编制技术指南（生态影响类</w:t>
            </w:r>
            <w:r>
              <w:rPr>
                <w:spacing w:val="-22"/>
                <w:sz w:val="24"/>
                <w:szCs w:val="24"/>
              </w:rPr>
              <w:t>）（</w:t>
            </w:r>
            <w:r>
              <w:rPr>
                <w:spacing w:val="-10"/>
                <w:sz w:val="24"/>
                <w:szCs w:val="24"/>
              </w:rPr>
              <w:t>试行）》“按</w:t>
            </w:r>
            <w:r>
              <w:rPr>
                <w:spacing w:val="-1"/>
                <w:sz w:val="24"/>
                <w:szCs w:val="24"/>
              </w:rPr>
              <w:t>照环境影响评价相关技术导则要求确定评价范围并识别环境保护目标”。</w:t>
            </w:r>
          </w:p>
          <w:p w14:paraId="007A8AAA">
            <w:pPr>
              <w:pStyle w:val="6"/>
              <w:spacing w:before="3" w:line="364" w:lineRule="auto"/>
              <w:ind w:left="113" w:right="111" w:firstLine="480"/>
              <w:jc w:val="both"/>
              <w:rPr>
                <w:sz w:val="24"/>
                <w:szCs w:val="24"/>
              </w:rPr>
            </w:pPr>
            <w:r>
              <w:rPr>
                <w:spacing w:val="-4"/>
                <w:sz w:val="24"/>
                <w:szCs w:val="24"/>
              </w:rPr>
              <w:t>经现场调查，本项目不涉及国家公园、自然保护区、风景名胜区、世界文化和自然遗产地、自然公园（森林公园、地质公园、海洋公园等）、重要湿地、重点保护野生动物栖息地等需要特殊保护的区域。本项目涉及的环境保护目标主要</w:t>
            </w:r>
            <w:r>
              <w:rPr>
                <w:spacing w:val="-10"/>
                <w:sz w:val="24"/>
                <w:szCs w:val="24"/>
              </w:rPr>
              <w:t>有以下几类：</w:t>
            </w:r>
          </w:p>
          <w:p w14:paraId="7F5DE709">
            <w:pPr>
              <w:pStyle w:val="6"/>
              <w:spacing w:line="234"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）生态环境保护目标</w:t>
            </w:r>
          </w:p>
          <w:p w14:paraId="45AD9BB5">
            <w:pPr>
              <w:pStyle w:val="6"/>
              <w:spacing w:before="174" w:line="356" w:lineRule="auto"/>
              <w:ind w:left="111" w:right="108" w:firstLine="480"/>
              <w:jc w:val="both"/>
              <w:rPr>
                <w:sz w:val="24"/>
                <w:szCs w:val="24"/>
              </w:rPr>
            </w:pPr>
            <w:r>
              <w:rPr>
                <w:spacing w:val="-7"/>
                <w:sz w:val="24"/>
                <w:szCs w:val="24"/>
              </w:rPr>
              <w:t>根据《环境影响评价技术导则</w:t>
            </w:r>
            <w:r>
              <w:rPr>
                <w:spacing w:val="34"/>
                <w:sz w:val="24"/>
                <w:szCs w:val="24"/>
              </w:rPr>
              <w:t xml:space="preserve"> </w:t>
            </w:r>
            <w:r>
              <w:rPr>
                <w:spacing w:val="-7"/>
                <w:sz w:val="24"/>
                <w:szCs w:val="24"/>
              </w:rPr>
              <w:t>生态影响》（</w:t>
            </w:r>
            <w:r>
              <w:rPr>
                <w:rFonts w:ascii="Times New Roman" w:hAnsi="Times New Roman" w:eastAsia="Times New Roman" w:cs="Times New Roman"/>
                <w:spacing w:val="-7"/>
                <w:sz w:val="24"/>
                <w:szCs w:val="24"/>
              </w:rPr>
              <w:t>HJ19-2022</w:t>
            </w:r>
            <w:r>
              <w:rPr>
                <w:spacing w:val="-62"/>
                <w:w w:val="99"/>
                <w:sz w:val="24"/>
                <w:szCs w:val="24"/>
              </w:rPr>
              <w:t>），</w:t>
            </w:r>
            <w:r>
              <w:rPr>
                <w:spacing w:val="-7"/>
                <w:sz w:val="24"/>
                <w:szCs w:val="24"/>
              </w:rPr>
              <w:t>评价工作范围应依</w:t>
            </w:r>
            <w:r>
              <w:rPr>
                <w:spacing w:val="-4"/>
                <w:sz w:val="24"/>
                <w:szCs w:val="24"/>
              </w:rPr>
              <w:t>据评价项目对生态因子的影响方式、影响程度和生态因子之间的相互影响和相互</w:t>
            </w:r>
            <w:r>
              <w:rPr>
                <w:spacing w:val="-2"/>
                <w:sz w:val="24"/>
                <w:szCs w:val="24"/>
              </w:rPr>
              <w:t>依存关系确定，以线路中心线向两侧外延</w:t>
            </w:r>
            <w:r>
              <w:rPr>
                <w:spacing w:val="-49"/>
                <w:sz w:val="24"/>
                <w:szCs w:val="24"/>
              </w:rPr>
              <w:t xml:space="preserve"> </w:t>
            </w:r>
            <w:r>
              <w:rPr>
                <w:rFonts w:ascii="Times New Roman" w:hAnsi="Times New Roman" w:eastAsia="Times New Roman" w:cs="Times New Roman"/>
                <w:spacing w:val="-2"/>
                <w:sz w:val="24"/>
                <w:szCs w:val="24"/>
              </w:rPr>
              <w:t xml:space="preserve">300m </w:t>
            </w:r>
            <w:r>
              <w:rPr>
                <w:spacing w:val="-2"/>
                <w:sz w:val="24"/>
                <w:szCs w:val="24"/>
              </w:rPr>
              <w:t>为评价范围，穿越生态敏</w:t>
            </w:r>
            <w:r>
              <w:rPr>
                <w:spacing w:val="-3"/>
                <w:sz w:val="24"/>
                <w:szCs w:val="24"/>
              </w:rPr>
              <w:t xml:space="preserve">感区以线路穿越段向两端外延 </w:t>
            </w:r>
            <w:r>
              <w:rPr>
                <w:rFonts w:ascii="Times New Roman" w:hAnsi="Times New Roman" w:eastAsia="Times New Roman" w:cs="Times New Roman"/>
                <w:spacing w:val="-3"/>
                <w:sz w:val="24"/>
                <w:szCs w:val="24"/>
              </w:rPr>
              <w:t>1km</w:t>
            </w:r>
            <w:r>
              <w:rPr>
                <w:spacing w:val="-3"/>
                <w:sz w:val="24"/>
                <w:szCs w:val="24"/>
              </w:rPr>
              <w:t xml:space="preserve">、线路中心线向两侧外延 </w:t>
            </w:r>
            <w:r>
              <w:rPr>
                <w:rFonts w:ascii="Times New Roman" w:hAnsi="Times New Roman" w:eastAsia="Times New Roman" w:cs="Times New Roman"/>
                <w:spacing w:val="-3"/>
                <w:sz w:val="24"/>
                <w:szCs w:val="24"/>
              </w:rPr>
              <w:t>1km</w:t>
            </w:r>
            <w:r>
              <w:rPr>
                <w:rFonts w:ascii="Times New Roman" w:hAnsi="Times New Roman" w:eastAsia="Times New Roman" w:cs="Times New Roman"/>
                <w:spacing w:val="40"/>
                <w:sz w:val="24"/>
                <w:szCs w:val="24"/>
              </w:rPr>
              <w:t xml:space="preserve"> </w:t>
            </w:r>
            <w:r>
              <w:rPr>
                <w:spacing w:val="-3"/>
                <w:sz w:val="24"/>
                <w:szCs w:val="24"/>
              </w:rPr>
              <w:t>为评价范围。保护目标为区域内的重要物种、生态敏感区以及其</w:t>
            </w:r>
            <w:r>
              <w:rPr>
                <w:spacing w:val="-4"/>
                <w:sz w:val="24"/>
                <w:szCs w:val="24"/>
              </w:rPr>
              <w:t>他需要保护的物种、种群、生物群落</w:t>
            </w:r>
            <w:r>
              <w:rPr>
                <w:spacing w:val="-2"/>
                <w:sz w:val="24"/>
                <w:szCs w:val="24"/>
              </w:rPr>
              <w:t>及生态空间等。</w:t>
            </w:r>
            <w:r>
              <w:rPr>
                <w:b/>
                <w:bCs/>
                <w:spacing w:val="-2"/>
                <w:sz w:val="24"/>
                <w:szCs w:val="24"/>
              </w:rPr>
              <w:t>详见“生态环境影响专题评价”。</w:t>
            </w:r>
          </w:p>
          <w:p w14:paraId="2B0D8CE8">
            <w:pPr>
              <w:pStyle w:val="6"/>
              <w:spacing w:line="231" w:lineRule="auto"/>
              <w:ind w:left="2003"/>
            </w:pPr>
            <w:r>
              <w:rPr>
                <w:rFonts w:ascii="Times New Roman" w:hAnsi="Times New Roman" w:eastAsia="Times New Roman" w:cs="Times New Roman"/>
                <w:b/>
                <w:bCs/>
                <w:spacing w:val="-1"/>
              </w:rPr>
              <w:t xml:space="preserve">3-6    </w:t>
            </w:r>
            <w:r>
              <w:rPr>
                <w:b/>
                <w:bCs/>
                <w:spacing w:val="-1"/>
              </w:rPr>
              <w:t>本项目生态环境保护目标（详见生态专</w:t>
            </w:r>
            <w:r>
              <w:rPr>
                <w:b/>
                <w:bCs/>
                <w:spacing w:val="-2"/>
              </w:rPr>
              <w:t>题）</w:t>
            </w:r>
          </w:p>
          <w:tbl>
            <w:tblPr>
              <w:tblStyle w:val="5"/>
              <w:tblW w:w="8284" w:type="dxa"/>
              <w:tblInd w:w="1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21"/>
              <w:gridCol w:w="1842"/>
              <w:gridCol w:w="2126"/>
              <w:gridCol w:w="1595"/>
            </w:tblGrid>
            <w:tr w14:paraId="2CB02B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2721" w:type="dxa"/>
                  <w:vAlign w:val="top"/>
                </w:tcPr>
                <w:p w14:paraId="406837B5">
                  <w:pPr>
                    <w:pStyle w:val="6"/>
                    <w:spacing w:before="58" w:line="223" w:lineRule="auto"/>
                    <w:ind w:left="1158"/>
                  </w:pPr>
                  <w:r>
                    <w:rPr>
                      <w:b/>
                      <w:bCs/>
                      <w:spacing w:val="-5"/>
                    </w:rPr>
                    <w:t>名称</w:t>
                  </w:r>
                </w:p>
              </w:tc>
              <w:tc>
                <w:tcPr>
                  <w:tcW w:w="1842" w:type="dxa"/>
                  <w:vAlign w:val="top"/>
                </w:tcPr>
                <w:p w14:paraId="39D98A15">
                  <w:pPr>
                    <w:pStyle w:val="6"/>
                    <w:spacing w:before="58" w:line="221" w:lineRule="auto"/>
                    <w:ind w:left="399"/>
                  </w:pPr>
                  <w:r>
                    <w:rPr>
                      <w:b/>
                      <w:bCs/>
                      <w:spacing w:val="-3"/>
                    </w:rPr>
                    <w:t>涉及行政区</w:t>
                  </w:r>
                </w:p>
              </w:tc>
              <w:tc>
                <w:tcPr>
                  <w:tcW w:w="2126" w:type="dxa"/>
                  <w:vAlign w:val="top"/>
                </w:tcPr>
                <w:p w14:paraId="38A3EDB7">
                  <w:pPr>
                    <w:pStyle w:val="6"/>
                    <w:spacing w:before="58" w:line="221" w:lineRule="auto"/>
                    <w:ind w:left="334"/>
                  </w:pPr>
                  <w:r>
                    <w:rPr>
                      <w:b/>
                      <w:bCs/>
                      <w:spacing w:val="-3"/>
                    </w:rPr>
                    <w:t>与项目位置关系</w:t>
                  </w:r>
                </w:p>
              </w:tc>
              <w:tc>
                <w:tcPr>
                  <w:tcW w:w="1595" w:type="dxa"/>
                  <w:vAlign w:val="top"/>
                </w:tcPr>
                <w:p w14:paraId="4155FAB4">
                  <w:pPr>
                    <w:pStyle w:val="6"/>
                    <w:spacing w:before="57" w:line="221" w:lineRule="auto"/>
                    <w:ind w:left="382"/>
                  </w:pPr>
                  <w:r>
                    <w:rPr>
                      <w:b/>
                      <w:bCs/>
                      <w:spacing w:val="-4"/>
                    </w:rPr>
                    <w:t>保护类别</w:t>
                  </w:r>
                </w:p>
              </w:tc>
            </w:tr>
            <w:tr w14:paraId="3A0E6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2721" w:type="dxa"/>
                  <w:tcBorders>
                    <w:bottom w:val="single" w:color="000000" w:sz="4" w:space="0"/>
                  </w:tcBorders>
                  <w:vAlign w:val="top"/>
                </w:tcPr>
                <w:p w14:paraId="5BC45EDC">
                  <w:pPr>
                    <w:pStyle w:val="6"/>
                    <w:spacing w:before="56" w:line="221" w:lineRule="auto"/>
                    <w:ind w:left="244"/>
                  </w:pPr>
                  <w:r>
                    <w:rPr>
                      <w:spacing w:val="-4"/>
                    </w:rPr>
                    <w:t>自然植被及人工林等人工</w:t>
                  </w:r>
                </w:p>
                <w:p w14:paraId="2B07832F">
                  <w:pPr>
                    <w:pStyle w:val="6"/>
                    <w:spacing w:before="63" w:line="221" w:lineRule="auto"/>
                    <w:ind w:left="1156"/>
                  </w:pPr>
                  <w:r>
                    <w:rPr>
                      <w:spacing w:val="-2"/>
                    </w:rPr>
                    <w:t>植被</w:t>
                  </w:r>
                </w:p>
              </w:tc>
              <w:tc>
                <w:tcPr>
                  <w:tcW w:w="1842" w:type="dxa"/>
                  <w:tcBorders>
                    <w:bottom w:val="single" w:color="000000" w:sz="4" w:space="0"/>
                  </w:tcBorders>
                  <w:vAlign w:val="top"/>
                </w:tcPr>
                <w:p w14:paraId="3EF7EF87">
                  <w:pPr>
                    <w:pStyle w:val="6"/>
                    <w:spacing w:before="212" w:line="221" w:lineRule="auto"/>
                    <w:ind w:left="195"/>
                  </w:pPr>
                  <w:r>
                    <w:rPr>
                      <w:spacing w:val="-2"/>
                    </w:rPr>
                    <w:t>乐业镇、迤车镇</w:t>
                  </w:r>
                </w:p>
              </w:tc>
              <w:tc>
                <w:tcPr>
                  <w:tcW w:w="2126" w:type="dxa"/>
                  <w:tcBorders>
                    <w:bottom w:val="single" w:color="000000" w:sz="4" w:space="0"/>
                  </w:tcBorders>
                  <w:vAlign w:val="top"/>
                </w:tcPr>
                <w:p w14:paraId="51958EC6">
                  <w:pPr>
                    <w:pStyle w:val="6"/>
                    <w:spacing w:before="213" w:line="221" w:lineRule="auto"/>
                    <w:ind w:left="858"/>
                  </w:pPr>
                  <w:r>
                    <w:rPr>
                      <w:spacing w:val="-2"/>
                    </w:rPr>
                    <w:t>沿线</w:t>
                  </w:r>
                </w:p>
              </w:tc>
              <w:tc>
                <w:tcPr>
                  <w:tcW w:w="1595" w:type="dxa"/>
                  <w:vMerge w:val="restart"/>
                  <w:tcBorders>
                    <w:bottom w:val="nil"/>
                  </w:tcBorders>
                  <w:vAlign w:val="top"/>
                </w:tcPr>
                <w:p w14:paraId="7C0DF031">
                  <w:pPr>
                    <w:pStyle w:val="6"/>
                    <w:spacing w:before="55" w:line="264" w:lineRule="auto"/>
                    <w:ind w:left="172" w:right="163"/>
                    <w:jc w:val="both"/>
                  </w:pPr>
                  <w:r>
                    <w:rPr>
                      <w:spacing w:val="-1"/>
                    </w:rPr>
                    <w:t>减少对自然植被的破坏、占用，减少对野生动物的影响</w:t>
                  </w:r>
                </w:p>
              </w:tc>
            </w:tr>
            <w:tr w14:paraId="5FBD5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0" w:hRule="atLeast"/>
              </w:trPr>
              <w:tc>
                <w:tcPr>
                  <w:tcW w:w="2721" w:type="dxa"/>
                  <w:tcBorders>
                    <w:top w:val="single" w:color="000000" w:sz="4" w:space="0"/>
                  </w:tcBorders>
                  <w:vAlign w:val="top"/>
                </w:tcPr>
                <w:p w14:paraId="1C051A8E">
                  <w:pPr>
                    <w:pStyle w:val="6"/>
                    <w:spacing w:before="204" w:line="221" w:lineRule="auto"/>
                    <w:ind w:left="946"/>
                  </w:pPr>
                  <w:r>
                    <w:rPr>
                      <w:spacing w:val="-2"/>
                    </w:rPr>
                    <w:t>野生动物</w:t>
                  </w:r>
                </w:p>
              </w:tc>
              <w:tc>
                <w:tcPr>
                  <w:tcW w:w="1842" w:type="dxa"/>
                  <w:tcBorders>
                    <w:top w:val="single" w:color="000000" w:sz="4" w:space="0"/>
                  </w:tcBorders>
                  <w:vAlign w:val="top"/>
                </w:tcPr>
                <w:p w14:paraId="5A8E5F9D">
                  <w:pPr>
                    <w:pStyle w:val="6"/>
                    <w:spacing w:before="204" w:line="221" w:lineRule="auto"/>
                    <w:ind w:left="195"/>
                  </w:pPr>
                  <w:r>
                    <w:rPr>
                      <w:spacing w:val="-2"/>
                    </w:rPr>
                    <w:t>乐业镇、迤车镇</w:t>
                  </w:r>
                </w:p>
              </w:tc>
              <w:tc>
                <w:tcPr>
                  <w:tcW w:w="2126" w:type="dxa"/>
                  <w:tcBorders>
                    <w:top w:val="single" w:color="000000" w:sz="4" w:space="0"/>
                  </w:tcBorders>
                  <w:vAlign w:val="top"/>
                </w:tcPr>
                <w:p w14:paraId="04E2722C">
                  <w:pPr>
                    <w:pStyle w:val="6"/>
                    <w:spacing w:before="204" w:line="221" w:lineRule="auto"/>
                    <w:ind w:left="858"/>
                  </w:pPr>
                  <w:r>
                    <w:rPr>
                      <w:spacing w:val="-2"/>
                    </w:rPr>
                    <w:t>沿线</w:t>
                  </w:r>
                </w:p>
              </w:tc>
              <w:tc>
                <w:tcPr>
                  <w:tcW w:w="1595" w:type="dxa"/>
                  <w:vMerge w:val="continue"/>
                  <w:tcBorders>
                    <w:top w:val="nil"/>
                  </w:tcBorders>
                  <w:vAlign w:val="top"/>
                </w:tcPr>
                <w:p w14:paraId="1320A16D">
                  <w:pPr>
                    <w:rPr>
                      <w:rFonts w:ascii="Arial"/>
                      <w:sz w:val="21"/>
                    </w:rPr>
                  </w:pPr>
                </w:p>
              </w:tc>
            </w:tr>
            <w:tr w14:paraId="252642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trPr>
              <w:tc>
                <w:tcPr>
                  <w:tcW w:w="2721" w:type="dxa"/>
                  <w:vAlign w:val="top"/>
                </w:tcPr>
                <w:p w14:paraId="0919CDD8">
                  <w:pPr>
                    <w:pStyle w:val="6"/>
                    <w:spacing w:before="57" w:line="252" w:lineRule="auto"/>
                    <w:ind w:left="315" w:right="164" w:hanging="138"/>
                  </w:pPr>
                  <w:r>
                    <w:rPr>
                      <w:spacing w:val="-1"/>
                    </w:rPr>
                    <w:t>金沙江下游</w:t>
                  </w:r>
                  <w:r>
                    <w:rPr>
                      <w:rFonts w:ascii="Times New Roman" w:hAnsi="Times New Roman" w:eastAsia="Times New Roman" w:cs="Times New Roman"/>
                      <w:spacing w:val="-1"/>
                    </w:rPr>
                    <w:t>-</w:t>
                  </w:r>
                  <w:r>
                    <w:rPr>
                      <w:spacing w:val="-1"/>
                    </w:rPr>
                    <w:t>小江流域水土流失控制生态保护红线</w:t>
                  </w:r>
                </w:p>
              </w:tc>
              <w:tc>
                <w:tcPr>
                  <w:tcW w:w="1842" w:type="dxa"/>
                  <w:vAlign w:val="top"/>
                </w:tcPr>
                <w:p w14:paraId="0B58ED2D">
                  <w:pPr>
                    <w:pStyle w:val="6"/>
                    <w:spacing w:before="215" w:line="221" w:lineRule="auto"/>
                    <w:ind w:left="195"/>
                  </w:pPr>
                  <w:r>
                    <w:rPr>
                      <w:spacing w:val="-2"/>
                    </w:rPr>
                    <w:t>乐业镇、迤车镇</w:t>
                  </w:r>
                </w:p>
              </w:tc>
              <w:tc>
                <w:tcPr>
                  <w:tcW w:w="2126" w:type="dxa"/>
                  <w:vAlign w:val="top"/>
                </w:tcPr>
                <w:p w14:paraId="4151A1EF">
                  <w:pPr>
                    <w:pStyle w:val="6"/>
                    <w:spacing w:before="57" w:line="252" w:lineRule="auto"/>
                    <w:ind w:left="195" w:right="188" w:firstLine="44"/>
                  </w:pPr>
                  <w:r>
                    <w:rPr>
                      <w:spacing w:val="-3"/>
                    </w:rPr>
                    <w:t>穿越生态保护红线</w:t>
                  </w:r>
                  <w:r>
                    <w:rPr>
                      <w:rFonts w:ascii="Times New Roman" w:hAnsi="Times New Roman" w:eastAsia="Times New Roman" w:cs="Times New Roman"/>
                      <w:spacing w:val="-3"/>
                    </w:rPr>
                    <w:t>4257m</w:t>
                  </w:r>
                  <w:r>
                    <w:rPr>
                      <w:spacing w:val="-3"/>
                    </w:rPr>
                    <w:t>，立塔</w:t>
                  </w:r>
                  <w:r>
                    <w:rPr>
                      <w:spacing w:val="-18"/>
                    </w:rPr>
                    <w:t xml:space="preserve"> </w:t>
                  </w:r>
                  <w:r>
                    <w:rPr>
                      <w:rFonts w:ascii="Times New Roman" w:hAnsi="Times New Roman" w:eastAsia="Times New Roman" w:cs="Times New Roman"/>
                      <w:spacing w:val="-3"/>
                    </w:rPr>
                    <w:t xml:space="preserve">13 </w:t>
                  </w:r>
                  <w:r>
                    <w:rPr>
                      <w:spacing w:val="-3"/>
                    </w:rPr>
                    <w:t>基</w:t>
                  </w:r>
                </w:p>
              </w:tc>
              <w:tc>
                <w:tcPr>
                  <w:tcW w:w="1595" w:type="dxa"/>
                  <w:vAlign w:val="top"/>
                </w:tcPr>
                <w:p w14:paraId="2625BA2C">
                  <w:pPr>
                    <w:pStyle w:val="6"/>
                    <w:spacing w:before="215" w:line="221" w:lineRule="auto"/>
                    <w:ind w:left="383"/>
                  </w:pPr>
                  <w:r>
                    <w:rPr>
                      <w:spacing w:val="-2"/>
                    </w:rPr>
                    <w:t>水土保持</w:t>
                  </w:r>
                </w:p>
              </w:tc>
            </w:tr>
          </w:tbl>
          <w:p w14:paraId="2E8FCBC0">
            <w:pPr>
              <w:pStyle w:val="6"/>
              <w:spacing w:before="117" w:line="234" w:lineRule="auto"/>
              <w:ind w:left="601"/>
              <w:rPr>
                <w:sz w:val="24"/>
                <w:szCs w:val="24"/>
              </w:rPr>
            </w:pPr>
            <w:r>
              <w:rPr>
                <w:b/>
                <w:bCs/>
                <w:spacing w:val="-3"/>
                <w:sz w:val="24"/>
                <w:szCs w:val="24"/>
              </w:rPr>
              <w:t>（</w:t>
            </w:r>
            <w:r>
              <w:rPr>
                <w:rFonts w:ascii="Times New Roman" w:hAnsi="Times New Roman" w:eastAsia="Times New Roman" w:cs="Times New Roman"/>
                <w:b/>
                <w:bCs/>
                <w:spacing w:val="-3"/>
                <w:sz w:val="24"/>
                <w:szCs w:val="24"/>
              </w:rPr>
              <w:t>2</w:t>
            </w:r>
            <w:r>
              <w:rPr>
                <w:b/>
                <w:bCs/>
                <w:spacing w:val="-3"/>
                <w:sz w:val="24"/>
                <w:szCs w:val="24"/>
              </w:rPr>
              <w:t>）电磁环境及声环境保护目标</w:t>
            </w:r>
          </w:p>
          <w:p w14:paraId="573E540C">
            <w:pPr>
              <w:pStyle w:val="6"/>
              <w:spacing w:before="167" w:line="365" w:lineRule="auto"/>
              <w:ind w:left="113" w:right="111" w:firstLine="479"/>
              <w:jc w:val="both"/>
              <w:rPr>
                <w:sz w:val="24"/>
                <w:szCs w:val="24"/>
              </w:rPr>
            </w:pPr>
            <w:r>
              <w:rPr>
                <w:spacing w:val="-7"/>
                <w:sz w:val="24"/>
                <w:szCs w:val="24"/>
              </w:rPr>
              <w:t>根据《环境影响评价技术导则</w:t>
            </w:r>
            <w:r>
              <w:rPr>
                <w:spacing w:val="31"/>
                <w:sz w:val="24"/>
                <w:szCs w:val="24"/>
              </w:rPr>
              <w:t xml:space="preserve"> </w:t>
            </w:r>
            <w:r>
              <w:rPr>
                <w:spacing w:val="-7"/>
                <w:sz w:val="24"/>
                <w:szCs w:val="24"/>
              </w:rPr>
              <w:t>输变电》（</w:t>
            </w:r>
            <w:r>
              <w:rPr>
                <w:rFonts w:ascii="Times New Roman" w:hAnsi="Times New Roman" w:eastAsia="Times New Roman" w:cs="Times New Roman"/>
                <w:spacing w:val="-7"/>
                <w:sz w:val="24"/>
                <w:szCs w:val="24"/>
              </w:rPr>
              <w:t>HJ24-</w:t>
            </w:r>
            <w:r>
              <w:rPr>
                <w:rFonts w:ascii="Times New Roman" w:hAnsi="Times New Roman" w:eastAsia="Times New Roman" w:cs="Times New Roman"/>
                <w:spacing w:val="-8"/>
                <w:sz w:val="24"/>
                <w:szCs w:val="24"/>
              </w:rPr>
              <w:t>2020</w:t>
            </w:r>
            <w:r>
              <w:rPr>
                <w:spacing w:val="-58"/>
                <w:sz w:val="24"/>
                <w:szCs w:val="24"/>
              </w:rPr>
              <w:t>），</w:t>
            </w:r>
            <w:r>
              <w:rPr>
                <w:spacing w:val="-8"/>
                <w:sz w:val="24"/>
                <w:szCs w:val="24"/>
              </w:rPr>
              <w:t>电磁环境评价范围为</w:t>
            </w:r>
            <w:r>
              <w:rPr>
                <w:spacing w:val="1"/>
                <w:sz w:val="24"/>
                <w:szCs w:val="24"/>
              </w:rPr>
              <w:t xml:space="preserve">架空线路边导线地面投影外两侧各 </w:t>
            </w:r>
            <w:r>
              <w:rPr>
                <w:rFonts w:ascii="Times New Roman" w:hAnsi="Times New Roman" w:eastAsia="Times New Roman" w:cs="Times New Roman"/>
                <w:spacing w:val="1"/>
                <w:sz w:val="24"/>
                <w:szCs w:val="24"/>
              </w:rPr>
              <w:t>40m</w:t>
            </w:r>
            <w:r>
              <w:rPr>
                <w:spacing w:val="1"/>
                <w:sz w:val="24"/>
                <w:szCs w:val="24"/>
              </w:rPr>
              <w:t>，架空输电线路工程的声环境影响评价</w:t>
            </w:r>
            <w:r>
              <w:rPr>
                <w:spacing w:val="-4"/>
                <w:sz w:val="24"/>
                <w:szCs w:val="24"/>
              </w:rPr>
              <w:t>范围参照输变电工程电磁环境影响评价范围中相应电压等级线路的评价范围，因</w:t>
            </w:r>
            <w:r>
              <w:rPr>
                <w:spacing w:val="-1"/>
                <w:sz w:val="24"/>
                <w:szCs w:val="24"/>
              </w:rPr>
              <w:t>此声环境影响评价范围为架空线路边导线地面投影外两侧各</w:t>
            </w:r>
            <w:r>
              <w:rPr>
                <w:spacing w:val="-40"/>
                <w:sz w:val="24"/>
                <w:szCs w:val="24"/>
              </w:rPr>
              <w:t xml:space="preserve"> </w:t>
            </w:r>
            <w:r>
              <w:rPr>
                <w:rFonts w:ascii="Times New Roman" w:hAnsi="Times New Roman" w:eastAsia="Times New Roman" w:cs="Times New Roman"/>
                <w:spacing w:val="-1"/>
                <w:sz w:val="24"/>
                <w:szCs w:val="24"/>
              </w:rPr>
              <w:t>40m</w:t>
            </w:r>
            <w:r>
              <w:rPr>
                <w:spacing w:val="-1"/>
                <w:sz w:val="24"/>
                <w:szCs w:val="24"/>
              </w:rPr>
              <w:t>。</w:t>
            </w:r>
          </w:p>
          <w:p w14:paraId="1AD9641C">
            <w:pPr>
              <w:pStyle w:val="6"/>
              <w:spacing w:before="4" w:line="365" w:lineRule="auto"/>
              <w:ind w:left="112" w:right="24" w:firstLine="481"/>
              <w:jc w:val="both"/>
              <w:rPr>
                <w:sz w:val="24"/>
                <w:szCs w:val="24"/>
              </w:rPr>
            </w:pPr>
            <w:r>
              <w:rPr>
                <w:spacing w:val="-8"/>
                <w:sz w:val="24"/>
                <w:szCs w:val="24"/>
              </w:rPr>
              <w:t>经现场勘查，项目输电线路沿线评价范围内没有学校、医疗卫生</w:t>
            </w:r>
            <w:r>
              <w:rPr>
                <w:spacing w:val="-9"/>
                <w:sz w:val="24"/>
                <w:szCs w:val="24"/>
              </w:rPr>
              <w:t>、文化教育、</w:t>
            </w:r>
            <w:r>
              <w:rPr>
                <w:spacing w:val="-4"/>
                <w:sz w:val="24"/>
                <w:szCs w:val="24"/>
              </w:rPr>
              <w:t>科研及行政办公为主要功能的区域，因此电磁环境和声环境保护目标为沿线散居</w:t>
            </w:r>
            <w:r>
              <w:rPr>
                <w:spacing w:val="-2"/>
                <w:sz w:val="24"/>
                <w:szCs w:val="24"/>
              </w:rPr>
              <w:t>的居民房屋及工作场所。项目电磁、声环境保护目标详见下表。</w:t>
            </w:r>
          </w:p>
        </w:tc>
      </w:tr>
    </w:tbl>
    <w:p w14:paraId="6B803047">
      <w:pPr>
        <w:rPr>
          <w:rFonts w:ascii="Arial"/>
          <w:sz w:val="21"/>
        </w:rPr>
      </w:pPr>
    </w:p>
    <w:p w14:paraId="0B419144">
      <w:pPr>
        <w:rPr>
          <w:rFonts w:ascii="Arial" w:hAnsi="Arial" w:eastAsia="Arial" w:cs="Arial"/>
          <w:sz w:val="21"/>
          <w:szCs w:val="21"/>
        </w:rPr>
        <w:sectPr>
          <w:footerReference r:id="rId58" w:type="default"/>
          <w:pgSz w:w="11907" w:h="16841"/>
          <w:pgMar w:top="400" w:right="1408" w:bottom="1126" w:left="1414" w:header="0" w:footer="925" w:gutter="0"/>
          <w:cols w:space="720" w:num="1"/>
        </w:sectPr>
      </w:pPr>
    </w:p>
    <w:p w14:paraId="43539438">
      <w:pPr>
        <w:spacing w:before="2"/>
      </w:pPr>
    </w:p>
    <w:p w14:paraId="1EAF1A34">
      <w:pPr>
        <w:spacing w:before="2"/>
      </w:pPr>
    </w:p>
    <w:p w14:paraId="6742547C">
      <w:pPr>
        <w:spacing w:before="1"/>
      </w:pPr>
    </w:p>
    <w:p w14:paraId="4435EEF1">
      <w:pPr>
        <w:spacing w:before="1"/>
      </w:pPr>
    </w:p>
    <w:p w14:paraId="0B500893">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76910A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702" w:hRule="atLeast"/>
        </w:trPr>
        <w:tc>
          <w:tcPr>
            <w:tcW w:w="571" w:type="dxa"/>
            <w:vAlign w:val="top"/>
          </w:tcPr>
          <w:p w14:paraId="4D52582C">
            <w:pPr>
              <w:rPr>
                <w:rFonts w:ascii="Arial"/>
                <w:sz w:val="21"/>
              </w:rPr>
            </w:pPr>
          </w:p>
        </w:tc>
        <w:tc>
          <w:tcPr>
            <w:tcW w:w="8507" w:type="dxa"/>
            <w:vAlign w:val="top"/>
          </w:tcPr>
          <w:p w14:paraId="427C2D85">
            <w:pPr>
              <w:pStyle w:val="6"/>
              <w:spacing w:before="61" w:line="229" w:lineRule="auto"/>
              <w:ind w:left="2506"/>
            </w:pPr>
            <w:bookmarkStart w:id="3" w:name="bookmark12"/>
            <w:bookmarkEnd w:id="3"/>
            <w:r>
              <w:rPr>
                <w:b/>
                <w:bCs/>
                <w:spacing w:val="-2"/>
              </w:rPr>
              <w:t>表</w:t>
            </w:r>
            <w:r>
              <w:rPr>
                <w:spacing w:val="-35"/>
              </w:rPr>
              <w:t xml:space="preserve"> </w:t>
            </w:r>
            <w:r>
              <w:rPr>
                <w:rFonts w:ascii="Times New Roman" w:hAnsi="Times New Roman" w:eastAsia="Times New Roman" w:cs="Times New Roman"/>
                <w:b/>
                <w:bCs/>
                <w:spacing w:val="-2"/>
              </w:rPr>
              <w:t xml:space="preserve">3-7    </w:t>
            </w:r>
            <w:r>
              <w:rPr>
                <w:b/>
                <w:bCs/>
                <w:spacing w:val="-2"/>
              </w:rPr>
              <w:t>本项目电磁、声环境保护目标</w:t>
            </w:r>
          </w:p>
          <w:tbl>
            <w:tblPr>
              <w:tblStyle w:val="5"/>
              <w:tblW w:w="8284" w:type="dxa"/>
              <w:tblInd w:w="1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05"/>
              <w:gridCol w:w="1274"/>
              <w:gridCol w:w="1984"/>
              <w:gridCol w:w="2956"/>
              <w:gridCol w:w="765"/>
            </w:tblGrid>
            <w:tr w14:paraId="1AD12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2" w:hRule="atLeast"/>
              </w:trPr>
              <w:tc>
                <w:tcPr>
                  <w:tcW w:w="1305" w:type="dxa"/>
                  <w:vAlign w:val="top"/>
                </w:tcPr>
                <w:p w14:paraId="624BEC82">
                  <w:pPr>
                    <w:pStyle w:val="6"/>
                    <w:spacing w:before="217" w:line="221" w:lineRule="auto"/>
                    <w:ind w:left="236"/>
                  </w:pPr>
                  <w:r>
                    <w:rPr>
                      <w:b/>
                      <w:bCs/>
                      <w:spacing w:val="-4"/>
                    </w:rPr>
                    <w:t>保护目标</w:t>
                  </w:r>
                </w:p>
              </w:tc>
              <w:tc>
                <w:tcPr>
                  <w:tcW w:w="1274" w:type="dxa"/>
                  <w:vAlign w:val="top"/>
                </w:tcPr>
                <w:p w14:paraId="44EE2412">
                  <w:pPr>
                    <w:pStyle w:val="6"/>
                    <w:spacing w:before="217" w:line="221" w:lineRule="auto"/>
                    <w:ind w:left="221"/>
                  </w:pPr>
                  <w:r>
                    <w:rPr>
                      <w:b/>
                      <w:bCs/>
                      <w:spacing w:val="-4"/>
                    </w:rPr>
                    <w:t>方位距离</w:t>
                  </w:r>
                </w:p>
              </w:tc>
              <w:tc>
                <w:tcPr>
                  <w:tcW w:w="1984" w:type="dxa"/>
                  <w:vAlign w:val="top"/>
                </w:tcPr>
                <w:p w14:paraId="6ADF7277">
                  <w:pPr>
                    <w:pStyle w:val="6"/>
                    <w:spacing w:before="58" w:line="252" w:lineRule="auto"/>
                    <w:ind w:left="787" w:right="38" w:hanging="737"/>
                  </w:pPr>
                  <w:r>
                    <w:rPr>
                      <w:b/>
                      <w:bCs/>
                      <w:spacing w:val="-3"/>
                    </w:rPr>
                    <w:t>最低导线高度、排列</w:t>
                  </w:r>
                  <w:r>
                    <w:rPr>
                      <w:b/>
                      <w:bCs/>
                      <w:spacing w:val="-4"/>
                    </w:rPr>
                    <w:t>方式</w:t>
                  </w:r>
                </w:p>
              </w:tc>
              <w:tc>
                <w:tcPr>
                  <w:tcW w:w="2956" w:type="dxa"/>
                  <w:vAlign w:val="top"/>
                </w:tcPr>
                <w:p w14:paraId="0E30C92A">
                  <w:pPr>
                    <w:pStyle w:val="6"/>
                    <w:spacing w:before="58" w:line="219" w:lineRule="auto"/>
                    <w:ind w:left="113"/>
                  </w:pPr>
                  <w:r>
                    <w:rPr>
                      <w:b/>
                      <w:bCs/>
                      <w:spacing w:val="-3"/>
                    </w:rPr>
                    <w:t>评价范围内保护目标特征、功</w:t>
                  </w:r>
                </w:p>
                <w:p w14:paraId="79B5EE03">
                  <w:pPr>
                    <w:pStyle w:val="6"/>
                    <w:spacing w:before="67" w:line="222" w:lineRule="auto"/>
                    <w:ind w:left="1387"/>
                  </w:pPr>
                  <w:r>
                    <w:rPr>
                      <w:b/>
                      <w:bCs/>
                      <w:spacing w:val="-3"/>
                    </w:rPr>
                    <w:t>能</w:t>
                  </w:r>
                </w:p>
              </w:tc>
              <w:tc>
                <w:tcPr>
                  <w:tcW w:w="765" w:type="dxa"/>
                  <w:vAlign w:val="top"/>
                </w:tcPr>
                <w:p w14:paraId="1D652C89">
                  <w:pPr>
                    <w:pStyle w:val="6"/>
                    <w:spacing w:before="58" w:line="252" w:lineRule="auto"/>
                    <w:ind w:left="282" w:right="64" w:hanging="212"/>
                  </w:pPr>
                  <w:r>
                    <w:rPr>
                      <w:b/>
                      <w:bCs/>
                      <w:spacing w:val="-5"/>
                    </w:rPr>
                    <w:t>保护要</w:t>
                  </w:r>
                  <w:r>
                    <w:rPr>
                      <w:b/>
                      <w:bCs/>
                      <w:spacing w:val="-3"/>
                    </w:rPr>
                    <w:t>求</w:t>
                  </w:r>
                </w:p>
              </w:tc>
            </w:tr>
            <w:tr w14:paraId="6FB1A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519" w:type="dxa"/>
                  <w:gridSpan w:val="4"/>
                  <w:vAlign w:val="top"/>
                </w:tcPr>
                <w:p w14:paraId="3BD60E29">
                  <w:pPr>
                    <w:pStyle w:val="6"/>
                    <w:spacing w:before="54" w:line="224" w:lineRule="auto"/>
                    <w:ind w:left="13"/>
                  </w:pPr>
                  <w:r>
                    <w:rPr>
                      <w:rFonts w:ascii="Times New Roman" w:hAnsi="Times New Roman" w:eastAsia="Times New Roman" w:cs="Times New Roman"/>
                      <w:b/>
                      <w:bCs/>
                      <w:spacing w:val="-5"/>
                    </w:rPr>
                    <w:t>C</w:t>
                  </w:r>
                  <w:r>
                    <w:rPr>
                      <w:rFonts w:ascii="Times New Roman" w:hAnsi="Times New Roman" w:eastAsia="Times New Roman" w:cs="Times New Roman"/>
                      <w:b/>
                      <w:bCs/>
                      <w:spacing w:val="27"/>
                      <w:w w:val="101"/>
                    </w:rPr>
                    <w:t xml:space="preserve"> </w:t>
                  </w:r>
                  <w:r>
                    <w:rPr>
                      <w:b/>
                      <w:bCs/>
                      <w:spacing w:val="-5"/>
                    </w:rPr>
                    <w:t>回</w:t>
                  </w:r>
                </w:p>
              </w:tc>
              <w:tc>
                <w:tcPr>
                  <w:tcW w:w="765" w:type="dxa"/>
                  <w:vMerge w:val="restart"/>
                  <w:tcBorders>
                    <w:bottom w:val="nil"/>
                  </w:tcBorders>
                  <w:vAlign w:val="top"/>
                </w:tcPr>
                <w:p w14:paraId="7C5951BF">
                  <w:pPr>
                    <w:spacing w:line="244" w:lineRule="auto"/>
                    <w:rPr>
                      <w:rFonts w:ascii="Arial"/>
                      <w:sz w:val="21"/>
                    </w:rPr>
                  </w:pPr>
                </w:p>
                <w:p w14:paraId="128470D4">
                  <w:pPr>
                    <w:spacing w:line="244" w:lineRule="auto"/>
                    <w:rPr>
                      <w:rFonts w:ascii="Arial"/>
                      <w:sz w:val="21"/>
                    </w:rPr>
                  </w:pPr>
                </w:p>
                <w:p w14:paraId="13407B69">
                  <w:pPr>
                    <w:spacing w:line="244" w:lineRule="auto"/>
                    <w:rPr>
                      <w:rFonts w:ascii="Arial"/>
                      <w:sz w:val="21"/>
                    </w:rPr>
                  </w:pPr>
                </w:p>
                <w:p w14:paraId="6E1AE36E">
                  <w:pPr>
                    <w:spacing w:line="244" w:lineRule="auto"/>
                    <w:rPr>
                      <w:rFonts w:ascii="Arial"/>
                      <w:sz w:val="21"/>
                    </w:rPr>
                  </w:pPr>
                </w:p>
                <w:p w14:paraId="7009FA23">
                  <w:pPr>
                    <w:spacing w:line="244" w:lineRule="auto"/>
                    <w:rPr>
                      <w:rFonts w:ascii="Arial"/>
                      <w:sz w:val="21"/>
                    </w:rPr>
                  </w:pPr>
                </w:p>
                <w:p w14:paraId="6F7BA191">
                  <w:pPr>
                    <w:spacing w:line="244" w:lineRule="auto"/>
                    <w:rPr>
                      <w:rFonts w:ascii="Arial"/>
                      <w:sz w:val="21"/>
                    </w:rPr>
                  </w:pPr>
                </w:p>
                <w:p w14:paraId="371943C9">
                  <w:pPr>
                    <w:spacing w:line="244" w:lineRule="auto"/>
                    <w:rPr>
                      <w:rFonts w:ascii="Arial"/>
                      <w:sz w:val="21"/>
                    </w:rPr>
                  </w:pPr>
                </w:p>
                <w:p w14:paraId="636DA118">
                  <w:pPr>
                    <w:spacing w:line="245" w:lineRule="auto"/>
                    <w:rPr>
                      <w:rFonts w:ascii="Arial"/>
                      <w:sz w:val="21"/>
                    </w:rPr>
                  </w:pPr>
                </w:p>
                <w:p w14:paraId="2A4AD246">
                  <w:pPr>
                    <w:spacing w:before="60" w:line="223" w:lineRule="auto"/>
                    <w:ind w:left="138"/>
                    <w:rPr>
                      <w:rFonts w:ascii="Times New Roman" w:hAnsi="Times New Roman" w:eastAsia="Times New Roman" w:cs="Times New Roman"/>
                      <w:sz w:val="13"/>
                      <w:szCs w:val="13"/>
                    </w:rPr>
                  </w:pPr>
                  <w:r>
                    <w:rPr>
                      <w:rFonts w:ascii="Times New Roman" w:hAnsi="Times New Roman" w:eastAsia="Times New Roman" w:cs="Times New Roman"/>
                      <w:sz w:val="21"/>
                      <w:szCs w:val="21"/>
                    </w:rPr>
                    <w:t>EBN</w:t>
                  </w:r>
                  <w:r>
                    <w:rPr>
                      <w:rFonts w:ascii="Times New Roman" w:hAnsi="Times New Roman" w:eastAsia="Times New Roman" w:cs="Times New Roman"/>
                      <w:spacing w:val="14"/>
                      <w:position w:val="-1"/>
                      <w:sz w:val="13"/>
                      <w:szCs w:val="13"/>
                    </w:rPr>
                    <w:t>1</w:t>
                  </w:r>
                </w:p>
              </w:tc>
            </w:tr>
            <w:tr w14:paraId="1612D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1305" w:type="dxa"/>
                  <w:vAlign w:val="top"/>
                </w:tcPr>
                <w:p w14:paraId="60E24C37">
                  <w:pPr>
                    <w:pStyle w:val="6"/>
                    <w:spacing w:before="56" w:line="251" w:lineRule="auto"/>
                    <w:ind w:left="29" w:right="18" w:firstLine="4"/>
                  </w:pPr>
                  <w:r>
                    <w:rPr>
                      <w:spacing w:val="-3"/>
                    </w:rPr>
                    <w:t>乐业镇黑山村</w:t>
                  </w:r>
                  <w:r>
                    <w:rPr>
                      <w:spacing w:val="-2"/>
                    </w:rPr>
                    <w:t>大黑山居民点</w:t>
                  </w:r>
                </w:p>
              </w:tc>
              <w:tc>
                <w:tcPr>
                  <w:tcW w:w="1274" w:type="dxa"/>
                  <w:vAlign w:val="top"/>
                </w:tcPr>
                <w:p w14:paraId="2CC11ED3">
                  <w:pPr>
                    <w:pStyle w:val="6"/>
                    <w:spacing w:before="56" w:line="251" w:lineRule="auto"/>
                    <w:ind w:left="116" w:right="50" w:hanging="106"/>
                    <w:rPr>
                      <w:rFonts w:ascii="Times New Roman" w:hAnsi="Times New Roman" w:eastAsia="Times New Roman" w:cs="Times New Roman"/>
                    </w:rPr>
                  </w:pPr>
                  <w:r>
                    <w:rPr>
                      <w:spacing w:val="-9"/>
                    </w:rPr>
                    <w:t>边导线南侧，</w:t>
                  </w:r>
                  <w:r>
                    <w:rPr>
                      <w:spacing w:val="-3"/>
                    </w:rPr>
                    <w:t>最近处</w:t>
                  </w:r>
                  <w:r>
                    <w:rPr>
                      <w:spacing w:val="-40"/>
                    </w:rPr>
                    <w:t xml:space="preserve"> </w:t>
                  </w:r>
                  <w:r>
                    <w:rPr>
                      <w:rFonts w:ascii="Times New Roman" w:hAnsi="Times New Roman" w:eastAsia="Times New Roman" w:cs="Times New Roman"/>
                      <w:spacing w:val="-3"/>
                    </w:rPr>
                    <w:t>37m</w:t>
                  </w:r>
                </w:p>
              </w:tc>
              <w:tc>
                <w:tcPr>
                  <w:tcW w:w="1984" w:type="dxa"/>
                  <w:vAlign w:val="top"/>
                </w:tcPr>
                <w:p w14:paraId="758A9EB1">
                  <w:pPr>
                    <w:pStyle w:val="6"/>
                    <w:spacing w:before="57" w:line="235" w:lineRule="auto"/>
                    <w:ind w:left="34"/>
                  </w:pPr>
                  <w:r>
                    <w:rPr>
                      <w:spacing w:val="-2"/>
                    </w:rPr>
                    <w:t>不低于</w:t>
                  </w:r>
                  <w:r>
                    <w:rPr>
                      <w:spacing w:val="-34"/>
                    </w:rPr>
                    <w:t xml:space="preserve"> </w:t>
                  </w:r>
                  <w:r>
                    <w:rPr>
                      <w:rFonts w:ascii="Times New Roman" w:hAnsi="Times New Roman" w:eastAsia="Times New Roman" w:cs="Times New Roman"/>
                      <w:spacing w:val="-2"/>
                    </w:rPr>
                    <w:t>9.5m</w:t>
                  </w:r>
                  <w:r>
                    <w:rPr>
                      <w:spacing w:val="-2"/>
                    </w:rPr>
                    <w:t>（</w:t>
                  </w:r>
                  <w:r>
                    <w:rPr>
                      <w:rFonts w:ascii="Times New Roman" w:hAnsi="Times New Roman" w:eastAsia="Times New Roman" w:cs="Times New Roman"/>
                      <w:spacing w:val="-2"/>
                    </w:rPr>
                    <w:t xml:space="preserve">C </w:t>
                  </w:r>
                  <w:r>
                    <w:rPr>
                      <w:spacing w:val="-2"/>
                    </w:rPr>
                    <w:t>线单</w:t>
                  </w:r>
                </w:p>
                <w:p w14:paraId="3D7A9589">
                  <w:pPr>
                    <w:pStyle w:val="6"/>
                    <w:spacing w:before="46" w:line="220" w:lineRule="auto"/>
                    <w:ind w:left="493"/>
                  </w:pPr>
                  <w:r>
                    <w:rPr>
                      <w:spacing w:val="-7"/>
                    </w:rPr>
                    <w:t>回三角段）</w:t>
                  </w:r>
                </w:p>
              </w:tc>
              <w:tc>
                <w:tcPr>
                  <w:tcW w:w="2956" w:type="dxa"/>
                  <w:vAlign w:val="top"/>
                </w:tcPr>
                <w:p w14:paraId="054853C9">
                  <w:pPr>
                    <w:pStyle w:val="6"/>
                    <w:spacing w:before="213" w:line="234" w:lineRule="auto"/>
                    <w:ind w:left="132"/>
                  </w:pPr>
                  <w:r>
                    <w:rPr>
                      <w:rFonts w:ascii="Times New Roman" w:hAnsi="Times New Roman" w:eastAsia="Times New Roman" w:cs="Times New Roman"/>
                      <w:spacing w:val="-3"/>
                    </w:rPr>
                    <w:t xml:space="preserve">1 </w:t>
                  </w:r>
                  <w:r>
                    <w:rPr>
                      <w:spacing w:val="-3"/>
                    </w:rPr>
                    <w:t>户，</w:t>
                  </w:r>
                  <w:r>
                    <w:rPr>
                      <w:rFonts w:ascii="Times New Roman" w:hAnsi="Times New Roman" w:eastAsia="Times New Roman" w:cs="Times New Roman"/>
                      <w:spacing w:val="-3"/>
                    </w:rPr>
                    <w:t xml:space="preserve">2 </w:t>
                  </w:r>
                  <w:r>
                    <w:rPr>
                      <w:spacing w:val="-3"/>
                    </w:rPr>
                    <w:t>层平顶，高</w:t>
                  </w:r>
                  <w:r>
                    <w:rPr>
                      <w:spacing w:val="-32"/>
                    </w:rPr>
                    <w:t xml:space="preserve"> </w:t>
                  </w:r>
                  <w:r>
                    <w:rPr>
                      <w:rFonts w:ascii="Times New Roman" w:hAnsi="Times New Roman" w:eastAsia="Times New Roman" w:cs="Times New Roman"/>
                      <w:spacing w:val="-3"/>
                    </w:rPr>
                    <w:t>7m</w:t>
                  </w:r>
                  <w:r>
                    <w:rPr>
                      <w:spacing w:val="-3"/>
                    </w:rPr>
                    <w:t>，住宅</w:t>
                  </w:r>
                </w:p>
              </w:tc>
              <w:tc>
                <w:tcPr>
                  <w:tcW w:w="765" w:type="dxa"/>
                  <w:vMerge w:val="continue"/>
                  <w:tcBorders>
                    <w:top w:val="nil"/>
                    <w:bottom w:val="nil"/>
                  </w:tcBorders>
                  <w:vAlign w:val="top"/>
                </w:tcPr>
                <w:p w14:paraId="4488F0B9">
                  <w:pPr>
                    <w:rPr>
                      <w:rFonts w:ascii="Arial"/>
                      <w:sz w:val="21"/>
                    </w:rPr>
                  </w:pPr>
                </w:p>
              </w:tc>
            </w:tr>
            <w:tr w14:paraId="360B46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305" w:type="dxa"/>
                  <w:vAlign w:val="top"/>
                </w:tcPr>
                <w:p w14:paraId="2DE2C7B7">
                  <w:pPr>
                    <w:pStyle w:val="6"/>
                    <w:spacing w:before="53" w:line="251" w:lineRule="auto"/>
                    <w:ind w:left="131" w:right="18" w:hanging="98"/>
                  </w:pPr>
                  <w:r>
                    <w:rPr>
                      <w:spacing w:val="-3"/>
                    </w:rPr>
                    <w:t>乐业镇黑山村</w:t>
                  </w:r>
                  <w:r>
                    <w:rPr>
                      <w:spacing w:val="-1"/>
                    </w:rPr>
                    <w:t>坝上居民点</w:t>
                  </w:r>
                </w:p>
              </w:tc>
              <w:tc>
                <w:tcPr>
                  <w:tcW w:w="1274" w:type="dxa"/>
                  <w:vAlign w:val="top"/>
                </w:tcPr>
                <w:p w14:paraId="2414A828">
                  <w:pPr>
                    <w:pStyle w:val="6"/>
                    <w:spacing w:before="53" w:line="251" w:lineRule="auto"/>
                    <w:ind w:left="116" w:right="50" w:hanging="106"/>
                    <w:rPr>
                      <w:rFonts w:ascii="Times New Roman" w:hAnsi="Times New Roman" w:eastAsia="Times New Roman" w:cs="Times New Roman"/>
                    </w:rPr>
                  </w:pPr>
                  <w:r>
                    <w:rPr>
                      <w:spacing w:val="-9"/>
                    </w:rPr>
                    <w:t>边导线东侧，</w:t>
                  </w:r>
                  <w:r>
                    <w:rPr>
                      <w:spacing w:val="-4"/>
                    </w:rPr>
                    <w:t>最近处</w:t>
                  </w:r>
                  <w:r>
                    <w:rPr>
                      <w:spacing w:val="-27"/>
                    </w:rPr>
                    <w:t xml:space="preserve"> </w:t>
                  </w:r>
                  <w:r>
                    <w:rPr>
                      <w:rFonts w:ascii="Times New Roman" w:hAnsi="Times New Roman" w:eastAsia="Times New Roman" w:cs="Times New Roman"/>
                      <w:spacing w:val="-4"/>
                    </w:rPr>
                    <w:t>17m</w:t>
                  </w:r>
                </w:p>
              </w:tc>
              <w:tc>
                <w:tcPr>
                  <w:tcW w:w="1984" w:type="dxa"/>
                  <w:vAlign w:val="top"/>
                </w:tcPr>
                <w:p w14:paraId="2A17427E">
                  <w:pPr>
                    <w:pStyle w:val="6"/>
                    <w:spacing w:before="55" w:line="235" w:lineRule="auto"/>
                    <w:ind w:left="34"/>
                  </w:pPr>
                  <w:r>
                    <w:rPr>
                      <w:spacing w:val="-2"/>
                    </w:rPr>
                    <w:t>不低于</w:t>
                  </w:r>
                  <w:r>
                    <w:rPr>
                      <w:spacing w:val="-34"/>
                    </w:rPr>
                    <w:t xml:space="preserve"> </w:t>
                  </w:r>
                  <w:r>
                    <w:rPr>
                      <w:rFonts w:ascii="Times New Roman" w:hAnsi="Times New Roman" w:eastAsia="Times New Roman" w:cs="Times New Roman"/>
                      <w:spacing w:val="-2"/>
                    </w:rPr>
                    <w:t>9.5m</w:t>
                  </w:r>
                  <w:r>
                    <w:rPr>
                      <w:spacing w:val="-2"/>
                    </w:rPr>
                    <w:t>（</w:t>
                  </w:r>
                  <w:r>
                    <w:rPr>
                      <w:rFonts w:ascii="Times New Roman" w:hAnsi="Times New Roman" w:eastAsia="Times New Roman" w:cs="Times New Roman"/>
                      <w:spacing w:val="-2"/>
                    </w:rPr>
                    <w:t xml:space="preserve">C </w:t>
                  </w:r>
                  <w:r>
                    <w:rPr>
                      <w:spacing w:val="-2"/>
                    </w:rPr>
                    <w:t>线单</w:t>
                  </w:r>
                </w:p>
                <w:p w14:paraId="488C5BDE">
                  <w:pPr>
                    <w:pStyle w:val="6"/>
                    <w:spacing w:before="49" w:line="220" w:lineRule="auto"/>
                    <w:ind w:left="493"/>
                  </w:pPr>
                  <w:r>
                    <w:rPr>
                      <w:spacing w:val="-7"/>
                    </w:rPr>
                    <w:t>回三角段）</w:t>
                  </w:r>
                </w:p>
              </w:tc>
              <w:tc>
                <w:tcPr>
                  <w:tcW w:w="2956" w:type="dxa"/>
                  <w:vAlign w:val="top"/>
                </w:tcPr>
                <w:p w14:paraId="3A73FEA7">
                  <w:pPr>
                    <w:pStyle w:val="6"/>
                    <w:spacing w:before="53" w:line="251" w:lineRule="auto"/>
                    <w:ind w:left="340" w:right="30" w:hanging="308"/>
                  </w:pPr>
                  <w:r>
                    <w:rPr>
                      <w:rFonts w:ascii="Times New Roman" w:hAnsi="Times New Roman" w:eastAsia="Times New Roman" w:cs="Times New Roman"/>
                      <w:spacing w:val="-2"/>
                    </w:rPr>
                    <w:t xml:space="preserve">3 </w:t>
                  </w:r>
                  <w:r>
                    <w:rPr>
                      <w:spacing w:val="-2"/>
                    </w:rPr>
                    <w:t>户，</w:t>
                  </w:r>
                  <w:r>
                    <w:rPr>
                      <w:rFonts w:ascii="Times New Roman" w:hAnsi="Times New Roman" w:eastAsia="Times New Roman" w:cs="Times New Roman"/>
                      <w:spacing w:val="-2"/>
                    </w:rPr>
                    <w:t xml:space="preserve">1 </w:t>
                  </w:r>
                  <w:r>
                    <w:rPr>
                      <w:spacing w:val="-2"/>
                    </w:rPr>
                    <w:t>层，高</w:t>
                  </w:r>
                  <w:r>
                    <w:rPr>
                      <w:spacing w:val="-30"/>
                    </w:rPr>
                    <w:t xml:space="preserve"> </w:t>
                  </w:r>
                  <w:r>
                    <w:rPr>
                      <w:rFonts w:ascii="Times New Roman" w:hAnsi="Times New Roman" w:eastAsia="Times New Roman" w:cs="Times New Roman"/>
                      <w:spacing w:val="-2"/>
                    </w:rPr>
                    <w:t>3.5~4m</w:t>
                  </w:r>
                  <w:r>
                    <w:rPr>
                      <w:spacing w:val="-2"/>
                    </w:rPr>
                    <w:t>，最近为</w:t>
                  </w:r>
                  <w:r>
                    <w:rPr>
                      <w:rFonts w:ascii="Times New Roman" w:hAnsi="Times New Roman" w:eastAsia="Times New Roman" w:cs="Times New Roman"/>
                      <w:spacing w:val="-3"/>
                    </w:rPr>
                    <w:t xml:space="preserve">1 </w:t>
                  </w:r>
                  <w:r>
                    <w:rPr>
                      <w:spacing w:val="-3"/>
                    </w:rPr>
                    <w:t>层平顶</w:t>
                  </w:r>
                  <w:r>
                    <w:rPr>
                      <w:spacing w:val="-32"/>
                    </w:rPr>
                    <w:t xml:space="preserve"> </w:t>
                  </w:r>
                  <w:r>
                    <w:rPr>
                      <w:rFonts w:ascii="Times New Roman" w:hAnsi="Times New Roman" w:eastAsia="Times New Roman" w:cs="Times New Roman"/>
                      <w:spacing w:val="-3"/>
                    </w:rPr>
                    <w:t>3.5m</w:t>
                  </w:r>
                  <w:r>
                    <w:rPr>
                      <w:spacing w:val="-3"/>
                    </w:rPr>
                    <w:t>，均为住宅</w:t>
                  </w:r>
                </w:p>
              </w:tc>
              <w:tc>
                <w:tcPr>
                  <w:tcW w:w="765" w:type="dxa"/>
                  <w:vMerge w:val="continue"/>
                  <w:tcBorders>
                    <w:top w:val="nil"/>
                    <w:bottom w:val="nil"/>
                  </w:tcBorders>
                  <w:vAlign w:val="top"/>
                </w:tcPr>
                <w:p w14:paraId="018AE3B1">
                  <w:pPr>
                    <w:rPr>
                      <w:rFonts w:ascii="Arial"/>
                      <w:sz w:val="21"/>
                    </w:rPr>
                  </w:pPr>
                </w:p>
              </w:tc>
            </w:tr>
            <w:tr w14:paraId="2CC109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519" w:type="dxa"/>
                  <w:gridSpan w:val="4"/>
                  <w:vAlign w:val="top"/>
                </w:tcPr>
                <w:p w14:paraId="535C7B54">
                  <w:pPr>
                    <w:pStyle w:val="6"/>
                    <w:spacing w:before="58" w:line="222" w:lineRule="auto"/>
                    <w:ind w:left="7"/>
                  </w:pPr>
                  <w:r>
                    <w:rPr>
                      <w:rFonts w:ascii="Times New Roman" w:hAnsi="Times New Roman" w:eastAsia="Times New Roman" w:cs="Times New Roman"/>
                      <w:b/>
                      <w:bCs/>
                      <w:spacing w:val="-3"/>
                    </w:rPr>
                    <w:t>D</w:t>
                  </w:r>
                  <w:r>
                    <w:rPr>
                      <w:rFonts w:ascii="Times New Roman" w:hAnsi="Times New Roman" w:eastAsia="Times New Roman" w:cs="Times New Roman"/>
                      <w:b/>
                      <w:bCs/>
                      <w:spacing w:val="28"/>
                      <w:w w:val="101"/>
                    </w:rPr>
                    <w:t xml:space="preserve"> </w:t>
                  </w:r>
                  <w:r>
                    <w:rPr>
                      <w:b/>
                      <w:bCs/>
                      <w:spacing w:val="-3"/>
                    </w:rPr>
                    <w:t>回</w:t>
                  </w:r>
                </w:p>
              </w:tc>
              <w:tc>
                <w:tcPr>
                  <w:tcW w:w="765" w:type="dxa"/>
                  <w:vMerge w:val="continue"/>
                  <w:tcBorders>
                    <w:top w:val="nil"/>
                    <w:bottom w:val="nil"/>
                  </w:tcBorders>
                  <w:vAlign w:val="top"/>
                </w:tcPr>
                <w:p w14:paraId="68D0BBCF">
                  <w:pPr>
                    <w:rPr>
                      <w:rFonts w:ascii="Arial"/>
                      <w:sz w:val="21"/>
                    </w:rPr>
                  </w:pPr>
                </w:p>
              </w:tc>
            </w:tr>
            <w:tr w14:paraId="6B21DB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1305" w:type="dxa"/>
                  <w:vAlign w:val="top"/>
                </w:tcPr>
                <w:p w14:paraId="644E60F9">
                  <w:pPr>
                    <w:pStyle w:val="6"/>
                    <w:spacing w:before="56" w:line="251" w:lineRule="auto"/>
                    <w:ind w:left="134" w:right="18" w:hanging="108"/>
                  </w:pPr>
                  <w:r>
                    <w:rPr>
                      <w:spacing w:val="-1"/>
                    </w:rPr>
                    <w:t>迤车镇索桥村</w:t>
                  </w:r>
                  <w:r>
                    <w:rPr>
                      <w:spacing w:val="-2"/>
                    </w:rPr>
                    <w:t>后沟居民点</w:t>
                  </w:r>
                </w:p>
              </w:tc>
              <w:tc>
                <w:tcPr>
                  <w:tcW w:w="1274" w:type="dxa"/>
                  <w:vAlign w:val="top"/>
                </w:tcPr>
                <w:p w14:paraId="5CA33FD9">
                  <w:pPr>
                    <w:pStyle w:val="6"/>
                    <w:spacing w:before="56" w:line="251" w:lineRule="auto"/>
                    <w:ind w:left="169" w:right="50" w:hanging="159"/>
                    <w:rPr>
                      <w:rFonts w:ascii="Times New Roman" w:hAnsi="Times New Roman" w:eastAsia="Times New Roman" w:cs="Times New Roman"/>
                    </w:rPr>
                  </w:pPr>
                  <w:r>
                    <w:rPr>
                      <w:spacing w:val="-9"/>
                    </w:rPr>
                    <w:t>边导线两侧，</w:t>
                  </w:r>
                  <w:r>
                    <w:rPr>
                      <w:spacing w:val="-3"/>
                    </w:rPr>
                    <w:t>最近处</w:t>
                  </w:r>
                  <w:r>
                    <w:rPr>
                      <w:spacing w:val="-43"/>
                    </w:rPr>
                    <w:t xml:space="preserve"> </w:t>
                  </w:r>
                  <w:r>
                    <w:rPr>
                      <w:rFonts w:ascii="Times New Roman" w:hAnsi="Times New Roman" w:eastAsia="Times New Roman" w:cs="Times New Roman"/>
                      <w:spacing w:val="-3"/>
                    </w:rPr>
                    <w:t>9m</w:t>
                  </w:r>
                </w:p>
              </w:tc>
              <w:tc>
                <w:tcPr>
                  <w:tcW w:w="1984" w:type="dxa"/>
                  <w:vAlign w:val="top"/>
                </w:tcPr>
                <w:p w14:paraId="7CA631C6">
                  <w:pPr>
                    <w:pStyle w:val="6"/>
                    <w:spacing w:before="56" w:line="235" w:lineRule="auto"/>
                    <w:ind w:left="109"/>
                  </w:pPr>
                  <w:r>
                    <w:rPr>
                      <w:spacing w:val="-2"/>
                    </w:rPr>
                    <w:t>不低于</w:t>
                  </w:r>
                  <w:r>
                    <w:rPr>
                      <w:spacing w:val="-38"/>
                    </w:rPr>
                    <w:t xml:space="preserve"> </w:t>
                  </w:r>
                  <w:r>
                    <w:rPr>
                      <w:rFonts w:ascii="Times New Roman" w:hAnsi="Times New Roman" w:eastAsia="Times New Roman" w:cs="Times New Roman"/>
                      <w:spacing w:val="-2"/>
                    </w:rPr>
                    <w:t>8m</w:t>
                  </w:r>
                  <w:r>
                    <w:rPr>
                      <w:spacing w:val="-2"/>
                    </w:rPr>
                    <w:t>（</w:t>
                  </w:r>
                  <w:r>
                    <w:rPr>
                      <w:rFonts w:ascii="Times New Roman" w:hAnsi="Times New Roman" w:eastAsia="Times New Roman" w:cs="Times New Roman"/>
                      <w:spacing w:val="-2"/>
                    </w:rPr>
                    <w:t xml:space="preserve">D </w:t>
                  </w:r>
                  <w:r>
                    <w:rPr>
                      <w:spacing w:val="-2"/>
                    </w:rPr>
                    <w:t>线单</w:t>
                  </w:r>
                </w:p>
                <w:p w14:paraId="4A625FB6">
                  <w:pPr>
                    <w:pStyle w:val="6"/>
                    <w:spacing w:before="49" w:line="220" w:lineRule="auto"/>
                    <w:ind w:left="493"/>
                  </w:pPr>
                  <w:r>
                    <w:rPr>
                      <w:spacing w:val="-7"/>
                    </w:rPr>
                    <w:t>回三角段）</w:t>
                  </w:r>
                </w:p>
              </w:tc>
              <w:tc>
                <w:tcPr>
                  <w:tcW w:w="2956" w:type="dxa"/>
                  <w:vAlign w:val="top"/>
                </w:tcPr>
                <w:p w14:paraId="6D2F9A81">
                  <w:pPr>
                    <w:pStyle w:val="6"/>
                    <w:spacing w:before="56" w:line="251" w:lineRule="auto"/>
                    <w:ind w:left="274" w:right="104" w:hanging="168"/>
                  </w:pPr>
                  <w:r>
                    <w:rPr>
                      <w:rFonts w:ascii="Times New Roman" w:hAnsi="Times New Roman" w:eastAsia="Times New Roman" w:cs="Times New Roman"/>
                      <w:spacing w:val="-2"/>
                    </w:rPr>
                    <w:t xml:space="preserve">7 </w:t>
                  </w:r>
                  <w:r>
                    <w:rPr>
                      <w:spacing w:val="-2"/>
                    </w:rPr>
                    <w:t>户，</w:t>
                  </w:r>
                  <w:r>
                    <w:rPr>
                      <w:rFonts w:ascii="Times New Roman" w:hAnsi="Times New Roman" w:eastAsia="Times New Roman" w:cs="Times New Roman"/>
                      <w:spacing w:val="-2"/>
                    </w:rPr>
                    <w:t xml:space="preserve">1~2 </w:t>
                  </w:r>
                  <w:r>
                    <w:rPr>
                      <w:spacing w:val="-2"/>
                    </w:rPr>
                    <w:t>层，高</w:t>
                  </w:r>
                  <w:r>
                    <w:rPr>
                      <w:spacing w:val="-31"/>
                    </w:rPr>
                    <w:t xml:space="preserve"> </w:t>
                  </w:r>
                  <w:r>
                    <w:rPr>
                      <w:rFonts w:ascii="Times New Roman" w:hAnsi="Times New Roman" w:eastAsia="Times New Roman" w:cs="Times New Roman"/>
                      <w:spacing w:val="-2"/>
                    </w:rPr>
                    <w:t>4~7m</w:t>
                  </w:r>
                  <w:r>
                    <w:rPr>
                      <w:spacing w:val="-2"/>
                    </w:rPr>
                    <w:t>，最近为</w:t>
                  </w:r>
                  <w:r>
                    <w:rPr>
                      <w:spacing w:val="-44"/>
                    </w:rPr>
                    <w:t xml:space="preserve"> </w:t>
                  </w:r>
                  <w:r>
                    <w:rPr>
                      <w:rFonts w:ascii="Times New Roman" w:hAnsi="Times New Roman" w:eastAsia="Times New Roman" w:cs="Times New Roman"/>
                      <w:spacing w:val="-2"/>
                    </w:rPr>
                    <w:t xml:space="preserve">2 </w:t>
                  </w:r>
                  <w:r>
                    <w:rPr>
                      <w:spacing w:val="-2"/>
                    </w:rPr>
                    <w:t>层平顶</w:t>
                  </w:r>
                  <w:r>
                    <w:rPr>
                      <w:spacing w:val="-43"/>
                    </w:rPr>
                    <w:t xml:space="preserve"> </w:t>
                  </w:r>
                  <w:r>
                    <w:rPr>
                      <w:rFonts w:ascii="Times New Roman" w:hAnsi="Times New Roman" w:eastAsia="Times New Roman" w:cs="Times New Roman"/>
                      <w:spacing w:val="-2"/>
                    </w:rPr>
                    <w:t>7m</w:t>
                  </w:r>
                  <w:r>
                    <w:rPr>
                      <w:spacing w:val="-2"/>
                    </w:rPr>
                    <w:t>，均为住宅</w:t>
                  </w:r>
                </w:p>
              </w:tc>
              <w:tc>
                <w:tcPr>
                  <w:tcW w:w="765" w:type="dxa"/>
                  <w:vMerge w:val="continue"/>
                  <w:tcBorders>
                    <w:top w:val="nil"/>
                    <w:bottom w:val="nil"/>
                  </w:tcBorders>
                  <w:vAlign w:val="top"/>
                </w:tcPr>
                <w:p w14:paraId="07B96003">
                  <w:pPr>
                    <w:rPr>
                      <w:rFonts w:ascii="Arial"/>
                      <w:sz w:val="21"/>
                    </w:rPr>
                  </w:pPr>
                </w:p>
              </w:tc>
            </w:tr>
            <w:tr w14:paraId="358EAB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7519" w:type="dxa"/>
                  <w:gridSpan w:val="4"/>
                  <w:vAlign w:val="top"/>
                </w:tcPr>
                <w:p w14:paraId="5D425508">
                  <w:pPr>
                    <w:pStyle w:val="6"/>
                    <w:spacing w:before="56" w:line="224" w:lineRule="auto"/>
                    <w:ind w:left="8"/>
                  </w:pPr>
                  <w:r>
                    <w:rPr>
                      <w:rFonts w:ascii="Times New Roman" w:hAnsi="Times New Roman" w:eastAsia="Times New Roman" w:cs="Times New Roman"/>
                      <w:b/>
                      <w:bCs/>
                      <w:spacing w:val="-3"/>
                    </w:rPr>
                    <w:t>E</w:t>
                  </w:r>
                  <w:r>
                    <w:rPr>
                      <w:rFonts w:ascii="Times New Roman" w:hAnsi="Times New Roman" w:eastAsia="Times New Roman" w:cs="Times New Roman"/>
                      <w:b/>
                      <w:bCs/>
                      <w:spacing w:val="27"/>
                      <w:w w:val="101"/>
                    </w:rPr>
                    <w:t xml:space="preserve"> </w:t>
                  </w:r>
                  <w:r>
                    <w:rPr>
                      <w:b/>
                      <w:bCs/>
                      <w:spacing w:val="-3"/>
                    </w:rPr>
                    <w:t>回</w:t>
                  </w:r>
                </w:p>
              </w:tc>
              <w:tc>
                <w:tcPr>
                  <w:tcW w:w="765" w:type="dxa"/>
                  <w:vMerge w:val="continue"/>
                  <w:tcBorders>
                    <w:top w:val="nil"/>
                    <w:bottom w:val="nil"/>
                  </w:tcBorders>
                  <w:vAlign w:val="top"/>
                </w:tcPr>
                <w:p w14:paraId="023B5440">
                  <w:pPr>
                    <w:rPr>
                      <w:rFonts w:ascii="Arial"/>
                      <w:sz w:val="21"/>
                    </w:rPr>
                  </w:pPr>
                </w:p>
              </w:tc>
            </w:tr>
            <w:tr w14:paraId="4642B1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305" w:type="dxa"/>
                  <w:vAlign w:val="top"/>
                </w:tcPr>
                <w:p w14:paraId="10BDD45E">
                  <w:pPr>
                    <w:pStyle w:val="6"/>
                    <w:spacing w:before="56" w:line="250" w:lineRule="auto"/>
                    <w:ind w:left="137" w:right="18" w:hanging="104"/>
                  </w:pPr>
                  <w:r>
                    <w:rPr>
                      <w:spacing w:val="-3"/>
                    </w:rPr>
                    <w:t>乐业镇黑山村小街居民点</w:t>
                  </w:r>
                </w:p>
              </w:tc>
              <w:tc>
                <w:tcPr>
                  <w:tcW w:w="1274" w:type="dxa"/>
                  <w:vAlign w:val="top"/>
                </w:tcPr>
                <w:p w14:paraId="7CE796FC">
                  <w:pPr>
                    <w:pStyle w:val="6"/>
                    <w:spacing w:before="56" w:line="250" w:lineRule="auto"/>
                    <w:ind w:left="116" w:right="50" w:hanging="106"/>
                    <w:rPr>
                      <w:rFonts w:ascii="Times New Roman" w:hAnsi="Times New Roman" w:eastAsia="Times New Roman" w:cs="Times New Roman"/>
                    </w:rPr>
                  </w:pPr>
                  <w:r>
                    <w:rPr>
                      <w:spacing w:val="-9"/>
                    </w:rPr>
                    <w:t>边导线南侧，</w:t>
                  </w:r>
                  <w:r>
                    <w:rPr>
                      <w:spacing w:val="-2"/>
                    </w:rPr>
                    <w:t>最近处</w:t>
                  </w:r>
                  <w:r>
                    <w:rPr>
                      <w:spacing w:val="-49"/>
                    </w:rPr>
                    <w:t xml:space="preserve"> </w:t>
                  </w:r>
                  <w:r>
                    <w:rPr>
                      <w:rFonts w:ascii="Times New Roman" w:hAnsi="Times New Roman" w:eastAsia="Times New Roman" w:cs="Times New Roman"/>
                      <w:spacing w:val="-2"/>
                    </w:rPr>
                    <w:t>40m</w:t>
                  </w:r>
                </w:p>
              </w:tc>
              <w:tc>
                <w:tcPr>
                  <w:tcW w:w="1984" w:type="dxa"/>
                  <w:vAlign w:val="top"/>
                </w:tcPr>
                <w:p w14:paraId="0EA93B1B">
                  <w:pPr>
                    <w:pStyle w:val="6"/>
                    <w:spacing w:before="56" w:line="235" w:lineRule="auto"/>
                    <w:jc w:val="right"/>
                  </w:pPr>
                  <w:r>
                    <w:rPr>
                      <w:spacing w:val="-2"/>
                    </w:rPr>
                    <w:t>不低于</w:t>
                  </w:r>
                  <w:r>
                    <w:rPr>
                      <w:spacing w:val="-40"/>
                    </w:rPr>
                    <w:t xml:space="preserve"> </w:t>
                  </w:r>
                  <w:r>
                    <w:rPr>
                      <w:rFonts w:ascii="Times New Roman" w:hAnsi="Times New Roman" w:eastAsia="Times New Roman" w:cs="Times New Roman"/>
                      <w:spacing w:val="-2"/>
                    </w:rPr>
                    <w:t>8m</w:t>
                  </w:r>
                  <w:r>
                    <w:rPr>
                      <w:spacing w:val="-2"/>
                    </w:rPr>
                    <w:t>（</w:t>
                  </w:r>
                  <w:r>
                    <w:rPr>
                      <w:rFonts w:ascii="Times New Roman" w:hAnsi="Times New Roman" w:eastAsia="Times New Roman" w:cs="Times New Roman"/>
                      <w:spacing w:val="-2"/>
                    </w:rPr>
                    <w:t xml:space="preserve">E </w:t>
                  </w:r>
                  <w:r>
                    <w:rPr>
                      <w:spacing w:val="-2"/>
                    </w:rPr>
                    <w:t>线单回</w:t>
                  </w:r>
                </w:p>
                <w:p w14:paraId="2904C98C">
                  <w:pPr>
                    <w:pStyle w:val="6"/>
                    <w:spacing w:before="46" w:line="220" w:lineRule="auto"/>
                    <w:ind w:left="578"/>
                  </w:pPr>
                  <w:r>
                    <w:rPr>
                      <w:spacing w:val="-2"/>
                    </w:rPr>
                    <w:t>三角段）</w:t>
                  </w:r>
                </w:p>
              </w:tc>
              <w:tc>
                <w:tcPr>
                  <w:tcW w:w="2956" w:type="dxa"/>
                  <w:vAlign w:val="top"/>
                </w:tcPr>
                <w:p w14:paraId="6EBDC170">
                  <w:pPr>
                    <w:pStyle w:val="6"/>
                    <w:spacing w:before="215" w:line="234" w:lineRule="auto"/>
                    <w:ind w:left="132"/>
                  </w:pPr>
                  <w:r>
                    <w:rPr>
                      <w:rFonts w:ascii="Times New Roman" w:hAnsi="Times New Roman" w:eastAsia="Times New Roman" w:cs="Times New Roman"/>
                      <w:spacing w:val="-3"/>
                    </w:rPr>
                    <w:t xml:space="preserve">1 </w:t>
                  </w:r>
                  <w:r>
                    <w:rPr>
                      <w:spacing w:val="-3"/>
                    </w:rPr>
                    <w:t>户，</w:t>
                  </w:r>
                  <w:r>
                    <w:rPr>
                      <w:rFonts w:ascii="Times New Roman" w:hAnsi="Times New Roman" w:eastAsia="Times New Roman" w:cs="Times New Roman"/>
                      <w:spacing w:val="-3"/>
                    </w:rPr>
                    <w:t xml:space="preserve">1 </w:t>
                  </w:r>
                  <w:r>
                    <w:rPr>
                      <w:spacing w:val="-3"/>
                    </w:rPr>
                    <w:t>层坡顶，高</w:t>
                  </w:r>
                  <w:r>
                    <w:rPr>
                      <w:spacing w:val="-32"/>
                    </w:rPr>
                    <w:t xml:space="preserve"> </w:t>
                  </w:r>
                  <w:r>
                    <w:rPr>
                      <w:rFonts w:ascii="Times New Roman" w:hAnsi="Times New Roman" w:eastAsia="Times New Roman" w:cs="Times New Roman"/>
                      <w:spacing w:val="-3"/>
                    </w:rPr>
                    <w:t>4m</w:t>
                  </w:r>
                  <w:r>
                    <w:rPr>
                      <w:spacing w:val="-3"/>
                    </w:rPr>
                    <w:t>，住宅</w:t>
                  </w:r>
                </w:p>
              </w:tc>
              <w:tc>
                <w:tcPr>
                  <w:tcW w:w="765" w:type="dxa"/>
                  <w:vMerge w:val="continue"/>
                  <w:tcBorders>
                    <w:top w:val="nil"/>
                    <w:bottom w:val="nil"/>
                  </w:tcBorders>
                  <w:vAlign w:val="top"/>
                </w:tcPr>
                <w:p w14:paraId="725BB88A">
                  <w:pPr>
                    <w:rPr>
                      <w:rFonts w:ascii="Arial"/>
                      <w:sz w:val="21"/>
                    </w:rPr>
                  </w:pPr>
                </w:p>
              </w:tc>
            </w:tr>
            <w:tr w14:paraId="60B98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1305" w:type="dxa"/>
                  <w:vAlign w:val="top"/>
                </w:tcPr>
                <w:p w14:paraId="01E9864A">
                  <w:pPr>
                    <w:pStyle w:val="6"/>
                    <w:spacing w:before="56" w:line="251" w:lineRule="auto"/>
                    <w:ind w:left="134" w:right="18" w:hanging="108"/>
                  </w:pPr>
                  <w:r>
                    <w:rPr>
                      <w:spacing w:val="-1"/>
                    </w:rPr>
                    <w:t>迤车镇索桥村</w:t>
                  </w:r>
                  <w:r>
                    <w:rPr>
                      <w:spacing w:val="-2"/>
                    </w:rPr>
                    <w:t>后沟居民点</w:t>
                  </w:r>
                </w:p>
              </w:tc>
              <w:tc>
                <w:tcPr>
                  <w:tcW w:w="1274" w:type="dxa"/>
                  <w:vAlign w:val="top"/>
                </w:tcPr>
                <w:p w14:paraId="000E01B8">
                  <w:pPr>
                    <w:pStyle w:val="6"/>
                    <w:spacing w:before="56" w:line="251" w:lineRule="auto"/>
                    <w:ind w:left="169" w:right="50" w:hanging="159"/>
                    <w:rPr>
                      <w:rFonts w:ascii="Times New Roman" w:hAnsi="Times New Roman" w:eastAsia="Times New Roman" w:cs="Times New Roman"/>
                    </w:rPr>
                  </w:pPr>
                  <w:r>
                    <w:rPr>
                      <w:spacing w:val="-9"/>
                    </w:rPr>
                    <w:t>边导线北侧，</w:t>
                  </w:r>
                  <w:r>
                    <w:rPr>
                      <w:spacing w:val="-3"/>
                    </w:rPr>
                    <w:t>最近处</w:t>
                  </w:r>
                  <w:r>
                    <w:rPr>
                      <w:spacing w:val="-46"/>
                    </w:rPr>
                    <w:t xml:space="preserve"> </w:t>
                  </w:r>
                  <w:r>
                    <w:rPr>
                      <w:rFonts w:ascii="Times New Roman" w:hAnsi="Times New Roman" w:eastAsia="Times New Roman" w:cs="Times New Roman"/>
                      <w:spacing w:val="-3"/>
                    </w:rPr>
                    <w:t>4m</w:t>
                  </w:r>
                </w:p>
              </w:tc>
              <w:tc>
                <w:tcPr>
                  <w:tcW w:w="1984" w:type="dxa"/>
                  <w:vAlign w:val="top"/>
                </w:tcPr>
                <w:p w14:paraId="32F8DB32">
                  <w:pPr>
                    <w:pStyle w:val="6"/>
                    <w:spacing w:before="56" w:line="251" w:lineRule="auto"/>
                    <w:ind w:left="72" w:right="26" w:hanging="31"/>
                  </w:pPr>
                  <w:r>
                    <w:rPr>
                      <w:spacing w:val="-2"/>
                    </w:rPr>
                    <w:t>不低于</w:t>
                  </w:r>
                  <w:r>
                    <w:rPr>
                      <w:spacing w:val="-38"/>
                    </w:rPr>
                    <w:t xml:space="preserve"> </w:t>
                  </w:r>
                  <w:r>
                    <w:rPr>
                      <w:rFonts w:ascii="Times New Roman" w:hAnsi="Times New Roman" w:eastAsia="Times New Roman" w:cs="Times New Roman"/>
                      <w:spacing w:val="-2"/>
                    </w:rPr>
                    <w:t>7.5m</w:t>
                  </w:r>
                  <w:r>
                    <w:rPr>
                      <w:spacing w:val="-2"/>
                    </w:rPr>
                    <w:t>（</w:t>
                  </w:r>
                  <w:r>
                    <w:rPr>
                      <w:rFonts w:ascii="Times New Roman" w:hAnsi="Times New Roman" w:eastAsia="Times New Roman" w:cs="Times New Roman"/>
                      <w:spacing w:val="-2"/>
                    </w:rPr>
                    <w:t xml:space="preserve">E </w:t>
                  </w:r>
                  <w:r>
                    <w:rPr>
                      <w:spacing w:val="-2"/>
                    </w:rPr>
                    <w:t>线双</w:t>
                  </w:r>
                  <w:r>
                    <w:rPr>
                      <w:spacing w:val="-4"/>
                    </w:rPr>
                    <w:t>回垂直段单边挂线）</w:t>
                  </w:r>
                </w:p>
              </w:tc>
              <w:tc>
                <w:tcPr>
                  <w:tcW w:w="2956" w:type="dxa"/>
                  <w:vAlign w:val="top"/>
                </w:tcPr>
                <w:p w14:paraId="018824C0">
                  <w:pPr>
                    <w:pStyle w:val="6"/>
                    <w:spacing w:before="56" w:line="251" w:lineRule="auto"/>
                    <w:ind w:left="89" w:right="54" w:hanging="40"/>
                  </w:pPr>
                  <w:r>
                    <w:rPr>
                      <w:rFonts w:ascii="Times New Roman" w:hAnsi="Times New Roman" w:eastAsia="Times New Roman" w:cs="Times New Roman"/>
                      <w:spacing w:val="-2"/>
                    </w:rPr>
                    <w:t xml:space="preserve">4 </w:t>
                  </w:r>
                  <w:r>
                    <w:rPr>
                      <w:spacing w:val="-2"/>
                    </w:rPr>
                    <w:t>户，</w:t>
                  </w:r>
                  <w:r>
                    <w:rPr>
                      <w:rFonts w:ascii="Times New Roman" w:hAnsi="Times New Roman" w:eastAsia="Times New Roman" w:cs="Times New Roman"/>
                      <w:spacing w:val="-2"/>
                    </w:rPr>
                    <w:t xml:space="preserve">1~2 </w:t>
                  </w:r>
                  <w:r>
                    <w:rPr>
                      <w:spacing w:val="-2"/>
                    </w:rPr>
                    <w:t>层，高</w:t>
                  </w:r>
                  <w:r>
                    <w:rPr>
                      <w:spacing w:val="-23"/>
                    </w:rPr>
                    <w:t xml:space="preserve"> </w:t>
                  </w:r>
                  <w:r>
                    <w:rPr>
                      <w:rFonts w:ascii="Times New Roman" w:hAnsi="Times New Roman" w:eastAsia="Times New Roman" w:cs="Times New Roman"/>
                      <w:spacing w:val="-2"/>
                    </w:rPr>
                    <w:t>3.5~7.5m</w:t>
                  </w:r>
                  <w:r>
                    <w:rPr>
                      <w:spacing w:val="-2"/>
                    </w:rPr>
                    <w:t>，最</w:t>
                  </w:r>
                  <w:r>
                    <w:rPr>
                      <w:spacing w:val="-3"/>
                    </w:rPr>
                    <w:t>近为</w:t>
                  </w:r>
                  <w:r>
                    <w:rPr>
                      <w:spacing w:val="-19"/>
                    </w:rPr>
                    <w:t xml:space="preserve"> </w:t>
                  </w:r>
                  <w:r>
                    <w:rPr>
                      <w:rFonts w:ascii="Times New Roman" w:hAnsi="Times New Roman" w:eastAsia="Times New Roman" w:cs="Times New Roman"/>
                      <w:spacing w:val="-3"/>
                    </w:rPr>
                    <w:t xml:space="preserve">1 </w:t>
                  </w:r>
                  <w:r>
                    <w:rPr>
                      <w:spacing w:val="-3"/>
                    </w:rPr>
                    <w:t>层平顶</w:t>
                  </w:r>
                  <w:r>
                    <w:rPr>
                      <w:spacing w:val="-43"/>
                    </w:rPr>
                    <w:t xml:space="preserve"> </w:t>
                  </w:r>
                  <w:r>
                    <w:rPr>
                      <w:rFonts w:ascii="Times New Roman" w:hAnsi="Times New Roman" w:eastAsia="Times New Roman" w:cs="Times New Roman"/>
                      <w:spacing w:val="-3"/>
                    </w:rPr>
                    <w:t>3.5m</w:t>
                  </w:r>
                  <w:r>
                    <w:rPr>
                      <w:spacing w:val="-3"/>
                    </w:rPr>
                    <w:t>，均为住宅</w:t>
                  </w:r>
                </w:p>
              </w:tc>
              <w:tc>
                <w:tcPr>
                  <w:tcW w:w="765" w:type="dxa"/>
                  <w:vMerge w:val="continue"/>
                  <w:tcBorders>
                    <w:top w:val="nil"/>
                  </w:tcBorders>
                  <w:vAlign w:val="top"/>
                </w:tcPr>
                <w:p w14:paraId="0B2E5CE4">
                  <w:pPr>
                    <w:rPr>
                      <w:rFonts w:ascii="Arial"/>
                      <w:sz w:val="21"/>
                    </w:rPr>
                  </w:pPr>
                </w:p>
              </w:tc>
            </w:tr>
            <w:tr w14:paraId="1D237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6" w:hRule="atLeast"/>
              </w:trPr>
              <w:tc>
                <w:tcPr>
                  <w:tcW w:w="8284" w:type="dxa"/>
                  <w:gridSpan w:val="5"/>
                  <w:vAlign w:val="top"/>
                </w:tcPr>
                <w:p w14:paraId="744499C6">
                  <w:pPr>
                    <w:pStyle w:val="6"/>
                    <w:spacing w:before="58" w:line="260" w:lineRule="auto"/>
                    <w:ind w:left="12" w:hanging="3"/>
                    <w:jc w:val="both"/>
                  </w:pPr>
                  <w:r>
                    <w:rPr>
                      <w:rFonts w:ascii="Times New Roman" w:hAnsi="Times New Roman" w:eastAsia="Times New Roman" w:cs="Times New Roman"/>
                      <w:spacing w:val="-2"/>
                    </w:rPr>
                    <w:t>220kV</w:t>
                  </w:r>
                  <w:r>
                    <w:rPr>
                      <w:rFonts w:ascii="Times New Roman" w:hAnsi="Times New Roman" w:eastAsia="Times New Roman" w:cs="Times New Roman"/>
                      <w:spacing w:val="57"/>
                    </w:rPr>
                    <w:t xml:space="preserve"> </w:t>
                  </w:r>
                  <w:r>
                    <w:rPr>
                      <w:spacing w:val="-2"/>
                    </w:rPr>
                    <w:t>迤车变、</w:t>
                  </w:r>
                  <w:r>
                    <w:rPr>
                      <w:rFonts w:ascii="Times New Roman" w:hAnsi="Times New Roman" w:eastAsia="Times New Roman" w:cs="Times New Roman"/>
                      <w:spacing w:val="-2"/>
                    </w:rPr>
                    <w:t xml:space="preserve">500kV  </w:t>
                  </w:r>
                  <w:r>
                    <w:rPr>
                      <w:spacing w:val="-2"/>
                    </w:rPr>
                    <w:t>乐业变间隔扩建仅新增支架、基础、断路器、电容器等，不新增主</w:t>
                  </w:r>
                  <w:r>
                    <w:rPr>
                      <w:spacing w:val="-3"/>
                    </w:rPr>
                    <w:t>变、高抗等电磁、噪声源，不涉及原变电站主体工程的改</w:t>
                  </w:r>
                  <w:r>
                    <w:rPr>
                      <w:spacing w:val="-4"/>
                    </w:rPr>
                    <w:t>建、扩建，间隔工程建成后电磁、</w:t>
                  </w:r>
                  <w:r>
                    <w:rPr>
                      <w:spacing w:val="-2"/>
                    </w:rPr>
                    <w:t>声环境影响与原工程保持一致，电磁、声环境保</w:t>
                  </w:r>
                  <w:r>
                    <w:rPr>
                      <w:spacing w:val="-3"/>
                    </w:rPr>
                    <w:t>护目标与原工程一致。</w:t>
                  </w:r>
                </w:p>
              </w:tc>
            </w:tr>
          </w:tbl>
          <w:p w14:paraId="4EC84C85">
            <w:pPr>
              <w:pStyle w:val="6"/>
              <w:spacing w:before="69" w:line="308" w:lineRule="auto"/>
              <w:ind w:left="106" w:right="104" w:firstLine="3"/>
              <w:jc w:val="both"/>
              <w:rPr>
                <w:sz w:val="18"/>
                <w:szCs w:val="18"/>
              </w:rPr>
            </w:pPr>
            <w:r>
              <w:rPr>
                <w:sz w:val="18"/>
                <w:szCs w:val="18"/>
              </w:rPr>
              <w:t>注：①本工程环境保护目标是根据当前设计阶段提供的路径调查确定，方位及最近距离也是根据当前</w:t>
            </w:r>
            <w:r>
              <w:rPr>
                <w:spacing w:val="-1"/>
                <w:sz w:val="18"/>
                <w:szCs w:val="18"/>
              </w:rPr>
              <w:t>设计</w:t>
            </w:r>
            <w:r>
              <w:rPr>
                <w:sz w:val="18"/>
                <w:szCs w:val="18"/>
              </w:rPr>
              <w:t>阶段提供的路径估算，均可能随工程的不断深化而变化，建议下阶段进一步优化设计线路走线，尽量让线</w:t>
            </w:r>
            <w:r>
              <w:rPr>
                <w:spacing w:val="-2"/>
                <w:sz w:val="18"/>
                <w:szCs w:val="18"/>
              </w:rPr>
              <w:t>路远离居民敏感目标；②</w:t>
            </w:r>
            <w:r>
              <w:rPr>
                <w:rFonts w:ascii="Times New Roman" w:hAnsi="Times New Roman" w:eastAsia="Times New Roman" w:cs="Times New Roman"/>
                <w:spacing w:val="-2"/>
                <w:sz w:val="18"/>
                <w:szCs w:val="18"/>
              </w:rPr>
              <w:t>E</w:t>
            </w:r>
            <w:r>
              <w:rPr>
                <w:spacing w:val="-2"/>
                <w:sz w:val="18"/>
                <w:szCs w:val="18"/>
              </w:rPr>
              <w:t>—工频电场强度，</w:t>
            </w:r>
            <w:r>
              <w:rPr>
                <w:rFonts w:ascii="Times New Roman" w:hAnsi="Times New Roman" w:eastAsia="Times New Roman" w:cs="Times New Roman"/>
                <w:spacing w:val="-2"/>
                <w:sz w:val="18"/>
                <w:szCs w:val="18"/>
              </w:rPr>
              <w:t>B</w:t>
            </w:r>
            <w:r>
              <w:rPr>
                <w:spacing w:val="-2"/>
                <w:sz w:val="18"/>
                <w:szCs w:val="18"/>
              </w:rPr>
              <w:t>—工频磁感应强度，</w:t>
            </w:r>
            <w:r>
              <w:rPr>
                <w:rFonts w:ascii="Times New Roman" w:hAnsi="Times New Roman" w:eastAsia="Times New Roman" w:cs="Times New Roman"/>
                <w:spacing w:val="-2"/>
                <w:sz w:val="18"/>
                <w:szCs w:val="18"/>
              </w:rPr>
              <w:t>N</w:t>
            </w:r>
            <w:r>
              <w:rPr>
                <w:spacing w:val="-2"/>
                <w:sz w:val="18"/>
                <w:szCs w:val="18"/>
              </w:rPr>
              <w:t>—声环境影响；</w:t>
            </w:r>
            <w:r>
              <w:rPr>
                <w:rFonts w:ascii="Times New Roman" w:hAnsi="Times New Roman" w:eastAsia="Times New Roman" w:cs="Times New Roman"/>
                <w:spacing w:val="-2"/>
                <w:sz w:val="18"/>
                <w:szCs w:val="18"/>
              </w:rPr>
              <w:t>E</w:t>
            </w:r>
            <w:r>
              <w:rPr>
                <w:spacing w:val="-2"/>
                <w:sz w:val="18"/>
                <w:szCs w:val="18"/>
              </w:rPr>
              <w:t>、</w:t>
            </w:r>
            <w:r>
              <w:rPr>
                <w:rFonts w:ascii="Times New Roman" w:hAnsi="Times New Roman" w:eastAsia="Times New Roman" w:cs="Times New Roman"/>
                <w:spacing w:val="-2"/>
                <w:sz w:val="18"/>
                <w:szCs w:val="18"/>
              </w:rPr>
              <w:t xml:space="preserve">B </w:t>
            </w:r>
            <w:r>
              <w:rPr>
                <w:spacing w:val="-2"/>
                <w:sz w:val="18"/>
                <w:szCs w:val="18"/>
              </w:rPr>
              <w:t>执行《电磁环境</w:t>
            </w:r>
            <w:r>
              <w:rPr>
                <w:spacing w:val="-11"/>
                <w:sz w:val="18"/>
                <w:szCs w:val="18"/>
              </w:rPr>
              <w:t>控制限值》中公众曝露电场强度</w:t>
            </w:r>
            <w:r>
              <w:rPr>
                <w:spacing w:val="-39"/>
                <w:sz w:val="18"/>
                <w:szCs w:val="18"/>
              </w:rPr>
              <w:t xml:space="preserve"> </w:t>
            </w:r>
            <w:r>
              <w:rPr>
                <w:rFonts w:ascii="Times New Roman" w:hAnsi="Times New Roman" w:eastAsia="Times New Roman" w:cs="Times New Roman"/>
                <w:spacing w:val="-11"/>
                <w:sz w:val="18"/>
                <w:szCs w:val="18"/>
              </w:rPr>
              <w:t>4kV/m</w:t>
            </w:r>
            <w:r>
              <w:rPr>
                <w:spacing w:val="-11"/>
                <w:sz w:val="18"/>
                <w:szCs w:val="18"/>
              </w:rPr>
              <w:t>、磁感应强度</w:t>
            </w:r>
            <w:r>
              <w:rPr>
                <w:spacing w:val="-25"/>
                <w:sz w:val="18"/>
                <w:szCs w:val="18"/>
              </w:rPr>
              <w:t xml:space="preserve"> </w:t>
            </w:r>
            <w:r>
              <w:rPr>
                <w:rFonts w:ascii="Times New Roman" w:hAnsi="Times New Roman" w:eastAsia="Times New Roman" w:cs="Times New Roman"/>
                <w:spacing w:val="-11"/>
                <w:sz w:val="18"/>
                <w:szCs w:val="18"/>
              </w:rPr>
              <w:t>100μT</w:t>
            </w:r>
            <w:r>
              <w:rPr>
                <w:rFonts w:ascii="Times New Roman" w:hAnsi="Times New Roman" w:eastAsia="Times New Roman" w:cs="Times New Roman"/>
                <w:spacing w:val="20"/>
                <w:w w:val="101"/>
                <w:sz w:val="18"/>
                <w:szCs w:val="18"/>
              </w:rPr>
              <w:t xml:space="preserve"> </w:t>
            </w:r>
            <w:r>
              <w:rPr>
                <w:spacing w:val="-11"/>
                <w:sz w:val="18"/>
                <w:szCs w:val="18"/>
              </w:rPr>
              <w:t>的要求；</w:t>
            </w:r>
            <w:r>
              <w:rPr>
                <w:rFonts w:ascii="Times New Roman" w:hAnsi="Times New Roman" w:eastAsia="Times New Roman" w:cs="Times New Roman"/>
                <w:spacing w:val="-11"/>
                <w:sz w:val="18"/>
                <w:szCs w:val="18"/>
              </w:rPr>
              <w:t>N</w:t>
            </w:r>
            <w:r>
              <w:rPr>
                <w:rFonts w:ascii="Times New Roman" w:hAnsi="Times New Roman" w:eastAsia="Times New Roman" w:cs="Times New Roman"/>
                <w:spacing w:val="-11"/>
                <w:sz w:val="12"/>
                <w:szCs w:val="12"/>
              </w:rPr>
              <w:t>1</w:t>
            </w:r>
            <w:r>
              <w:rPr>
                <w:spacing w:val="-11"/>
                <w:sz w:val="18"/>
                <w:szCs w:val="18"/>
              </w:rPr>
              <w:t>—执行《声环境质量标准》（</w:t>
            </w:r>
            <w:r>
              <w:rPr>
                <w:rFonts w:ascii="Times New Roman" w:hAnsi="Times New Roman" w:eastAsia="Times New Roman" w:cs="Times New Roman"/>
                <w:sz w:val="18"/>
                <w:szCs w:val="18"/>
              </w:rPr>
              <w:t>GB</w:t>
            </w:r>
            <w:r>
              <w:rPr>
                <w:rFonts w:ascii="Times New Roman" w:hAnsi="Times New Roman" w:eastAsia="Times New Roman" w:cs="Times New Roman"/>
                <w:spacing w:val="6"/>
                <w:sz w:val="18"/>
                <w:szCs w:val="18"/>
              </w:rPr>
              <w:t>3838</w:t>
            </w:r>
            <w:r>
              <w:rPr>
                <w:spacing w:val="6"/>
                <w:sz w:val="18"/>
                <w:szCs w:val="18"/>
              </w:rPr>
              <w:t>—</w:t>
            </w:r>
            <w:r>
              <w:rPr>
                <w:sz w:val="18"/>
                <w:szCs w:val="18"/>
              </w:rPr>
              <w:t xml:space="preserve"> </w:t>
            </w:r>
            <w:r>
              <w:rPr>
                <w:rFonts w:ascii="Times New Roman" w:hAnsi="Times New Roman" w:eastAsia="Times New Roman" w:cs="Times New Roman"/>
                <w:spacing w:val="-2"/>
                <w:sz w:val="18"/>
                <w:szCs w:val="18"/>
              </w:rPr>
              <w:t>2008</w:t>
            </w:r>
            <w:r>
              <w:rPr>
                <w:spacing w:val="-2"/>
                <w:sz w:val="18"/>
                <w:szCs w:val="18"/>
              </w:rPr>
              <w:t>）</w:t>
            </w:r>
            <w:r>
              <w:rPr>
                <w:rFonts w:ascii="Times New Roman" w:hAnsi="Times New Roman" w:eastAsia="Times New Roman" w:cs="Times New Roman"/>
                <w:spacing w:val="-2"/>
                <w:sz w:val="18"/>
                <w:szCs w:val="18"/>
              </w:rPr>
              <w:t xml:space="preserve">1 </w:t>
            </w:r>
            <w:r>
              <w:rPr>
                <w:spacing w:val="-2"/>
                <w:sz w:val="18"/>
                <w:szCs w:val="18"/>
              </w:rPr>
              <w:t>类功能区标准。</w:t>
            </w:r>
          </w:p>
        </w:tc>
      </w:tr>
      <w:tr w14:paraId="33E8FE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818" w:hRule="atLeast"/>
        </w:trPr>
        <w:tc>
          <w:tcPr>
            <w:tcW w:w="571" w:type="dxa"/>
            <w:vAlign w:val="top"/>
          </w:tcPr>
          <w:p w14:paraId="17E0FCFE">
            <w:pPr>
              <w:spacing w:line="256" w:lineRule="auto"/>
              <w:rPr>
                <w:rFonts w:ascii="Arial"/>
                <w:sz w:val="21"/>
              </w:rPr>
            </w:pPr>
          </w:p>
          <w:p w14:paraId="0E8DE896">
            <w:pPr>
              <w:spacing w:line="256" w:lineRule="auto"/>
              <w:rPr>
                <w:rFonts w:ascii="Arial"/>
                <w:sz w:val="21"/>
              </w:rPr>
            </w:pPr>
          </w:p>
          <w:p w14:paraId="2582795D">
            <w:pPr>
              <w:spacing w:line="256" w:lineRule="auto"/>
              <w:rPr>
                <w:rFonts w:ascii="Arial"/>
                <w:sz w:val="21"/>
              </w:rPr>
            </w:pPr>
          </w:p>
          <w:p w14:paraId="637D4641">
            <w:pPr>
              <w:spacing w:line="256" w:lineRule="auto"/>
              <w:rPr>
                <w:rFonts w:ascii="Arial"/>
                <w:sz w:val="21"/>
              </w:rPr>
            </w:pPr>
          </w:p>
          <w:p w14:paraId="11289EDF">
            <w:pPr>
              <w:spacing w:line="256" w:lineRule="auto"/>
              <w:rPr>
                <w:rFonts w:ascii="Arial"/>
                <w:sz w:val="21"/>
              </w:rPr>
            </w:pPr>
          </w:p>
          <w:p w14:paraId="08610BF2">
            <w:pPr>
              <w:spacing w:line="256" w:lineRule="auto"/>
              <w:rPr>
                <w:rFonts w:ascii="Arial"/>
                <w:sz w:val="21"/>
              </w:rPr>
            </w:pPr>
          </w:p>
          <w:p w14:paraId="3825D5E7">
            <w:pPr>
              <w:spacing w:line="256" w:lineRule="auto"/>
              <w:rPr>
                <w:rFonts w:ascii="Arial"/>
                <w:sz w:val="21"/>
              </w:rPr>
            </w:pPr>
          </w:p>
          <w:p w14:paraId="0DD262E7">
            <w:pPr>
              <w:spacing w:line="256" w:lineRule="auto"/>
              <w:rPr>
                <w:rFonts w:ascii="Arial"/>
                <w:sz w:val="21"/>
              </w:rPr>
            </w:pPr>
          </w:p>
          <w:p w14:paraId="58383F47">
            <w:pPr>
              <w:spacing w:line="256" w:lineRule="auto"/>
              <w:rPr>
                <w:rFonts w:ascii="Arial"/>
                <w:sz w:val="21"/>
              </w:rPr>
            </w:pPr>
          </w:p>
          <w:p w14:paraId="4EF2DFB5">
            <w:pPr>
              <w:spacing w:line="257" w:lineRule="auto"/>
              <w:rPr>
                <w:rFonts w:ascii="Arial"/>
                <w:sz w:val="21"/>
              </w:rPr>
            </w:pPr>
          </w:p>
          <w:p w14:paraId="539D34D4">
            <w:pPr>
              <w:pStyle w:val="6"/>
              <w:spacing w:before="68" w:line="279" w:lineRule="auto"/>
              <w:ind w:left="80" w:right="71" w:hanging="1"/>
            </w:pPr>
            <w:r>
              <w:rPr>
                <w:spacing w:val="-3"/>
              </w:rPr>
              <w:t>评价</w:t>
            </w:r>
            <w:r>
              <w:rPr>
                <w:spacing w:val="-4"/>
              </w:rPr>
              <w:t>标准</w:t>
            </w:r>
          </w:p>
        </w:tc>
        <w:tc>
          <w:tcPr>
            <w:tcW w:w="8507" w:type="dxa"/>
            <w:vAlign w:val="top"/>
          </w:tcPr>
          <w:p w14:paraId="033F78A6">
            <w:pPr>
              <w:pStyle w:val="6"/>
              <w:spacing w:before="120" w:line="234" w:lineRule="auto"/>
              <w:ind w:left="118"/>
              <w:rPr>
                <w:sz w:val="24"/>
                <w:szCs w:val="24"/>
              </w:rPr>
            </w:pPr>
            <w:r>
              <w:rPr>
                <w:rFonts w:ascii="Times New Roman" w:hAnsi="Times New Roman" w:eastAsia="Times New Roman" w:cs="Times New Roman"/>
                <w:b/>
                <w:bCs/>
                <w:spacing w:val="-4"/>
                <w:sz w:val="24"/>
                <w:szCs w:val="24"/>
              </w:rPr>
              <w:t>1</w:t>
            </w:r>
            <w:r>
              <w:rPr>
                <w:b/>
                <w:bCs/>
                <w:spacing w:val="-4"/>
                <w:sz w:val="24"/>
                <w:szCs w:val="24"/>
              </w:rPr>
              <w:t>、环境质量标准</w:t>
            </w:r>
          </w:p>
          <w:p w14:paraId="5425F88E">
            <w:pPr>
              <w:pStyle w:val="6"/>
              <w:spacing w:before="170" w:line="234" w:lineRule="auto"/>
              <w:ind w:left="601"/>
              <w:rPr>
                <w:sz w:val="24"/>
                <w:szCs w:val="24"/>
              </w:rPr>
            </w:pPr>
            <w:r>
              <w:rPr>
                <w:b/>
                <w:bCs/>
                <w:spacing w:val="-6"/>
                <w:sz w:val="24"/>
                <w:szCs w:val="24"/>
              </w:rPr>
              <w:t>（</w:t>
            </w:r>
            <w:r>
              <w:rPr>
                <w:rFonts w:ascii="Times New Roman" w:hAnsi="Times New Roman" w:eastAsia="Times New Roman" w:cs="Times New Roman"/>
                <w:b/>
                <w:bCs/>
                <w:spacing w:val="-6"/>
                <w:sz w:val="24"/>
                <w:szCs w:val="24"/>
              </w:rPr>
              <w:t>1</w:t>
            </w:r>
            <w:r>
              <w:rPr>
                <w:b/>
                <w:bCs/>
                <w:spacing w:val="-6"/>
                <w:sz w:val="24"/>
                <w:szCs w:val="24"/>
              </w:rPr>
              <w:t>）环境空气</w:t>
            </w:r>
          </w:p>
          <w:p w14:paraId="68F98370">
            <w:pPr>
              <w:pStyle w:val="6"/>
              <w:spacing w:before="168" w:line="340" w:lineRule="auto"/>
              <w:ind w:left="113" w:right="238" w:firstLine="482"/>
              <w:rPr>
                <w:sz w:val="24"/>
                <w:szCs w:val="24"/>
              </w:rPr>
            </w:pPr>
            <w:r>
              <w:rPr>
                <w:spacing w:val="-1"/>
                <w:sz w:val="24"/>
                <w:szCs w:val="24"/>
              </w:rPr>
              <w:t>项目所在区域为环境空气质量二类区，环境空气质量执行《环境空气质量</w:t>
            </w:r>
            <w:r>
              <w:rPr>
                <w:spacing w:val="-5"/>
                <w:sz w:val="24"/>
                <w:szCs w:val="24"/>
              </w:rPr>
              <w:t>标准》（</w:t>
            </w:r>
            <w:r>
              <w:rPr>
                <w:rFonts w:ascii="Times New Roman" w:hAnsi="Times New Roman" w:eastAsia="Times New Roman" w:cs="Times New Roman"/>
                <w:spacing w:val="-5"/>
                <w:sz w:val="24"/>
                <w:szCs w:val="24"/>
              </w:rPr>
              <w:t>GB3095-2012</w:t>
            </w:r>
            <w:r>
              <w:rPr>
                <w:spacing w:val="-5"/>
                <w:sz w:val="24"/>
                <w:szCs w:val="24"/>
              </w:rPr>
              <w:t>）二级标</w:t>
            </w:r>
            <w:r>
              <w:rPr>
                <w:spacing w:val="-6"/>
                <w:sz w:val="24"/>
                <w:szCs w:val="24"/>
              </w:rPr>
              <w:t>准，标准值见下表。</w:t>
            </w:r>
          </w:p>
          <w:p w14:paraId="63C4ABA8">
            <w:pPr>
              <w:pStyle w:val="6"/>
              <w:spacing w:line="231" w:lineRule="auto"/>
              <w:ind w:left="2400"/>
            </w:pPr>
            <w:r>
              <w:rPr>
                <w:b/>
                <w:bCs/>
                <w:spacing w:val="-2"/>
              </w:rPr>
              <w:t>表</w:t>
            </w:r>
            <w:r>
              <w:rPr>
                <w:spacing w:val="-35"/>
              </w:rPr>
              <w:t xml:space="preserve"> </w:t>
            </w:r>
            <w:r>
              <w:rPr>
                <w:rFonts w:ascii="Times New Roman" w:hAnsi="Times New Roman" w:eastAsia="Times New Roman" w:cs="Times New Roman"/>
                <w:b/>
                <w:bCs/>
                <w:spacing w:val="-2"/>
              </w:rPr>
              <w:t xml:space="preserve">3-8    </w:t>
            </w:r>
            <w:r>
              <w:rPr>
                <w:b/>
                <w:bCs/>
                <w:spacing w:val="-2"/>
              </w:rPr>
              <w:t>环境空气质量标准二级浓度限值</w:t>
            </w:r>
          </w:p>
          <w:tbl>
            <w:tblPr>
              <w:tblStyle w:val="5"/>
              <w:tblW w:w="8284" w:type="dxa"/>
              <w:tblInd w:w="1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80"/>
              <w:gridCol w:w="3322"/>
              <w:gridCol w:w="2250"/>
              <w:gridCol w:w="1332"/>
            </w:tblGrid>
            <w:tr w14:paraId="3F4186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380" w:type="dxa"/>
                  <w:vAlign w:val="top"/>
                </w:tcPr>
                <w:p w14:paraId="5A579987">
                  <w:pPr>
                    <w:pStyle w:val="6"/>
                    <w:spacing w:before="58" w:line="221" w:lineRule="auto"/>
                    <w:ind w:left="485"/>
                  </w:pPr>
                  <w:r>
                    <w:rPr>
                      <w:b/>
                      <w:bCs/>
                      <w:spacing w:val="-5"/>
                    </w:rPr>
                    <w:t>指标</w:t>
                  </w:r>
                </w:p>
              </w:tc>
              <w:tc>
                <w:tcPr>
                  <w:tcW w:w="3322" w:type="dxa"/>
                  <w:vAlign w:val="top"/>
                </w:tcPr>
                <w:p w14:paraId="06BD7848">
                  <w:pPr>
                    <w:pStyle w:val="6"/>
                    <w:spacing w:before="58" w:line="220" w:lineRule="auto"/>
                    <w:ind w:left="1247"/>
                  </w:pPr>
                  <w:r>
                    <w:rPr>
                      <w:b/>
                      <w:bCs/>
                      <w:spacing w:val="-4"/>
                    </w:rPr>
                    <w:t>取值时间</w:t>
                  </w:r>
                </w:p>
              </w:tc>
              <w:tc>
                <w:tcPr>
                  <w:tcW w:w="2250" w:type="dxa"/>
                  <w:vAlign w:val="top"/>
                </w:tcPr>
                <w:p w14:paraId="5FC981D5">
                  <w:pPr>
                    <w:pStyle w:val="6"/>
                    <w:spacing w:before="58" w:line="221" w:lineRule="auto"/>
                    <w:ind w:left="709"/>
                  </w:pPr>
                  <w:r>
                    <w:rPr>
                      <w:b/>
                      <w:bCs/>
                      <w:spacing w:val="-3"/>
                    </w:rPr>
                    <w:t>浓度标准</w:t>
                  </w:r>
                </w:p>
              </w:tc>
              <w:tc>
                <w:tcPr>
                  <w:tcW w:w="1332" w:type="dxa"/>
                  <w:vAlign w:val="top"/>
                </w:tcPr>
                <w:p w14:paraId="6B412E10">
                  <w:pPr>
                    <w:pStyle w:val="6"/>
                    <w:spacing w:before="58" w:line="221" w:lineRule="auto"/>
                    <w:ind w:left="460"/>
                  </w:pPr>
                  <w:r>
                    <w:rPr>
                      <w:b/>
                      <w:bCs/>
                      <w:spacing w:val="-5"/>
                    </w:rPr>
                    <w:t>单位</w:t>
                  </w:r>
                </w:p>
              </w:tc>
            </w:tr>
            <w:tr w14:paraId="407FC2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380" w:type="dxa"/>
                  <w:vMerge w:val="restart"/>
                  <w:tcBorders>
                    <w:bottom w:val="nil"/>
                  </w:tcBorders>
                  <w:vAlign w:val="top"/>
                </w:tcPr>
                <w:p w14:paraId="10789F31">
                  <w:pPr>
                    <w:spacing w:line="356" w:lineRule="auto"/>
                    <w:rPr>
                      <w:rFonts w:ascii="Arial"/>
                      <w:sz w:val="21"/>
                    </w:rPr>
                  </w:pPr>
                </w:p>
                <w:p w14:paraId="11EA97E9">
                  <w:pPr>
                    <w:spacing w:before="60" w:line="226" w:lineRule="auto"/>
                    <w:ind w:left="529"/>
                    <w:rPr>
                      <w:rFonts w:ascii="Times New Roman" w:hAnsi="Times New Roman" w:eastAsia="Times New Roman" w:cs="Times New Roman"/>
                      <w:sz w:val="13"/>
                      <w:szCs w:val="13"/>
                    </w:rPr>
                  </w:pPr>
                  <w:r>
                    <w:rPr>
                      <w:rFonts w:ascii="Times New Roman" w:hAnsi="Times New Roman" w:eastAsia="Times New Roman" w:cs="Times New Roman"/>
                      <w:spacing w:val="-2"/>
                      <w:sz w:val="21"/>
                      <w:szCs w:val="21"/>
                    </w:rPr>
                    <w:t>SO</w:t>
                  </w:r>
                  <w:r>
                    <w:rPr>
                      <w:rFonts w:ascii="Times New Roman" w:hAnsi="Times New Roman" w:eastAsia="Times New Roman" w:cs="Times New Roman"/>
                      <w:spacing w:val="-2"/>
                      <w:position w:val="-1"/>
                      <w:sz w:val="13"/>
                      <w:szCs w:val="13"/>
                    </w:rPr>
                    <w:t>2</w:t>
                  </w:r>
                </w:p>
              </w:tc>
              <w:tc>
                <w:tcPr>
                  <w:tcW w:w="3322" w:type="dxa"/>
                  <w:vAlign w:val="top"/>
                </w:tcPr>
                <w:p w14:paraId="4181D056">
                  <w:pPr>
                    <w:pStyle w:val="6"/>
                    <w:spacing w:before="54" w:line="220" w:lineRule="auto"/>
                    <w:ind w:left="1351"/>
                  </w:pPr>
                  <w:r>
                    <w:rPr>
                      <w:spacing w:val="-2"/>
                    </w:rPr>
                    <w:t>年平均</w:t>
                  </w:r>
                </w:p>
              </w:tc>
              <w:tc>
                <w:tcPr>
                  <w:tcW w:w="2250" w:type="dxa"/>
                  <w:vAlign w:val="top"/>
                </w:tcPr>
                <w:p w14:paraId="75459D76">
                  <w:pPr>
                    <w:spacing w:before="89" w:line="219" w:lineRule="auto"/>
                    <w:ind w:left="102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60</w:t>
                  </w:r>
                </w:p>
              </w:tc>
              <w:tc>
                <w:tcPr>
                  <w:tcW w:w="1332" w:type="dxa"/>
                  <w:vMerge w:val="restart"/>
                  <w:tcBorders>
                    <w:bottom w:val="nil"/>
                  </w:tcBorders>
                  <w:vAlign w:val="top"/>
                </w:tcPr>
                <w:p w14:paraId="6529B61D">
                  <w:pPr>
                    <w:spacing w:line="273" w:lineRule="auto"/>
                    <w:rPr>
                      <w:rFonts w:ascii="Arial"/>
                      <w:sz w:val="21"/>
                    </w:rPr>
                  </w:pPr>
                </w:p>
                <w:p w14:paraId="2A99EA7B">
                  <w:pPr>
                    <w:spacing w:line="273" w:lineRule="auto"/>
                    <w:rPr>
                      <w:rFonts w:ascii="Arial"/>
                      <w:sz w:val="21"/>
                    </w:rPr>
                  </w:pPr>
                </w:p>
                <w:p w14:paraId="04C7F033">
                  <w:pPr>
                    <w:spacing w:line="273" w:lineRule="auto"/>
                    <w:rPr>
                      <w:rFonts w:ascii="Arial"/>
                      <w:sz w:val="21"/>
                    </w:rPr>
                  </w:pPr>
                </w:p>
                <w:p w14:paraId="729C74FC">
                  <w:pPr>
                    <w:spacing w:before="61" w:line="210" w:lineRule="auto"/>
                    <w:ind w:left="419"/>
                    <w:rPr>
                      <w:rFonts w:ascii="Times New Roman" w:hAnsi="Times New Roman" w:eastAsia="Times New Roman" w:cs="Times New Roman"/>
                      <w:sz w:val="13"/>
                      <w:szCs w:val="13"/>
                    </w:rPr>
                  </w:pPr>
                  <w:r>
                    <w:rPr>
                      <w:rFonts w:ascii="Times New Roman" w:hAnsi="Times New Roman" w:eastAsia="Times New Roman" w:cs="Times New Roman"/>
                      <w:spacing w:val="-2"/>
                      <w:sz w:val="21"/>
                      <w:szCs w:val="21"/>
                    </w:rPr>
                    <w:t>μg/m</w:t>
                  </w:r>
                  <w:r>
                    <w:rPr>
                      <w:rFonts w:ascii="Times New Roman" w:hAnsi="Times New Roman" w:eastAsia="Times New Roman" w:cs="Times New Roman"/>
                      <w:spacing w:val="-2"/>
                      <w:position w:val="6"/>
                      <w:sz w:val="13"/>
                      <w:szCs w:val="13"/>
                    </w:rPr>
                    <w:t>3</w:t>
                  </w:r>
                </w:p>
              </w:tc>
            </w:tr>
            <w:tr w14:paraId="10865E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380" w:type="dxa"/>
                  <w:vMerge w:val="continue"/>
                  <w:tcBorders>
                    <w:top w:val="nil"/>
                    <w:bottom w:val="nil"/>
                  </w:tcBorders>
                  <w:vAlign w:val="top"/>
                </w:tcPr>
                <w:p w14:paraId="49BDE810">
                  <w:pPr>
                    <w:rPr>
                      <w:rFonts w:ascii="Arial"/>
                      <w:sz w:val="21"/>
                    </w:rPr>
                  </w:pPr>
                </w:p>
              </w:tc>
              <w:tc>
                <w:tcPr>
                  <w:tcW w:w="3322" w:type="dxa"/>
                  <w:vAlign w:val="top"/>
                </w:tcPr>
                <w:p w14:paraId="47854611">
                  <w:pPr>
                    <w:pStyle w:val="6"/>
                    <w:spacing w:before="55" w:line="225" w:lineRule="auto"/>
                    <w:ind w:left="1111"/>
                  </w:pPr>
                  <w:r>
                    <w:rPr>
                      <w:rFonts w:ascii="Times New Roman" w:hAnsi="Times New Roman" w:eastAsia="Times New Roman" w:cs="Times New Roman"/>
                      <w:spacing w:val="-3"/>
                    </w:rPr>
                    <w:t>24</w:t>
                  </w:r>
                  <w:r>
                    <w:rPr>
                      <w:rFonts w:ascii="Times New Roman" w:hAnsi="Times New Roman" w:eastAsia="Times New Roman" w:cs="Times New Roman"/>
                      <w:spacing w:val="15"/>
                    </w:rPr>
                    <w:t xml:space="preserve"> </w:t>
                  </w:r>
                  <w:r>
                    <w:rPr>
                      <w:spacing w:val="-3"/>
                    </w:rPr>
                    <w:t>小时平均</w:t>
                  </w:r>
                </w:p>
              </w:tc>
              <w:tc>
                <w:tcPr>
                  <w:tcW w:w="2250" w:type="dxa"/>
                  <w:vAlign w:val="top"/>
                </w:tcPr>
                <w:p w14:paraId="13EE0973">
                  <w:pPr>
                    <w:spacing w:before="90" w:line="219" w:lineRule="auto"/>
                    <w:ind w:left="990"/>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150</w:t>
                  </w:r>
                </w:p>
              </w:tc>
              <w:tc>
                <w:tcPr>
                  <w:tcW w:w="1332" w:type="dxa"/>
                  <w:vMerge w:val="continue"/>
                  <w:tcBorders>
                    <w:top w:val="nil"/>
                    <w:bottom w:val="nil"/>
                  </w:tcBorders>
                  <w:vAlign w:val="top"/>
                </w:tcPr>
                <w:p w14:paraId="1957CB9B">
                  <w:pPr>
                    <w:rPr>
                      <w:rFonts w:ascii="Arial"/>
                      <w:sz w:val="21"/>
                    </w:rPr>
                  </w:pPr>
                </w:p>
              </w:tc>
            </w:tr>
            <w:tr w14:paraId="356342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380" w:type="dxa"/>
                  <w:vMerge w:val="continue"/>
                  <w:tcBorders>
                    <w:top w:val="nil"/>
                  </w:tcBorders>
                  <w:vAlign w:val="top"/>
                </w:tcPr>
                <w:p w14:paraId="53DDB2FE">
                  <w:pPr>
                    <w:rPr>
                      <w:rFonts w:ascii="Arial"/>
                      <w:sz w:val="21"/>
                    </w:rPr>
                  </w:pPr>
                </w:p>
              </w:tc>
              <w:tc>
                <w:tcPr>
                  <w:tcW w:w="3322" w:type="dxa"/>
                  <w:vAlign w:val="top"/>
                </w:tcPr>
                <w:p w14:paraId="3FAE7727">
                  <w:pPr>
                    <w:pStyle w:val="6"/>
                    <w:spacing w:before="55" w:line="223" w:lineRule="auto"/>
                    <w:ind w:left="1184"/>
                  </w:pPr>
                  <w:r>
                    <w:rPr>
                      <w:rFonts w:ascii="Times New Roman" w:hAnsi="Times New Roman" w:eastAsia="Times New Roman" w:cs="Times New Roman"/>
                      <w:spacing w:val="-8"/>
                    </w:rPr>
                    <w:t>1</w:t>
                  </w:r>
                  <w:r>
                    <w:rPr>
                      <w:rFonts w:ascii="Times New Roman" w:hAnsi="Times New Roman" w:eastAsia="Times New Roman" w:cs="Times New Roman"/>
                      <w:spacing w:val="17"/>
                      <w:w w:val="101"/>
                    </w:rPr>
                    <w:t xml:space="preserve"> </w:t>
                  </w:r>
                  <w:r>
                    <w:rPr>
                      <w:spacing w:val="-8"/>
                    </w:rPr>
                    <w:t>小时平均</w:t>
                  </w:r>
                </w:p>
              </w:tc>
              <w:tc>
                <w:tcPr>
                  <w:tcW w:w="2250" w:type="dxa"/>
                  <w:vAlign w:val="top"/>
                </w:tcPr>
                <w:p w14:paraId="47330433">
                  <w:pPr>
                    <w:spacing w:before="90" w:line="217" w:lineRule="auto"/>
                    <w:ind w:left="97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500</w:t>
                  </w:r>
                </w:p>
              </w:tc>
              <w:tc>
                <w:tcPr>
                  <w:tcW w:w="1332" w:type="dxa"/>
                  <w:vMerge w:val="continue"/>
                  <w:tcBorders>
                    <w:top w:val="nil"/>
                    <w:bottom w:val="nil"/>
                  </w:tcBorders>
                  <w:vAlign w:val="top"/>
                </w:tcPr>
                <w:p w14:paraId="7212667C">
                  <w:pPr>
                    <w:rPr>
                      <w:rFonts w:ascii="Arial"/>
                      <w:sz w:val="21"/>
                    </w:rPr>
                  </w:pPr>
                </w:p>
              </w:tc>
            </w:tr>
            <w:tr w14:paraId="1774BD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380" w:type="dxa"/>
                  <w:vMerge w:val="restart"/>
                  <w:tcBorders>
                    <w:bottom w:val="nil"/>
                  </w:tcBorders>
                  <w:vAlign w:val="top"/>
                </w:tcPr>
                <w:p w14:paraId="2212F5C2">
                  <w:pPr>
                    <w:spacing w:line="357" w:lineRule="auto"/>
                    <w:rPr>
                      <w:rFonts w:ascii="Arial"/>
                      <w:sz w:val="21"/>
                    </w:rPr>
                  </w:pPr>
                </w:p>
                <w:p w14:paraId="3ADBC265">
                  <w:pPr>
                    <w:spacing w:before="60" w:line="226" w:lineRule="auto"/>
                    <w:ind w:left="496"/>
                    <w:rPr>
                      <w:rFonts w:ascii="Times New Roman" w:hAnsi="Times New Roman" w:eastAsia="Times New Roman" w:cs="Times New Roman"/>
                      <w:sz w:val="13"/>
                      <w:szCs w:val="13"/>
                    </w:rPr>
                  </w:pPr>
                  <w:r>
                    <w:rPr>
                      <w:rFonts w:ascii="Times New Roman" w:hAnsi="Times New Roman" w:eastAsia="Times New Roman" w:cs="Times New Roman"/>
                      <w:sz w:val="21"/>
                      <w:szCs w:val="21"/>
                    </w:rPr>
                    <w:t>NO</w:t>
                  </w:r>
                  <w:r>
                    <w:rPr>
                      <w:rFonts w:ascii="Times New Roman" w:hAnsi="Times New Roman" w:eastAsia="Times New Roman" w:cs="Times New Roman"/>
                      <w:spacing w:val="8"/>
                      <w:position w:val="-1"/>
                      <w:sz w:val="13"/>
                      <w:szCs w:val="13"/>
                    </w:rPr>
                    <w:t>2</w:t>
                  </w:r>
                </w:p>
              </w:tc>
              <w:tc>
                <w:tcPr>
                  <w:tcW w:w="3322" w:type="dxa"/>
                  <w:vAlign w:val="top"/>
                </w:tcPr>
                <w:p w14:paraId="5F880316">
                  <w:pPr>
                    <w:pStyle w:val="6"/>
                    <w:spacing w:before="58" w:line="220" w:lineRule="auto"/>
                    <w:ind w:left="1351"/>
                  </w:pPr>
                  <w:r>
                    <w:rPr>
                      <w:spacing w:val="-2"/>
                    </w:rPr>
                    <w:t>年平均</w:t>
                  </w:r>
                </w:p>
              </w:tc>
              <w:tc>
                <w:tcPr>
                  <w:tcW w:w="2250" w:type="dxa"/>
                  <w:vAlign w:val="top"/>
                </w:tcPr>
                <w:p w14:paraId="067E7CCC">
                  <w:pPr>
                    <w:spacing w:before="92" w:line="217" w:lineRule="auto"/>
                    <w:ind w:left="10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332" w:type="dxa"/>
                  <w:vMerge w:val="continue"/>
                  <w:tcBorders>
                    <w:top w:val="nil"/>
                    <w:bottom w:val="nil"/>
                  </w:tcBorders>
                  <w:vAlign w:val="top"/>
                </w:tcPr>
                <w:p w14:paraId="2D9A5205">
                  <w:pPr>
                    <w:rPr>
                      <w:rFonts w:ascii="Arial"/>
                      <w:sz w:val="21"/>
                    </w:rPr>
                  </w:pPr>
                </w:p>
              </w:tc>
            </w:tr>
            <w:tr w14:paraId="2E0D3B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380" w:type="dxa"/>
                  <w:vMerge w:val="continue"/>
                  <w:tcBorders>
                    <w:top w:val="nil"/>
                    <w:bottom w:val="nil"/>
                  </w:tcBorders>
                  <w:vAlign w:val="top"/>
                </w:tcPr>
                <w:p w14:paraId="673CAC59">
                  <w:pPr>
                    <w:rPr>
                      <w:rFonts w:ascii="Arial"/>
                      <w:sz w:val="21"/>
                    </w:rPr>
                  </w:pPr>
                </w:p>
              </w:tc>
              <w:tc>
                <w:tcPr>
                  <w:tcW w:w="3322" w:type="dxa"/>
                  <w:vAlign w:val="top"/>
                </w:tcPr>
                <w:p w14:paraId="7712382D">
                  <w:pPr>
                    <w:pStyle w:val="6"/>
                    <w:spacing w:before="55" w:line="224" w:lineRule="auto"/>
                    <w:ind w:left="1111"/>
                  </w:pPr>
                  <w:r>
                    <w:rPr>
                      <w:rFonts w:ascii="Times New Roman" w:hAnsi="Times New Roman" w:eastAsia="Times New Roman" w:cs="Times New Roman"/>
                      <w:spacing w:val="-3"/>
                    </w:rPr>
                    <w:t>24</w:t>
                  </w:r>
                  <w:r>
                    <w:rPr>
                      <w:rFonts w:ascii="Times New Roman" w:hAnsi="Times New Roman" w:eastAsia="Times New Roman" w:cs="Times New Roman"/>
                      <w:spacing w:val="15"/>
                    </w:rPr>
                    <w:t xml:space="preserve"> </w:t>
                  </w:r>
                  <w:r>
                    <w:rPr>
                      <w:spacing w:val="-3"/>
                    </w:rPr>
                    <w:t>小时平均</w:t>
                  </w:r>
                </w:p>
              </w:tc>
              <w:tc>
                <w:tcPr>
                  <w:tcW w:w="2250" w:type="dxa"/>
                  <w:vAlign w:val="top"/>
                </w:tcPr>
                <w:p w14:paraId="5AC4E4E4">
                  <w:pPr>
                    <w:spacing w:before="90" w:line="218" w:lineRule="auto"/>
                    <w:ind w:left="103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80</w:t>
                  </w:r>
                </w:p>
              </w:tc>
              <w:tc>
                <w:tcPr>
                  <w:tcW w:w="1332" w:type="dxa"/>
                  <w:vMerge w:val="continue"/>
                  <w:tcBorders>
                    <w:top w:val="nil"/>
                    <w:bottom w:val="nil"/>
                  </w:tcBorders>
                  <w:vAlign w:val="top"/>
                </w:tcPr>
                <w:p w14:paraId="3F62E54E">
                  <w:pPr>
                    <w:rPr>
                      <w:rFonts w:ascii="Arial"/>
                      <w:sz w:val="21"/>
                    </w:rPr>
                  </w:pPr>
                </w:p>
              </w:tc>
            </w:tr>
            <w:tr w14:paraId="53BF68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380" w:type="dxa"/>
                  <w:vMerge w:val="continue"/>
                  <w:tcBorders>
                    <w:top w:val="nil"/>
                  </w:tcBorders>
                  <w:vAlign w:val="top"/>
                </w:tcPr>
                <w:p w14:paraId="21BBC5A0">
                  <w:pPr>
                    <w:rPr>
                      <w:rFonts w:ascii="Arial"/>
                      <w:sz w:val="21"/>
                    </w:rPr>
                  </w:pPr>
                </w:p>
              </w:tc>
              <w:tc>
                <w:tcPr>
                  <w:tcW w:w="3322" w:type="dxa"/>
                  <w:vAlign w:val="top"/>
                </w:tcPr>
                <w:p w14:paraId="0A1805EC">
                  <w:pPr>
                    <w:pStyle w:val="6"/>
                    <w:spacing w:before="56" w:line="223" w:lineRule="auto"/>
                    <w:ind w:left="1184"/>
                  </w:pPr>
                  <w:r>
                    <w:rPr>
                      <w:rFonts w:ascii="Times New Roman" w:hAnsi="Times New Roman" w:eastAsia="Times New Roman" w:cs="Times New Roman"/>
                      <w:spacing w:val="-8"/>
                    </w:rPr>
                    <w:t>1</w:t>
                  </w:r>
                  <w:r>
                    <w:rPr>
                      <w:rFonts w:ascii="Times New Roman" w:hAnsi="Times New Roman" w:eastAsia="Times New Roman" w:cs="Times New Roman"/>
                      <w:spacing w:val="17"/>
                      <w:w w:val="101"/>
                    </w:rPr>
                    <w:t xml:space="preserve"> </w:t>
                  </w:r>
                  <w:r>
                    <w:rPr>
                      <w:spacing w:val="-8"/>
                    </w:rPr>
                    <w:t>小时平均</w:t>
                  </w:r>
                </w:p>
              </w:tc>
              <w:tc>
                <w:tcPr>
                  <w:tcW w:w="2250" w:type="dxa"/>
                  <w:vAlign w:val="top"/>
                </w:tcPr>
                <w:p w14:paraId="00D20D4A">
                  <w:pPr>
                    <w:spacing w:before="91" w:line="217" w:lineRule="auto"/>
                    <w:ind w:left="97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200</w:t>
                  </w:r>
                </w:p>
              </w:tc>
              <w:tc>
                <w:tcPr>
                  <w:tcW w:w="1332" w:type="dxa"/>
                  <w:vMerge w:val="continue"/>
                  <w:tcBorders>
                    <w:top w:val="nil"/>
                  </w:tcBorders>
                  <w:vAlign w:val="top"/>
                </w:tcPr>
                <w:p w14:paraId="349B84D3">
                  <w:pPr>
                    <w:rPr>
                      <w:rFonts w:ascii="Arial"/>
                      <w:sz w:val="21"/>
                    </w:rPr>
                  </w:pPr>
                </w:p>
              </w:tc>
            </w:tr>
            <w:tr w14:paraId="0A6A58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380" w:type="dxa"/>
                  <w:vMerge w:val="restart"/>
                  <w:tcBorders>
                    <w:bottom w:val="nil"/>
                  </w:tcBorders>
                  <w:vAlign w:val="top"/>
                </w:tcPr>
                <w:p w14:paraId="51284122">
                  <w:pPr>
                    <w:spacing w:before="258" w:line="187" w:lineRule="auto"/>
                    <w:ind w:left="54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CO</w:t>
                  </w:r>
                </w:p>
              </w:tc>
              <w:tc>
                <w:tcPr>
                  <w:tcW w:w="3322" w:type="dxa"/>
                  <w:vAlign w:val="top"/>
                </w:tcPr>
                <w:p w14:paraId="1F0E7D15">
                  <w:pPr>
                    <w:pStyle w:val="6"/>
                    <w:spacing w:before="57" w:line="223" w:lineRule="auto"/>
                    <w:ind w:left="1111"/>
                  </w:pPr>
                  <w:r>
                    <w:rPr>
                      <w:rFonts w:ascii="Times New Roman" w:hAnsi="Times New Roman" w:eastAsia="Times New Roman" w:cs="Times New Roman"/>
                      <w:spacing w:val="-3"/>
                    </w:rPr>
                    <w:t>24</w:t>
                  </w:r>
                  <w:r>
                    <w:rPr>
                      <w:rFonts w:ascii="Times New Roman" w:hAnsi="Times New Roman" w:eastAsia="Times New Roman" w:cs="Times New Roman"/>
                      <w:spacing w:val="15"/>
                    </w:rPr>
                    <w:t xml:space="preserve"> </w:t>
                  </w:r>
                  <w:r>
                    <w:rPr>
                      <w:spacing w:val="-3"/>
                    </w:rPr>
                    <w:t>小时平均</w:t>
                  </w:r>
                </w:p>
              </w:tc>
              <w:tc>
                <w:tcPr>
                  <w:tcW w:w="2250" w:type="dxa"/>
                  <w:vAlign w:val="top"/>
                </w:tcPr>
                <w:p w14:paraId="209A108F">
                  <w:pPr>
                    <w:spacing w:before="92" w:line="217" w:lineRule="auto"/>
                    <w:ind w:left="1074"/>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332" w:type="dxa"/>
                  <w:vMerge w:val="restart"/>
                  <w:tcBorders>
                    <w:bottom w:val="nil"/>
                  </w:tcBorders>
                  <w:vAlign w:val="top"/>
                </w:tcPr>
                <w:p w14:paraId="015C6E72">
                  <w:pPr>
                    <w:spacing w:before="235" w:line="210" w:lineRule="auto"/>
                    <w:ind w:left="385"/>
                    <w:rPr>
                      <w:rFonts w:ascii="Times New Roman" w:hAnsi="Times New Roman" w:eastAsia="Times New Roman" w:cs="Times New Roman"/>
                      <w:sz w:val="13"/>
                      <w:szCs w:val="13"/>
                    </w:rPr>
                  </w:pPr>
                  <w:r>
                    <w:rPr>
                      <w:rFonts w:ascii="Times New Roman" w:hAnsi="Times New Roman" w:eastAsia="Times New Roman" w:cs="Times New Roman"/>
                      <w:sz w:val="21"/>
                      <w:szCs w:val="21"/>
                    </w:rPr>
                    <w:t>mg/m</w:t>
                  </w:r>
                  <w:r>
                    <w:rPr>
                      <w:rFonts w:ascii="Times New Roman" w:hAnsi="Times New Roman" w:eastAsia="Times New Roman" w:cs="Times New Roman"/>
                      <w:position w:val="6"/>
                      <w:sz w:val="13"/>
                      <w:szCs w:val="13"/>
                    </w:rPr>
                    <w:t>3</w:t>
                  </w:r>
                </w:p>
              </w:tc>
            </w:tr>
            <w:tr w14:paraId="0EB39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380" w:type="dxa"/>
                  <w:vMerge w:val="continue"/>
                  <w:tcBorders>
                    <w:top w:val="nil"/>
                  </w:tcBorders>
                  <w:vAlign w:val="top"/>
                </w:tcPr>
                <w:p w14:paraId="3F6BCFE8">
                  <w:pPr>
                    <w:rPr>
                      <w:rFonts w:ascii="Arial"/>
                      <w:sz w:val="21"/>
                    </w:rPr>
                  </w:pPr>
                </w:p>
              </w:tc>
              <w:tc>
                <w:tcPr>
                  <w:tcW w:w="3322" w:type="dxa"/>
                  <w:vAlign w:val="top"/>
                </w:tcPr>
                <w:p w14:paraId="36F9AB13">
                  <w:pPr>
                    <w:pStyle w:val="6"/>
                    <w:spacing w:before="57" w:line="222" w:lineRule="auto"/>
                    <w:ind w:left="1184"/>
                  </w:pPr>
                  <w:r>
                    <w:rPr>
                      <w:rFonts w:ascii="Times New Roman" w:hAnsi="Times New Roman" w:eastAsia="Times New Roman" w:cs="Times New Roman"/>
                      <w:spacing w:val="-8"/>
                    </w:rPr>
                    <w:t>1</w:t>
                  </w:r>
                  <w:r>
                    <w:rPr>
                      <w:rFonts w:ascii="Times New Roman" w:hAnsi="Times New Roman" w:eastAsia="Times New Roman" w:cs="Times New Roman"/>
                      <w:spacing w:val="17"/>
                      <w:w w:val="101"/>
                    </w:rPr>
                    <w:t xml:space="preserve"> </w:t>
                  </w:r>
                  <w:r>
                    <w:rPr>
                      <w:spacing w:val="-8"/>
                    </w:rPr>
                    <w:t>小时平均</w:t>
                  </w:r>
                </w:p>
              </w:tc>
              <w:tc>
                <w:tcPr>
                  <w:tcW w:w="2250" w:type="dxa"/>
                  <w:vAlign w:val="top"/>
                </w:tcPr>
                <w:p w14:paraId="19F88855">
                  <w:pPr>
                    <w:spacing w:before="91" w:line="217" w:lineRule="auto"/>
                    <w:ind w:left="1043"/>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332" w:type="dxa"/>
                  <w:vMerge w:val="continue"/>
                  <w:tcBorders>
                    <w:top w:val="nil"/>
                  </w:tcBorders>
                  <w:vAlign w:val="top"/>
                </w:tcPr>
                <w:p w14:paraId="5B372C2D">
                  <w:pPr>
                    <w:rPr>
                      <w:rFonts w:ascii="Arial"/>
                      <w:sz w:val="21"/>
                    </w:rPr>
                  </w:pPr>
                </w:p>
              </w:tc>
            </w:tr>
            <w:tr w14:paraId="415CF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1380" w:type="dxa"/>
                  <w:vMerge w:val="restart"/>
                  <w:tcBorders>
                    <w:bottom w:val="nil"/>
                  </w:tcBorders>
                  <w:vAlign w:val="top"/>
                </w:tcPr>
                <w:p w14:paraId="5F027836">
                  <w:pPr>
                    <w:spacing w:before="258" w:line="225" w:lineRule="auto"/>
                    <w:ind w:left="583"/>
                    <w:rPr>
                      <w:rFonts w:ascii="Times New Roman" w:hAnsi="Times New Roman" w:eastAsia="Times New Roman" w:cs="Times New Roman"/>
                      <w:sz w:val="13"/>
                      <w:szCs w:val="13"/>
                    </w:rPr>
                  </w:pPr>
                  <w:r>
                    <w:rPr>
                      <w:rFonts w:ascii="Times New Roman" w:hAnsi="Times New Roman" w:eastAsia="Times New Roman" w:cs="Times New Roman"/>
                      <w:spacing w:val="-1"/>
                      <w:sz w:val="21"/>
                      <w:szCs w:val="21"/>
                    </w:rPr>
                    <w:t>O</w:t>
                  </w:r>
                  <w:r>
                    <w:rPr>
                      <w:rFonts w:ascii="Times New Roman" w:hAnsi="Times New Roman" w:eastAsia="Times New Roman" w:cs="Times New Roman"/>
                      <w:spacing w:val="-1"/>
                      <w:position w:val="-1"/>
                      <w:sz w:val="13"/>
                      <w:szCs w:val="13"/>
                    </w:rPr>
                    <w:t>3</w:t>
                  </w:r>
                </w:p>
              </w:tc>
              <w:tc>
                <w:tcPr>
                  <w:tcW w:w="3322" w:type="dxa"/>
                  <w:vAlign w:val="top"/>
                </w:tcPr>
                <w:p w14:paraId="46D2FE16">
                  <w:pPr>
                    <w:pStyle w:val="6"/>
                    <w:spacing w:before="57" w:line="220" w:lineRule="auto"/>
                    <w:ind w:left="863"/>
                  </w:pPr>
                  <w:r>
                    <w:rPr>
                      <w:spacing w:val="-9"/>
                    </w:rPr>
                    <w:t>日最大</w:t>
                  </w:r>
                  <w:r>
                    <w:rPr>
                      <w:spacing w:val="-37"/>
                    </w:rPr>
                    <w:t xml:space="preserve"> </w:t>
                  </w:r>
                  <w:r>
                    <w:rPr>
                      <w:rFonts w:ascii="Times New Roman" w:hAnsi="Times New Roman" w:eastAsia="Times New Roman" w:cs="Times New Roman"/>
                      <w:spacing w:val="-9"/>
                    </w:rPr>
                    <w:t>8</w:t>
                  </w:r>
                  <w:r>
                    <w:rPr>
                      <w:rFonts w:ascii="Times New Roman" w:hAnsi="Times New Roman" w:eastAsia="Times New Roman" w:cs="Times New Roman"/>
                      <w:spacing w:val="14"/>
                      <w:w w:val="101"/>
                    </w:rPr>
                    <w:t xml:space="preserve"> </w:t>
                  </w:r>
                  <w:r>
                    <w:rPr>
                      <w:spacing w:val="-9"/>
                    </w:rPr>
                    <w:t>小时平均</w:t>
                  </w:r>
                </w:p>
              </w:tc>
              <w:tc>
                <w:tcPr>
                  <w:tcW w:w="2250" w:type="dxa"/>
                  <w:vAlign w:val="top"/>
                </w:tcPr>
                <w:p w14:paraId="3D7AA78E">
                  <w:pPr>
                    <w:spacing w:before="92" w:line="214" w:lineRule="auto"/>
                    <w:ind w:left="990"/>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160</w:t>
                  </w:r>
                </w:p>
              </w:tc>
              <w:tc>
                <w:tcPr>
                  <w:tcW w:w="1332" w:type="dxa"/>
                  <w:vMerge w:val="restart"/>
                  <w:tcBorders>
                    <w:bottom w:val="nil"/>
                  </w:tcBorders>
                  <w:vAlign w:val="top"/>
                </w:tcPr>
                <w:p w14:paraId="65167C6A">
                  <w:pPr>
                    <w:spacing w:before="236" w:line="210" w:lineRule="auto"/>
                    <w:ind w:left="419"/>
                    <w:rPr>
                      <w:rFonts w:ascii="Times New Roman" w:hAnsi="Times New Roman" w:eastAsia="Times New Roman" w:cs="Times New Roman"/>
                      <w:sz w:val="13"/>
                      <w:szCs w:val="13"/>
                    </w:rPr>
                  </w:pPr>
                  <w:r>
                    <w:rPr>
                      <w:rFonts w:ascii="Times New Roman" w:hAnsi="Times New Roman" w:eastAsia="Times New Roman" w:cs="Times New Roman"/>
                      <w:spacing w:val="-2"/>
                      <w:sz w:val="21"/>
                      <w:szCs w:val="21"/>
                    </w:rPr>
                    <w:t>μg/m</w:t>
                  </w:r>
                  <w:r>
                    <w:rPr>
                      <w:rFonts w:ascii="Times New Roman" w:hAnsi="Times New Roman" w:eastAsia="Times New Roman" w:cs="Times New Roman"/>
                      <w:spacing w:val="-2"/>
                      <w:position w:val="6"/>
                      <w:sz w:val="13"/>
                      <w:szCs w:val="13"/>
                    </w:rPr>
                    <w:t>3</w:t>
                  </w:r>
                </w:p>
              </w:tc>
            </w:tr>
            <w:tr w14:paraId="070FE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380" w:type="dxa"/>
                  <w:vMerge w:val="continue"/>
                  <w:tcBorders>
                    <w:top w:val="nil"/>
                  </w:tcBorders>
                  <w:vAlign w:val="top"/>
                </w:tcPr>
                <w:p w14:paraId="73FB44EB">
                  <w:pPr>
                    <w:rPr>
                      <w:rFonts w:ascii="Arial"/>
                      <w:sz w:val="21"/>
                    </w:rPr>
                  </w:pPr>
                </w:p>
              </w:tc>
              <w:tc>
                <w:tcPr>
                  <w:tcW w:w="3322" w:type="dxa"/>
                  <w:vAlign w:val="top"/>
                </w:tcPr>
                <w:p w14:paraId="3958D7DD">
                  <w:pPr>
                    <w:pStyle w:val="6"/>
                    <w:spacing w:before="61" w:line="223" w:lineRule="auto"/>
                    <w:ind w:left="1184"/>
                  </w:pPr>
                  <w:r>
                    <w:rPr>
                      <w:rFonts w:ascii="Times New Roman" w:hAnsi="Times New Roman" w:eastAsia="Times New Roman" w:cs="Times New Roman"/>
                      <w:spacing w:val="-8"/>
                    </w:rPr>
                    <w:t>1</w:t>
                  </w:r>
                  <w:r>
                    <w:rPr>
                      <w:rFonts w:ascii="Times New Roman" w:hAnsi="Times New Roman" w:eastAsia="Times New Roman" w:cs="Times New Roman"/>
                      <w:spacing w:val="17"/>
                      <w:w w:val="101"/>
                    </w:rPr>
                    <w:t xml:space="preserve"> </w:t>
                  </w:r>
                  <w:r>
                    <w:rPr>
                      <w:spacing w:val="-8"/>
                    </w:rPr>
                    <w:t>小时平均</w:t>
                  </w:r>
                </w:p>
              </w:tc>
              <w:tc>
                <w:tcPr>
                  <w:tcW w:w="2250" w:type="dxa"/>
                  <w:vAlign w:val="top"/>
                </w:tcPr>
                <w:p w14:paraId="1982682D">
                  <w:pPr>
                    <w:spacing w:before="95" w:line="218" w:lineRule="auto"/>
                    <w:ind w:left="97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200</w:t>
                  </w:r>
                </w:p>
              </w:tc>
              <w:tc>
                <w:tcPr>
                  <w:tcW w:w="1332" w:type="dxa"/>
                  <w:vMerge w:val="continue"/>
                  <w:tcBorders>
                    <w:top w:val="nil"/>
                    <w:bottom w:val="nil"/>
                  </w:tcBorders>
                  <w:vAlign w:val="top"/>
                </w:tcPr>
                <w:p w14:paraId="4D2F562E">
                  <w:pPr>
                    <w:rPr>
                      <w:rFonts w:ascii="Arial"/>
                      <w:sz w:val="21"/>
                    </w:rPr>
                  </w:pPr>
                </w:p>
              </w:tc>
            </w:tr>
          </w:tbl>
          <w:p w14:paraId="5EF048B1">
            <w:pPr>
              <w:spacing w:line="14" w:lineRule="auto"/>
              <w:rPr>
                <w:rFonts w:ascii="Arial"/>
                <w:sz w:val="2"/>
              </w:rPr>
            </w:pPr>
          </w:p>
        </w:tc>
      </w:tr>
    </w:tbl>
    <w:p w14:paraId="2D2928AF">
      <w:pPr>
        <w:rPr>
          <w:rFonts w:ascii="Arial"/>
          <w:sz w:val="21"/>
        </w:rPr>
      </w:pPr>
    </w:p>
    <w:p w14:paraId="2CC3B1B0">
      <w:pPr>
        <w:rPr>
          <w:rFonts w:ascii="Arial" w:hAnsi="Arial" w:eastAsia="Arial" w:cs="Arial"/>
          <w:sz w:val="21"/>
          <w:szCs w:val="21"/>
        </w:rPr>
        <w:sectPr>
          <w:footerReference r:id="rId59" w:type="default"/>
          <w:pgSz w:w="11907" w:h="16841"/>
          <w:pgMar w:top="400" w:right="1408" w:bottom="1126" w:left="1414" w:header="0" w:footer="925" w:gutter="0"/>
          <w:cols w:space="720" w:num="1"/>
        </w:sectPr>
      </w:pPr>
    </w:p>
    <w:p w14:paraId="0AF28FD5">
      <w:pPr>
        <w:spacing w:before="2"/>
      </w:pPr>
    </w:p>
    <w:p w14:paraId="3B0C227E">
      <w:pPr>
        <w:spacing w:before="2"/>
      </w:pPr>
    </w:p>
    <w:p w14:paraId="6B32E6D1">
      <w:pPr>
        <w:spacing w:before="1"/>
      </w:pPr>
    </w:p>
    <w:p w14:paraId="3816C76D">
      <w:pPr>
        <w:spacing w:before="1"/>
      </w:pPr>
    </w:p>
    <w:p w14:paraId="255CD8D8">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3"/>
        <w:gridCol w:w="1361"/>
        <w:gridCol w:w="736"/>
        <w:gridCol w:w="721"/>
        <w:gridCol w:w="216"/>
        <w:gridCol w:w="1130"/>
        <w:gridCol w:w="518"/>
        <w:gridCol w:w="290"/>
        <w:gridCol w:w="453"/>
        <w:gridCol w:w="135"/>
        <w:gridCol w:w="581"/>
        <w:gridCol w:w="792"/>
        <w:gridCol w:w="381"/>
        <w:gridCol w:w="960"/>
        <w:gridCol w:w="120"/>
      </w:tblGrid>
      <w:tr w14:paraId="1355B1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17" w:hRule="atLeast"/>
        </w:trPr>
        <w:tc>
          <w:tcPr>
            <w:tcW w:w="571" w:type="dxa"/>
            <w:vMerge w:val="restart"/>
            <w:tcBorders>
              <w:bottom w:val="nil"/>
            </w:tcBorders>
            <w:vAlign w:val="top"/>
          </w:tcPr>
          <w:p w14:paraId="66B07C44">
            <w:pPr>
              <w:rPr>
                <w:rFonts w:ascii="Arial"/>
                <w:sz w:val="21"/>
              </w:rPr>
            </w:pPr>
          </w:p>
        </w:tc>
        <w:tc>
          <w:tcPr>
            <w:tcW w:w="113" w:type="dxa"/>
            <w:tcBorders>
              <w:bottom w:val="nil"/>
            </w:tcBorders>
            <w:vAlign w:val="top"/>
          </w:tcPr>
          <w:p w14:paraId="244A9142">
            <w:pPr>
              <w:rPr>
                <w:rFonts w:ascii="Arial"/>
                <w:sz w:val="21"/>
              </w:rPr>
            </w:pPr>
          </w:p>
        </w:tc>
        <w:tc>
          <w:tcPr>
            <w:tcW w:w="1361" w:type="dxa"/>
            <w:vMerge w:val="restart"/>
            <w:tcBorders>
              <w:bottom w:val="nil"/>
            </w:tcBorders>
            <w:vAlign w:val="top"/>
          </w:tcPr>
          <w:p w14:paraId="0ADA10DA">
            <w:pPr>
              <w:spacing w:before="260" w:line="187" w:lineRule="auto"/>
              <w:ind w:left="50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TSP</w:t>
            </w:r>
          </w:p>
        </w:tc>
        <w:tc>
          <w:tcPr>
            <w:tcW w:w="3321" w:type="dxa"/>
            <w:gridSpan w:val="5"/>
            <w:vAlign w:val="top"/>
          </w:tcPr>
          <w:p w14:paraId="04BC28E1">
            <w:pPr>
              <w:pStyle w:val="6"/>
              <w:spacing w:before="61" w:line="216" w:lineRule="auto"/>
              <w:ind w:left="1365"/>
            </w:pPr>
            <w:r>
              <w:rPr>
                <w:spacing w:val="-2"/>
              </w:rPr>
              <w:t>年平均</w:t>
            </w:r>
          </w:p>
        </w:tc>
        <w:tc>
          <w:tcPr>
            <w:tcW w:w="2251" w:type="dxa"/>
            <w:gridSpan w:val="5"/>
            <w:vAlign w:val="top"/>
          </w:tcPr>
          <w:p w14:paraId="3656A4D3">
            <w:pPr>
              <w:spacing w:before="96" w:line="209" w:lineRule="auto"/>
              <w:ind w:left="98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200</w:t>
            </w:r>
          </w:p>
        </w:tc>
        <w:tc>
          <w:tcPr>
            <w:tcW w:w="1341" w:type="dxa"/>
            <w:gridSpan w:val="2"/>
            <w:vMerge w:val="restart"/>
            <w:tcBorders>
              <w:bottom w:val="nil"/>
            </w:tcBorders>
            <w:vAlign w:val="top"/>
          </w:tcPr>
          <w:p w14:paraId="30A78FAA">
            <w:pPr>
              <w:rPr>
                <w:rFonts w:ascii="Arial"/>
                <w:sz w:val="21"/>
              </w:rPr>
            </w:pPr>
          </w:p>
        </w:tc>
        <w:tc>
          <w:tcPr>
            <w:tcW w:w="120" w:type="dxa"/>
            <w:tcBorders>
              <w:bottom w:val="nil"/>
            </w:tcBorders>
            <w:vAlign w:val="top"/>
          </w:tcPr>
          <w:p w14:paraId="37D848E4">
            <w:pPr>
              <w:rPr>
                <w:rFonts w:ascii="Arial"/>
                <w:sz w:val="21"/>
              </w:rPr>
            </w:pPr>
          </w:p>
        </w:tc>
      </w:tr>
      <w:tr w14:paraId="491250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20ADD1BF">
            <w:pPr>
              <w:rPr>
                <w:rFonts w:ascii="Arial"/>
                <w:sz w:val="21"/>
              </w:rPr>
            </w:pPr>
          </w:p>
        </w:tc>
        <w:tc>
          <w:tcPr>
            <w:tcW w:w="113" w:type="dxa"/>
            <w:tcBorders>
              <w:top w:val="nil"/>
              <w:bottom w:val="nil"/>
            </w:tcBorders>
            <w:vAlign w:val="top"/>
          </w:tcPr>
          <w:p w14:paraId="60E1A5F7">
            <w:pPr>
              <w:rPr>
                <w:rFonts w:ascii="Arial"/>
                <w:sz w:val="21"/>
              </w:rPr>
            </w:pPr>
          </w:p>
        </w:tc>
        <w:tc>
          <w:tcPr>
            <w:tcW w:w="1361" w:type="dxa"/>
            <w:vMerge w:val="continue"/>
            <w:tcBorders>
              <w:top w:val="nil"/>
            </w:tcBorders>
            <w:vAlign w:val="top"/>
          </w:tcPr>
          <w:p w14:paraId="4818505E">
            <w:pPr>
              <w:rPr>
                <w:rFonts w:ascii="Arial"/>
                <w:sz w:val="21"/>
              </w:rPr>
            </w:pPr>
          </w:p>
        </w:tc>
        <w:tc>
          <w:tcPr>
            <w:tcW w:w="3321" w:type="dxa"/>
            <w:gridSpan w:val="5"/>
            <w:vAlign w:val="top"/>
          </w:tcPr>
          <w:p w14:paraId="47D0BE2D">
            <w:pPr>
              <w:pStyle w:val="6"/>
              <w:spacing w:before="62" w:line="219" w:lineRule="auto"/>
              <w:ind w:left="1125"/>
            </w:pPr>
            <w:r>
              <w:rPr>
                <w:rFonts w:ascii="Times New Roman" w:hAnsi="Times New Roman" w:eastAsia="Times New Roman" w:cs="Times New Roman"/>
                <w:spacing w:val="-3"/>
              </w:rPr>
              <w:t>24</w:t>
            </w:r>
            <w:r>
              <w:rPr>
                <w:rFonts w:ascii="Times New Roman" w:hAnsi="Times New Roman" w:eastAsia="Times New Roman" w:cs="Times New Roman"/>
                <w:spacing w:val="15"/>
              </w:rPr>
              <w:t xml:space="preserve"> </w:t>
            </w:r>
            <w:r>
              <w:rPr>
                <w:spacing w:val="-3"/>
              </w:rPr>
              <w:t>小时平均</w:t>
            </w:r>
          </w:p>
        </w:tc>
        <w:tc>
          <w:tcPr>
            <w:tcW w:w="2251" w:type="dxa"/>
            <w:gridSpan w:val="5"/>
            <w:vAlign w:val="top"/>
          </w:tcPr>
          <w:p w14:paraId="5EEEBD79">
            <w:pPr>
              <w:spacing w:before="98" w:line="212" w:lineRule="auto"/>
              <w:ind w:left="98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300</w:t>
            </w:r>
          </w:p>
        </w:tc>
        <w:tc>
          <w:tcPr>
            <w:tcW w:w="1341" w:type="dxa"/>
            <w:gridSpan w:val="2"/>
            <w:vMerge w:val="continue"/>
            <w:tcBorders>
              <w:top w:val="nil"/>
              <w:bottom w:val="nil"/>
            </w:tcBorders>
            <w:vAlign w:val="top"/>
          </w:tcPr>
          <w:p w14:paraId="650B5D18">
            <w:pPr>
              <w:rPr>
                <w:rFonts w:ascii="Arial"/>
                <w:sz w:val="21"/>
              </w:rPr>
            </w:pPr>
          </w:p>
        </w:tc>
        <w:tc>
          <w:tcPr>
            <w:tcW w:w="120" w:type="dxa"/>
            <w:tcBorders>
              <w:top w:val="nil"/>
              <w:bottom w:val="nil"/>
            </w:tcBorders>
            <w:vAlign w:val="top"/>
          </w:tcPr>
          <w:p w14:paraId="6223F6CD">
            <w:pPr>
              <w:rPr>
                <w:rFonts w:ascii="Arial"/>
                <w:sz w:val="21"/>
              </w:rPr>
            </w:pPr>
          </w:p>
        </w:tc>
      </w:tr>
      <w:tr w14:paraId="48B5DC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5D0DF8FD">
            <w:pPr>
              <w:rPr>
                <w:rFonts w:ascii="Arial"/>
                <w:sz w:val="21"/>
              </w:rPr>
            </w:pPr>
          </w:p>
        </w:tc>
        <w:tc>
          <w:tcPr>
            <w:tcW w:w="113" w:type="dxa"/>
            <w:tcBorders>
              <w:top w:val="nil"/>
              <w:bottom w:val="nil"/>
            </w:tcBorders>
            <w:vAlign w:val="top"/>
          </w:tcPr>
          <w:p w14:paraId="7505EEBA">
            <w:pPr>
              <w:rPr>
                <w:rFonts w:ascii="Arial"/>
                <w:sz w:val="21"/>
              </w:rPr>
            </w:pPr>
          </w:p>
        </w:tc>
        <w:tc>
          <w:tcPr>
            <w:tcW w:w="1361" w:type="dxa"/>
            <w:vMerge w:val="restart"/>
            <w:tcBorders>
              <w:bottom w:val="nil"/>
            </w:tcBorders>
            <w:vAlign w:val="top"/>
          </w:tcPr>
          <w:p w14:paraId="586A1357">
            <w:pPr>
              <w:spacing w:before="267" w:line="221" w:lineRule="auto"/>
              <w:ind w:left="444"/>
              <w:rPr>
                <w:rFonts w:ascii="Times New Roman" w:hAnsi="Times New Roman" w:eastAsia="Times New Roman" w:cs="Times New Roman"/>
                <w:sz w:val="13"/>
                <w:szCs w:val="13"/>
              </w:rPr>
            </w:pPr>
            <w:r>
              <w:rPr>
                <w:rFonts w:ascii="Times New Roman" w:hAnsi="Times New Roman" w:eastAsia="Times New Roman" w:cs="Times New Roman"/>
                <w:position w:val="1"/>
                <w:sz w:val="21"/>
                <w:szCs w:val="21"/>
              </w:rPr>
              <w:t>PM</w:t>
            </w:r>
            <w:r>
              <w:rPr>
                <w:rFonts w:ascii="Times New Roman" w:hAnsi="Times New Roman" w:eastAsia="Times New Roman" w:cs="Times New Roman"/>
                <w:spacing w:val="3"/>
                <w:sz w:val="13"/>
                <w:szCs w:val="13"/>
              </w:rPr>
              <w:t>2.5</w:t>
            </w:r>
          </w:p>
        </w:tc>
        <w:tc>
          <w:tcPr>
            <w:tcW w:w="3321" w:type="dxa"/>
            <w:gridSpan w:val="5"/>
            <w:vAlign w:val="top"/>
          </w:tcPr>
          <w:p w14:paraId="7A8E9BC4">
            <w:pPr>
              <w:pStyle w:val="6"/>
              <w:spacing w:before="62" w:line="219" w:lineRule="auto"/>
              <w:ind w:left="1365"/>
            </w:pPr>
            <w:r>
              <w:rPr>
                <w:spacing w:val="-2"/>
              </w:rPr>
              <w:t>年平均</w:t>
            </w:r>
          </w:p>
        </w:tc>
        <w:tc>
          <w:tcPr>
            <w:tcW w:w="2251" w:type="dxa"/>
            <w:gridSpan w:val="5"/>
            <w:vAlign w:val="top"/>
          </w:tcPr>
          <w:p w14:paraId="6365A077">
            <w:pPr>
              <w:spacing w:before="97" w:line="213" w:lineRule="auto"/>
              <w:ind w:left="104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w:t>
            </w:r>
          </w:p>
        </w:tc>
        <w:tc>
          <w:tcPr>
            <w:tcW w:w="1341" w:type="dxa"/>
            <w:gridSpan w:val="2"/>
            <w:vMerge w:val="continue"/>
            <w:tcBorders>
              <w:top w:val="nil"/>
              <w:bottom w:val="nil"/>
            </w:tcBorders>
            <w:vAlign w:val="top"/>
          </w:tcPr>
          <w:p w14:paraId="63EF9FF1">
            <w:pPr>
              <w:rPr>
                <w:rFonts w:ascii="Arial"/>
                <w:sz w:val="21"/>
              </w:rPr>
            </w:pPr>
          </w:p>
        </w:tc>
        <w:tc>
          <w:tcPr>
            <w:tcW w:w="120" w:type="dxa"/>
            <w:tcBorders>
              <w:top w:val="nil"/>
              <w:bottom w:val="nil"/>
            </w:tcBorders>
            <w:vAlign w:val="top"/>
          </w:tcPr>
          <w:p w14:paraId="2CE79088">
            <w:pPr>
              <w:rPr>
                <w:rFonts w:ascii="Arial"/>
                <w:sz w:val="21"/>
              </w:rPr>
            </w:pPr>
          </w:p>
        </w:tc>
      </w:tr>
      <w:tr w14:paraId="7D13FA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7960C46A">
            <w:pPr>
              <w:rPr>
                <w:rFonts w:ascii="Arial"/>
                <w:sz w:val="21"/>
              </w:rPr>
            </w:pPr>
          </w:p>
        </w:tc>
        <w:tc>
          <w:tcPr>
            <w:tcW w:w="113" w:type="dxa"/>
            <w:tcBorders>
              <w:top w:val="nil"/>
              <w:bottom w:val="nil"/>
            </w:tcBorders>
            <w:vAlign w:val="top"/>
          </w:tcPr>
          <w:p w14:paraId="1ED5B24E">
            <w:pPr>
              <w:rPr>
                <w:rFonts w:ascii="Arial"/>
                <w:sz w:val="21"/>
              </w:rPr>
            </w:pPr>
          </w:p>
        </w:tc>
        <w:tc>
          <w:tcPr>
            <w:tcW w:w="1361" w:type="dxa"/>
            <w:vMerge w:val="continue"/>
            <w:tcBorders>
              <w:top w:val="nil"/>
            </w:tcBorders>
            <w:vAlign w:val="top"/>
          </w:tcPr>
          <w:p w14:paraId="43D7C806">
            <w:pPr>
              <w:rPr>
                <w:rFonts w:ascii="Arial"/>
                <w:sz w:val="21"/>
              </w:rPr>
            </w:pPr>
          </w:p>
        </w:tc>
        <w:tc>
          <w:tcPr>
            <w:tcW w:w="3321" w:type="dxa"/>
            <w:gridSpan w:val="5"/>
            <w:vAlign w:val="top"/>
          </w:tcPr>
          <w:p w14:paraId="6669BAAE">
            <w:pPr>
              <w:pStyle w:val="6"/>
              <w:spacing w:before="61" w:line="220" w:lineRule="auto"/>
              <w:ind w:left="1125"/>
            </w:pPr>
            <w:r>
              <w:rPr>
                <w:rFonts w:ascii="Times New Roman" w:hAnsi="Times New Roman" w:eastAsia="Times New Roman" w:cs="Times New Roman"/>
                <w:spacing w:val="-3"/>
              </w:rPr>
              <w:t>24</w:t>
            </w:r>
            <w:r>
              <w:rPr>
                <w:rFonts w:ascii="Times New Roman" w:hAnsi="Times New Roman" w:eastAsia="Times New Roman" w:cs="Times New Roman"/>
                <w:spacing w:val="15"/>
              </w:rPr>
              <w:t xml:space="preserve"> </w:t>
            </w:r>
            <w:r>
              <w:rPr>
                <w:spacing w:val="-3"/>
              </w:rPr>
              <w:t>小时平均</w:t>
            </w:r>
          </w:p>
        </w:tc>
        <w:tc>
          <w:tcPr>
            <w:tcW w:w="2251" w:type="dxa"/>
            <w:gridSpan w:val="5"/>
            <w:vAlign w:val="top"/>
          </w:tcPr>
          <w:p w14:paraId="4FEAFE44">
            <w:pPr>
              <w:spacing w:before="96" w:line="214" w:lineRule="auto"/>
              <w:ind w:left="104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75</w:t>
            </w:r>
          </w:p>
        </w:tc>
        <w:tc>
          <w:tcPr>
            <w:tcW w:w="1341" w:type="dxa"/>
            <w:gridSpan w:val="2"/>
            <w:vMerge w:val="continue"/>
            <w:tcBorders>
              <w:top w:val="nil"/>
              <w:bottom w:val="nil"/>
            </w:tcBorders>
            <w:vAlign w:val="top"/>
          </w:tcPr>
          <w:p w14:paraId="3A87A716">
            <w:pPr>
              <w:rPr>
                <w:rFonts w:ascii="Arial"/>
                <w:sz w:val="21"/>
              </w:rPr>
            </w:pPr>
          </w:p>
        </w:tc>
        <w:tc>
          <w:tcPr>
            <w:tcW w:w="120" w:type="dxa"/>
            <w:tcBorders>
              <w:top w:val="nil"/>
              <w:bottom w:val="nil"/>
            </w:tcBorders>
            <w:vAlign w:val="top"/>
          </w:tcPr>
          <w:p w14:paraId="20C0986E">
            <w:pPr>
              <w:rPr>
                <w:rFonts w:ascii="Arial"/>
                <w:sz w:val="21"/>
              </w:rPr>
            </w:pPr>
          </w:p>
        </w:tc>
      </w:tr>
      <w:tr w14:paraId="449CE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571" w:type="dxa"/>
            <w:vMerge w:val="continue"/>
            <w:tcBorders>
              <w:top w:val="nil"/>
              <w:bottom w:val="nil"/>
            </w:tcBorders>
            <w:vAlign w:val="top"/>
          </w:tcPr>
          <w:p w14:paraId="28BC6AA3">
            <w:pPr>
              <w:rPr>
                <w:rFonts w:ascii="Arial"/>
                <w:sz w:val="21"/>
              </w:rPr>
            </w:pPr>
          </w:p>
        </w:tc>
        <w:tc>
          <w:tcPr>
            <w:tcW w:w="113" w:type="dxa"/>
            <w:tcBorders>
              <w:top w:val="nil"/>
              <w:bottom w:val="nil"/>
            </w:tcBorders>
            <w:vAlign w:val="top"/>
          </w:tcPr>
          <w:p w14:paraId="5DB1E783">
            <w:pPr>
              <w:rPr>
                <w:rFonts w:ascii="Arial"/>
                <w:sz w:val="21"/>
              </w:rPr>
            </w:pPr>
          </w:p>
        </w:tc>
        <w:tc>
          <w:tcPr>
            <w:tcW w:w="1361" w:type="dxa"/>
            <w:vMerge w:val="restart"/>
            <w:tcBorders>
              <w:bottom w:val="nil"/>
            </w:tcBorders>
            <w:vAlign w:val="top"/>
          </w:tcPr>
          <w:p w14:paraId="31D36ACE">
            <w:pPr>
              <w:spacing w:before="265" w:line="222" w:lineRule="auto"/>
              <w:ind w:left="461"/>
              <w:rPr>
                <w:rFonts w:ascii="Times New Roman" w:hAnsi="Times New Roman" w:eastAsia="Times New Roman" w:cs="Times New Roman"/>
                <w:sz w:val="13"/>
                <w:szCs w:val="13"/>
              </w:rPr>
            </w:pPr>
            <w:r>
              <w:rPr>
                <w:rFonts w:ascii="Times New Roman" w:hAnsi="Times New Roman" w:eastAsia="Times New Roman" w:cs="Times New Roman"/>
                <w:sz w:val="21"/>
                <w:szCs w:val="21"/>
              </w:rPr>
              <w:t>PM</w:t>
            </w:r>
            <w:r>
              <w:rPr>
                <w:rFonts w:ascii="Times New Roman" w:hAnsi="Times New Roman" w:eastAsia="Times New Roman" w:cs="Times New Roman"/>
                <w:spacing w:val="5"/>
                <w:position w:val="-1"/>
                <w:sz w:val="13"/>
                <w:szCs w:val="13"/>
              </w:rPr>
              <w:t>10</w:t>
            </w:r>
          </w:p>
        </w:tc>
        <w:tc>
          <w:tcPr>
            <w:tcW w:w="3321" w:type="dxa"/>
            <w:gridSpan w:val="5"/>
            <w:vAlign w:val="top"/>
          </w:tcPr>
          <w:p w14:paraId="4071C846">
            <w:pPr>
              <w:pStyle w:val="6"/>
              <w:spacing w:before="60" w:line="219" w:lineRule="auto"/>
              <w:ind w:left="1365"/>
            </w:pPr>
            <w:r>
              <w:rPr>
                <w:spacing w:val="-2"/>
              </w:rPr>
              <w:t>年平均</w:t>
            </w:r>
          </w:p>
        </w:tc>
        <w:tc>
          <w:tcPr>
            <w:tcW w:w="2251" w:type="dxa"/>
            <w:gridSpan w:val="5"/>
            <w:vAlign w:val="top"/>
          </w:tcPr>
          <w:p w14:paraId="144A8577">
            <w:pPr>
              <w:spacing w:before="96" w:line="212" w:lineRule="auto"/>
              <w:ind w:left="104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70</w:t>
            </w:r>
          </w:p>
        </w:tc>
        <w:tc>
          <w:tcPr>
            <w:tcW w:w="1341" w:type="dxa"/>
            <w:gridSpan w:val="2"/>
            <w:vMerge w:val="continue"/>
            <w:tcBorders>
              <w:top w:val="nil"/>
              <w:bottom w:val="nil"/>
            </w:tcBorders>
            <w:vAlign w:val="top"/>
          </w:tcPr>
          <w:p w14:paraId="4EDB03E2">
            <w:pPr>
              <w:rPr>
                <w:rFonts w:ascii="Arial"/>
                <w:sz w:val="21"/>
              </w:rPr>
            </w:pPr>
          </w:p>
        </w:tc>
        <w:tc>
          <w:tcPr>
            <w:tcW w:w="120" w:type="dxa"/>
            <w:tcBorders>
              <w:top w:val="nil"/>
              <w:bottom w:val="nil"/>
            </w:tcBorders>
            <w:vAlign w:val="top"/>
          </w:tcPr>
          <w:p w14:paraId="5C81EB00">
            <w:pPr>
              <w:rPr>
                <w:rFonts w:ascii="Arial"/>
                <w:sz w:val="21"/>
              </w:rPr>
            </w:pPr>
          </w:p>
        </w:tc>
      </w:tr>
      <w:tr w14:paraId="5B1C8C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8" w:hRule="atLeast"/>
        </w:trPr>
        <w:tc>
          <w:tcPr>
            <w:tcW w:w="571" w:type="dxa"/>
            <w:vMerge w:val="continue"/>
            <w:tcBorders>
              <w:top w:val="nil"/>
              <w:bottom w:val="nil"/>
            </w:tcBorders>
            <w:vAlign w:val="top"/>
          </w:tcPr>
          <w:p w14:paraId="3EE064AA">
            <w:pPr>
              <w:rPr>
                <w:rFonts w:ascii="Arial"/>
                <w:sz w:val="21"/>
              </w:rPr>
            </w:pPr>
          </w:p>
        </w:tc>
        <w:tc>
          <w:tcPr>
            <w:tcW w:w="113" w:type="dxa"/>
            <w:tcBorders>
              <w:top w:val="nil"/>
              <w:bottom w:val="nil"/>
            </w:tcBorders>
            <w:vAlign w:val="top"/>
          </w:tcPr>
          <w:p w14:paraId="5880EEA1">
            <w:pPr>
              <w:rPr>
                <w:rFonts w:ascii="Arial"/>
                <w:sz w:val="21"/>
              </w:rPr>
            </w:pPr>
          </w:p>
        </w:tc>
        <w:tc>
          <w:tcPr>
            <w:tcW w:w="1361" w:type="dxa"/>
            <w:vMerge w:val="continue"/>
            <w:tcBorders>
              <w:top w:val="nil"/>
            </w:tcBorders>
            <w:vAlign w:val="top"/>
          </w:tcPr>
          <w:p w14:paraId="01C07C89">
            <w:pPr>
              <w:rPr>
                <w:rFonts w:ascii="Arial"/>
                <w:sz w:val="21"/>
              </w:rPr>
            </w:pPr>
          </w:p>
        </w:tc>
        <w:tc>
          <w:tcPr>
            <w:tcW w:w="3321" w:type="dxa"/>
            <w:gridSpan w:val="5"/>
            <w:vAlign w:val="top"/>
          </w:tcPr>
          <w:p w14:paraId="10573BFC">
            <w:pPr>
              <w:pStyle w:val="6"/>
              <w:spacing w:before="63" w:line="224" w:lineRule="auto"/>
              <w:ind w:left="1125"/>
            </w:pPr>
            <w:r>
              <w:rPr>
                <w:rFonts w:ascii="Times New Roman" w:hAnsi="Times New Roman" w:eastAsia="Times New Roman" w:cs="Times New Roman"/>
                <w:spacing w:val="-3"/>
              </w:rPr>
              <w:t>24</w:t>
            </w:r>
            <w:r>
              <w:rPr>
                <w:rFonts w:ascii="Times New Roman" w:hAnsi="Times New Roman" w:eastAsia="Times New Roman" w:cs="Times New Roman"/>
                <w:spacing w:val="15"/>
              </w:rPr>
              <w:t xml:space="preserve"> </w:t>
            </w:r>
            <w:r>
              <w:rPr>
                <w:spacing w:val="-3"/>
              </w:rPr>
              <w:t>小时平均</w:t>
            </w:r>
          </w:p>
        </w:tc>
        <w:tc>
          <w:tcPr>
            <w:tcW w:w="2251" w:type="dxa"/>
            <w:gridSpan w:val="5"/>
            <w:vAlign w:val="top"/>
          </w:tcPr>
          <w:p w14:paraId="24069C24">
            <w:pPr>
              <w:spacing w:before="97" w:line="219" w:lineRule="auto"/>
              <w:ind w:left="100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150</w:t>
            </w:r>
          </w:p>
        </w:tc>
        <w:tc>
          <w:tcPr>
            <w:tcW w:w="1341" w:type="dxa"/>
            <w:gridSpan w:val="2"/>
            <w:vMerge w:val="continue"/>
            <w:tcBorders>
              <w:top w:val="nil"/>
            </w:tcBorders>
            <w:vAlign w:val="top"/>
          </w:tcPr>
          <w:p w14:paraId="010DE627">
            <w:pPr>
              <w:rPr>
                <w:rFonts w:ascii="Arial"/>
                <w:sz w:val="21"/>
              </w:rPr>
            </w:pPr>
          </w:p>
        </w:tc>
        <w:tc>
          <w:tcPr>
            <w:tcW w:w="120" w:type="dxa"/>
            <w:tcBorders>
              <w:top w:val="nil"/>
              <w:bottom w:val="nil"/>
            </w:tcBorders>
            <w:vAlign w:val="top"/>
          </w:tcPr>
          <w:p w14:paraId="04264FA6">
            <w:pPr>
              <w:rPr>
                <w:rFonts w:ascii="Arial"/>
                <w:sz w:val="21"/>
              </w:rPr>
            </w:pPr>
          </w:p>
        </w:tc>
      </w:tr>
      <w:tr w14:paraId="0CE70B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44" w:hRule="atLeast"/>
        </w:trPr>
        <w:tc>
          <w:tcPr>
            <w:tcW w:w="571" w:type="dxa"/>
            <w:vMerge w:val="continue"/>
            <w:tcBorders>
              <w:top w:val="nil"/>
              <w:bottom w:val="nil"/>
            </w:tcBorders>
            <w:vAlign w:val="top"/>
          </w:tcPr>
          <w:p w14:paraId="503815E0">
            <w:pPr>
              <w:rPr>
                <w:rFonts w:ascii="Arial"/>
                <w:sz w:val="21"/>
              </w:rPr>
            </w:pPr>
          </w:p>
        </w:tc>
        <w:tc>
          <w:tcPr>
            <w:tcW w:w="8507" w:type="dxa"/>
            <w:gridSpan w:val="15"/>
            <w:vAlign w:val="top"/>
          </w:tcPr>
          <w:p w14:paraId="545C7950">
            <w:pPr>
              <w:pStyle w:val="6"/>
              <w:spacing w:before="118" w:line="233" w:lineRule="auto"/>
              <w:ind w:left="601"/>
              <w:rPr>
                <w:sz w:val="24"/>
                <w:szCs w:val="24"/>
              </w:rPr>
            </w:pPr>
            <w:r>
              <w:rPr>
                <w:b/>
                <w:bCs/>
                <w:spacing w:val="-6"/>
                <w:sz w:val="24"/>
                <w:szCs w:val="24"/>
              </w:rPr>
              <w:t>（</w:t>
            </w:r>
            <w:r>
              <w:rPr>
                <w:rFonts w:ascii="Times New Roman" w:hAnsi="Times New Roman" w:eastAsia="Times New Roman" w:cs="Times New Roman"/>
                <w:b/>
                <w:bCs/>
                <w:spacing w:val="-6"/>
                <w:sz w:val="24"/>
                <w:szCs w:val="24"/>
              </w:rPr>
              <w:t>2</w:t>
            </w:r>
            <w:r>
              <w:rPr>
                <w:b/>
                <w:bCs/>
                <w:spacing w:val="-6"/>
                <w:sz w:val="24"/>
                <w:szCs w:val="24"/>
              </w:rPr>
              <w:t>）地表水</w:t>
            </w:r>
          </w:p>
          <w:p w14:paraId="5D18144B">
            <w:pPr>
              <w:pStyle w:val="6"/>
              <w:spacing w:before="171" w:line="340" w:lineRule="auto"/>
              <w:ind w:left="108" w:right="108" w:firstLine="485"/>
              <w:rPr>
                <w:sz w:val="24"/>
                <w:szCs w:val="24"/>
              </w:rPr>
            </w:pPr>
            <w:r>
              <w:rPr>
                <w:spacing w:val="-8"/>
                <w:sz w:val="24"/>
                <w:szCs w:val="24"/>
              </w:rPr>
              <w:t>本项目不占用水域，区域地表水环境执行《地表水环境质量标准》（</w:t>
            </w:r>
            <w:r>
              <w:rPr>
                <w:rFonts w:ascii="Times New Roman" w:hAnsi="Times New Roman" w:eastAsia="Times New Roman" w:cs="Times New Roman"/>
                <w:spacing w:val="-8"/>
                <w:sz w:val="24"/>
                <w:szCs w:val="24"/>
              </w:rPr>
              <w:t>GB3838-</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2"/>
                <w:sz w:val="24"/>
                <w:szCs w:val="24"/>
              </w:rPr>
              <w:t>2002</w:t>
            </w:r>
            <w:r>
              <w:rPr>
                <w:spacing w:val="-2"/>
                <w:sz w:val="24"/>
                <w:szCs w:val="24"/>
              </w:rPr>
              <w:t>）Ⅲ类标准。标准限值见下表。</w:t>
            </w:r>
          </w:p>
          <w:p w14:paraId="37A1632E">
            <w:pPr>
              <w:pStyle w:val="6"/>
              <w:spacing w:line="213" w:lineRule="auto"/>
              <w:ind w:left="808"/>
            </w:pPr>
            <w:r>
              <w:rPr>
                <w:b/>
                <w:bCs/>
                <w:spacing w:val="-2"/>
              </w:rPr>
              <w:t>表</w:t>
            </w:r>
            <w:r>
              <w:rPr>
                <w:spacing w:val="-46"/>
              </w:rPr>
              <w:t xml:space="preserve"> </w:t>
            </w:r>
            <w:r>
              <w:rPr>
                <w:rFonts w:ascii="Times New Roman" w:hAnsi="Times New Roman" w:eastAsia="Times New Roman" w:cs="Times New Roman"/>
                <w:b/>
                <w:bCs/>
                <w:spacing w:val="-2"/>
              </w:rPr>
              <w:t xml:space="preserve">3-9    </w:t>
            </w:r>
            <w:r>
              <w:rPr>
                <w:b/>
                <w:bCs/>
                <w:spacing w:val="-2"/>
              </w:rPr>
              <w:t>地表水环境质量标准（</w:t>
            </w:r>
            <w:r>
              <w:rPr>
                <w:rFonts w:ascii="Times New Roman" w:hAnsi="Times New Roman" w:eastAsia="Times New Roman" w:cs="Times New Roman"/>
                <w:b/>
                <w:bCs/>
                <w:spacing w:val="-2"/>
              </w:rPr>
              <w:t>GB3838-2002</w:t>
            </w:r>
            <w:r>
              <w:rPr>
                <w:b/>
                <w:bCs/>
                <w:spacing w:val="-63"/>
              </w:rPr>
              <w:t>）（</w:t>
            </w:r>
            <w:r>
              <w:rPr>
                <w:b/>
                <w:bCs/>
                <w:spacing w:val="-2"/>
              </w:rPr>
              <w:t>单位：</w:t>
            </w:r>
            <w:r>
              <w:rPr>
                <w:spacing w:val="-60"/>
              </w:rPr>
              <w:t xml:space="preserve"> </w:t>
            </w:r>
            <w:r>
              <w:rPr>
                <w:rFonts w:ascii="Times New Roman" w:hAnsi="Times New Roman" w:eastAsia="Times New Roman" w:cs="Times New Roman"/>
                <w:b/>
                <w:bCs/>
                <w:spacing w:val="-2"/>
              </w:rPr>
              <w:t>mg/L</w:t>
            </w:r>
            <w:r>
              <w:rPr>
                <w:rFonts w:ascii="Times New Roman" w:hAnsi="Times New Roman" w:eastAsia="Times New Roman" w:cs="Times New Roman"/>
                <w:b/>
                <w:bCs/>
                <w:spacing w:val="-29"/>
              </w:rPr>
              <w:t xml:space="preserve"> </w:t>
            </w:r>
            <w:r>
              <w:rPr>
                <w:b/>
                <w:bCs/>
                <w:spacing w:val="-2"/>
              </w:rPr>
              <w:t>，</w:t>
            </w:r>
            <w:r>
              <w:rPr>
                <w:rFonts w:ascii="Times New Roman" w:hAnsi="Times New Roman" w:eastAsia="Times New Roman" w:cs="Times New Roman"/>
                <w:b/>
                <w:bCs/>
                <w:spacing w:val="-2"/>
              </w:rPr>
              <w:t xml:space="preserve">pH </w:t>
            </w:r>
            <w:r>
              <w:rPr>
                <w:b/>
                <w:bCs/>
                <w:spacing w:val="-2"/>
              </w:rPr>
              <w:t>无量纲）</w:t>
            </w:r>
          </w:p>
        </w:tc>
      </w:tr>
      <w:tr w14:paraId="1D978D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456909DF">
            <w:pPr>
              <w:rPr>
                <w:rFonts w:ascii="Arial"/>
                <w:sz w:val="21"/>
              </w:rPr>
            </w:pPr>
          </w:p>
        </w:tc>
        <w:tc>
          <w:tcPr>
            <w:tcW w:w="113" w:type="dxa"/>
            <w:tcBorders>
              <w:top w:val="nil"/>
              <w:bottom w:val="nil"/>
            </w:tcBorders>
            <w:vAlign w:val="top"/>
          </w:tcPr>
          <w:p w14:paraId="6F076879">
            <w:pPr>
              <w:rPr>
                <w:rFonts w:ascii="Arial"/>
                <w:sz w:val="21"/>
              </w:rPr>
            </w:pPr>
          </w:p>
        </w:tc>
        <w:tc>
          <w:tcPr>
            <w:tcW w:w="1361" w:type="dxa"/>
            <w:vAlign w:val="top"/>
          </w:tcPr>
          <w:p w14:paraId="27339AC9">
            <w:pPr>
              <w:pStyle w:val="6"/>
              <w:spacing w:before="55" w:line="221" w:lineRule="auto"/>
              <w:ind w:left="348"/>
            </w:pPr>
            <w:r>
              <w:rPr>
                <w:b/>
                <w:bCs/>
                <w:spacing w:val="-4"/>
              </w:rPr>
              <w:t>污染物</w:t>
            </w:r>
          </w:p>
        </w:tc>
        <w:tc>
          <w:tcPr>
            <w:tcW w:w="736" w:type="dxa"/>
            <w:vAlign w:val="top"/>
          </w:tcPr>
          <w:p w14:paraId="3CC96148">
            <w:pPr>
              <w:spacing w:before="93" w:line="188" w:lineRule="auto"/>
              <w:ind w:left="186"/>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pH</w:t>
            </w:r>
          </w:p>
        </w:tc>
        <w:tc>
          <w:tcPr>
            <w:tcW w:w="937" w:type="dxa"/>
            <w:gridSpan w:val="2"/>
            <w:vAlign w:val="top"/>
          </w:tcPr>
          <w:p w14:paraId="3A3988A0">
            <w:pPr>
              <w:spacing w:before="93" w:line="187" w:lineRule="auto"/>
              <w:ind w:left="210"/>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COD</w:t>
            </w:r>
          </w:p>
        </w:tc>
        <w:tc>
          <w:tcPr>
            <w:tcW w:w="1130" w:type="dxa"/>
            <w:vAlign w:val="top"/>
          </w:tcPr>
          <w:p w14:paraId="62EC8FBF">
            <w:pPr>
              <w:spacing w:before="93" w:line="214" w:lineRule="auto"/>
              <w:ind w:left="282"/>
              <w:rPr>
                <w:rFonts w:ascii="Times New Roman" w:hAnsi="Times New Roman" w:eastAsia="Times New Roman" w:cs="Times New Roman"/>
                <w:sz w:val="13"/>
                <w:szCs w:val="13"/>
              </w:rPr>
            </w:pPr>
            <w:r>
              <w:rPr>
                <w:rFonts w:ascii="Times New Roman" w:hAnsi="Times New Roman" w:eastAsia="Times New Roman" w:cs="Times New Roman"/>
                <w:b/>
                <w:bCs/>
                <w:sz w:val="21"/>
                <w:szCs w:val="21"/>
              </w:rPr>
              <w:t>BOD</w:t>
            </w:r>
            <w:r>
              <w:rPr>
                <w:rFonts w:ascii="Times New Roman" w:hAnsi="Times New Roman" w:eastAsia="Times New Roman" w:cs="Times New Roman"/>
                <w:b/>
                <w:bCs/>
                <w:spacing w:val="3"/>
                <w:position w:val="-1"/>
                <w:sz w:val="13"/>
                <w:szCs w:val="13"/>
              </w:rPr>
              <w:t>5</w:t>
            </w:r>
          </w:p>
        </w:tc>
        <w:tc>
          <w:tcPr>
            <w:tcW w:w="808" w:type="dxa"/>
            <w:gridSpan w:val="2"/>
            <w:vAlign w:val="top"/>
          </w:tcPr>
          <w:p w14:paraId="0CB77325">
            <w:pPr>
              <w:pStyle w:val="6"/>
              <w:spacing w:before="54" w:line="220" w:lineRule="auto"/>
              <w:ind w:left="176"/>
            </w:pPr>
            <w:r>
              <w:rPr>
                <w:b/>
                <w:bCs/>
                <w:spacing w:val="-4"/>
              </w:rPr>
              <w:t>氨氮</w:t>
            </w:r>
          </w:p>
        </w:tc>
        <w:tc>
          <w:tcPr>
            <w:tcW w:w="1169" w:type="dxa"/>
            <w:gridSpan w:val="3"/>
            <w:vAlign w:val="top"/>
          </w:tcPr>
          <w:p w14:paraId="792810BE">
            <w:pPr>
              <w:pStyle w:val="6"/>
              <w:spacing w:before="54" w:line="221" w:lineRule="auto"/>
              <w:ind w:left="253"/>
            </w:pPr>
            <w:r>
              <w:rPr>
                <w:b/>
                <w:bCs/>
                <w:spacing w:val="-4"/>
              </w:rPr>
              <w:t>石油类</w:t>
            </w:r>
          </w:p>
        </w:tc>
        <w:tc>
          <w:tcPr>
            <w:tcW w:w="1173" w:type="dxa"/>
            <w:gridSpan w:val="2"/>
            <w:vAlign w:val="top"/>
          </w:tcPr>
          <w:p w14:paraId="5907C6BE">
            <w:pPr>
              <w:spacing w:before="96" w:line="184" w:lineRule="auto"/>
              <w:ind w:left="436"/>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TP</w:t>
            </w:r>
          </w:p>
        </w:tc>
        <w:tc>
          <w:tcPr>
            <w:tcW w:w="960" w:type="dxa"/>
            <w:vAlign w:val="top"/>
          </w:tcPr>
          <w:p w14:paraId="38BF67A9">
            <w:pPr>
              <w:spacing w:before="96" w:line="184" w:lineRule="auto"/>
              <w:ind w:left="329"/>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TN</w:t>
            </w:r>
          </w:p>
        </w:tc>
        <w:tc>
          <w:tcPr>
            <w:tcW w:w="120" w:type="dxa"/>
            <w:tcBorders>
              <w:top w:val="nil"/>
              <w:bottom w:val="nil"/>
            </w:tcBorders>
            <w:vAlign w:val="top"/>
          </w:tcPr>
          <w:p w14:paraId="40D13792">
            <w:pPr>
              <w:rPr>
                <w:rFonts w:ascii="Arial"/>
                <w:sz w:val="21"/>
              </w:rPr>
            </w:pPr>
          </w:p>
        </w:tc>
      </w:tr>
      <w:tr w14:paraId="39FB13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1D1541CE">
            <w:pPr>
              <w:rPr>
                <w:rFonts w:ascii="Arial"/>
                <w:sz w:val="21"/>
              </w:rPr>
            </w:pPr>
          </w:p>
        </w:tc>
        <w:tc>
          <w:tcPr>
            <w:tcW w:w="113" w:type="dxa"/>
            <w:tcBorders>
              <w:top w:val="nil"/>
              <w:bottom w:val="nil"/>
            </w:tcBorders>
            <w:vAlign w:val="top"/>
          </w:tcPr>
          <w:p w14:paraId="0A664E93">
            <w:pPr>
              <w:rPr>
                <w:rFonts w:ascii="Arial"/>
                <w:sz w:val="21"/>
              </w:rPr>
            </w:pPr>
          </w:p>
        </w:tc>
        <w:tc>
          <w:tcPr>
            <w:tcW w:w="1361" w:type="dxa"/>
            <w:vAlign w:val="top"/>
          </w:tcPr>
          <w:p w14:paraId="4843F643">
            <w:pPr>
              <w:pStyle w:val="6"/>
              <w:spacing w:before="56" w:line="221" w:lineRule="auto"/>
              <w:ind w:left="136"/>
            </w:pPr>
            <w:r>
              <w:rPr>
                <w:spacing w:val="20"/>
              </w:rPr>
              <w:t>Ⅲ类(≤)</w:t>
            </w:r>
          </w:p>
        </w:tc>
        <w:tc>
          <w:tcPr>
            <w:tcW w:w="736" w:type="dxa"/>
            <w:vAlign w:val="top"/>
          </w:tcPr>
          <w:p w14:paraId="1EED4487">
            <w:pPr>
              <w:spacing w:before="92" w:line="217" w:lineRule="auto"/>
              <w:ind w:left="170"/>
              <w:rPr>
                <w:rFonts w:ascii="Times New Roman" w:hAnsi="Times New Roman" w:eastAsia="Times New Roman" w:cs="Times New Roman"/>
                <w:sz w:val="21"/>
                <w:szCs w:val="21"/>
              </w:rPr>
            </w:pPr>
            <w:r>
              <w:rPr>
                <w:rFonts w:ascii="Times New Roman" w:hAnsi="Times New Roman" w:eastAsia="Times New Roman" w:cs="Times New Roman"/>
                <w:sz w:val="21"/>
                <w:szCs w:val="21"/>
              </w:rPr>
              <w:t>6~9</w:t>
            </w:r>
          </w:p>
        </w:tc>
        <w:tc>
          <w:tcPr>
            <w:tcW w:w="937" w:type="dxa"/>
            <w:gridSpan w:val="2"/>
            <w:vAlign w:val="top"/>
          </w:tcPr>
          <w:p w14:paraId="272FF84A">
            <w:pPr>
              <w:spacing w:before="92"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130" w:type="dxa"/>
            <w:vAlign w:val="top"/>
          </w:tcPr>
          <w:p w14:paraId="76004B36">
            <w:pPr>
              <w:spacing w:before="92" w:line="217" w:lineRule="auto"/>
              <w:ind w:left="490"/>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808" w:type="dxa"/>
            <w:gridSpan w:val="2"/>
            <w:vAlign w:val="top"/>
          </w:tcPr>
          <w:p w14:paraId="4DF1CF57">
            <w:pPr>
              <w:spacing w:before="92" w:line="217" w:lineRule="auto"/>
              <w:ind w:left="275"/>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w:t>
            </w:r>
          </w:p>
        </w:tc>
        <w:tc>
          <w:tcPr>
            <w:tcW w:w="1169" w:type="dxa"/>
            <w:gridSpan w:val="3"/>
            <w:vAlign w:val="top"/>
          </w:tcPr>
          <w:p w14:paraId="7DDC2E2D">
            <w:pPr>
              <w:spacing w:before="92" w:line="217" w:lineRule="auto"/>
              <w:ind w:left="38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0.05</w:t>
            </w:r>
          </w:p>
        </w:tc>
        <w:tc>
          <w:tcPr>
            <w:tcW w:w="1173" w:type="dxa"/>
            <w:gridSpan w:val="2"/>
            <w:vAlign w:val="top"/>
          </w:tcPr>
          <w:p w14:paraId="4C49D3EF">
            <w:pPr>
              <w:spacing w:before="92" w:line="217" w:lineRule="auto"/>
              <w:ind w:left="44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w:t>
            </w:r>
          </w:p>
        </w:tc>
        <w:tc>
          <w:tcPr>
            <w:tcW w:w="960" w:type="dxa"/>
            <w:vAlign w:val="top"/>
          </w:tcPr>
          <w:p w14:paraId="733700C8">
            <w:pPr>
              <w:spacing w:before="92" w:line="217" w:lineRule="auto"/>
              <w:ind w:left="363"/>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w:t>
            </w:r>
          </w:p>
        </w:tc>
        <w:tc>
          <w:tcPr>
            <w:tcW w:w="120" w:type="dxa"/>
            <w:tcBorders>
              <w:top w:val="nil"/>
              <w:bottom w:val="nil"/>
            </w:tcBorders>
            <w:vAlign w:val="top"/>
          </w:tcPr>
          <w:p w14:paraId="023DAE76">
            <w:pPr>
              <w:rPr>
                <w:rFonts w:ascii="Arial"/>
                <w:sz w:val="21"/>
              </w:rPr>
            </w:pPr>
          </w:p>
        </w:tc>
      </w:tr>
      <w:tr w14:paraId="3FEB75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7" w:hRule="atLeast"/>
        </w:trPr>
        <w:tc>
          <w:tcPr>
            <w:tcW w:w="571" w:type="dxa"/>
            <w:vMerge w:val="continue"/>
            <w:tcBorders>
              <w:top w:val="nil"/>
              <w:bottom w:val="nil"/>
            </w:tcBorders>
            <w:vAlign w:val="top"/>
          </w:tcPr>
          <w:p w14:paraId="07768729">
            <w:pPr>
              <w:rPr>
                <w:rFonts w:ascii="Arial"/>
                <w:sz w:val="21"/>
              </w:rPr>
            </w:pPr>
          </w:p>
        </w:tc>
        <w:tc>
          <w:tcPr>
            <w:tcW w:w="8507" w:type="dxa"/>
            <w:gridSpan w:val="15"/>
            <w:vAlign w:val="top"/>
          </w:tcPr>
          <w:p w14:paraId="311BB3D6">
            <w:pPr>
              <w:pStyle w:val="6"/>
              <w:spacing w:before="119" w:line="234" w:lineRule="auto"/>
              <w:ind w:left="601"/>
              <w:rPr>
                <w:sz w:val="24"/>
                <w:szCs w:val="24"/>
              </w:rPr>
            </w:pPr>
            <w:r>
              <w:rPr>
                <w:b/>
                <w:bCs/>
                <w:spacing w:val="-6"/>
                <w:sz w:val="24"/>
                <w:szCs w:val="24"/>
              </w:rPr>
              <w:t>（</w:t>
            </w:r>
            <w:r>
              <w:rPr>
                <w:rFonts w:ascii="Times New Roman" w:hAnsi="Times New Roman" w:eastAsia="Times New Roman" w:cs="Times New Roman"/>
                <w:b/>
                <w:bCs/>
                <w:spacing w:val="-6"/>
                <w:sz w:val="24"/>
                <w:szCs w:val="24"/>
              </w:rPr>
              <w:t>3</w:t>
            </w:r>
            <w:r>
              <w:rPr>
                <w:b/>
                <w:bCs/>
                <w:spacing w:val="-6"/>
                <w:sz w:val="24"/>
                <w:szCs w:val="24"/>
              </w:rPr>
              <w:t>）声环境</w:t>
            </w:r>
          </w:p>
          <w:p w14:paraId="58AA0ACE">
            <w:pPr>
              <w:pStyle w:val="6"/>
              <w:spacing w:before="170" w:line="348" w:lineRule="auto"/>
              <w:ind w:left="113" w:right="107" w:firstLine="482"/>
              <w:jc w:val="both"/>
              <w:rPr>
                <w:sz w:val="24"/>
                <w:szCs w:val="24"/>
              </w:rPr>
            </w:pPr>
            <w:r>
              <w:rPr>
                <w:spacing w:val="-5"/>
                <w:sz w:val="24"/>
                <w:szCs w:val="24"/>
              </w:rPr>
              <w:t>项目评价标准为《声环境质量标准》（</w:t>
            </w:r>
            <w:r>
              <w:rPr>
                <w:rFonts w:ascii="Times New Roman" w:hAnsi="Times New Roman" w:eastAsia="Times New Roman" w:cs="Times New Roman"/>
                <w:spacing w:val="-5"/>
                <w:sz w:val="24"/>
                <w:szCs w:val="24"/>
              </w:rPr>
              <w:t>GB3096-2008</w:t>
            </w:r>
            <w:r>
              <w:rPr>
                <w:spacing w:val="-56"/>
                <w:sz w:val="24"/>
                <w:szCs w:val="24"/>
              </w:rPr>
              <w:t>），</w:t>
            </w:r>
            <w:r>
              <w:rPr>
                <w:spacing w:val="-5"/>
                <w:sz w:val="24"/>
                <w:szCs w:val="24"/>
              </w:rPr>
              <w:t>输电线路沿线及环境</w:t>
            </w:r>
            <w:r>
              <w:rPr>
                <w:spacing w:val="-3"/>
                <w:sz w:val="24"/>
                <w:szCs w:val="24"/>
              </w:rPr>
              <w:t>保护目标执行</w:t>
            </w:r>
            <w:r>
              <w:rPr>
                <w:spacing w:val="-20"/>
                <w:sz w:val="24"/>
                <w:szCs w:val="24"/>
              </w:rPr>
              <w:t xml:space="preserve"> </w:t>
            </w:r>
            <w:r>
              <w:rPr>
                <w:rFonts w:ascii="Times New Roman" w:hAnsi="Times New Roman" w:eastAsia="Times New Roman" w:cs="Times New Roman"/>
                <w:spacing w:val="-3"/>
                <w:sz w:val="24"/>
                <w:szCs w:val="24"/>
              </w:rPr>
              <w:t>1</w:t>
            </w:r>
            <w:r>
              <w:rPr>
                <w:rFonts w:ascii="Times New Roman" w:hAnsi="Times New Roman" w:eastAsia="Times New Roman" w:cs="Times New Roman"/>
                <w:spacing w:val="19"/>
                <w:w w:val="101"/>
                <w:sz w:val="24"/>
                <w:szCs w:val="24"/>
              </w:rPr>
              <w:t xml:space="preserve"> </w:t>
            </w:r>
            <w:r>
              <w:rPr>
                <w:spacing w:val="-3"/>
                <w:sz w:val="24"/>
                <w:szCs w:val="24"/>
              </w:rPr>
              <w:t>类标准，输电线路接入的变电站围墙外</w:t>
            </w:r>
            <w:r>
              <w:rPr>
                <w:spacing w:val="-23"/>
                <w:sz w:val="24"/>
                <w:szCs w:val="24"/>
              </w:rPr>
              <w:t xml:space="preserve"> </w:t>
            </w:r>
            <w:r>
              <w:rPr>
                <w:rFonts w:ascii="Times New Roman" w:hAnsi="Times New Roman" w:eastAsia="Times New Roman" w:cs="Times New Roman"/>
                <w:spacing w:val="-3"/>
                <w:sz w:val="24"/>
                <w:szCs w:val="24"/>
              </w:rPr>
              <w:t>50m</w:t>
            </w:r>
            <w:r>
              <w:rPr>
                <w:rFonts w:ascii="Times New Roman" w:hAnsi="Times New Roman" w:eastAsia="Times New Roman" w:cs="Times New Roman"/>
                <w:spacing w:val="25"/>
                <w:w w:val="101"/>
                <w:sz w:val="24"/>
                <w:szCs w:val="24"/>
              </w:rPr>
              <w:t xml:space="preserve"> </w:t>
            </w:r>
            <w:r>
              <w:rPr>
                <w:spacing w:val="-3"/>
                <w:sz w:val="24"/>
                <w:szCs w:val="24"/>
              </w:rPr>
              <w:t>范围内执行</w:t>
            </w:r>
            <w:r>
              <w:rPr>
                <w:spacing w:val="-46"/>
                <w:sz w:val="24"/>
                <w:szCs w:val="24"/>
              </w:rPr>
              <w:t xml:space="preserve">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20"/>
                <w:sz w:val="24"/>
                <w:szCs w:val="24"/>
              </w:rPr>
              <w:t xml:space="preserve"> </w:t>
            </w:r>
            <w:r>
              <w:rPr>
                <w:spacing w:val="-3"/>
                <w:sz w:val="24"/>
                <w:szCs w:val="24"/>
              </w:rPr>
              <w:t>类标</w:t>
            </w:r>
            <w:r>
              <w:rPr>
                <w:spacing w:val="-5"/>
                <w:sz w:val="24"/>
                <w:szCs w:val="24"/>
              </w:rPr>
              <w:t>准。限值见下表。</w:t>
            </w:r>
          </w:p>
          <w:p w14:paraId="72CB798D">
            <w:pPr>
              <w:pStyle w:val="6"/>
              <w:spacing w:line="224" w:lineRule="auto"/>
              <w:ind w:left="1589"/>
            </w:pPr>
            <w:r>
              <w:rPr>
                <w:b/>
                <w:bCs/>
                <w:spacing w:val="-1"/>
              </w:rPr>
              <w:t>表</w:t>
            </w:r>
            <w:r>
              <w:rPr>
                <w:spacing w:val="-37"/>
              </w:rPr>
              <w:t xml:space="preserve"> </w:t>
            </w:r>
            <w:r>
              <w:rPr>
                <w:rFonts w:ascii="Times New Roman" w:hAnsi="Times New Roman" w:eastAsia="Times New Roman" w:cs="Times New Roman"/>
                <w:b/>
                <w:bCs/>
                <w:spacing w:val="-1"/>
              </w:rPr>
              <w:t xml:space="preserve">3-10    </w:t>
            </w:r>
            <w:r>
              <w:rPr>
                <w:b/>
                <w:bCs/>
                <w:spacing w:val="-1"/>
              </w:rPr>
              <w:t>声环境质量标准（</w:t>
            </w:r>
            <w:r>
              <w:rPr>
                <w:rFonts w:ascii="Times New Roman" w:hAnsi="Times New Roman" w:eastAsia="Times New Roman" w:cs="Times New Roman"/>
                <w:b/>
                <w:bCs/>
                <w:spacing w:val="-1"/>
              </w:rPr>
              <w:t>GB3096-2008</w:t>
            </w:r>
            <w:r>
              <w:rPr>
                <w:b/>
                <w:bCs/>
                <w:spacing w:val="-1"/>
              </w:rPr>
              <w:t>）</w:t>
            </w:r>
            <w:r>
              <w:rPr>
                <w:spacing w:val="-1"/>
              </w:rPr>
              <w:t xml:space="preserve">   </w:t>
            </w:r>
            <w:r>
              <w:rPr>
                <w:b/>
                <w:bCs/>
                <w:spacing w:val="-1"/>
              </w:rPr>
              <w:t>单位：</w:t>
            </w:r>
            <w:r>
              <w:rPr>
                <w:rFonts w:ascii="Times New Roman" w:hAnsi="Times New Roman" w:eastAsia="Times New Roman" w:cs="Times New Roman"/>
                <w:b/>
                <w:bCs/>
                <w:spacing w:val="-1"/>
              </w:rPr>
              <w:t>dB</w:t>
            </w:r>
            <w:r>
              <w:rPr>
                <w:b/>
                <w:bCs/>
                <w:spacing w:val="-1"/>
              </w:rPr>
              <w:t>（</w:t>
            </w:r>
            <w:r>
              <w:rPr>
                <w:rFonts w:ascii="Times New Roman" w:hAnsi="Times New Roman" w:eastAsia="Times New Roman" w:cs="Times New Roman"/>
                <w:b/>
                <w:bCs/>
                <w:spacing w:val="-1"/>
              </w:rPr>
              <w:t>A</w:t>
            </w:r>
            <w:r>
              <w:rPr>
                <w:b/>
                <w:bCs/>
                <w:spacing w:val="-1"/>
              </w:rPr>
              <w:t>）</w:t>
            </w:r>
          </w:p>
        </w:tc>
      </w:tr>
      <w:tr w14:paraId="2DA259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621A067A">
            <w:pPr>
              <w:rPr>
                <w:rFonts w:ascii="Arial"/>
                <w:sz w:val="21"/>
              </w:rPr>
            </w:pPr>
          </w:p>
        </w:tc>
        <w:tc>
          <w:tcPr>
            <w:tcW w:w="113" w:type="dxa"/>
            <w:tcBorders>
              <w:top w:val="nil"/>
              <w:bottom w:val="nil"/>
            </w:tcBorders>
            <w:vAlign w:val="top"/>
          </w:tcPr>
          <w:p w14:paraId="4ABEDBC9">
            <w:pPr>
              <w:rPr>
                <w:rFonts w:ascii="Arial"/>
                <w:sz w:val="21"/>
              </w:rPr>
            </w:pPr>
          </w:p>
        </w:tc>
        <w:tc>
          <w:tcPr>
            <w:tcW w:w="2818" w:type="dxa"/>
            <w:gridSpan w:val="3"/>
            <w:vAlign w:val="top"/>
          </w:tcPr>
          <w:p w14:paraId="27709C72">
            <w:pPr>
              <w:pStyle w:val="6"/>
              <w:spacing w:before="55" w:line="221" w:lineRule="auto"/>
              <w:ind w:left="1201"/>
            </w:pPr>
            <w:r>
              <w:rPr>
                <w:b/>
                <w:bCs/>
                <w:spacing w:val="-4"/>
              </w:rPr>
              <w:t>类别</w:t>
            </w:r>
          </w:p>
        </w:tc>
        <w:tc>
          <w:tcPr>
            <w:tcW w:w="2742" w:type="dxa"/>
            <w:gridSpan w:val="6"/>
            <w:vAlign w:val="top"/>
          </w:tcPr>
          <w:p w14:paraId="16B8C9D5">
            <w:pPr>
              <w:pStyle w:val="6"/>
              <w:spacing w:before="55" w:line="221" w:lineRule="auto"/>
              <w:ind w:left="1164"/>
            </w:pPr>
            <w:r>
              <w:rPr>
                <w:b/>
                <w:bCs/>
                <w:spacing w:val="-4"/>
              </w:rPr>
              <w:t>昼夜</w:t>
            </w:r>
          </w:p>
        </w:tc>
        <w:tc>
          <w:tcPr>
            <w:tcW w:w="2714" w:type="dxa"/>
            <w:gridSpan w:val="4"/>
            <w:vAlign w:val="top"/>
          </w:tcPr>
          <w:p w14:paraId="44CBD389">
            <w:pPr>
              <w:pStyle w:val="6"/>
              <w:spacing w:before="55" w:line="221" w:lineRule="auto"/>
              <w:ind w:left="1156"/>
            </w:pPr>
            <w:r>
              <w:rPr>
                <w:b/>
                <w:bCs/>
                <w:spacing w:val="-5"/>
              </w:rPr>
              <w:t>夜间</w:t>
            </w:r>
          </w:p>
        </w:tc>
        <w:tc>
          <w:tcPr>
            <w:tcW w:w="120" w:type="dxa"/>
            <w:tcBorders>
              <w:top w:val="nil"/>
              <w:bottom w:val="nil"/>
            </w:tcBorders>
            <w:vAlign w:val="top"/>
          </w:tcPr>
          <w:p w14:paraId="740F16F4">
            <w:pPr>
              <w:rPr>
                <w:rFonts w:ascii="Arial"/>
                <w:sz w:val="21"/>
              </w:rPr>
            </w:pPr>
          </w:p>
        </w:tc>
      </w:tr>
      <w:tr w14:paraId="666E10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69E73244">
            <w:pPr>
              <w:rPr>
                <w:rFonts w:ascii="Arial"/>
                <w:sz w:val="21"/>
              </w:rPr>
            </w:pPr>
          </w:p>
        </w:tc>
        <w:tc>
          <w:tcPr>
            <w:tcW w:w="113" w:type="dxa"/>
            <w:tcBorders>
              <w:top w:val="nil"/>
              <w:bottom w:val="nil"/>
            </w:tcBorders>
            <w:vAlign w:val="top"/>
          </w:tcPr>
          <w:p w14:paraId="36BBA570">
            <w:pPr>
              <w:rPr>
                <w:rFonts w:ascii="Arial"/>
                <w:sz w:val="21"/>
              </w:rPr>
            </w:pPr>
          </w:p>
        </w:tc>
        <w:tc>
          <w:tcPr>
            <w:tcW w:w="2818" w:type="dxa"/>
            <w:gridSpan w:val="3"/>
            <w:vAlign w:val="top"/>
          </w:tcPr>
          <w:p w14:paraId="02F10480">
            <w:pPr>
              <w:pStyle w:val="6"/>
              <w:spacing w:before="56" w:line="224" w:lineRule="auto"/>
              <w:ind w:left="1246"/>
            </w:pPr>
            <w:r>
              <w:rPr>
                <w:rFonts w:ascii="Times New Roman" w:hAnsi="Times New Roman" w:eastAsia="Times New Roman" w:cs="Times New Roman"/>
                <w:spacing w:val="-13"/>
              </w:rPr>
              <w:t>1</w:t>
            </w:r>
            <w:r>
              <w:rPr>
                <w:rFonts w:ascii="Times New Roman" w:hAnsi="Times New Roman" w:eastAsia="Times New Roman" w:cs="Times New Roman"/>
                <w:spacing w:val="9"/>
              </w:rPr>
              <w:t xml:space="preserve"> </w:t>
            </w:r>
            <w:r>
              <w:rPr>
                <w:spacing w:val="-13"/>
              </w:rPr>
              <w:t>类</w:t>
            </w:r>
          </w:p>
        </w:tc>
        <w:tc>
          <w:tcPr>
            <w:tcW w:w="2742" w:type="dxa"/>
            <w:gridSpan w:val="6"/>
            <w:vAlign w:val="top"/>
          </w:tcPr>
          <w:p w14:paraId="55706694">
            <w:pPr>
              <w:spacing w:before="91" w:line="218" w:lineRule="auto"/>
              <w:ind w:left="127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55</w:t>
            </w:r>
          </w:p>
        </w:tc>
        <w:tc>
          <w:tcPr>
            <w:tcW w:w="2714" w:type="dxa"/>
            <w:gridSpan w:val="4"/>
            <w:vAlign w:val="top"/>
          </w:tcPr>
          <w:p w14:paraId="42D0B22B">
            <w:pPr>
              <w:spacing w:before="91" w:line="218" w:lineRule="auto"/>
              <w:ind w:left="125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c>
          <w:tcPr>
            <w:tcW w:w="120" w:type="dxa"/>
            <w:tcBorders>
              <w:top w:val="nil"/>
              <w:bottom w:val="nil"/>
            </w:tcBorders>
            <w:vAlign w:val="top"/>
          </w:tcPr>
          <w:p w14:paraId="38673FB3">
            <w:pPr>
              <w:rPr>
                <w:rFonts w:ascii="Arial"/>
                <w:sz w:val="21"/>
              </w:rPr>
            </w:pPr>
          </w:p>
        </w:tc>
      </w:tr>
      <w:tr w14:paraId="6D7C7B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1" w:type="dxa"/>
            <w:vMerge w:val="continue"/>
            <w:tcBorders>
              <w:top w:val="nil"/>
              <w:bottom w:val="nil"/>
            </w:tcBorders>
            <w:vAlign w:val="top"/>
          </w:tcPr>
          <w:p w14:paraId="671C0B47">
            <w:pPr>
              <w:rPr>
                <w:rFonts w:ascii="Arial"/>
                <w:sz w:val="21"/>
              </w:rPr>
            </w:pPr>
          </w:p>
        </w:tc>
        <w:tc>
          <w:tcPr>
            <w:tcW w:w="113" w:type="dxa"/>
            <w:tcBorders>
              <w:top w:val="nil"/>
              <w:bottom w:val="nil"/>
            </w:tcBorders>
            <w:vAlign w:val="top"/>
          </w:tcPr>
          <w:p w14:paraId="544040B7">
            <w:pPr>
              <w:rPr>
                <w:rFonts w:ascii="Arial"/>
                <w:sz w:val="21"/>
              </w:rPr>
            </w:pPr>
          </w:p>
        </w:tc>
        <w:tc>
          <w:tcPr>
            <w:tcW w:w="2818" w:type="dxa"/>
            <w:gridSpan w:val="3"/>
            <w:vAlign w:val="top"/>
          </w:tcPr>
          <w:p w14:paraId="1087D055">
            <w:pPr>
              <w:pStyle w:val="6"/>
              <w:spacing w:before="57" w:line="224" w:lineRule="auto"/>
              <w:ind w:left="1226"/>
            </w:pPr>
            <w:r>
              <w:rPr>
                <w:rFonts w:ascii="Times New Roman" w:hAnsi="Times New Roman" w:eastAsia="Times New Roman" w:cs="Times New Roman"/>
                <w:spacing w:val="-2"/>
              </w:rPr>
              <w:t>2</w:t>
            </w:r>
            <w:r>
              <w:rPr>
                <w:rFonts w:ascii="Times New Roman" w:hAnsi="Times New Roman" w:eastAsia="Times New Roman" w:cs="Times New Roman"/>
                <w:spacing w:val="8"/>
              </w:rPr>
              <w:t xml:space="preserve"> </w:t>
            </w:r>
            <w:r>
              <w:rPr>
                <w:spacing w:val="-2"/>
              </w:rPr>
              <w:t>类</w:t>
            </w:r>
          </w:p>
        </w:tc>
        <w:tc>
          <w:tcPr>
            <w:tcW w:w="2742" w:type="dxa"/>
            <w:gridSpan w:val="6"/>
            <w:vAlign w:val="top"/>
          </w:tcPr>
          <w:p w14:paraId="202E7956">
            <w:pPr>
              <w:spacing w:before="91" w:line="219" w:lineRule="auto"/>
              <w:ind w:left="127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60</w:t>
            </w:r>
          </w:p>
        </w:tc>
        <w:tc>
          <w:tcPr>
            <w:tcW w:w="2714" w:type="dxa"/>
            <w:gridSpan w:val="4"/>
            <w:vAlign w:val="top"/>
          </w:tcPr>
          <w:p w14:paraId="54816CB6">
            <w:pPr>
              <w:spacing w:before="91" w:line="219" w:lineRule="auto"/>
              <w:ind w:left="126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120" w:type="dxa"/>
            <w:tcBorders>
              <w:top w:val="nil"/>
              <w:bottom w:val="nil"/>
            </w:tcBorders>
            <w:vAlign w:val="top"/>
          </w:tcPr>
          <w:p w14:paraId="02BD14DD">
            <w:pPr>
              <w:rPr>
                <w:rFonts w:ascii="Arial"/>
                <w:sz w:val="21"/>
              </w:rPr>
            </w:pPr>
          </w:p>
        </w:tc>
      </w:tr>
      <w:tr w14:paraId="0F454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4" w:hRule="atLeast"/>
        </w:trPr>
        <w:tc>
          <w:tcPr>
            <w:tcW w:w="571" w:type="dxa"/>
            <w:vMerge w:val="continue"/>
            <w:tcBorders>
              <w:top w:val="nil"/>
              <w:bottom w:val="nil"/>
            </w:tcBorders>
            <w:vAlign w:val="top"/>
          </w:tcPr>
          <w:p w14:paraId="1D93CC76">
            <w:pPr>
              <w:rPr>
                <w:rFonts w:ascii="Arial"/>
                <w:sz w:val="21"/>
              </w:rPr>
            </w:pPr>
          </w:p>
        </w:tc>
        <w:tc>
          <w:tcPr>
            <w:tcW w:w="8507" w:type="dxa"/>
            <w:gridSpan w:val="15"/>
            <w:vAlign w:val="top"/>
          </w:tcPr>
          <w:p w14:paraId="2A6873F2">
            <w:pPr>
              <w:pStyle w:val="6"/>
              <w:spacing w:before="120" w:line="234"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4</w:t>
            </w:r>
            <w:r>
              <w:rPr>
                <w:b/>
                <w:bCs/>
                <w:spacing w:val="-4"/>
                <w:sz w:val="24"/>
                <w:szCs w:val="24"/>
              </w:rPr>
              <w:t>）电磁环境</w:t>
            </w:r>
          </w:p>
          <w:p w14:paraId="506A98D1">
            <w:pPr>
              <w:pStyle w:val="6"/>
              <w:spacing w:before="170" w:line="348" w:lineRule="auto"/>
              <w:ind w:left="112" w:right="43" w:firstLine="480"/>
              <w:jc w:val="both"/>
              <w:rPr>
                <w:sz w:val="24"/>
                <w:szCs w:val="24"/>
              </w:rPr>
            </w:pPr>
            <w:r>
              <w:rPr>
                <w:spacing w:val="-2"/>
                <w:sz w:val="24"/>
                <w:szCs w:val="24"/>
              </w:rPr>
              <w:t>本项目工作频率为</w:t>
            </w:r>
            <w:r>
              <w:rPr>
                <w:spacing w:val="-17"/>
                <w:sz w:val="24"/>
                <w:szCs w:val="24"/>
              </w:rPr>
              <w:t xml:space="preserve"> </w:t>
            </w:r>
            <w:r>
              <w:rPr>
                <w:rFonts w:ascii="Times New Roman" w:hAnsi="Times New Roman" w:eastAsia="Times New Roman" w:cs="Times New Roman"/>
                <w:spacing w:val="-2"/>
                <w:sz w:val="24"/>
                <w:szCs w:val="24"/>
              </w:rPr>
              <w:t>50Hz</w:t>
            </w:r>
            <w:r>
              <w:rPr>
                <w:spacing w:val="-2"/>
                <w:sz w:val="24"/>
                <w:szCs w:val="24"/>
              </w:rPr>
              <w:t xml:space="preserve">，频率范围属于 </w:t>
            </w:r>
            <w:r>
              <w:rPr>
                <w:rFonts w:ascii="Times New Roman" w:hAnsi="Times New Roman" w:eastAsia="Times New Roman" w:cs="Times New Roman"/>
                <w:spacing w:val="-2"/>
                <w:sz w:val="24"/>
                <w:szCs w:val="24"/>
              </w:rPr>
              <w:t>0.025kHz~1.2kHz</w:t>
            </w:r>
            <w:r>
              <w:rPr>
                <w:rFonts w:ascii="Times New Roman" w:hAnsi="Times New Roman" w:eastAsia="Times New Roman" w:cs="Times New Roman"/>
                <w:spacing w:val="31"/>
                <w:sz w:val="24"/>
                <w:szCs w:val="24"/>
              </w:rPr>
              <w:t xml:space="preserve"> </w:t>
            </w:r>
            <w:r>
              <w:rPr>
                <w:spacing w:val="-2"/>
                <w:sz w:val="24"/>
                <w:szCs w:val="24"/>
              </w:rPr>
              <w:t>之间，根据《电</w:t>
            </w:r>
            <w:r>
              <w:rPr>
                <w:spacing w:val="-7"/>
                <w:sz w:val="24"/>
                <w:szCs w:val="24"/>
              </w:rPr>
              <w:t>磁环境控制限值》（</w:t>
            </w:r>
            <w:r>
              <w:rPr>
                <w:rFonts w:ascii="Times New Roman" w:hAnsi="Times New Roman" w:eastAsia="Times New Roman" w:cs="Times New Roman"/>
                <w:spacing w:val="-7"/>
                <w:sz w:val="24"/>
                <w:szCs w:val="24"/>
              </w:rPr>
              <w:t>GB8702-2014</w:t>
            </w:r>
            <w:r>
              <w:rPr>
                <w:spacing w:val="-49"/>
                <w:sz w:val="24"/>
                <w:szCs w:val="24"/>
              </w:rPr>
              <w:t>），</w:t>
            </w:r>
            <w:r>
              <w:rPr>
                <w:spacing w:val="-7"/>
                <w:sz w:val="24"/>
                <w:szCs w:val="24"/>
              </w:rPr>
              <w:t>电场强度执行</w:t>
            </w:r>
            <w:r>
              <w:rPr>
                <w:spacing w:val="-54"/>
                <w:sz w:val="24"/>
                <w:szCs w:val="24"/>
              </w:rPr>
              <w:t xml:space="preserve"> </w:t>
            </w:r>
            <w:r>
              <w:rPr>
                <w:rFonts w:ascii="Times New Roman" w:hAnsi="Times New Roman" w:eastAsia="Times New Roman" w:cs="Times New Roman"/>
                <w:spacing w:val="-7"/>
                <w:sz w:val="24"/>
                <w:szCs w:val="24"/>
              </w:rPr>
              <w:t>200</w:t>
            </w:r>
            <w:r>
              <w:rPr>
                <w:rFonts w:ascii="Times New Roman" w:hAnsi="Times New Roman" w:eastAsia="Times New Roman" w:cs="Times New Roman"/>
                <w:spacing w:val="-8"/>
                <w:sz w:val="24"/>
                <w:szCs w:val="24"/>
              </w:rPr>
              <w:t>/f</w:t>
            </w:r>
            <w:r>
              <w:rPr>
                <w:rFonts w:ascii="Times New Roman" w:hAnsi="Times New Roman" w:eastAsia="Times New Roman" w:cs="Times New Roman"/>
                <w:spacing w:val="-13"/>
                <w:sz w:val="24"/>
                <w:szCs w:val="24"/>
              </w:rPr>
              <w:t xml:space="preserve"> </w:t>
            </w:r>
            <w:r>
              <w:rPr>
                <w:spacing w:val="-8"/>
                <w:sz w:val="24"/>
                <w:szCs w:val="24"/>
              </w:rPr>
              <w:t>标准（</w:t>
            </w:r>
            <w:r>
              <w:rPr>
                <w:rFonts w:ascii="Times New Roman" w:hAnsi="Times New Roman" w:eastAsia="Times New Roman" w:cs="Times New Roman"/>
                <w:spacing w:val="-8"/>
                <w:sz w:val="24"/>
                <w:szCs w:val="24"/>
              </w:rPr>
              <w:t>f</w:t>
            </w:r>
            <w:r>
              <w:rPr>
                <w:rFonts w:ascii="Times New Roman" w:hAnsi="Times New Roman" w:eastAsia="Times New Roman" w:cs="Times New Roman"/>
                <w:spacing w:val="-13"/>
                <w:sz w:val="24"/>
                <w:szCs w:val="24"/>
              </w:rPr>
              <w:t xml:space="preserve"> </w:t>
            </w:r>
            <w:r>
              <w:rPr>
                <w:spacing w:val="-8"/>
                <w:sz w:val="24"/>
                <w:szCs w:val="24"/>
              </w:rPr>
              <w:t>为频率，下同</w:t>
            </w:r>
            <w:r>
              <w:rPr>
                <w:spacing w:val="-49"/>
                <w:sz w:val="24"/>
                <w:szCs w:val="24"/>
              </w:rPr>
              <w:t>），</w:t>
            </w:r>
            <w:r>
              <w:rPr>
                <w:spacing w:val="-1"/>
                <w:sz w:val="24"/>
                <w:szCs w:val="24"/>
              </w:rPr>
              <w:t>磁感应强度执行</w:t>
            </w:r>
            <w:r>
              <w:rPr>
                <w:spacing w:val="-48"/>
                <w:sz w:val="24"/>
                <w:szCs w:val="24"/>
              </w:rPr>
              <w:t xml:space="preserve"> </w:t>
            </w:r>
            <w:r>
              <w:rPr>
                <w:rFonts w:ascii="Times New Roman" w:hAnsi="Times New Roman" w:eastAsia="Times New Roman" w:cs="Times New Roman"/>
                <w:spacing w:val="-1"/>
                <w:sz w:val="24"/>
                <w:szCs w:val="24"/>
              </w:rPr>
              <w:t>5/f</w:t>
            </w:r>
            <w:r>
              <w:rPr>
                <w:rFonts w:ascii="Times New Roman" w:hAnsi="Times New Roman" w:eastAsia="Times New Roman" w:cs="Times New Roman"/>
                <w:spacing w:val="-14"/>
                <w:sz w:val="24"/>
                <w:szCs w:val="24"/>
              </w:rPr>
              <w:t xml:space="preserve"> </w:t>
            </w:r>
            <w:r>
              <w:rPr>
                <w:spacing w:val="-1"/>
                <w:sz w:val="24"/>
                <w:szCs w:val="24"/>
              </w:rPr>
              <w:t>标准，公众曝露控制限值见下表。</w:t>
            </w:r>
          </w:p>
          <w:p w14:paraId="66AACB88">
            <w:pPr>
              <w:pStyle w:val="6"/>
              <w:spacing w:line="221" w:lineRule="auto"/>
              <w:ind w:left="2986"/>
            </w:pPr>
            <w:r>
              <w:rPr>
                <w:b/>
                <w:bCs/>
                <w:spacing w:val="-3"/>
              </w:rPr>
              <w:t>表</w:t>
            </w:r>
            <w:r>
              <w:rPr>
                <w:spacing w:val="-32"/>
              </w:rPr>
              <w:t xml:space="preserve"> </w:t>
            </w:r>
            <w:r>
              <w:rPr>
                <w:rFonts w:ascii="Times New Roman" w:hAnsi="Times New Roman" w:eastAsia="Times New Roman" w:cs="Times New Roman"/>
                <w:b/>
                <w:bCs/>
                <w:spacing w:val="-3"/>
              </w:rPr>
              <w:t xml:space="preserve">3-11    </w:t>
            </w:r>
            <w:r>
              <w:rPr>
                <w:b/>
                <w:bCs/>
                <w:spacing w:val="-3"/>
              </w:rPr>
              <w:t>公众曝露控制限值</w:t>
            </w:r>
          </w:p>
        </w:tc>
      </w:tr>
      <w:tr w14:paraId="28CE0C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6272190A">
            <w:pPr>
              <w:rPr>
                <w:rFonts w:ascii="Arial"/>
                <w:sz w:val="21"/>
              </w:rPr>
            </w:pPr>
          </w:p>
        </w:tc>
        <w:tc>
          <w:tcPr>
            <w:tcW w:w="113" w:type="dxa"/>
            <w:tcBorders>
              <w:top w:val="nil"/>
              <w:bottom w:val="nil"/>
            </w:tcBorders>
            <w:vAlign w:val="top"/>
          </w:tcPr>
          <w:p w14:paraId="1F98B4A3">
            <w:pPr>
              <w:rPr>
                <w:rFonts w:ascii="Arial"/>
                <w:sz w:val="21"/>
              </w:rPr>
            </w:pPr>
          </w:p>
        </w:tc>
        <w:tc>
          <w:tcPr>
            <w:tcW w:w="3034" w:type="dxa"/>
            <w:gridSpan w:val="4"/>
            <w:vAlign w:val="top"/>
          </w:tcPr>
          <w:p w14:paraId="42D31276">
            <w:pPr>
              <w:pStyle w:val="6"/>
              <w:spacing w:before="59" w:line="221" w:lineRule="auto"/>
              <w:ind w:left="1091"/>
            </w:pPr>
            <w:r>
              <w:rPr>
                <w:b/>
                <w:bCs/>
                <w:spacing w:val="-4"/>
              </w:rPr>
              <w:t>频率范围</w:t>
            </w:r>
          </w:p>
        </w:tc>
        <w:tc>
          <w:tcPr>
            <w:tcW w:w="2391" w:type="dxa"/>
            <w:gridSpan w:val="4"/>
            <w:vAlign w:val="top"/>
          </w:tcPr>
          <w:p w14:paraId="7309A4F0">
            <w:pPr>
              <w:pStyle w:val="6"/>
              <w:spacing w:before="59" w:line="221" w:lineRule="auto"/>
              <w:ind w:left="284"/>
            </w:pPr>
            <w:r>
              <w:rPr>
                <w:b/>
                <w:bCs/>
                <w:spacing w:val="-5"/>
              </w:rPr>
              <w:t>电场强度</w:t>
            </w:r>
            <w:r>
              <w:rPr>
                <w:spacing w:val="-42"/>
              </w:rPr>
              <w:t xml:space="preserve"> </w:t>
            </w:r>
            <w:r>
              <w:rPr>
                <w:rFonts w:ascii="Times New Roman" w:hAnsi="Times New Roman" w:eastAsia="Times New Roman" w:cs="Times New Roman"/>
                <w:b/>
                <w:bCs/>
                <w:spacing w:val="-5"/>
              </w:rPr>
              <w:t>E</w:t>
            </w:r>
            <w:r>
              <w:rPr>
                <w:b/>
                <w:bCs/>
                <w:spacing w:val="-5"/>
              </w:rPr>
              <w:t>（</w:t>
            </w:r>
            <w:r>
              <w:rPr>
                <w:rFonts w:ascii="Times New Roman" w:hAnsi="Times New Roman" w:eastAsia="Times New Roman" w:cs="Times New Roman"/>
                <w:b/>
                <w:bCs/>
                <w:spacing w:val="-5"/>
              </w:rPr>
              <w:t>V/m</w:t>
            </w:r>
            <w:r>
              <w:rPr>
                <w:b/>
                <w:bCs/>
                <w:spacing w:val="-5"/>
              </w:rPr>
              <w:t>）</w:t>
            </w:r>
          </w:p>
        </w:tc>
        <w:tc>
          <w:tcPr>
            <w:tcW w:w="2849" w:type="dxa"/>
            <w:gridSpan w:val="5"/>
            <w:vAlign w:val="top"/>
          </w:tcPr>
          <w:p w14:paraId="33A1534D">
            <w:pPr>
              <w:pStyle w:val="6"/>
              <w:spacing w:before="60" w:line="213" w:lineRule="auto"/>
              <w:ind w:left="459"/>
            </w:pPr>
            <w:r>
              <w:rPr>
                <w:b/>
                <w:bCs/>
                <w:spacing w:val="-2"/>
              </w:rPr>
              <w:t>磁感应强度</w:t>
            </w:r>
            <w:r>
              <w:rPr>
                <w:spacing w:val="-48"/>
              </w:rPr>
              <w:t xml:space="preserve"> </w:t>
            </w:r>
            <w:r>
              <w:rPr>
                <w:rFonts w:ascii="Times New Roman" w:hAnsi="Times New Roman" w:eastAsia="Times New Roman" w:cs="Times New Roman"/>
                <w:b/>
                <w:bCs/>
                <w:spacing w:val="-2"/>
              </w:rPr>
              <w:t xml:space="preserve">B  </w:t>
            </w:r>
            <w:r>
              <w:rPr>
                <w:b/>
                <w:bCs/>
                <w:spacing w:val="-2"/>
              </w:rPr>
              <w:t>(</w:t>
            </w:r>
            <w:r>
              <w:rPr>
                <w:rFonts w:ascii="Times New Roman" w:hAnsi="Times New Roman" w:eastAsia="Times New Roman" w:cs="Times New Roman"/>
                <w:b/>
                <w:bCs/>
                <w:spacing w:val="-2"/>
              </w:rPr>
              <w:t>μT</w:t>
            </w:r>
            <w:r>
              <w:rPr>
                <w:b/>
                <w:bCs/>
                <w:spacing w:val="-2"/>
              </w:rPr>
              <w:t>）</w:t>
            </w:r>
          </w:p>
        </w:tc>
        <w:tc>
          <w:tcPr>
            <w:tcW w:w="120" w:type="dxa"/>
            <w:tcBorders>
              <w:top w:val="nil"/>
              <w:bottom w:val="nil"/>
            </w:tcBorders>
            <w:vAlign w:val="top"/>
          </w:tcPr>
          <w:p w14:paraId="4845D0A8">
            <w:pPr>
              <w:rPr>
                <w:rFonts w:ascii="Arial"/>
                <w:sz w:val="21"/>
              </w:rPr>
            </w:pPr>
          </w:p>
        </w:tc>
      </w:tr>
      <w:tr w14:paraId="1259A0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042B6A4F">
            <w:pPr>
              <w:rPr>
                <w:rFonts w:ascii="Arial"/>
                <w:sz w:val="21"/>
              </w:rPr>
            </w:pPr>
          </w:p>
        </w:tc>
        <w:tc>
          <w:tcPr>
            <w:tcW w:w="113" w:type="dxa"/>
            <w:tcBorders>
              <w:top w:val="nil"/>
              <w:bottom w:val="nil"/>
            </w:tcBorders>
            <w:vAlign w:val="top"/>
          </w:tcPr>
          <w:p w14:paraId="43154AB6">
            <w:pPr>
              <w:rPr>
                <w:rFonts w:ascii="Arial"/>
                <w:sz w:val="21"/>
              </w:rPr>
            </w:pPr>
          </w:p>
        </w:tc>
        <w:tc>
          <w:tcPr>
            <w:tcW w:w="3034" w:type="dxa"/>
            <w:gridSpan w:val="4"/>
            <w:vAlign w:val="top"/>
          </w:tcPr>
          <w:p w14:paraId="780FCDFC">
            <w:pPr>
              <w:spacing w:before="92" w:line="217" w:lineRule="auto"/>
              <w:ind w:left="7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0.025kHz~1.2kHz</w:t>
            </w:r>
          </w:p>
        </w:tc>
        <w:tc>
          <w:tcPr>
            <w:tcW w:w="2391" w:type="dxa"/>
            <w:gridSpan w:val="4"/>
            <w:vAlign w:val="top"/>
          </w:tcPr>
          <w:p w14:paraId="231CF37B">
            <w:pPr>
              <w:spacing w:before="92" w:line="217" w:lineRule="auto"/>
              <w:ind w:left="9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200/f</w:t>
            </w:r>
          </w:p>
        </w:tc>
        <w:tc>
          <w:tcPr>
            <w:tcW w:w="2849" w:type="dxa"/>
            <w:gridSpan w:val="5"/>
            <w:vAlign w:val="top"/>
          </w:tcPr>
          <w:p w14:paraId="622446DA">
            <w:pPr>
              <w:spacing w:before="92" w:line="217" w:lineRule="auto"/>
              <w:ind w:left="130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5/f</w:t>
            </w:r>
          </w:p>
        </w:tc>
        <w:tc>
          <w:tcPr>
            <w:tcW w:w="120" w:type="dxa"/>
            <w:tcBorders>
              <w:top w:val="nil"/>
              <w:bottom w:val="nil"/>
            </w:tcBorders>
            <w:vAlign w:val="top"/>
          </w:tcPr>
          <w:p w14:paraId="4CF21DAC">
            <w:pPr>
              <w:rPr>
                <w:rFonts w:ascii="Arial"/>
                <w:sz w:val="21"/>
              </w:rPr>
            </w:pPr>
          </w:p>
        </w:tc>
      </w:tr>
      <w:tr w14:paraId="6B1C5F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97" w:hRule="atLeast"/>
        </w:trPr>
        <w:tc>
          <w:tcPr>
            <w:tcW w:w="571" w:type="dxa"/>
            <w:vMerge w:val="continue"/>
            <w:tcBorders>
              <w:top w:val="nil"/>
            </w:tcBorders>
            <w:vAlign w:val="top"/>
          </w:tcPr>
          <w:p w14:paraId="1F0142EE">
            <w:pPr>
              <w:rPr>
                <w:rFonts w:ascii="Arial"/>
                <w:sz w:val="21"/>
              </w:rPr>
            </w:pPr>
          </w:p>
        </w:tc>
        <w:tc>
          <w:tcPr>
            <w:tcW w:w="8507" w:type="dxa"/>
            <w:gridSpan w:val="15"/>
            <w:vAlign w:val="top"/>
          </w:tcPr>
          <w:p w14:paraId="16853292">
            <w:pPr>
              <w:pStyle w:val="6"/>
              <w:spacing w:before="72" w:line="220" w:lineRule="auto"/>
              <w:ind w:left="110"/>
              <w:rPr>
                <w:sz w:val="18"/>
                <w:szCs w:val="18"/>
              </w:rPr>
            </w:pPr>
            <w:r>
              <w:rPr>
                <w:spacing w:val="-2"/>
                <w:sz w:val="18"/>
                <w:szCs w:val="18"/>
              </w:rPr>
              <w:t>注：</w:t>
            </w:r>
            <w:r>
              <w:rPr>
                <w:rFonts w:ascii="Times New Roman" w:hAnsi="Times New Roman" w:eastAsia="Times New Roman" w:cs="Times New Roman"/>
                <w:spacing w:val="-2"/>
                <w:sz w:val="18"/>
                <w:szCs w:val="18"/>
              </w:rPr>
              <w:t>100kHz</w:t>
            </w:r>
            <w:r>
              <w:rPr>
                <w:rFonts w:ascii="Times New Roman" w:hAnsi="Times New Roman" w:eastAsia="Times New Roman" w:cs="Times New Roman"/>
                <w:spacing w:val="27"/>
                <w:w w:val="101"/>
                <w:sz w:val="18"/>
                <w:szCs w:val="18"/>
              </w:rPr>
              <w:t xml:space="preserve"> </w:t>
            </w:r>
            <w:r>
              <w:rPr>
                <w:spacing w:val="-2"/>
                <w:sz w:val="18"/>
                <w:szCs w:val="18"/>
              </w:rPr>
              <w:t>以下频率，需同时限制电场强度和磁感应强</w:t>
            </w:r>
            <w:r>
              <w:rPr>
                <w:spacing w:val="-3"/>
                <w:sz w:val="18"/>
                <w:szCs w:val="18"/>
              </w:rPr>
              <w:t>度。</w:t>
            </w:r>
          </w:p>
          <w:p w14:paraId="3A19954F">
            <w:pPr>
              <w:pStyle w:val="6"/>
              <w:spacing w:before="152" w:line="362" w:lineRule="auto"/>
              <w:ind w:left="112" w:right="107" w:firstLine="498"/>
              <w:jc w:val="both"/>
              <w:rPr>
                <w:sz w:val="24"/>
                <w:szCs w:val="24"/>
              </w:rPr>
            </w:pPr>
            <w:r>
              <w:rPr>
                <w:spacing w:val="-1"/>
                <w:sz w:val="24"/>
                <w:szCs w:val="24"/>
              </w:rPr>
              <w:t>因此，本项目以</w:t>
            </w:r>
            <w:r>
              <w:rPr>
                <w:spacing w:val="-35"/>
                <w:sz w:val="24"/>
                <w:szCs w:val="24"/>
              </w:rPr>
              <w:t xml:space="preserve"> </w:t>
            </w:r>
            <w:r>
              <w:rPr>
                <w:rFonts w:ascii="Times New Roman" w:hAnsi="Times New Roman" w:eastAsia="Times New Roman" w:cs="Times New Roman"/>
                <w:spacing w:val="-1"/>
                <w:sz w:val="24"/>
                <w:szCs w:val="24"/>
              </w:rPr>
              <w:t>200/0.05=4kV/m</w:t>
            </w:r>
            <w:r>
              <w:rPr>
                <w:rFonts w:ascii="Times New Roman" w:hAnsi="Times New Roman" w:eastAsia="Times New Roman" w:cs="Times New Roman"/>
                <w:spacing w:val="30"/>
                <w:sz w:val="24"/>
                <w:szCs w:val="24"/>
              </w:rPr>
              <w:t xml:space="preserve"> </w:t>
            </w:r>
            <w:r>
              <w:rPr>
                <w:spacing w:val="-1"/>
                <w:sz w:val="24"/>
                <w:szCs w:val="24"/>
              </w:rPr>
              <w:t>作为工频电场强度公众暴露</w:t>
            </w:r>
            <w:r>
              <w:rPr>
                <w:spacing w:val="-2"/>
                <w:sz w:val="24"/>
                <w:szCs w:val="24"/>
              </w:rPr>
              <w:t>控制限值，以</w:t>
            </w:r>
            <w:r>
              <w:rPr>
                <w:rFonts w:ascii="Times New Roman" w:hAnsi="Times New Roman" w:eastAsia="Times New Roman" w:cs="Times New Roman"/>
                <w:spacing w:val="-3"/>
                <w:sz w:val="24"/>
                <w:szCs w:val="24"/>
              </w:rPr>
              <w:t xml:space="preserve">5/0.05=100μT </w:t>
            </w:r>
            <w:r>
              <w:rPr>
                <w:spacing w:val="-3"/>
                <w:sz w:val="24"/>
                <w:szCs w:val="24"/>
              </w:rPr>
              <w:t>作为工频磁感应强度公众暴露控制限值。架空输电线下的耕地、园</w:t>
            </w:r>
            <w:r>
              <w:rPr>
                <w:spacing w:val="-2"/>
                <w:sz w:val="24"/>
                <w:szCs w:val="24"/>
              </w:rPr>
              <w:t>地、牧草地、畜禽饲养地、养殖水面、道路等场所，其频率</w:t>
            </w:r>
            <w:r>
              <w:rPr>
                <w:spacing w:val="-46"/>
                <w:sz w:val="24"/>
                <w:szCs w:val="24"/>
              </w:rPr>
              <w:t xml:space="preserve"> </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3"/>
                <w:sz w:val="24"/>
                <w:szCs w:val="24"/>
              </w:rPr>
              <w:t>0Hz</w:t>
            </w:r>
            <w:r>
              <w:rPr>
                <w:rFonts w:ascii="Times New Roman" w:hAnsi="Times New Roman" w:eastAsia="Times New Roman" w:cs="Times New Roman"/>
                <w:spacing w:val="27"/>
                <w:w w:val="101"/>
                <w:sz w:val="24"/>
                <w:szCs w:val="24"/>
              </w:rPr>
              <w:t xml:space="preserve"> </w:t>
            </w:r>
            <w:r>
              <w:rPr>
                <w:spacing w:val="-3"/>
                <w:sz w:val="24"/>
                <w:szCs w:val="24"/>
              </w:rPr>
              <w:t>的电场强度控</w:t>
            </w:r>
            <w:r>
              <w:rPr>
                <w:spacing w:val="-4"/>
                <w:sz w:val="24"/>
                <w:szCs w:val="24"/>
              </w:rPr>
              <w:t>制限值为</w:t>
            </w:r>
            <w:r>
              <w:rPr>
                <w:spacing w:val="-27"/>
                <w:sz w:val="24"/>
                <w:szCs w:val="24"/>
              </w:rPr>
              <w:t xml:space="preserve"> </w:t>
            </w:r>
            <w:r>
              <w:rPr>
                <w:rFonts w:ascii="Times New Roman" w:hAnsi="Times New Roman" w:eastAsia="Times New Roman" w:cs="Times New Roman"/>
                <w:spacing w:val="-4"/>
                <w:sz w:val="24"/>
                <w:szCs w:val="24"/>
              </w:rPr>
              <w:t>10kV/m</w:t>
            </w:r>
            <w:r>
              <w:rPr>
                <w:spacing w:val="-4"/>
                <w:sz w:val="24"/>
                <w:szCs w:val="24"/>
              </w:rPr>
              <w:t>。</w:t>
            </w:r>
          </w:p>
          <w:p w14:paraId="106BD7B5">
            <w:pPr>
              <w:pStyle w:val="6"/>
              <w:spacing w:before="14" w:line="234" w:lineRule="auto"/>
              <w:ind w:left="108"/>
              <w:rPr>
                <w:sz w:val="24"/>
                <w:szCs w:val="24"/>
              </w:rPr>
            </w:pPr>
            <w:r>
              <w:rPr>
                <w:rFonts w:ascii="Times New Roman" w:hAnsi="Times New Roman" w:eastAsia="Times New Roman" w:cs="Times New Roman"/>
                <w:b/>
                <w:bCs/>
                <w:spacing w:val="-4"/>
                <w:sz w:val="24"/>
                <w:szCs w:val="24"/>
              </w:rPr>
              <w:t>2</w:t>
            </w:r>
            <w:r>
              <w:rPr>
                <w:b/>
                <w:bCs/>
                <w:spacing w:val="-4"/>
                <w:sz w:val="24"/>
                <w:szCs w:val="24"/>
              </w:rPr>
              <w:t>、排放标准</w:t>
            </w:r>
          </w:p>
        </w:tc>
      </w:tr>
    </w:tbl>
    <w:p w14:paraId="09F48C29">
      <w:pPr>
        <w:rPr>
          <w:rFonts w:ascii="Arial"/>
          <w:sz w:val="21"/>
        </w:rPr>
      </w:pPr>
    </w:p>
    <w:p w14:paraId="41A0BD8D">
      <w:pPr>
        <w:rPr>
          <w:rFonts w:ascii="Arial" w:hAnsi="Arial" w:eastAsia="Arial" w:cs="Arial"/>
          <w:sz w:val="21"/>
          <w:szCs w:val="21"/>
        </w:rPr>
        <w:sectPr>
          <w:footerReference r:id="rId60" w:type="default"/>
          <w:pgSz w:w="11907" w:h="16841"/>
          <w:pgMar w:top="400" w:right="1408" w:bottom="1126" w:left="1414" w:header="0" w:footer="925" w:gutter="0"/>
          <w:cols w:space="720" w:num="1"/>
        </w:sectPr>
      </w:pPr>
    </w:p>
    <w:p w14:paraId="724B4470">
      <w:pPr>
        <w:spacing w:before="2"/>
      </w:pPr>
    </w:p>
    <w:p w14:paraId="4020A4BC">
      <w:pPr>
        <w:spacing w:before="2"/>
      </w:pPr>
    </w:p>
    <w:p w14:paraId="1A71877B">
      <w:pPr>
        <w:spacing w:before="1"/>
      </w:pPr>
    </w:p>
    <w:p w14:paraId="7C829BF4">
      <w:pPr>
        <w:spacing w:before="1"/>
      </w:pPr>
    </w:p>
    <w:p w14:paraId="3B91F436">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328136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73" w:hRule="atLeast"/>
        </w:trPr>
        <w:tc>
          <w:tcPr>
            <w:tcW w:w="571" w:type="dxa"/>
            <w:vAlign w:val="top"/>
          </w:tcPr>
          <w:p w14:paraId="4457DC05">
            <w:pPr>
              <w:rPr>
                <w:rFonts w:ascii="Arial"/>
                <w:sz w:val="21"/>
              </w:rPr>
            </w:pPr>
          </w:p>
        </w:tc>
        <w:tc>
          <w:tcPr>
            <w:tcW w:w="8507" w:type="dxa"/>
            <w:vAlign w:val="top"/>
          </w:tcPr>
          <w:p w14:paraId="7AD10116">
            <w:pPr>
              <w:pStyle w:val="6"/>
              <w:spacing w:before="125" w:line="234" w:lineRule="auto"/>
              <w:ind w:left="601"/>
              <w:rPr>
                <w:sz w:val="24"/>
                <w:szCs w:val="24"/>
              </w:rPr>
            </w:pPr>
            <w:r>
              <w:rPr>
                <w:b/>
                <w:bCs/>
                <w:spacing w:val="-8"/>
                <w:sz w:val="24"/>
                <w:szCs w:val="24"/>
              </w:rPr>
              <w:t>（</w:t>
            </w:r>
            <w:r>
              <w:rPr>
                <w:rFonts w:ascii="Times New Roman" w:hAnsi="Times New Roman" w:eastAsia="Times New Roman" w:cs="Times New Roman"/>
                <w:b/>
                <w:bCs/>
                <w:spacing w:val="-8"/>
                <w:sz w:val="24"/>
                <w:szCs w:val="24"/>
              </w:rPr>
              <w:t>1</w:t>
            </w:r>
            <w:r>
              <w:rPr>
                <w:b/>
                <w:bCs/>
                <w:spacing w:val="-8"/>
                <w:sz w:val="24"/>
                <w:szCs w:val="24"/>
              </w:rPr>
              <w:t>）废气</w:t>
            </w:r>
          </w:p>
          <w:p w14:paraId="69515237">
            <w:pPr>
              <w:pStyle w:val="6"/>
              <w:spacing w:before="168" w:line="340" w:lineRule="auto"/>
              <w:ind w:left="114" w:right="109" w:firstLine="597"/>
              <w:rPr>
                <w:sz w:val="24"/>
                <w:szCs w:val="24"/>
              </w:rPr>
            </w:pPr>
            <w:r>
              <w:rPr>
                <w:spacing w:val="-8"/>
                <w:sz w:val="24"/>
                <w:szCs w:val="24"/>
              </w:rPr>
              <w:t>施工期扬尘排放执行《大气污染物综合排放标</w:t>
            </w:r>
            <w:r>
              <w:rPr>
                <w:spacing w:val="-9"/>
                <w:sz w:val="24"/>
                <w:szCs w:val="24"/>
              </w:rPr>
              <w:t>准》（</w:t>
            </w:r>
            <w:r>
              <w:rPr>
                <w:rFonts w:ascii="Times New Roman" w:hAnsi="Times New Roman" w:eastAsia="Times New Roman" w:cs="Times New Roman"/>
                <w:spacing w:val="-9"/>
                <w:sz w:val="24"/>
                <w:szCs w:val="24"/>
              </w:rPr>
              <w:t>GB16294-1996</w:t>
            </w:r>
            <w:r>
              <w:rPr>
                <w:spacing w:val="-9"/>
                <w:sz w:val="24"/>
                <w:szCs w:val="24"/>
              </w:rPr>
              <w:t>）表</w:t>
            </w:r>
            <w:r>
              <w:rPr>
                <w:spacing w:val="-55"/>
                <w:sz w:val="24"/>
                <w:szCs w:val="24"/>
              </w:rPr>
              <w:t xml:space="preserve"> </w:t>
            </w:r>
            <w:r>
              <w:rPr>
                <w:rFonts w:ascii="Times New Roman" w:hAnsi="Times New Roman" w:eastAsia="Times New Roman" w:cs="Times New Roman"/>
                <w:spacing w:val="-9"/>
                <w:sz w:val="24"/>
                <w:szCs w:val="24"/>
              </w:rPr>
              <w:t>2</w:t>
            </w:r>
            <w:r>
              <w:rPr>
                <w:rFonts w:ascii="Times New Roman" w:hAnsi="Times New Roman" w:eastAsia="Times New Roman" w:cs="Times New Roman"/>
                <w:spacing w:val="32"/>
                <w:sz w:val="24"/>
                <w:szCs w:val="24"/>
              </w:rPr>
              <w:t xml:space="preserve"> </w:t>
            </w:r>
            <w:r>
              <w:rPr>
                <w:spacing w:val="-9"/>
                <w:sz w:val="24"/>
                <w:szCs w:val="24"/>
              </w:rPr>
              <w:t>中</w:t>
            </w:r>
            <w:r>
              <w:rPr>
                <w:spacing w:val="-2"/>
                <w:sz w:val="24"/>
                <w:szCs w:val="24"/>
              </w:rPr>
              <w:t>无组织排放浓度，运营期无废气排放，标准值见下表。</w:t>
            </w:r>
          </w:p>
          <w:p w14:paraId="232C8380">
            <w:pPr>
              <w:pStyle w:val="6"/>
              <w:spacing w:line="231" w:lineRule="auto"/>
              <w:ind w:left="2664"/>
            </w:pPr>
            <w:r>
              <w:rPr>
                <w:b/>
                <w:bCs/>
                <w:spacing w:val="-2"/>
              </w:rPr>
              <w:t>表</w:t>
            </w:r>
            <w:r>
              <w:rPr>
                <w:spacing w:val="-35"/>
              </w:rPr>
              <w:t xml:space="preserve"> </w:t>
            </w:r>
            <w:r>
              <w:rPr>
                <w:rFonts w:ascii="Times New Roman" w:hAnsi="Times New Roman" w:eastAsia="Times New Roman" w:cs="Times New Roman"/>
                <w:b/>
                <w:bCs/>
                <w:spacing w:val="-2"/>
              </w:rPr>
              <w:t xml:space="preserve">3-12    </w:t>
            </w:r>
            <w:r>
              <w:rPr>
                <w:b/>
                <w:bCs/>
                <w:spacing w:val="-2"/>
              </w:rPr>
              <w:t>大气污染物综合排放标准</w:t>
            </w:r>
          </w:p>
          <w:tbl>
            <w:tblPr>
              <w:tblStyle w:val="5"/>
              <w:tblW w:w="8284" w:type="dxa"/>
              <w:tblInd w:w="1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4"/>
              <w:gridCol w:w="3320"/>
              <w:gridCol w:w="3500"/>
            </w:tblGrid>
            <w:tr w14:paraId="13319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464" w:type="dxa"/>
                  <w:vMerge w:val="restart"/>
                  <w:tcBorders>
                    <w:bottom w:val="nil"/>
                  </w:tcBorders>
                  <w:vAlign w:val="top"/>
                </w:tcPr>
                <w:p w14:paraId="222DC059">
                  <w:pPr>
                    <w:pStyle w:val="6"/>
                    <w:spacing w:before="221" w:line="221" w:lineRule="auto"/>
                    <w:ind w:left="422"/>
                  </w:pPr>
                  <w:r>
                    <w:rPr>
                      <w:b/>
                      <w:bCs/>
                      <w:spacing w:val="-4"/>
                    </w:rPr>
                    <w:t>污染物</w:t>
                  </w:r>
                </w:p>
              </w:tc>
              <w:tc>
                <w:tcPr>
                  <w:tcW w:w="6820" w:type="dxa"/>
                  <w:gridSpan w:val="2"/>
                  <w:vAlign w:val="top"/>
                </w:tcPr>
                <w:p w14:paraId="16ACD80C">
                  <w:pPr>
                    <w:pStyle w:val="6"/>
                    <w:spacing w:before="57" w:line="221" w:lineRule="auto"/>
                    <w:ind w:left="2254"/>
                  </w:pPr>
                  <w:r>
                    <w:rPr>
                      <w:b/>
                      <w:bCs/>
                      <w:spacing w:val="-3"/>
                    </w:rPr>
                    <w:t>无组织排放监控浓度限值</w:t>
                  </w:r>
                </w:p>
              </w:tc>
            </w:tr>
            <w:tr w14:paraId="2C48F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464" w:type="dxa"/>
                  <w:vMerge w:val="continue"/>
                  <w:tcBorders>
                    <w:top w:val="nil"/>
                  </w:tcBorders>
                  <w:vAlign w:val="top"/>
                </w:tcPr>
                <w:p w14:paraId="6CF610A9">
                  <w:pPr>
                    <w:rPr>
                      <w:rFonts w:ascii="Arial"/>
                      <w:sz w:val="21"/>
                    </w:rPr>
                  </w:pPr>
                </w:p>
              </w:tc>
              <w:tc>
                <w:tcPr>
                  <w:tcW w:w="3320" w:type="dxa"/>
                  <w:vAlign w:val="top"/>
                </w:tcPr>
                <w:p w14:paraId="121D8257">
                  <w:pPr>
                    <w:pStyle w:val="6"/>
                    <w:spacing w:before="58" w:line="221" w:lineRule="auto"/>
                    <w:ind w:left="1346"/>
                  </w:pPr>
                  <w:r>
                    <w:rPr>
                      <w:b/>
                      <w:bCs/>
                      <w:spacing w:val="-4"/>
                    </w:rPr>
                    <w:t>监控点</w:t>
                  </w:r>
                </w:p>
              </w:tc>
              <w:tc>
                <w:tcPr>
                  <w:tcW w:w="3500" w:type="dxa"/>
                  <w:vAlign w:val="top"/>
                </w:tcPr>
                <w:p w14:paraId="50855062">
                  <w:pPr>
                    <w:pStyle w:val="6"/>
                    <w:spacing w:before="58" w:line="204" w:lineRule="auto"/>
                    <w:ind w:left="1043"/>
                  </w:pPr>
                  <w:r>
                    <w:rPr>
                      <w:b/>
                      <w:bCs/>
                      <w:spacing w:val="-1"/>
                    </w:rPr>
                    <w:t>浓度（</w:t>
                  </w:r>
                  <w:r>
                    <w:rPr>
                      <w:rFonts w:ascii="Times New Roman" w:hAnsi="Times New Roman" w:eastAsia="Times New Roman" w:cs="Times New Roman"/>
                      <w:b/>
                      <w:bCs/>
                      <w:spacing w:val="-1"/>
                    </w:rPr>
                    <w:t>mg/m</w:t>
                  </w:r>
                  <w:r>
                    <w:rPr>
                      <w:rFonts w:ascii="Times New Roman" w:hAnsi="Times New Roman" w:eastAsia="Times New Roman" w:cs="Times New Roman"/>
                      <w:b/>
                      <w:bCs/>
                      <w:spacing w:val="-1"/>
                      <w:position w:val="1"/>
                      <w:sz w:val="13"/>
                      <w:szCs w:val="13"/>
                    </w:rPr>
                    <w:t>3</w:t>
                  </w:r>
                  <w:r>
                    <w:rPr>
                      <w:b/>
                      <w:bCs/>
                      <w:spacing w:val="-1"/>
                      <w:position w:val="1"/>
                    </w:rPr>
                    <w:t>）</w:t>
                  </w:r>
                </w:p>
              </w:tc>
            </w:tr>
            <w:tr w14:paraId="50E1A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464" w:type="dxa"/>
                  <w:vAlign w:val="top"/>
                </w:tcPr>
                <w:p w14:paraId="2830B5C3">
                  <w:pPr>
                    <w:pStyle w:val="6"/>
                    <w:spacing w:before="57" w:line="221" w:lineRule="auto"/>
                    <w:ind w:left="419"/>
                  </w:pPr>
                  <w:r>
                    <w:rPr>
                      <w:spacing w:val="-1"/>
                    </w:rPr>
                    <w:t>颗粒物</w:t>
                  </w:r>
                </w:p>
              </w:tc>
              <w:tc>
                <w:tcPr>
                  <w:tcW w:w="3320" w:type="dxa"/>
                  <w:vAlign w:val="top"/>
                </w:tcPr>
                <w:p w14:paraId="32F60EA0">
                  <w:pPr>
                    <w:pStyle w:val="6"/>
                    <w:spacing w:before="56" w:line="221" w:lineRule="auto"/>
                    <w:ind w:left="823"/>
                  </w:pPr>
                  <w:r>
                    <w:rPr>
                      <w:spacing w:val="-1"/>
                    </w:rPr>
                    <w:t>周界外浓度最高点</w:t>
                  </w:r>
                </w:p>
              </w:tc>
              <w:tc>
                <w:tcPr>
                  <w:tcW w:w="3500" w:type="dxa"/>
                  <w:vAlign w:val="top"/>
                </w:tcPr>
                <w:p w14:paraId="425CCD0F">
                  <w:pPr>
                    <w:spacing w:before="91" w:line="221" w:lineRule="auto"/>
                    <w:ind w:left="164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w:t>
                  </w:r>
                </w:p>
              </w:tc>
            </w:tr>
          </w:tbl>
          <w:p w14:paraId="0524D726">
            <w:pPr>
              <w:pStyle w:val="6"/>
              <w:spacing w:before="118" w:line="233" w:lineRule="auto"/>
              <w:ind w:left="601"/>
              <w:rPr>
                <w:sz w:val="24"/>
                <w:szCs w:val="24"/>
              </w:rPr>
            </w:pPr>
            <w:r>
              <w:rPr>
                <w:b/>
                <w:bCs/>
                <w:spacing w:val="-7"/>
                <w:sz w:val="24"/>
                <w:szCs w:val="24"/>
              </w:rPr>
              <w:t>（</w:t>
            </w:r>
            <w:r>
              <w:rPr>
                <w:rFonts w:ascii="Times New Roman" w:hAnsi="Times New Roman" w:eastAsia="Times New Roman" w:cs="Times New Roman"/>
                <w:b/>
                <w:bCs/>
                <w:spacing w:val="-7"/>
                <w:sz w:val="24"/>
                <w:szCs w:val="24"/>
              </w:rPr>
              <w:t>2</w:t>
            </w:r>
            <w:r>
              <w:rPr>
                <w:b/>
                <w:bCs/>
                <w:spacing w:val="-7"/>
                <w:sz w:val="24"/>
                <w:szCs w:val="24"/>
              </w:rPr>
              <w:t>）废水</w:t>
            </w:r>
          </w:p>
          <w:p w14:paraId="3808868B">
            <w:pPr>
              <w:pStyle w:val="6"/>
              <w:spacing w:before="171" w:line="365" w:lineRule="auto"/>
              <w:ind w:left="115" w:right="110" w:firstLine="476"/>
              <w:rPr>
                <w:sz w:val="24"/>
                <w:szCs w:val="24"/>
              </w:rPr>
            </w:pPr>
            <w:r>
              <w:rPr>
                <w:spacing w:val="-4"/>
                <w:sz w:val="24"/>
                <w:szCs w:val="24"/>
              </w:rPr>
              <w:t>施工期废水经临时沉淀池处理后回用或洒水降尘，不外排。项目运营期无废水产生。</w:t>
            </w:r>
          </w:p>
          <w:p w14:paraId="2049B785">
            <w:pPr>
              <w:pStyle w:val="6"/>
              <w:spacing w:line="234" w:lineRule="auto"/>
              <w:ind w:left="601"/>
              <w:rPr>
                <w:sz w:val="24"/>
                <w:szCs w:val="24"/>
              </w:rPr>
            </w:pPr>
            <w:r>
              <w:rPr>
                <w:b/>
                <w:bCs/>
                <w:spacing w:val="-8"/>
                <w:sz w:val="24"/>
                <w:szCs w:val="24"/>
              </w:rPr>
              <w:t>（</w:t>
            </w:r>
            <w:r>
              <w:rPr>
                <w:rFonts w:ascii="Times New Roman" w:hAnsi="Times New Roman" w:eastAsia="Times New Roman" w:cs="Times New Roman"/>
                <w:b/>
                <w:bCs/>
                <w:spacing w:val="-8"/>
                <w:sz w:val="24"/>
                <w:szCs w:val="24"/>
              </w:rPr>
              <w:t>3</w:t>
            </w:r>
            <w:r>
              <w:rPr>
                <w:b/>
                <w:bCs/>
                <w:spacing w:val="-8"/>
                <w:sz w:val="24"/>
                <w:szCs w:val="24"/>
              </w:rPr>
              <w:t>）噪声</w:t>
            </w:r>
          </w:p>
          <w:p w14:paraId="03827C4B">
            <w:pPr>
              <w:pStyle w:val="6"/>
              <w:spacing w:before="168" w:line="217" w:lineRule="auto"/>
              <w:ind w:left="591"/>
              <w:rPr>
                <w:sz w:val="24"/>
                <w:szCs w:val="24"/>
              </w:rPr>
            </w:pPr>
            <w:r>
              <w:rPr>
                <w:spacing w:val="-3"/>
                <w:sz w:val="24"/>
                <w:szCs w:val="24"/>
              </w:rPr>
              <w:t>①施工期</w:t>
            </w:r>
          </w:p>
          <w:p w14:paraId="3196DCC7">
            <w:pPr>
              <w:pStyle w:val="6"/>
              <w:spacing w:before="193" w:line="340" w:lineRule="auto"/>
              <w:ind w:left="113" w:right="7" w:firstLine="482"/>
              <w:rPr>
                <w:sz w:val="24"/>
                <w:szCs w:val="24"/>
              </w:rPr>
            </w:pPr>
            <w:r>
              <w:rPr>
                <w:spacing w:val="-8"/>
                <w:sz w:val="24"/>
                <w:szCs w:val="24"/>
              </w:rPr>
              <w:t>项目施工期间噪声执行《建筑施工场界环境噪声排放标准》（</w:t>
            </w:r>
            <w:r>
              <w:rPr>
                <w:rFonts w:ascii="Times New Roman" w:hAnsi="Times New Roman" w:eastAsia="Times New Roman" w:cs="Times New Roman"/>
                <w:spacing w:val="-8"/>
                <w:sz w:val="24"/>
                <w:szCs w:val="24"/>
              </w:rPr>
              <w:t>GB12523-2011</w:t>
            </w:r>
            <w:r>
              <w:rPr>
                <w:spacing w:val="-8"/>
                <w:sz w:val="24"/>
                <w:szCs w:val="24"/>
              </w:rPr>
              <w:t>）</w:t>
            </w:r>
            <w:r>
              <w:rPr>
                <w:spacing w:val="-3"/>
                <w:sz w:val="24"/>
                <w:szCs w:val="24"/>
              </w:rPr>
              <w:t>要求，标准详见下表。</w:t>
            </w:r>
          </w:p>
          <w:p w14:paraId="648DB685">
            <w:pPr>
              <w:pStyle w:val="6"/>
              <w:spacing w:line="229" w:lineRule="auto"/>
              <w:ind w:left="1721"/>
            </w:pPr>
            <w:r>
              <w:rPr>
                <w:b/>
                <w:bCs/>
                <w:spacing w:val="-1"/>
              </w:rPr>
              <w:t>表</w:t>
            </w:r>
            <w:r>
              <w:rPr>
                <w:spacing w:val="-46"/>
              </w:rPr>
              <w:t xml:space="preserve"> </w:t>
            </w:r>
            <w:r>
              <w:rPr>
                <w:rFonts w:ascii="Times New Roman" w:hAnsi="Times New Roman" w:eastAsia="Times New Roman" w:cs="Times New Roman"/>
                <w:b/>
                <w:bCs/>
                <w:spacing w:val="-1"/>
              </w:rPr>
              <w:t xml:space="preserve">3-13    </w:t>
            </w:r>
            <w:r>
              <w:rPr>
                <w:b/>
                <w:bCs/>
                <w:spacing w:val="-1"/>
              </w:rPr>
              <w:t>建筑施工场界噪声排放限值</w:t>
            </w:r>
            <w:r>
              <w:rPr>
                <w:spacing w:val="-1"/>
              </w:rPr>
              <w:t xml:space="preserve">  </w:t>
            </w:r>
            <w:r>
              <w:rPr>
                <w:b/>
                <w:bCs/>
                <w:spacing w:val="-1"/>
              </w:rPr>
              <w:t>单位：</w:t>
            </w:r>
            <w:r>
              <w:rPr>
                <w:rFonts w:ascii="Times New Roman" w:hAnsi="Times New Roman" w:eastAsia="Times New Roman" w:cs="Times New Roman"/>
                <w:b/>
                <w:bCs/>
                <w:spacing w:val="-2"/>
              </w:rPr>
              <w:t>dB</w:t>
            </w:r>
            <w:r>
              <w:rPr>
                <w:b/>
                <w:bCs/>
                <w:spacing w:val="-2"/>
              </w:rPr>
              <w:t>（</w:t>
            </w:r>
            <w:r>
              <w:rPr>
                <w:rFonts w:ascii="Times New Roman" w:hAnsi="Times New Roman" w:eastAsia="Times New Roman" w:cs="Times New Roman"/>
                <w:b/>
                <w:bCs/>
                <w:spacing w:val="-2"/>
              </w:rPr>
              <w:t>A</w:t>
            </w:r>
            <w:r>
              <w:rPr>
                <w:b/>
                <w:bCs/>
                <w:spacing w:val="-2"/>
              </w:rPr>
              <w:t>）</w:t>
            </w:r>
          </w:p>
          <w:tbl>
            <w:tblPr>
              <w:tblStyle w:val="5"/>
              <w:tblW w:w="8284" w:type="dxa"/>
              <w:tblInd w:w="1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863"/>
              <w:gridCol w:w="4421"/>
            </w:tblGrid>
            <w:tr w14:paraId="0516B3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3863" w:type="dxa"/>
                  <w:vAlign w:val="top"/>
                </w:tcPr>
                <w:p w14:paraId="493D7C41">
                  <w:pPr>
                    <w:pStyle w:val="6"/>
                    <w:spacing w:before="60" w:line="223" w:lineRule="auto"/>
                    <w:ind w:left="1726"/>
                  </w:pPr>
                  <w:r>
                    <w:rPr>
                      <w:b/>
                      <w:bCs/>
                      <w:spacing w:val="-4"/>
                    </w:rPr>
                    <w:t>昼间</w:t>
                  </w:r>
                </w:p>
              </w:tc>
              <w:tc>
                <w:tcPr>
                  <w:tcW w:w="4421" w:type="dxa"/>
                  <w:vAlign w:val="top"/>
                </w:tcPr>
                <w:p w14:paraId="5594F218">
                  <w:pPr>
                    <w:pStyle w:val="6"/>
                    <w:spacing w:before="60" w:line="221" w:lineRule="auto"/>
                    <w:ind w:left="2008"/>
                  </w:pPr>
                  <w:r>
                    <w:rPr>
                      <w:b/>
                      <w:bCs/>
                      <w:spacing w:val="-5"/>
                    </w:rPr>
                    <w:t>夜间</w:t>
                  </w:r>
                </w:p>
              </w:tc>
            </w:tr>
            <w:tr w14:paraId="2B2258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3863" w:type="dxa"/>
                  <w:vAlign w:val="top"/>
                </w:tcPr>
                <w:p w14:paraId="2E9D2567">
                  <w:pPr>
                    <w:spacing w:before="90" w:line="221" w:lineRule="auto"/>
                    <w:ind w:left="183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70</w:t>
                  </w:r>
                </w:p>
              </w:tc>
              <w:tc>
                <w:tcPr>
                  <w:tcW w:w="4421" w:type="dxa"/>
                  <w:vAlign w:val="top"/>
                </w:tcPr>
                <w:p w14:paraId="1A223967">
                  <w:pPr>
                    <w:spacing w:before="90" w:line="221" w:lineRule="auto"/>
                    <w:ind w:left="211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55</w:t>
                  </w:r>
                </w:p>
              </w:tc>
            </w:tr>
          </w:tbl>
          <w:p w14:paraId="282A966A">
            <w:pPr>
              <w:pStyle w:val="6"/>
              <w:spacing w:before="118" w:line="217" w:lineRule="auto"/>
              <w:ind w:left="590"/>
              <w:rPr>
                <w:sz w:val="24"/>
                <w:szCs w:val="24"/>
              </w:rPr>
            </w:pPr>
            <w:r>
              <w:rPr>
                <w:spacing w:val="-2"/>
                <w:sz w:val="24"/>
                <w:szCs w:val="24"/>
              </w:rPr>
              <w:t>②运营期</w:t>
            </w:r>
          </w:p>
          <w:p w14:paraId="738160A4">
            <w:pPr>
              <w:pStyle w:val="6"/>
              <w:spacing w:before="195" w:line="352" w:lineRule="auto"/>
              <w:ind w:left="112" w:right="8" w:firstLine="479"/>
              <w:rPr>
                <w:sz w:val="24"/>
                <w:szCs w:val="24"/>
              </w:rPr>
            </w:pPr>
            <w:r>
              <w:rPr>
                <w:spacing w:val="-1"/>
                <w:sz w:val="24"/>
                <w:szCs w:val="24"/>
              </w:rPr>
              <w:t>输电线路无相应噪声排放标准，运行期沿线噪声应满足《声环境质量标准》</w:t>
            </w:r>
            <w:r>
              <w:rPr>
                <w:spacing w:val="14"/>
                <w:sz w:val="24"/>
                <w:szCs w:val="24"/>
              </w:rPr>
              <w:t xml:space="preserve"> </w:t>
            </w:r>
            <w:r>
              <w:rPr>
                <w:spacing w:val="-1"/>
                <w:sz w:val="24"/>
                <w:szCs w:val="24"/>
              </w:rPr>
              <w:t>（</w:t>
            </w:r>
            <w:r>
              <w:rPr>
                <w:rFonts w:ascii="Times New Roman" w:hAnsi="Times New Roman" w:eastAsia="Times New Roman" w:cs="Times New Roman"/>
                <w:spacing w:val="-1"/>
                <w:sz w:val="24"/>
                <w:szCs w:val="24"/>
              </w:rPr>
              <w:t>GB3096-2008</w:t>
            </w:r>
            <w:r>
              <w:rPr>
                <w:spacing w:val="-1"/>
                <w:sz w:val="24"/>
                <w:szCs w:val="24"/>
              </w:rPr>
              <w:t>）</w:t>
            </w:r>
            <w:r>
              <w:rPr>
                <w:rFonts w:ascii="Times New Roman" w:hAnsi="Times New Roman" w:eastAsia="Times New Roman" w:cs="Times New Roman"/>
                <w:spacing w:val="-1"/>
                <w:sz w:val="24"/>
                <w:szCs w:val="24"/>
              </w:rPr>
              <w:t>1</w:t>
            </w:r>
            <w:r>
              <w:rPr>
                <w:rFonts w:ascii="Times New Roman" w:hAnsi="Times New Roman" w:eastAsia="Times New Roman" w:cs="Times New Roman"/>
                <w:spacing w:val="18"/>
                <w:w w:val="101"/>
                <w:sz w:val="24"/>
                <w:szCs w:val="24"/>
              </w:rPr>
              <w:t xml:space="preserve"> </w:t>
            </w:r>
            <w:r>
              <w:rPr>
                <w:spacing w:val="-1"/>
                <w:sz w:val="24"/>
                <w:szCs w:val="24"/>
              </w:rPr>
              <w:t>类标准，</w:t>
            </w:r>
            <w:r>
              <w:rPr>
                <w:rFonts w:ascii="Times New Roman" w:hAnsi="Times New Roman" w:eastAsia="Times New Roman" w:cs="Times New Roman"/>
                <w:spacing w:val="-1"/>
                <w:sz w:val="24"/>
                <w:szCs w:val="24"/>
              </w:rPr>
              <w:t>500kV</w:t>
            </w:r>
            <w:r>
              <w:rPr>
                <w:rFonts w:ascii="Times New Roman" w:hAnsi="Times New Roman" w:eastAsia="Times New Roman" w:cs="Times New Roman"/>
                <w:spacing w:val="26"/>
                <w:sz w:val="24"/>
                <w:szCs w:val="24"/>
              </w:rPr>
              <w:t xml:space="preserve"> </w:t>
            </w:r>
            <w:r>
              <w:rPr>
                <w:spacing w:val="-1"/>
                <w:sz w:val="24"/>
                <w:szCs w:val="24"/>
              </w:rPr>
              <w:t>乐业变电站、</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18"/>
                <w:sz w:val="24"/>
                <w:szCs w:val="24"/>
              </w:rPr>
              <w:t xml:space="preserve"> </w:t>
            </w:r>
            <w:r>
              <w:rPr>
                <w:spacing w:val="-1"/>
                <w:sz w:val="24"/>
                <w:szCs w:val="24"/>
              </w:rPr>
              <w:t>迤车变电站、迤车牵引</w:t>
            </w:r>
            <w:r>
              <w:rPr>
                <w:spacing w:val="-3"/>
                <w:sz w:val="24"/>
                <w:szCs w:val="24"/>
              </w:rPr>
              <w:t>变围墙外执行《工业企业厂界环境噪声排放标准》（</w:t>
            </w:r>
            <w:r>
              <w:rPr>
                <w:rFonts w:ascii="Times New Roman" w:hAnsi="Times New Roman" w:eastAsia="Times New Roman" w:cs="Times New Roman"/>
                <w:spacing w:val="-3"/>
                <w:sz w:val="24"/>
                <w:szCs w:val="24"/>
              </w:rPr>
              <w:t>GB12348-200</w:t>
            </w:r>
            <w:r>
              <w:rPr>
                <w:rFonts w:ascii="Times New Roman" w:hAnsi="Times New Roman" w:eastAsia="Times New Roman" w:cs="Times New Roman"/>
                <w:spacing w:val="-4"/>
                <w:sz w:val="24"/>
                <w:szCs w:val="24"/>
              </w:rPr>
              <w:t>8</w:t>
            </w:r>
            <w:r>
              <w:rPr>
                <w:spacing w:val="-4"/>
                <w:sz w:val="24"/>
                <w:szCs w:val="24"/>
              </w:rPr>
              <w:t>）</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24"/>
                <w:sz w:val="24"/>
                <w:szCs w:val="24"/>
              </w:rPr>
              <w:t xml:space="preserve"> </w:t>
            </w:r>
            <w:r>
              <w:rPr>
                <w:spacing w:val="-4"/>
                <w:sz w:val="24"/>
                <w:szCs w:val="24"/>
              </w:rPr>
              <w:t>类标准。</w:t>
            </w:r>
            <w:r>
              <w:rPr>
                <w:spacing w:val="-7"/>
                <w:sz w:val="24"/>
                <w:szCs w:val="24"/>
              </w:rPr>
              <w:t>限值见下表。</w:t>
            </w:r>
          </w:p>
          <w:p w14:paraId="16864CBA">
            <w:pPr>
              <w:pStyle w:val="6"/>
              <w:spacing w:line="229" w:lineRule="auto"/>
              <w:ind w:left="2249"/>
            </w:pPr>
            <w:r>
              <w:rPr>
                <w:b/>
                <w:bCs/>
                <w:spacing w:val="-1"/>
              </w:rPr>
              <w:t>表</w:t>
            </w:r>
            <w:r>
              <w:rPr>
                <w:spacing w:val="-47"/>
              </w:rPr>
              <w:t xml:space="preserve"> </w:t>
            </w:r>
            <w:r>
              <w:rPr>
                <w:rFonts w:ascii="Times New Roman" w:hAnsi="Times New Roman" w:eastAsia="Times New Roman" w:cs="Times New Roman"/>
                <w:b/>
                <w:bCs/>
                <w:spacing w:val="-1"/>
              </w:rPr>
              <w:t xml:space="preserve">3-14    </w:t>
            </w:r>
            <w:r>
              <w:rPr>
                <w:b/>
                <w:bCs/>
                <w:spacing w:val="-1"/>
              </w:rPr>
              <w:t>声环境质量标准</w:t>
            </w:r>
            <w:r>
              <w:rPr>
                <w:spacing w:val="-1"/>
              </w:rPr>
              <w:t xml:space="preserve">  </w:t>
            </w:r>
            <w:r>
              <w:rPr>
                <w:b/>
                <w:bCs/>
                <w:spacing w:val="-1"/>
              </w:rPr>
              <w:t>单位：</w:t>
            </w:r>
            <w:r>
              <w:rPr>
                <w:rFonts w:ascii="Times New Roman" w:hAnsi="Times New Roman" w:eastAsia="Times New Roman" w:cs="Times New Roman"/>
                <w:b/>
                <w:bCs/>
                <w:spacing w:val="-1"/>
              </w:rPr>
              <w:t>dB</w:t>
            </w:r>
            <w:r>
              <w:rPr>
                <w:b/>
                <w:bCs/>
                <w:spacing w:val="-1"/>
              </w:rPr>
              <w:t>（</w:t>
            </w:r>
            <w:r>
              <w:rPr>
                <w:rFonts w:ascii="Times New Roman" w:hAnsi="Times New Roman" w:eastAsia="Times New Roman" w:cs="Times New Roman"/>
                <w:b/>
                <w:bCs/>
                <w:spacing w:val="-2"/>
              </w:rPr>
              <w:t>A</w:t>
            </w:r>
            <w:r>
              <w:rPr>
                <w:b/>
                <w:bCs/>
                <w:spacing w:val="-2"/>
              </w:rPr>
              <w:t>）</w:t>
            </w:r>
          </w:p>
          <w:tbl>
            <w:tblPr>
              <w:tblStyle w:val="5"/>
              <w:tblW w:w="8284" w:type="dxa"/>
              <w:tblInd w:w="1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64"/>
              <w:gridCol w:w="2759"/>
              <w:gridCol w:w="2761"/>
            </w:tblGrid>
            <w:tr w14:paraId="6C10E0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2764" w:type="dxa"/>
                  <w:vAlign w:val="top"/>
                </w:tcPr>
                <w:p w14:paraId="61BE2572">
                  <w:pPr>
                    <w:pStyle w:val="6"/>
                    <w:spacing w:before="60" w:line="221" w:lineRule="auto"/>
                    <w:ind w:left="1177"/>
                  </w:pPr>
                  <w:r>
                    <w:rPr>
                      <w:b/>
                      <w:bCs/>
                      <w:spacing w:val="-4"/>
                    </w:rPr>
                    <w:t>类别</w:t>
                  </w:r>
                </w:p>
              </w:tc>
              <w:tc>
                <w:tcPr>
                  <w:tcW w:w="2759" w:type="dxa"/>
                  <w:vAlign w:val="top"/>
                </w:tcPr>
                <w:p w14:paraId="0E49FAA8">
                  <w:pPr>
                    <w:pStyle w:val="6"/>
                    <w:spacing w:before="60" w:line="222" w:lineRule="auto"/>
                    <w:ind w:left="1172"/>
                  </w:pPr>
                  <w:r>
                    <w:rPr>
                      <w:b/>
                      <w:bCs/>
                      <w:spacing w:val="-4"/>
                    </w:rPr>
                    <w:t>昼间</w:t>
                  </w:r>
                </w:p>
              </w:tc>
              <w:tc>
                <w:tcPr>
                  <w:tcW w:w="2761" w:type="dxa"/>
                  <w:vAlign w:val="top"/>
                </w:tcPr>
                <w:p w14:paraId="408CF9C2">
                  <w:pPr>
                    <w:pStyle w:val="6"/>
                    <w:spacing w:before="60" w:line="221" w:lineRule="auto"/>
                    <w:ind w:left="1176"/>
                  </w:pPr>
                  <w:r>
                    <w:rPr>
                      <w:b/>
                      <w:bCs/>
                      <w:spacing w:val="-5"/>
                    </w:rPr>
                    <w:t>夜间</w:t>
                  </w:r>
                </w:p>
              </w:tc>
            </w:tr>
            <w:tr w14:paraId="7FA296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764" w:type="dxa"/>
                  <w:vAlign w:val="top"/>
                </w:tcPr>
                <w:p w14:paraId="3AA69F69">
                  <w:pPr>
                    <w:spacing w:before="91" w:line="221" w:lineRule="auto"/>
                    <w:ind w:left="1352"/>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2759" w:type="dxa"/>
                  <w:vAlign w:val="top"/>
                </w:tcPr>
                <w:p w14:paraId="3C35132A">
                  <w:pPr>
                    <w:spacing w:before="91" w:line="221" w:lineRule="auto"/>
                    <w:ind w:left="128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55</w:t>
                  </w:r>
                </w:p>
              </w:tc>
              <w:tc>
                <w:tcPr>
                  <w:tcW w:w="2761" w:type="dxa"/>
                  <w:vAlign w:val="top"/>
                </w:tcPr>
                <w:p w14:paraId="0AC5FC9F">
                  <w:pPr>
                    <w:spacing w:before="91" w:line="221" w:lineRule="auto"/>
                    <w:ind w:left="127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r>
          </w:tbl>
          <w:p w14:paraId="5D04F5C2">
            <w:pPr>
              <w:spacing w:line="300" w:lineRule="auto"/>
              <w:rPr>
                <w:rFonts w:ascii="Arial"/>
                <w:sz w:val="21"/>
              </w:rPr>
            </w:pPr>
          </w:p>
          <w:p w14:paraId="084E1A46">
            <w:pPr>
              <w:pStyle w:val="6"/>
              <w:spacing w:before="69" w:line="231" w:lineRule="auto"/>
              <w:ind w:left="1459"/>
            </w:pPr>
            <w:r>
              <w:rPr>
                <w:b/>
                <w:bCs/>
                <w:spacing w:val="-1"/>
              </w:rPr>
              <w:t>表</w:t>
            </w:r>
            <w:r>
              <w:rPr>
                <w:spacing w:val="-47"/>
              </w:rPr>
              <w:t xml:space="preserve"> </w:t>
            </w:r>
            <w:r>
              <w:rPr>
                <w:rFonts w:ascii="Times New Roman" w:hAnsi="Times New Roman" w:eastAsia="Times New Roman" w:cs="Times New Roman"/>
                <w:b/>
                <w:bCs/>
                <w:spacing w:val="-1"/>
              </w:rPr>
              <w:t xml:space="preserve">3-15    </w:t>
            </w:r>
            <w:r>
              <w:rPr>
                <w:b/>
                <w:bCs/>
                <w:spacing w:val="-1"/>
              </w:rPr>
              <w:t>工业企业厂界环境噪声排放标准</w:t>
            </w:r>
            <w:r>
              <w:rPr>
                <w:spacing w:val="-1"/>
              </w:rPr>
              <w:t xml:space="preserve">   </w:t>
            </w:r>
            <w:r>
              <w:rPr>
                <w:b/>
                <w:bCs/>
                <w:spacing w:val="-1"/>
              </w:rPr>
              <w:t>单位：</w:t>
            </w:r>
            <w:r>
              <w:rPr>
                <w:rFonts w:ascii="Times New Roman" w:hAnsi="Times New Roman" w:eastAsia="Times New Roman" w:cs="Times New Roman"/>
                <w:b/>
                <w:bCs/>
                <w:spacing w:val="-2"/>
              </w:rPr>
              <w:t>dB</w:t>
            </w:r>
            <w:r>
              <w:rPr>
                <w:b/>
                <w:bCs/>
                <w:spacing w:val="-2"/>
              </w:rPr>
              <w:t>（</w:t>
            </w:r>
            <w:r>
              <w:rPr>
                <w:rFonts w:ascii="Times New Roman" w:hAnsi="Times New Roman" w:eastAsia="Times New Roman" w:cs="Times New Roman"/>
                <w:b/>
                <w:bCs/>
                <w:spacing w:val="-2"/>
              </w:rPr>
              <w:t>A</w:t>
            </w:r>
            <w:r>
              <w:rPr>
                <w:b/>
                <w:bCs/>
                <w:spacing w:val="-2"/>
              </w:rPr>
              <w:t>）</w:t>
            </w:r>
          </w:p>
          <w:tbl>
            <w:tblPr>
              <w:tblStyle w:val="5"/>
              <w:tblW w:w="8284" w:type="dxa"/>
              <w:tblInd w:w="105"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764"/>
              <w:gridCol w:w="2759"/>
              <w:gridCol w:w="2761"/>
            </w:tblGrid>
            <w:tr w14:paraId="31040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2764" w:type="dxa"/>
                  <w:vAlign w:val="top"/>
                </w:tcPr>
                <w:p w14:paraId="46FCF740">
                  <w:pPr>
                    <w:pStyle w:val="6"/>
                    <w:spacing w:before="58" w:line="221" w:lineRule="auto"/>
                    <w:ind w:left="1177"/>
                  </w:pPr>
                  <w:r>
                    <w:rPr>
                      <w:b/>
                      <w:bCs/>
                      <w:spacing w:val="-4"/>
                    </w:rPr>
                    <w:t>类别</w:t>
                  </w:r>
                </w:p>
              </w:tc>
              <w:tc>
                <w:tcPr>
                  <w:tcW w:w="2759" w:type="dxa"/>
                  <w:vAlign w:val="top"/>
                </w:tcPr>
                <w:p w14:paraId="26C8A5D6">
                  <w:pPr>
                    <w:pStyle w:val="6"/>
                    <w:spacing w:before="59" w:line="222" w:lineRule="auto"/>
                    <w:ind w:left="1172"/>
                  </w:pPr>
                  <w:r>
                    <w:rPr>
                      <w:b/>
                      <w:bCs/>
                      <w:spacing w:val="-4"/>
                    </w:rPr>
                    <w:t>昼间</w:t>
                  </w:r>
                </w:p>
              </w:tc>
              <w:tc>
                <w:tcPr>
                  <w:tcW w:w="2761" w:type="dxa"/>
                  <w:vAlign w:val="top"/>
                </w:tcPr>
                <w:p w14:paraId="23A5DC8D">
                  <w:pPr>
                    <w:pStyle w:val="6"/>
                    <w:spacing w:before="58" w:line="221" w:lineRule="auto"/>
                    <w:ind w:left="1176"/>
                  </w:pPr>
                  <w:r>
                    <w:rPr>
                      <w:b/>
                      <w:bCs/>
                      <w:spacing w:val="-5"/>
                    </w:rPr>
                    <w:t>夜间</w:t>
                  </w:r>
                </w:p>
              </w:tc>
            </w:tr>
            <w:tr w14:paraId="22DA41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2764" w:type="dxa"/>
                  <w:vAlign w:val="top"/>
                </w:tcPr>
                <w:p w14:paraId="5C61881F">
                  <w:pPr>
                    <w:spacing w:before="93" w:line="218" w:lineRule="auto"/>
                    <w:ind w:left="1332"/>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2759" w:type="dxa"/>
                  <w:vAlign w:val="top"/>
                </w:tcPr>
                <w:p w14:paraId="56F02DAF">
                  <w:pPr>
                    <w:spacing w:before="93" w:line="218" w:lineRule="auto"/>
                    <w:ind w:left="12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60</w:t>
                  </w:r>
                </w:p>
              </w:tc>
              <w:tc>
                <w:tcPr>
                  <w:tcW w:w="2761" w:type="dxa"/>
                  <w:vAlign w:val="top"/>
                </w:tcPr>
                <w:p w14:paraId="7039398D">
                  <w:pPr>
                    <w:spacing w:before="93" w:line="218" w:lineRule="auto"/>
                    <w:ind w:left="128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r>
          </w:tbl>
          <w:p w14:paraId="1987F76F">
            <w:pPr>
              <w:pStyle w:val="6"/>
              <w:spacing w:before="118"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4</w:t>
            </w:r>
            <w:r>
              <w:rPr>
                <w:b/>
                <w:bCs/>
                <w:spacing w:val="-4"/>
                <w:sz w:val="24"/>
                <w:szCs w:val="24"/>
              </w:rPr>
              <w:t>）电磁环境控制限值</w:t>
            </w:r>
          </w:p>
          <w:p w14:paraId="44B4FE2D">
            <w:pPr>
              <w:pStyle w:val="6"/>
              <w:spacing w:before="173" w:line="333" w:lineRule="auto"/>
              <w:ind w:left="113" w:right="23" w:firstLine="480"/>
              <w:jc w:val="both"/>
              <w:rPr>
                <w:sz w:val="24"/>
                <w:szCs w:val="24"/>
              </w:rPr>
            </w:pPr>
            <w:r>
              <w:rPr>
                <w:spacing w:val="-7"/>
                <w:sz w:val="24"/>
                <w:szCs w:val="24"/>
              </w:rPr>
              <w:t>依据《电磁环境控制限值》（</w:t>
            </w:r>
            <w:r>
              <w:rPr>
                <w:rFonts w:ascii="Times New Roman" w:hAnsi="Times New Roman" w:eastAsia="Times New Roman" w:cs="Times New Roman"/>
                <w:spacing w:val="-7"/>
                <w:sz w:val="24"/>
                <w:szCs w:val="24"/>
              </w:rPr>
              <w:t>GB8702-2014</w:t>
            </w:r>
            <w:r>
              <w:rPr>
                <w:spacing w:val="-7"/>
                <w:sz w:val="24"/>
                <w:szCs w:val="24"/>
              </w:rPr>
              <w:t>）规定，本项目以</w:t>
            </w:r>
            <w:r>
              <w:rPr>
                <w:spacing w:val="-55"/>
                <w:sz w:val="24"/>
                <w:szCs w:val="24"/>
              </w:rPr>
              <w:t xml:space="preserve"> </w:t>
            </w:r>
            <w:r>
              <w:rPr>
                <w:rFonts w:ascii="Times New Roman" w:hAnsi="Times New Roman" w:eastAsia="Times New Roman" w:cs="Times New Roman"/>
                <w:spacing w:val="-7"/>
                <w:sz w:val="24"/>
                <w:szCs w:val="24"/>
              </w:rPr>
              <w:t>200/0.0</w:t>
            </w:r>
            <w:r>
              <w:rPr>
                <w:rFonts w:ascii="Times New Roman" w:hAnsi="Times New Roman" w:eastAsia="Times New Roman" w:cs="Times New Roman"/>
                <w:spacing w:val="-8"/>
                <w:sz w:val="24"/>
                <w:szCs w:val="24"/>
              </w:rPr>
              <w:t>5=4kV/m</w:t>
            </w:r>
            <w:r>
              <w:rPr>
                <w:spacing w:val="-1"/>
                <w:sz w:val="24"/>
                <w:szCs w:val="24"/>
              </w:rPr>
              <w:t xml:space="preserve">作为工频电场强度公众暴露控制限值，以 </w:t>
            </w:r>
            <w:r>
              <w:rPr>
                <w:rFonts w:ascii="Times New Roman" w:hAnsi="Times New Roman" w:eastAsia="Times New Roman" w:cs="Times New Roman"/>
                <w:spacing w:val="-1"/>
                <w:sz w:val="24"/>
                <w:szCs w:val="24"/>
              </w:rPr>
              <w:t>5/0.05=100μT</w:t>
            </w:r>
            <w:r>
              <w:rPr>
                <w:rFonts w:ascii="Times New Roman" w:hAnsi="Times New Roman" w:eastAsia="Times New Roman" w:cs="Times New Roman"/>
                <w:spacing w:val="46"/>
                <w:sz w:val="24"/>
                <w:szCs w:val="24"/>
              </w:rPr>
              <w:t xml:space="preserve"> </w:t>
            </w:r>
            <w:r>
              <w:rPr>
                <w:spacing w:val="-1"/>
                <w:sz w:val="24"/>
                <w:szCs w:val="24"/>
              </w:rPr>
              <w:t>作为工频磁感应</w:t>
            </w:r>
            <w:r>
              <w:rPr>
                <w:spacing w:val="-2"/>
                <w:sz w:val="24"/>
                <w:szCs w:val="24"/>
              </w:rPr>
              <w:t>强度公</w:t>
            </w:r>
            <w:r>
              <w:rPr>
                <w:spacing w:val="-10"/>
                <w:sz w:val="24"/>
                <w:szCs w:val="24"/>
              </w:rPr>
              <w:t>众暴露控制限值。架空输电线下的耕地、园地、</w:t>
            </w:r>
            <w:r>
              <w:rPr>
                <w:spacing w:val="-36"/>
                <w:sz w:val="24"/>
                <w:szCs w:val="24"/>
              </w:rPr>
              <w:t xml:space="preserve"> </w:t>
            </w:r>
            <w:r>
              <w:rPr>
                <w:spacing w:val="-10"/>
                <w:sz w:val="24"/>
                <w:szCs w:val="24"/>
              </w:rPr>
              <w:t>牧草地、畜禽饲养地、养殖水面、</w:t>
            </w:r>
          </w:p>
        </w:tc>
      </w:tr>
    </w:tbl>
    <w:p w14:paraId="71F8B513">
      <w:pPr>
        <w:rPr>
          <w:rFonts w:ascii="Arial"/>
          <w:sz w:val="21"/>
        </w:rPr>
      </w:pPr>
    </w:p>
    <w:p w14:paraId="5121A34B">
      <w:pPr>
        <w:rPr>
          <w:rFonts w:ascii="Arial" w:hAnsi="Arial" w:eastAsia="Arial" w:cs="Arial"/>
          <w:sz w:val="21"/>
          <w:szCs w:val="21"/>
        </w:rPr>
        <w:sectPr>
          <w:footerReference r:id="rId61" w:type="default"/>
          <w:pgSz w:w="11907" w:h="16841"/>
          <w:pgMar w:top="400" w:right="1408" w:bottom="1126" w:left="1414" w:header="0" w:footer="925" w:gutter="0"/>
          <w:cols w:space="720" w:num="1"/>
        </w:sectPr>
      </w:pPr>
    </w:p>
    <w:p w14:paraId="29D28545">
      <w:pPr>
        <w:spacing w:before="2"/>
      </w:pPr>
    </w:p>
    <w:p w14:paraId="0120C804">
      <w:pPr>
        <w:spacing w:before="2"/>
      </w:pPr>
    </w:p>
    <w:p w14:paraId="2A4BB2CF">
      <w:pPr>
        <w:spacing w:before="1"/>
      </w:pPr>
    </w:p>
    <w:p w14:paraId="77979863">
      <w:pPr>
        <w:spacing w:before="1"/>
      </w:pPr>
    </w:p>
    <w:p w14:paraId="6AB5B7C0">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4B2946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5" w:hRule="atLeast"/>
        </w:trPr>
        <w:tc>
          <w:tcPr>
            <w:tcW w:w="571" w:type="dxa"/>
            <w:vAlign w:val="top"/>
          </w:tcPr>
          <w:p w14:paraId="4B455D8D">
            <w:pPr>
              <w:rPr>
                <w:rFonts w:ascii="Arial"/>
                <w:sz w:val="21"/>
              </w:rPr>
            </w:pPr>
          </w:p>
        </w:tc>
        <w:tc>
          <w:tcPr>
            <w:tcW w:w="8507" w:type="dxa"/>
            <w:vAlign w:val="top"/>
          </w:tcPr>
          <w:p w14:paraId="47049932">
            <w:pPr>
              <w:pStyle w:val="6"/>
              <w:spacing w:before="124" w:line="220" w:lineRule="auto"/>
              <w:ind w:left="111"/>
              <w:rPr>
                <w:sz w:val="24"/>
                <w:szCs w:val="24"/>
              </w:rPr>
            </w:pPr>
            <w:r>
              <w:rPr>
                <w:spacing w:val="-3"/>
                <w:sz w:val="24"/>
                <w:szCs w:val="24"/>
              </w:rPr>
              <w:t>道路等场所，其频率</w:t>
            </w:r>
            <w:r>
              <w:rPr>
                <w:spacing w:val="-34"/>
                <w:sz w:val="24"/>
                <w:szCs w:val="24"/>
              </w:rPr>
              <w:t xml:space="preserve"> </w:t>
            </w:r>
            <w:r>
              <w:rPr>
                <w:rFonts w:ascii="Times New Roman" w:hAnsi="Times New Roman" w:eastAsia="Times New Roman" w:cs="Times New Roman"/>
                <w:spacing w:val="-3"/>
                <w:sz w:val="24"/>
                <w:szCs w:val="24"/>
              </w:rPr>
              <w:t>50Hz</w:t>
            </w:r>
            <w:r>
              <w:rPr>
                <w:rFonts w:ascii="Times New Roman" w:hAnsi="Times New Roman" w:eastAsia="Times New Roman" w:cs="Times New Roman"/>
                <w:spacing w:val="27"/>
                <w:w w:val="101"/>
                <w:sz w:val="24"/>
                <w:szCs w:val="24"/>
              </w:rPr>
              <w:t xml:space="preserve"> </w:t>
            </w:r>
            <w:r>
              <w:rPr>
                <w:spacing w:val="-3"/>
                <w:sz w:val="24"/>
                <w:szCs w:val="24"/>
              </w:rPr>
              <w:t>的电场强度控制限值为</w:t>
            </w:r>
            <w:r>
              <w:rPr>
                <w:spacing w:val="-32"/>
                <w:sz w:val="24"/>
                <w:szCs w:val="24"/>
              </w:rPr>
              <w:t xml:space="preserve"> </w:t>
            </w:r>
            <w:r>
              <w:rPr>
                <w:rFonts w:ascii="Times New Roman" w:hAnsi="Times New Roman" w:eastAsia="Times New Roman" w:cs="Times New Roman"/>
                <w:spacing w:val="-3"/>
                <w:sz w:val="24"/>
                <w:szCs w:val="24"/>
              </w:rPr>
              <w:t>10kV/m</w:t>
            </w:r>
            <w:r>
              <w:rPr>
                <w:spacing w:val="-3"/>
                <w:sz w:val="24"/>
                <w:szCs w:val="24"/>
              </w:rPr>
              <w:t>。</w:t>
            </w:r>
          </w:p>
        </w:tc>
      </w:tr>
      <w:tr w14:paraId="1E16F1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05" w:hRule="atLeast"/>
        </w:trPr>
        <w:tc>
          <w:tcPr>
            <w:tcW w:w="571" w:type="dxa"/>
            <w:vAlign w:val="top"/>
          </w:tcPr>
          <w:p w14:paraId="09239C13">
            <w:pPr>
              <w:pStyle w:val="6"/>
              <w:spacing w:before="53" w:line="221" w:lineRule="auto"/>
              <w:ind w:left="80"/>
            </w:pPr>
            <w:r>
              <w:rPr>
                <w:spacing w:val="-2"/>
              </w:rPr>
              <w:t>其他</w:t>
            </w:r>
          </w:p>
        </w:tc>
        <w:tc>
          <w:tcPr>
            <w:tcW w:w="8507" w:type="dxa"/>
            <w:vAlign w:val="top"/>
          </w:tcPr>
          <w:p w14:paraId="373941C8">
            <w:pPr>
              <w:pStyle w:val="6"/>
              <w:spacing w:before="117" w:line="219" w:lineRule="auto"/>
              <w:ind w:left="593"/>
              <w:rPr>
                <w:sz w:val="24"/>
                <w:szCs w:val="24"/>
              </w:rPr>
            </w:pPr>
            <w:r>
              <w:rPr>
                <w:spacing w:val="-4"/>
                <w:sz w:val="24"/>
                <w:szCs w:val="24"/>
              </w:rPr>
              <w:t>本项目不涉及总量控制指标。</w:t>
            </w:r>
          </w:p>
        </w:tc>
      </w:tr>
    </w:tbl>
    <w:p w14:paraId="47A122A6">
      <w:pPr>
        <w:rPr>
          <w:rFonts w:ascii="Arial"/>
          <w:sz w:val="21"/>
        </w:rPr>
      </w:pPr>
    </w:p>
    <w:p w14:paraId="55226977">
      <w:pPr>
        <w:rPr>
          <w:rFonts w:ascii="Arial" w:hAnsi="Arial" w:eastAsia="Arial" w:cs="Arial"/>
          <w:sz w:val="21"/>
          <w:szCs w:val="21"/>
        </w:rPr>
        <w:sectPr>
          <w:footerReference r:id="rId62" w:type="default"/>
          <w:pgSz w:w="11907" w:h="16841"/>
          <w:pgMar w:top="400" w:right="1408" w:bottom="1126" w:left="1414" w:header="0" w:footer="925" w:gutter="0"/>
          <w:cols w:space="720" w:num="1"/>
        </w:sectPr>
      </w:pPr>
    </w:p>
    <w:p w14:paraId="02C3D09A">
      <w:pPr>
        <w:spacing w:line="255" w:lineRule="auto"/>
        <w:rPr>
          <w:rFonts w:ascii="Arial"/>
          <w:sz w:val="21"/>
        </w:rPr>
      </w:pPr>
    </w:p>
    <w:p w14:paraId="2570854E">
      <w:pPr>
        <w:spacing w:line="255" w:lineRule="auto"/>
        <w:rPr>
          <w:rFonts w:ascii="Arial"/>
          <w:sz w:val="21"/>
        </w:rPr>
      </w:pPr>
    </w:p>
    <w:p w14:paraId="121DEB41">
      <w:pPr>
        <w:spacing w:line="255" w:lineRule="auto"/>
        <w:rPr>
          <w:rFonts w:ascii="Arial"/>
          <w:sz w:val="21"/>
        </w:rPr>
      </w:pPr>
    </w:p>
    <w:p w14:paraId="4C231419">
      <w:pPr>
        <w:spacing w:line="255" w:lineRule="auto"/>
        <w:rPr>
          <w:rFonts w:ascii="Arial"/>
          <w:sz w:val="21"/>
        </w:rPr>
      </w:pPr>
    </w:p>
    <w:p w14:paraId="482EF9F5">
      <w:pPr>
        <w:spacing w:line="256" w:lineRule="auto"/>
        <w:rPr>
          <w:rFonts w:ascii="Arial"/>
          <w:sz w:val="21"/>
        </w:rPr>
      </w:pPr>
    </w:p>
    <w:p w14:paraId="4F9167A2">
      <w:pPr>
        <w:pStyle w:val="2"/>
        <w:spacing w:before="98" w:line="219" w:lineRule="auto"/>
        <w:ind w:left="3070"/>
        <w:rPr>
          <w:sz w:val="30"/>
          <w:szCs w:val="30"/>
        </w:rPr>
      </w:pPr>
      <w:r>
        <w:rPr>
          <w:spacing w:val="-3"/>
          <w:sz w:val="30"/>
          <w:szCs w:val="30"/>
        </w:rPr>
        <w:t>四、生态环境影响分析</w:t>
      </w:r>
    </w:p>
    <w:p w14:paraId="1929A13D">
      <w:pPr>
        <w:spacing w:line="110" w:lineRule="exact"/>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474C89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72" w:hRule="atLeast"/>
        </w:trPr>
        <w:tc>
          <w:tcPr>
            <w:tcW w:w="571" w:type="dxa"/>
            <w:vMerge w:val="restart"/>
            <w:tcBorders>
              <w:bottom w:val="nil"/>
            </w:tcBorders>
            <w:vAlign w:val="top"/>
          </w:tcPr>
          <w:p w14:paraId="2B6A1FD6">
            <w:pPr>
              <w:rPr>
                <w:rFonts w:ascii="Arial"/>
                <w:sz w:val="21"/>
              </w:rPr>
            </w:pPr>
          </w:p>
          <w:p w14:paraId="44DE28CB">
            <w:pPr>
              <w:rPr>
                <w:rFonts w:ascii="Arial"/>
                <w:sz w:val="21"/>
              </w:rPr>
            </w:pPr>
          </w:p>
          <w:p w14:paraId="005A00FB">
            <w:pPr>
              <w:rPr>
                <w:rFonts w:ascii="Arial"/>
                <w:sz w:val="21"/>
              </w:rPr>
            </w:pPr>
          </w:p>
          <w:p w14:paraId="43A639FF">
            <w:pPr>
              <w:rPr>
                <w:rFonts w:ascii="Arial"/>
                <w:sz w:val="21"/>
              </w:rPr>
            </w:pPr>
          </w:p>
          <w:p w14:paraId="31B2BA55">
            <w:pPr>
              <w:rPr>
                <w:rFonts w:ascii="Arial"/>
                <w:sz w:val="21"/>
              </w:rPr>
            </w:pPr>
          </w:p>
          <w:p w14:paraId="2701D28A">
            <w:pPr>
              <w:rPr>
                <w:rFonts w:ascii="Arial"/>
                <w:sz w:val="21"/>
              </w:rPr>
            </w:pPr>
          </w:p>
          <w:p w14:paraId="10A60837">
            <w:pPr>
              <w:rPr>
                <w:rFonts w:ascii="Arial"/>
                <w:sz w:val="21"/>
              </w:rPr>
            </w:pPr>
          </w:p>
          <w:p w14:paraId="7EE1CDDA">
            <w:pPr>
              <w:rPr>
                <w:rFonts w:ascii="Arial"/>
                <w:sz w:val="21"/>
              </w:rPr>
            </w:pPr>
          </w:p>
          <w:p w14:paraId="3E70EF6A">
            <w:pPr>
              <w:rPr>
                <w:rFonts w:ascii="Arial"/>
                <w:sz w:val="21"/>
              </w:rPr>
            </w:pPr>
          </w:p>
          <w:p w14:paraId="0482C857">
            <w:pPr>
              <w:rPr>
                <w:rFonts w:ascii="Arial"/>
                <w:sz w:val="21"/>
              </w:rPr>
            </w:pPr>
          </w:p>
          <w:p w14:paraId="55C70BBB">
            <w:pPr>
              <w:rPr>
                <w:rFonts w:ascii="Arial"/>
                <w:sz w:val="21"/>
              </w:rPr>
            </w:pPr>
          </w:p>
          <w:p w14:paraId="66345D77">
            <w:pPr>
              <w:rPr>
                <w:rFonts w:ascii="Arial"/>
                <w:sz w:val="21"/>
              </w:rPr>
            </w:pPr>
          </w:p>
          <w:p w14:paraId="7697F959">
            <w:pPr>
              <w:rPr>
                <w:rFonts w:ascii="Arial"/>
                <w:sz w:val="21"/>
              </w:rPr>
            </w:pPr>
          </w:p>
          <w:p w14:paraId="53CD4998">
            <w:pPr>
              <w:rPr>
                <w:rFonts w:ascii="Arial"/>
                <w:sz w:val="21"/>
              </w:rPr>
            </w:pPr>
          </w:p>
          <w:p w14:paraId="26763F54">
            <w:pPr>
              <w:rPr>
                <w:rFonts w:ascii="Arial"/>
                <w:sz w:val="21"/>
              </w:rPr>
            </w:pPr>
          </w:p>
          <w:p w14:paraId="7F8911D0">
            <w:pPr>
              <w:rPr>
                <w:rFonts w:ascii="Arial"/>
                <w:sz w:val="21"/>
              </w:rPr>
            </w:pPr>
          </w:p>
          <w:p w14:paraId="39F529C8">
            <w:pPr>
              <w:rPr>
                <w:rFonts w:ascii="Arial"/>
                <w:sz w:val="21"/>
              </w:rPr>
            </w:pPr>
          </w:p>
          <w:p w14:paraId="081AF312">
            <w:pPr>
              <w:rPr>
                <w:rFonts w:ascii="Arial"/>
                <w:sz w:val="21"/>
              </w:rPr>
            </w:pPr>
          </w:p>
          <w:p w14:paraId="3610CA21">
            <w:pPr>
              <w:rPr>
                <w:rFonts w:ascii="Arial"/>
                <w:sz w:val="21"/>
              </w:rPr>
            </w:pPr>
          </w:p>
          <w:p w14:paraId="3E16F84D">
            <w:pPr>
              <w:rPr>
                <w:rFonts w:ascii="Arial"/>
                <w:sz w:val="21"/>
              </w:rPr>
            </w:pPr>
          </w:p>
          <w:p w14:paraId="01F7D799">
            <w:pPr>
              <w:spacing w:line="241" w:lineRule="auto"/>
              <w:rPr>
                <w:rFonts w:ascii="Arial"/>
                <w:sz w:val="21"/>
              </w:rPr>
            </w:pPr>
          </w:p>
          <w:p w14:paraId="61E65821">
            <w:pPr>
              <w:spacing w:line="241" w:lineRule="auto"/>
              <w:rPr>
                <w:rFonts w:ascii="Arial"/>
                <w:sz w:val="21"/>
              </w:rPr>
            </w:pPr>
          </w:p>
          <w:p w14:paraId="2266A5EF">
            <w:pPr>
              <w:pStyle w:val="6"/>
              <w:spacing w:before="69" w:line="279" w:lineRule="auto"/>
              <w:ind w:left="59" w:right="71"/>
              <w:jc w:val="right"/>
            </w:pPr>
            <w:r>
              <w:rPr>
                <w:spacing w:val="7"/>
              </w:rPr>
              <w:t>施工</w:t>
            </w:r>
            <w:r>
              <w:rPr>
                <w:spacing w:val="6"/>
              </w:rPr>
              <w:t>期生态环境影响分</w:t>
            </w:r>
            <w:r>
              <w:t>析</w:t>
            </w:r>
          </w:p>
        </w:tc>
        <w:tc>
          <w:tcPr>
            <w:tcW w:w="8507" w:type="dxa"/>
            <w:tcBorders>
              <w:bottom w:val="nil"/>
            </w:tcBorders>
            <w:vAlign w:val="top"/>
          </w:tcPr>
          <w:p w14:paraId="7C93370D">
            <w:pPr>
              <w:pStyle w:val="6"/>
              <w:spacing w:before="122" w:line="234" w:lineRule="auto"/>
              <w:ind w:left="118"/>
              <w:rPr>
                <w:sz w:val="24"/>
                <w:szCs w:val="24"/>
              </w:rPr>
            </w:pPr>
            <w:r>
              <w:rPr>
                <w:rFonts w:ascii="Times New Roman" w:hAnsi="Times New Roman" w:eastAsia="Times New Roman" w:cs="Times New Roman"/>
                <w:b/>
                <w:bCs/>
                <w:spacing w:val="-3"/>
                <w:sz w:val="24"/>
                <w:szCs w:val="24"/>
              </w:rPr>
              <w:t>1</w:t>
            </w:r>
            <w:r>
              <w:rPr>
                <w:b/>
                <w:bCs/>
                <w:spacing w:val="-3"/>
                <w:sz w:val="24"/>
                <w:szCs w:val="24"/>
              </w:rPr>
              <w:t>、施工期工艺流程及主要污染</w:t>
            </w:r>
          </w:p>
          <w:p w14:paraId="441A12BA">
            <w:pPr>
              <w:pStyle w:val="6"/>
              <w:spacing w:before="167" w:line="220" w:lineRule="auto"/>
              <w:ind w:left="596"/>
              <w:rPr>
                <w:sz w:val="24"/>
                <w:szCs w:val="24"/>
              </w:rPr>
            </w:pPr>
            <w:r>
              <w:rPr>
                <w:spacing w:val="-4"/>
                <w:sz w:val="24"/>
                <w:szCs w:val="24"/>
              </w:rPr>
              <w:t>项目施工期工艺流程见下图。</w:t>
            </w:r>
          </w:p>
        </w:tc>
      </w:tr>
      <w:tr w14:paraId="6574E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6" w:hRule="atLeast"/>
        </w:trPr>
        <w:tc>
          <w:tcPr>
            <w:tcW w:w="571" w:type="dxa"/>
            <w:vMerge w:val="continue"/>
            <w:tcBorders>
              <w:top w:val="nil"/>
              <w:bottom w:val="nil"/>
            </w:tcBorders>
            <w:vAlign w:val="top"/>
          </w:tcPr>
          <w:p w14:paraId="6AA6E5A2">
            <w:pPr>
              <w:rPr>
                <w:rFonts w:ascii="Arial"/>
                <w:sz w:val="21"/>
              </w:rPr>
            </w:pPr>
          </w:p>
        </w:tc>
        <w:tc>
          <w:tcPr>
            <w:tcW w:w="8507" w:type="dxa"/>
            <w:tcBorders>
              <w:top w:val="nil"/>
              <w:bottom w:val="nil"/>
            </w:tcBorders>
            <w:vAlign w:val="top"/>
          </w:tcPr>
          <w:p w14:paraId="09166594">
            <w:pPr>
              <w:pStyle w:val="6"/>
              <w:spacing w:before="226" w:line="185" w:lineRule="auto"/>
              <w:ind w:left="2037"/>
              <w:rPr>
                <w:sz w:val="23"/>
                <w:szCs w:val="23"/>
              </w:rPr>
            </w:pPr>
            <w:r>
              <w:pict>
                <v:shape id="_x0000_s1130" o:spid="_x0000_s1130" o:spt="202" type="#_x0000_t202" style="position:absolute;left:0pt;margin-left:195.15pt;margin-top:7.05pt;height:16.1pt;width:36.4pt;z-index:251665408;mso-width-relative:page;mso-height-relative:page;" filled="f" stroked="f" coordsize="21600,21600">
                  <v:path/>
                  <v:fill on="f" focussize="0,0"/>
                  <v:stroke on="f"/>
                  <v:imagedata o:title=""/>
                  <o:lock v:ext="edit" aspectratio="f"/>
                  <v:textbox inset="0mm,0mm,0mm,0mm">
                    <w:txbxContent>
                      <w:p w14:paraId="2DC98559">
                        <w:pPr>
                          <w:pStyle w:val="6"/>
                          <w:spacing w:before="20" w:line="226" w:lineRule="auto"/>
                          <w:ind w:left="20"/>
                          <w:rPr>
                            <w:sz w:val="23"/>
                            <w:szCs w:val="23"/>
                          </w:rPr>
                        </w:pPr>
                        <w:r>
                          <w:rPr>
                            <w:spacing w:val="-1"/>
                            <w:sz w:val="23"/>
                            <w:szCs w:val="23"/>
                          </w:rPr>
                          <w:t>附件安</w:t>
                        </w:r>
                      </w:p>
                    </w:txbxContent>
                  </v:textbox>
                </v:shape>
              </w:pict>
            </w:r>
            <w:r>
              <w:pict>
                <v:shape id="_x0000_s1131" o:spid="_x0000_s1131" o:spt="202" type="#_x0000_t202" style="position:absolute;left:0pt;margin-left:363.3pt;margin-top:10.3pt;height:16.2pt;width:49.05pt;z-index:251664384;mso-width-relative:page;mso-height-relative:page;" filled="f" stroked="f" coordsize="21600,21600">
                  <v:path/>
                  <v:fill on="f" focussize="0,0"/>
                  <v:stroke on="f"/>
                  <v:imagedata o:title=""/>
                  <o:lock v:ext="edit" aspectratio="f"/>
                  <v:textbox inset="0mm,0mm,0mm,0mm">
                    <w:txbxContent>
                      <w:p w14:paraId="4FEDB190">
                        <w:pPr>
                          <w:pStyle w:val="6"/>
                          <w:spacing w:before="20" w:line="227" w:lineRule="auto"/>
                          <w:ind w:left="20"/>
                          <w:rPr>
                            <w:sz w:val="23"/>
                            <w:szCs w:val="23"/>
                          </w:rPr>
                        </w:pPr>
                        <w:r>
                          <w:rPr>
                            <w:spacing w:val="5"/>
                            <w:sz w:val="23"/>
                            <w:szCs w:val="23"/>
                          </w:rPr>
                          <w:t>投产使用</w:t>
                        </w:r>
                      </w:p>
                    </w:txbxContent>
                  </v:textbox>
                </v:shape>
              </w:pict>
            </w:r>
            <w:r>
              <w:pict>
                <v:shape id="_x0000_s1132" o:spid="_x0000_s1132" o:spt="202" type="#_x0000_t202" style="position:absolute;left:0pt;margin-left:13.4pt;margin-top:10.45pt;height:16.15pt;width:49.15pt;z-index:251668480;mso-width-relative:page;mso-height-relative:page;" filled="f" stroked="f" coordsize="21600,21600">
                  <v:path/>
                  <v:fill on="f" focussize="0,0"/>
                  <v:stroke on="f"/>
                  <v:imagedata o:title=""/>
                  <o:lock v:ext="edit" aspectratio="f"/>
                  <v:textbox inset="0mm,0mm,0mm,0mm">
                    <w:txbxContent>
                      <w:p w14:paraId="630BB874">
                        <w:pPr>
                          <w:pStyle w:val="6"/>
                          <w:spacing w:before="20" w:line="227" w:lineRule="auto"/>
                          <w:ind w:left="20"/>
                          <w:rPr>
                            <w:sz w:val="23"/>
                            <w:szCs w:val="23"/>
                          </w:rPr>
                        </w:pPr>
                        <w:r>
                          <w:rPr>
                            <w:spacing w:val="5"/>
                            <w:sz w:val="23"/>
                            <w:szCs w:val="23"/>
                          </w:rPr>
                          <w:t>物料运输</w:t>
                        </w:r>
                      </w:p>
                    </w:txbxContent>
                  </v:textbox>
                </v:shape>
              </w:pict>
            </w:r>
            <w:r>
              <w:pict>
                <v:shape id="_x0000_s1133" o:spid="_x0000_s1133" o:spt="202" type="#_x0000_t202" style="position:absolute;left:0pt;margin-left:275.85pt;margin-top:10.45pt;height:16.15pt;width:49.1pt;z-index:251667456;mso-width-relative:page;mso-height-relative:page;" filled="f" stroked="f" coordsize="21600,21600">
                  <v:path/>
                  <v:fill on="f" focussize="0,0"/>
                  <v:stroke on="f"/>
                  <v:imagedata o:title=""/>
                  <o:lock v:ext="edit" aspectratio="f"/>
                  <v:textbox inset="0mm,0mm,0mm,0mm">
                    <w:txbxContent>
                      <w:p w14:paraId="3A8346A3">
                        <w:pPr>
                          <w:pStyle w:val="6"/>
                          <w:spacing w:before="20" w:line="227" w:lineRule="auto"/>
                          <w:ind w:left="20"/>
                          <w:rPr>
                            <w:sz w:val="23"/>
                            <w:szCs w:val="23"/>
                          </w:rPr>
                        </w:pPr>
                        <w:r>
                          <w:rPr>
                            <w:spacing w:val="5"/>
                            <w:sz w:val="23"/>
                            <w:szCs w:val="23"/>
                          </w:rPr>
                          <w:t>线缆架设</w:t>
                        </w:r>
                      </w:p>
                    </w:txbxContent>
                  </v:textbox>
                </v:shape>
              </w:pict>
            </w:r>
            <w:r>
              <w:pict>
                <v:group id="_x0000_s1134" o:spid="_x0000_s1134" o:spt="203" style="position:absolute;left:0pt;margin-left:9.05pt;margin-top:6.9pt;height:127.1pt;width:407.45pt;mso-position-horizontal-relative:page;mso-position-vertical-relative:page;z-index:-251653120;mso-width-relative:page;mso-height-relative:page;" coordsize="8149,2541">
                  <o:lock v:ext="edit"/>
                  <v:shape id="_x0000_s1135" o:spid="_x0000_s1135" style="position:absolute;left:0;top:0;height:459;width:8149;" filled="f" stroked="t" coordsize="8149,459" path="m2,456l1163,456,1163,2,2,2,2,456xm1748,451l2909,451,2909,2,1748,2,1748,451xm5239,456l6400,456,6400,2,5239,2,5239,456xm6985,451l8146,451,8146,2,6985,2,6985,451xe">
                    <v:fill on="f" focussize="0,0"/>
                    <v:stroke weight="0.24pt" color="#000000" miterlimit="10" endcap="round"/>
                    <v:imagedata o:title=""/>
                    <o:lock v:ext="edit"/>
                  </v:shape>
                  <v:shape id="_x0000_s1136" o:spid="_x0000_s1136" style="position:absolute;left:0;top:1278;height:1264;width:8149;" filled="f" stroked="t" coordsize="8149,1264" path="m2,1260l1163,1260,1163,2,2,2,2,1260xm1748,1260l2909,1260,2909,2,1748,2,1748,1260xm5239,1260l6400,1260,6400,2,5239,2,5239,1260xm6985,1260l8146,1260,8146,2,6985,2,6985,1260xe">
                    <v:fill on="f" focussize="0,0"/>
                    <v:stroke weight="0.24pt" color="#000000" miterlimit="10" dashstyle="dash" endcap="round"/>
                    <v:imagedata o:title=""/>
                    <o:lock v:ext="edit"/>
                  </v:shape>
                  <v:shape id="_x0000_s1137" o:spid="_x0000_s1137" style="position:absolute;left:580;top:453;height:734;width:5;" filled="f" stroked="t" coordsize="5,734" path="m2,2l2,730e">
                    <v:fill on="f" focussize="0,0"/>
                    <v:stroke weight="0.24pt" color="#000000" miterlimit="10" dashstyle="dash" endcap="round"/>
                    <v:imagedata o:title=""/>
                    <o:lock v:ext="edit"/>
                  </v:shape>
                  <v:shape id="_x0000_s1138" o:spid="_x0000_s1138" style="position:absolute;left:528;top:1170;height:110;width:110;" fillcolor="#000000" filled="t" stroked="f" coordsize="110,110" path="m109,0l54,109,0,0,109,0xe">
                    <v:path/>
                    <v:fill on="t" focussize="0,0"/>
                    <v:stroke on="f"/>
                    <v:imagedata o:title=""/>
                    <o:lock v:ext="edit"/>
                  </v:shape>
                  <v:shape id="_x0000_s1139" o:spid="_x0000_s1139" style="position:absolute;left:2326;top:449;height:738;width:5;" filled="f" stroked="t" coordsize="5,738" path="m2,2l2,735e">
                    <v:fill on="f" focussize="0,0"/>
                    <v:stroke weight="0.24pt" color="#000000" miterlimit="10" dashstyle="dash" endcap="round"/>
                    <v:imagedata o:title=""/>
                    <o:lock v:ext="edit"/>
                  </v:shape>
                  <v:shape id="_x0000_s1140" o:spid="_x0000_s1140" style="position:absolute;left:2273;top:1170;height:110;width:110;" fillcolor="#000000" filled="t" stroked="f" coordsize="110,110" path="m109,0l54,109,0,0,109,0xe">
                    <v:path/>
                    <v:fill on="t" focussize="0,0"/>
                    <v:stroke on="f"/>
                    <v:imagedata o:title=""/>
                    <o:lock v:ext="edit"/>
                  </v:shape>
                  <v:shape id="_x0000_s1141" o:spid="_x0000_s1141" style="position:absolute;left:5817;top:453;height:734;width:5;" filled="f" stroked="t" coordsize="5,734" path="m2,2l2,730e">
                    <v:fill on="f" focussize="0,0"/>
                    <v:stroke weight="0.24pt" color="#000000" miterlimit="10" dashstyle="dash" endcap="round"/>
                    <v:imagedata o:title=""/>
                    <o:lock v:ext="edit"/>
                  </v:shape>
                  <v:shape id="_x0000_s1142" o:spid="_x0000_s1142" style="position:absolute;left:5765;top:1170;height:110;width:110;" fillcolor="#000000" filled="t" stroked="f" coordsize="110,110" path="m109,0l54,109,0,0,109,0xe">
                    <v:path/>
                    <v:fill on="t" focussize="0,0"/>
                    <v:stroke on="f"/>
                    <v:imagedata o:title=""/>
                    <o:lock v:ext="edit"/>
                  </v:shape>
                  <v:shape id="_x0000_s1143" o:spid="_x0000_s1143" style="position:absolute;left:7563;top:449;height:738;width:5;" filled="f" stroked="t" coordsize="5,738" path="m2,2l2,735e">
                    <v:fill on="f" focussize="0,0"/>
                    <v:stroke weight="0.24pt" color="#000000" miterlimit="10" dashstyle="dash" endcap="round"/>
                    <v:imagedata o:title=""/>
                    <o:lock v:ext="edit"/>
                  </v:shape>
                  <v:shape id="_x0000_s1144" o:spid="_x0000_s1144" style="position:absolute;left:7510;top:1170;height:110;width:110;" fillcolor="#000000" filled="t" stroked="f" coordsize="110,110" path="m109,0l54,109,0,0,109,0xe">
                    <v:path/>
                    <v:fill on="t" focussize="0,0"/>
                    <v:stroke on="f"/>
                    <v:imagedata o:title=""/>
                    <o:lock v:ext="edit"/>
                  </v:shape>
                  <v:shape id="_x0000_s1145" o:spid="_x0000_s1145" style="position:absolute;left:3491;top:4;height:888;width:1166;" filled="f" stroked="t" coordsize="1166,888" path="m2,884l1163,884,1163,2,2,2,2,884xe">
                    <v:fill on="f" focussize="0,0"/>
                    <v:stroke weight="0.24pt" color="#000000" miterlimit="10" endcap="round"/>
                    <v:imagedata o:title=""/>
                    <o:lock v:ext="edit"/>
                  </v:shape>
                  <v:shape id="_x0000_s1146" o:spid="_x0000_s1146" style="position:absolute;left:3491;top:1278;height:1264;width:1166;" filled="f" stroked="t" coordsize="1166,1264" path="m2,1260l1163,1260,1163,2,2,2,2,1260xe">
                    <v:fill on="f" focussize="0,0"/>
                    <v:stroke weight="0.24pt" color="#000000" miterlimit="10" dashstyle="dash" endcap="round"/>
                    <v:imagedata o:title=""/>
                    <o:lock v:ext="edit"/>
                  </v:shape>
                  <v:shape id="_x0000_s1147" o:spid="_x0000_s1147" style="position:absolute;left:1161;top:224;height:5;width:494;" filled="f" stroked="t" coordsize="494,5" path="m2,2l491,2e">
                    <v:fill on="f" focussize="0,0"/>
                    <v:stroke weight="0.24pt" color="#000000" miterlimit="10" endcap="round"/>
                    <v:imagedata o:title=""/>
                    <o:lock v:ext="edit"/>
                  </v:shape>
                  <v:shape id="_x0000_s1148" o:spid="_x0000_s1148" style="position:absolute;left:1638;top:172;height:110;width:110;" fillcolor="#000000" filled="t" stroked="f" coordsize="110,110" path="m0,0l109,54,0,109,0,0xe">
                    <v:path/>
                    <v:fill on="t" focussize="0,0"/>
                    <v:stroke on="f"/>
                    <v:imagedata o:title=""/>
                    <o:lock v:ext="edit"/>
                  </v:shape>
                  <v:shape id="_x0000_s1149" o:spid="_x0000_s1149" style="position:absolute;left:2907;top:226;height:5;width:494;" filled="f" stroked="t" coordsize="494,5" path="m2,2l491,2e">
                    <v:fill on="f" focussize="0,0"/>
                    <v:stroke weight="0.24pt" color="#000000" miterlimit="10" endcap="round"/>
                    <v:imagedata o:title=""/>
                    <o:lock v:ext="edit"/>
                  </v:shape>
                  <v:shape id="_x0000_s1150" o:spid="_x0000_s1150" style="position:absolute;left:3384;top:174;height:110;width:110;" fillcolor="#000000" filled="t" stroked="f" coordsize="110,110" path="m0,0l109,54,0,109,0,0xe">
                    <v:path/>
                    <v:fill on="t" focussize="0,0"/>
                    <v:stroke on="f"/>
                    <v:imagedata o:title=""/>
                    <o:lock v:ext="edit"/>
                  </v:shape>
                  <v:shape id="_x0000_s1151" o:spid="_x0000_s1151" style="position:absolute;left:4652;top:228;height:5;width:494;" filled="f" stroked="t" coordsize="494,5" path="m2,2l491,2e">
                    <v:fill on="f" focussize="0,0"/>
                    <v:stroke weight="0.24pt" color="#000000" miterlimit="10" endcap="round"/>
                    <v:imagedata o:title=""/>
                    <o:lock v:ext="edit"/>
                  </v:shape>
                  <v:shape id="_x0000_s1152" o:spid="_x0000_s1152" style="position:absolute;left:5130;top:176;height:110;width:110;" fillcolor="#000000" filled="t" stroked="f" coordsize="110,110" path="m0,0l109,54,0,109,0,0xe">
                    <v:path/>
                    <v:fill on="t" focussize="0,0"/>
                    <v:stroke on="f"/>
                    <v:imagedata o:title=""/>
                    <o:lock v:ext="edit"/>
                  </v:shape>
                  <v:shape id="_x0000_s1153" o:spid="_x0000_s1153" style="position:absolute;left:6398;top:224;height:5;width:494;" filled="f" stroked="t" coordsize="494,5" path="m2,2l491,2e">
                    <v:fill on="f" focussize="0,0"/>
                    <v:stroke weight="0.24pt" color="#000000" miterlimit="10" endcap="round"/>
                    <v:imagedata o:title=""/>
                    <o:lock v:ext="edit"/>
                  </v:shape>
                  <v:shape id="_x0000_s1154" o:spid="_x0000_s1154" style="position:absolute;left:6875;top:172;height:110;width:110;" fillcolor="#000000" filled="t" stroked="f" coordsize="110,110" path="m0,0l109,54,0,109,0,0xe">
                    <v:path/>
                    <v:fill on="t" focussize="0,0"/>
                    <v:stroke on="f"/>
                    <v:imagedata o:title=""/>
                    <o:lock v:ext="edit"/>
                  </v:shape>
                  <v:shape id="_x0000_s1155" o:spid="_x0000_s1155" style="position:absolute;left:4071;top:886;height:301;width:5;" filled="f" stroked="t" coordsize="5,301" path="m2,2l2,298e">
                    <v:fill on="f" focussize="0,0"/>
                    <v:stroke weight="0.24pt" color="#000000" miterlimit="10" dashstyle="dash" endcap="round"/>
                    <v:imagedata o:title=""/>
                    <o:lock v:ext="edit"/>
                  </v:shape>
                  <v:shape id="_x0000_s1156" o:spid="_x0000_s1156" style="position:absolute;left:4019;top:1170;height:110;width:110;" fillcolor="#000000" filled="t" stroked="f" coordsize="110,110" path="m109,0l54,109,0,0,109,0xe">
                    <v:path/>
                    <v:fill on="t" focussize="0,0"/>
                    <v:stroke on="f"/>
                    <v:imagedata o:title=""/>
                    <o:lock v:ext="edit"/>
                  </v:shape>
                </v:group>
              </w:pict>
            </w:r>
            <w:r>
              <w:rPr>
                <w:spacing w:val="5"/>
                <w:sz w:val="23"/>
                <w:szCs w:val="23"/>
              </w:rPr>
              <w:t>土建工程</w:t>
            </w:r>
          </w:p>
          <w:p w14:paraId="368D59A1">
            <w:pPr>
              <w:pStyle w:val="6"/>
              <w:spacing w:line="221" w:lineRule="auto"/>
              <w:ind w:left="3786"/>
              <w:rPr>
                <w:sz w:val="23"/>
                <w:szCs w:val="23"/>
              </w:rPr>
            </w:pPr>
            <w:r>
              <w:rPr>
                <w:spacing w:val="6"/>
                <w:sz w:val="23"/>
                <w:szCs w:val="23"/>
              </w:rPr>
              <w:t>装、铁塔</w:t>
            </w:r>
          </w:p>
          <w:p w14:paraId="1E2F6CF4">
            <w:pPr>
              <w:pStyle w:val="6"/>
              <w:spacing w:before="3" w:line="238" w:lineRule="auto"/>
              <w:ind w:left="4026"/>
              <w:rPr>
                <w:sz w:val="23"/>
                <w:szCs w:val="23"/>
              </w:rPr>
            </w:pPr>
            <w:r>
              <w:rPr>
                <w:spacing w:val="2"/>
                <w:sz w:val="23"/>
                <w:szCs w:val="23"/>
              </w:rPr>
              <w:t>组立</w:t>
            </w:r>
          </w:p>
          <w:p w14:paraId="6FC7C702">
            <w:pPr>
              <w:spacing w:line="244" w:lineRule="auto"/>
              <w:rPr>
                <w:rFonts w:ascii="Arial"/>
                <w:sz w:val="21"/>
              </w:rPr>
            </w:pPr>
          </w:p>
          <w:p w14:paraId="36EC694C">
            <w:pPr>
              <w:spacing w:line="244" w:lineRule="auto"/>
              <w:rPr>
                <w:rFonts w:ascii="Arial"/>
                <w:sz w:val="21"/>
              </w:rPr>
            </w:pPr>
          </w:p>
          <w:p w14:paraId="7C2E5D20">
            <w:pPr>
              <w:pStyle w:val="6"/>
              <w:spacing w:before="62" w:line="225" w:lineRule="auto"/>
              <w:ind w:left="2123"/>
              <w:rPr>
                <w:sz w:val="19"/>
                <w:szCs w:val="19"/>
              </w:rPr>
            </w:pPr>
            <w:r>
              <w:pict>
                <v:shape id="_x0000_s1157" o:spid="_x0000_s1157" o:spt="202" type="#_x0000_t202" style="position:absolute;left:0pt;margin-left:12.35pt;margin-top:8.1pt;height:37.7pt;width:51.25pt;z-index:251666432;mso-width-relative:page;mso-height-relative:page;" filled="f" stroked="f" coordsize="21600,21600">
                  <v:path/>
                  <v:fill on="f" focussize="0,0"/>
                  <v:stroke on="f"/>
                  <v:imagedata o:title=""/>
                  <o:lock v:ext="edit" aspectratio="f"/>
                  <v:textbox inset="0mm,0mm,0mm,0mm">
                    <w:txbxContent>
                      <w:p w14:paraId="0B249456">
                        <w:pPr>
                          <w:pStyle w:val="6"/>
                          <w:spacing w:before="19" w:line="225" w:lineRule="auto"/>
                          <w:ind w:left="127"/>
                          <w:rPr>
                            <w:sz w:val="19"/>
                            <w:szCs w:val="19"/>
                          </w:rPr>
                        </w:pPr>
                        <w:r>
                          <w:rPr>
                            <w:spacing w:val="3"/>
                            <w:sz w:val="19"/>
                            <w:szCs w:val="19"/>
                          </w:rPr>
                          <w:t>噪声、扬</w:t>
                        </w:r>
                      </w:p>
                      <w:p w14:paraId="202D8BA3">
                        <w:pPr>
                          <w:pStyle w:val="6"/>
                          <w:spacing w:before="8" w:line="226" w:lineRule="auto"/>
                          <w:ind w:left="20"/>
                          <w:rPr>
                            <w:sz w:val="19"/>
                            <w:szCs w:val="19"/>
                          </w:rPr>
                        </w:pPr>
                        <w:r>
                          <w:rPr>
                            <w:spacing w:val="6"/>
                            <w:sz w:val="19"/>
                            <w:szCs w:val="19"/>
                          </w:rPr>
                          <w:t>尘、生态影</w:t>
                        </w:r>
                      </w:p>
                      <w:p w14:paraId="25AA397B">
                        <w:pPr>
                          <w:pStyle w:val="6"/>
                          <w:spacing w:before="6" w:line="228" w:lineRule="auto"/>
                          <w:ind w:left="425"/>
                          <w:rPr>
                            <w:sz w:val="19"/>
                            <w:szCs w:val="19"/>
                          </w:rPr>
                        </w:pPr>
                        <w:r>
                          <w:rPr>
                            <w:sz w:val="19"/>
                            <w:szCs w:val="19"/>
                          </w:rPr>
                          <w:t>响</w:t>
                        </w:r>
                      </w:p>
                    </w:txbxContent>
                  </v:textbox>
                </v:shape>
              </w:pict>
            </w:r>
            <w:r>
              <w:pict>
                <v:shape id="_x0000_s1158" o:spid="_x0000_s1158" o:spt="202" type="#_x0000_t202" style="position:absolute;left:0pt;margin-left:274.6pt;margin-top:8.1pt;height:37.7pt;width:51.35pt;z-index:251670528;mso-width-relative:page;mso-height-relative:page;" filled="f" stroked="f" coordsize="21600,21600">
                  <v:path/>
                  <v:fill on="f" focussize="0,0"/>
                  <v:stroke on="f"/>
                  <v:imagedata o:title=""/>
                  <o:lock v:ext="edit" aspectratio="f"/>
                  <v:textbox inset="0mm,0mm,0mm,0mm">
                    <w:txbxContent>
                      <w:p w14:paraId="49858AE2">
                        <w:pPr>
                          <w:pStyle w:val="6"/>
                          <w:spacing w:before="19" w:line="225" w:lineRule="auto"/>
                          <w:ind w:left="128"/>
                          <w:rPr>
                            <w:sz w:val="19"/>
                            <w:szCs w:val="19"/>
                          </w:rPr>
                        </w:pPr>
                        <w:r>
                          <w:rPr>
                            <w:spacing w:val="8"/>
                            <w:sz w:val="19"/>
                            <w:szCs w:val="19"/>
                          </w:rPr>
                          <w:t>噪声、固</w:t>
                        </w:r>
                      </w:p>
                      <w:p w14:paraId="592AFE3F">
                        <w:pPr>
                          <w:pStyle w:val="6"/>
                          <w:spacing w:before="8" w:line="225" w:lineRule="auto"/>
                          <w:ind w:left="20"/>
                          <w:rPr>
                            <w:sz w:val="19"/>
                            <w:szCs w:val="19"/>
                          </w:rPr>
                        </w:pPr>
                        <w:r>
                          <w:rPr>
                            <w:spacing w:val="7"/>
                            <w:sz w:val="19"/>
                            <w:szCs w:val="19"/>
                          </w:rPr>
                          <w:t>废、生态影</w:t>
                        </w:r>
                      </w:p>
                      <w:p w14:paraId="3285ABF9">
                        <w:pPr>
                          <w:pStyle w:val="6"/>
                          <w:spacing w:before="7" w:line="228" w:lineRule="auto"/>
                          <w:ind w:left="427"/>
                          <w:rPr>
                            <w:sz w:val="19"/>
                            <w:szCs w:val="19"/>
                          </w:rPr>
                        </w:pPr>
                        <w:r>
                          <w:rPr>
                            <w:sz w:val="19"/>
                            <w:szCs w:val="19"/>
                          </w:rPr>
                          <w:t>响</w:t>
                        </w:r>
                      </w:p>
                    </w:txbxContent>
                  </v:textbox>
                </v:shape>
              </w:pict>
            </w:r>
            <w:r>
              <w:rPr>
                <w:spacing w:val="4"/>
                <w:sz w:val="19"/>
                <w:szCs w:val="19"/>
              </w:rPr>
              <w:t>噪声、扬</w:t>
            </w:r>
          </w:p>
          <w:p w14:paraId="5C8474B3">
            <w:pPr>
              <w:pStyle w:val="6"/>
              <w:spacing w:before="8" w:line="225" w:lineRule="auto"/>
              <w:ind w:left="2016"/>
              <w:rPr>
                <w:sz w:val="19"/>
                <w:szCs w:val="19"/>
              </w:rPr>
            </w:pPr>
            <w:r>
              <w:pict>
                <v:shape id="_x0000_s1159" o:spid="_x0000_s1159" o:spt="202" type="#_x0000_t202" style="position:absolute;left:0pt;margin-left:362.55pt;margin-top:-0.55pt;height:25.6pt;width:50.35pt;z-index:251671552;mso-width-relative:page;mso-height-relative:page;" filled="f" stroked="f" coordsize="21600,21600">
                  <v:path/>
                  <v:fill on="f" focussize="0,0"/>
                  <v:stroke on="f"/>
                  <v:imagedata o:title=""/>
                  <o:lock v:ext="edit" aspectratio="f"/>
                  <v:textbox inset="0mm,0mm,0mm,0mm">
                    <w:txbxContent>
                      <w:p w14:paraId="58929EC7">
                        <w:pPr>
                          <w:pStyle w:val="6"/>
                          <w:spacing w:before="20" w:line="235" w:lineRule="auto"/>
                          <w:ind w:left="231" w:right="20" w:hanging="211"/>
                          <w:rPr>
                            <w:sz w:val="19"/>
                            <w:szCs w:val="19"/>
                          </w:rPr>
                        </w:pPr>
                        <w:r>
                          <w:rPr>
                            <w:spacing w:val="3"/>
                            <w:sz w:val="19"/>
                            <w:szCs w:val="19"/>
                          </w:rPr>
                          <w:t>噪声、工频</w:t>
                        </w:r>
                        <w:r>
                          <w:rPr>
                            <w:spacing w:val="-2"/>
                            <w:sz w:val="19"/>
                            <w:szCs w:val="19"/>
                          </w:rPr>
                          <w:t>电磁场</w:t>
                        </w:r>
                      </w:p>
                    </w:txbxContent>
                  </v:textbox>
                </v:shape>
              </w:pict>
            </w:r>
            <w:r>
              <w:pict>
                <v:shape id="_x0000_s1160" o:spid="_x0000_s1160" o:spt="202" type="#_x0000_t202" style="position:absolute;left:0pt;margin-left:187.65pt;margin-top:5.4pt;height:13.6pt;width:50.35pt;z-index:251669504;mso-width-relative:page;mso-height-relative:page;" filled="f" stroked="f" coordsize="21600,21600">
                  <v:path/>
                  <v:fill on="f" focussize="0,0"/>
                  <v:stroke on="f"/>
                  <v:imagedata o:title=""/>
                  <o:lock v:ext="edit" aspectratio="f"/>
                  <v:textbox inset="0mm,0mm,0mm,0mm">
                    <w:txbxContent>
                      <w:p w14:paraId="586C3896">
                        <w:pPr>
                          <w:pStyle w:val="6"/>
                          <w:spacing w:before="19" w:line="225" w:lineRule="auto"/>
                          <w:ind w:left="20"/>
                          <w:rPr>
                            <w:sz w:val="19"/>
                            <w:szCs w:val="19"/>
                          </w:rPr>
                        </w:pPr>
                        <w:r>
                          <w:rPr>
                            <w:spacing w:val="3"/>
                            <w:sz w:val="19"/>
                            <w:szCs w:val="19"/>
                          </w:rPr>
                          <w:t>噪声、固废</w:t>
                        </w:r>
                      </w:p>
                    </w:txbxContent>
                  </v:textbox>
                </v:shape>
              </w:pict>
            </w:r>
            <w:r>
              <w:rPr>
                <w:spacing w:val="3"/>
                <w:sz w:val="19"/>
                <w:szCs w:val="19"/>
              </w:rPr>
              <w:t>尘、固废、</w:t>
            </w:r>
          </w:p>
          <w:p w14:paraId="3B66C99C">
            <w:pPr>
              <w:pStyle w:val="6"/>
              <w:spacing w:before="8" w:line="224" w:lineRule="auto"/>
              <w:ind w:left="2014"/>
              <w:rPr>
                <w:sz w:val="19"/>
                <w:szCs w:val="19"/>
              </w:rPr>
            </w:pPr>
            <w:r>
              <w:rPr>
                <w:spacing w:val="5"/>
                <w:sz w:val="19"/>
                <w:szCs w:val="19"/>
              </w:rPr>
              <w:t>废水、生态</w:t>
            </w:r>
          </w:p>
          <w:p w14:paraId="3B4588CC">
            <w:pPr>
              <w:pStyle w:val="6"/>
              <w:spacing w:before="9" w:line="226" w:lineRule="auto"/>
              <w:ind w:left="2312"/>
              <w:rPr>
                <w:sz w:val="19"/>
                <w:szCs w:val="19"/>
              </w:rPr>
            </w:pPr>
            <w:r>
              <w:rPr>
                <w:sz w:val="19"/>
                <w:szCs w:val="19"/>
              </w:rPr>
              <w:t>影响</w:t>
            </w:r>
          </w:p>
        </w:tc>
      </w:tr>
      <w:tr w14:paraId="6E123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774" w:hRule="atLeast"/>
        </w:trPr>
        <w:tc>
          <w:tcPr>
            <w:tcW w:w="571" w:type="dxa"/>
            <w:vMerge w:val="continue"/>
            <w:tcBorders>
              <w:top w:val="nil"/>
            </w:tcBorders>
            <w:vAlign w:val="top"/>
          </w:tcPr>
          <w:p w14:paraId="40E1118E">
            <w:pPr>
              <w:rPr>
                <w:rFonts w:ascii="Arial"/>
                <w:sz w:val="21"/>
              </w:rPr>
            </w:pPr>
          </w:p>
        </w:tc>
        <w:tc>
          <w:tcPr>
            <w:tcW w:w="8507" w:type="dxa"/>
            <w:tcBorders>
              <w:top w:val="nil"/>
            </w:tcBorders>
            <w:vAlign w:val="top"/>
          </w:tcPr>
          <w:p w14:paraId="116E43D5">
            <w:pPr>
              <w:pStyle w:val="6"/>
              <w:spacing w:before="140" w:line="234" w:lineRule="auto"/>
              <w:ind w:left="2422"/>
            </w:pPr>
            <w:r>
              <w:rPr>
                <w:b/>
                <w:bCs/>
                <w:spacing w:val="-3"/>
              </w:rPr>
              <w:t>图</w:t>
            </w:r>
            <w:r>
              <w:rPr>
                <w:spacing w:val="-34"/>
              </w:rPr>
              <w:t xml:space="preserve"> </w:t>
            </w:r>
            <w:r>
              <w:rPr>
                <w:rFonts w:ascii="Times New Roman" w:hAnsi="Times New Roman" w:eastAsia="Times New Roman" w:cs="Times New Roman"/>
                <w:b/>
                <w:bCs/>
                <w:spacing w:val="-3"/>
              </w:rPr>
              <w:t xml:space="preserve">4-1    </w:t>
            </w:r>
            <w:r>
              <w:rPr>
                <w:b/>
                <w:bCs/>
                <w:spacing w:val="-3"/>
              </w:rPr>
              <w:t>线路施工工艺流程及产污环节图</w:t>
            </w:r>
          </w:p>
          <w:p w14:paraId="6A29DB6E">
            <w:pPr>
              <w:pStyle w:val="6"/>
              <w:spacing w:before="192" w:line="365" w:lineRule="auto"/>
              <w:ind w:left="111" w:right="185" w:firstLine="483"/>
              <w:rPr>
                <w:sz w:val="24"/>
                <w:szCs w:val="24"/>
              </w:rPr>
            </w:pPr>
            <w:r>
              <w:rPr>
                <w:rFonts w:ascii="Times New Roman" w:hAnsi="Times New Roman" w:eastAsia="Times New Roman" w:cs="Times New Roman"/>
                <w:spacing w:val="-1"/>
                <w:sz w:val="24"/>
                <w:szCs w:val="24"/>
              </w:rPr>
              <w:t>500kV</w:t>
            </w:r>
            <w:r>
              <w:rPr>
                <w:rFonts w:ascii="Times New Roman" w:hAnsi="Times New Roman" w:eastAsia="Times New Roman" w:cs="Times New Roman"/>
                <w:spacing w:val="17"/>
                <w:w w:val="101"/>
                <w:sz w:val="24"/>
                <w:szCs w:val="24"/>
              </w:rPr>
              <w:t xml:space="preserve"> </w:t>
            </w:r>
            <w:r>
              <w:rPr>
                <w:spacing w:val="-1"/>
                <w:sz w:val="24"/>
                <w:szCs w:val="24"/>
              </w:rPr>
              <w:t>乐业变间隔扩建在原有场地内，仅安装少量电气</w:t>
            </w:r>
            <w:r>
              <w:rPr>
                <w:spacing w:val="-2"/>
                <w:sz w:val="24"/>
                <w:szCs w:val="24"/>
              </w:rPr>
              <w:t>设备，</w:t>
            </w:r>
            <w:r>
              <w:rPr>
                <w:rFonts w:ascii="Times New Roman" w:hAnsi="Times New Roman" w:eastAsia="Times New Roman" w:cs="Times New Roman"/>
                <w:spacing w:val="-2"/>
                <w:sz w:val="24"/>
                <w:szCs w:val="24"/>
              </w:rPr>
              <w:t>500kV</w:t>
            </w:r>
            <w:r>
              <w:rPr>
                <w:rFonts w:ascii="Times New Roman" w:hAnsi="Times New Roman" w:eastAsia="Times New Roman" w:cs="Times New Roman"/>
                <w:spacing w:val="16"/>
                <w:sz w:val="24"/>
                <w:szCs w:val="24"/>
              </w:rPr>
              <w:t xml:space="preserve"> </w:t>
            </w:r>
            <w:r>
              <w:rPr>
                <w:spacing w:val="-2"/>
                <w:sz w:val="24"/>
                <w:szCs w:val="24"/>
              </w:rPr>
              <w:t>乐业</w:t>
            </w:r>
            <w:r>
              <w:rPr>
                <w:spacing w:val="-1"/>
                <w:sz w:val="24"/>
                <w:szCs w:val="24"/>
              </w:rPr>
              <w:t>变还未开工，本次间隔扩建与</w:t>
            </w:r>
            <w:r>
              <w:rPr>
                <w:spacing w:val="-48"/>
                <w:sz w:val="24"/>
                <w:szCs w:val="24"/>
              </w:rPr>
              <w:t xml:space="preserve"> </w:t>
            </w:r>
            <w:r>
              <w:rPr>
                <w:rFonts w:ascii="Times New Roman" w:hAnsi="Times New Roman" w:eastAsia="Times New Roman" w:cs="Times New Roman"/>
                <w:spacing w:val="-1"/>
                <w:sz w:val="24"/>
                <w:szCs w:val="24"/>
              </w:rPr>
              <w:t>500kV</w:t>
            </w:r>
            <w:r>
              <w:rPr>
                <w:rFonts w:ascii="Times New Roman" w:hAnsi="Times New Roman" w:eastAsia="Times New Roman" w:cs="Times New Roman"/>
                <w:spacing w:val="17"/>
                <w:sz w:val="24"/>
                <w:szCs w:val="24"/>
              </w:rPr>
              <w:t xml:space="preserve"> </w:t>
            </w:r>
            <w:r>
              <w:rPr>
                <w:spacing w:val="-1"/>
                <w:sz w:val="24"/>
                <w:szCs w:val="24"/>
              </w:rPr>
              <w:t>乐业变主体工程统筹考虑，同步进行</w:t>
            </w:r>
            <w:r>
              <w:rPr>
                <w:spacing w:val="-2"/>
                <w:sz w:val="24"/>
                <w:szCs w:val="24"/>
              </w:rPr>
              <w:t>，施</w:t>
            </w:r>
            <w:r>
              <w:rPr>
                <w:spacing w:val="-1"/>
                <w:sz w:val="24"/>
                <w:szCs w:val="24"/>
              </w:rPr>
              <w:t>工活动服从主体安排，环境影响在《</w:t>
            </w:r>
            <w:r>
              <w:rPr>
                <w:rFonts w:ascii="Times New Roman" w:hAnsi="Times New Roman" w:eastAsia="Times New Roman" w:cs="Times New Roman"/>
                <w:spacing w:val="-1"/>
                <w:sz w:val="24"/>
                <w:szCs w:val="24"/>
              </w:rPr>
              <w:t>500kV</w:t>
            </w:r>
            <w:r>
              <w:rPr>
                <w:rFonts w:ascii="Times New Roman" w:hAnsi="Times New Roman" w:eastAsia="Times New Roman" w:cs="Times New Roman"/>
                <w:spacing w:val="17"/>
                <w:w w:val="101"/>
                <w:sz w:val="24"/>
                <w:szCs w:val="24"/>
              </w:rPr>
              <w:t xml:space="preserve"> </w:t>
            </w:r>
            <w:r>
              <w:rPr>
                <w:spacing w:val="-1"/>
                <w:sz w:val="24"/>
                <w:szCs w:val="24"/>
              </w:rPr>
              <w:t>乐业输变电工程环境影响报告书》</w:t>
            </w:r>
            <w:r>
              <w:rPr>
                <w:sz w:val="24"/>
                <w:szCs w:val="24"/>
              </w:rPr>
              <w:t>中已进行了较详细的分析，本次间隔扩建工程量很小，</w:t>
            </w:r>
            <w:r>
              <w:rPr>
                <w:spacing w:val="-1"/>
                <w:sz w:val="24"/>
                <w:szCs w:val="24"/>
              </w:rPr>
              <w:t>环境保护按原环评及其</w:t>
            </w:r>
            <w:r>
              <w:rPr>
                <w:spacing w:val="-3"/>
                <w:sz w:val="24"/>
                <w:szCs w:val="24"/>
              </w:rPr>
              <w:t>批复的要求执行，本次评价不再赘述。</w:t>
            </w:r>
          </w:p>
          <w:p w14:paraId="4F279A52">
            <w:pPr>
              <w:pStyle w:val="6"/>
              <w:spacing w:before="1" w:line="364" w:lineRule="auto"/>
              <w:ind w:left="112" w:right="238" w:firstLine="475"/>
              <w:jc w:val="both"/>
              <w:rPr>
                <w:sz w:val="24"/>
                <w:szCs w:val="24"/>
              </w:rPr>
            </w:pPr>
            <w:r>
              <w:rPr>
                <w:rFonts w:ascii="Times New Roman" w:hAnsi="Times New Roman" w:eastAsia="Times New Roman" w:cs="Times New Roman"/>
                <w:sz w:val="24"/>
                <w:szCs w:val="24"/>
              </w:rPr>
              <w:t xml:space="preserve">220kV </w:t>
            </w:r>
            <w:r>
              <w:rPr>
                <w:sz w:val="24"/>
                <w:szCs w:val="24"/>
              </w:rPr>
              <w:t>迤车变间隔扩建需新征地，建设户外电气设备、支架</w:t>
            </w:r>
            <w:r>
              <w:rPr>
                <w:spacing w:val="-1"/>
                <w:sz w:val="24"/>
                <w:szCs w:val="24"/>
              </w:rPr>
              <w:t>、基础及电缆</w:t>
            </w:r>
            <w:r>
              <w:rPr>
                <w:sz w:val="24"/>
                <w:szCs w:val="24"/>
              </w:rPr>
              <w:t>沟，主要污染为施工过程中产生的施工噪声、施工扬</w:t>
            </w:r>
            <w:r>
              <w:rPr>
                <w:spacing w:val="-1"/>
                <w:sz w:val="24"/>
                <w:szCs w:val="24"/>
              </w:rPr>
              <w:t>尘、施工废水、生活污水</w:t>
            </w:r>
            <w:r>
              <w:rPr>
                <w:spacing w:val="-7"/>
                <w:sz w:val="24"/>
                <w:szCs w:val="24"/>
              </w:rPr>
              <w:t>和固体废物。</w:t>
            </w:r>
          </w:p>
          <w:p w14:paraId="65E706DF">
            <w:pPr>
              <w:pStyle w:val="6"/>
              <w:spacing w:line="219" w:lineRule="auto"/>
              <w:ind w:left="596"/>
              <w:rPr>
                <w:sz w:val="24"/>
                <w:szCs w:val="24"/>
              </w:rPr>
            </w:pPr>
            <w:r>
              <w:rPr>
                <w:spacing w:val="-4"/>
                <w:sz w:val="24"/>
                <w:szCs w:val="24"/>
              </w:rPr>
              <w:t>项目在施工期的主要污染工序见下表：</w:t>
            </w:r>
          </w:p>
          <w:p w14:paraId="51874B3F">
            <w:pPr>
              <w:pStyle w:val="6"/>
              <w:spacing w:before="125" w:line="229" w:lineRule="auto"/>
              <w:ind w:left="2928"/>
            </w:pPr>
            <w:r>
              <w:rPr>
                <w:b/>
                <w:bCs/>
                <w:spacing w:val="-2"/>
              </w:rPr>
              <w:t>表</w:t>
            </w:r>
            <w:r>
              <w:rPr>
                <w:spacing w:val="-38"/>
              </w:rPr>
              <w:t xml:space="preserve"> </w:t>
            </w:r>
            <w:r>
              <w:rPr>
                <w:rFonts w:ascii="Times New Roman" w:hAnsi="Times New Roman" w:eastAsia="Times New Roman" w:cs="Times New Roman"/>
                <w:b/>
                <w:bCs/>
                <w:spacing w:val="-2"/>
              </w:rPr>
              <w:t xml:space="preserve">4-1    </w:t>
            </w:r>
            <w:r>
              <w:rPr>
                <w:b/>
                <w:bCs/>
                <w:spacing w:val="-2"/>
              </w:rPr>
              <w:t>主要污染工序一览表</w:t>
            </w:r>
          </w:p>
          <w:tbl>
            <w:tblPr>
              <w:tblStyle w:val="5"/>
              <w:tblW w:w="8279"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53"/>
              <w:gridCol w:w="1137"/>
              <w:gridCol w:w="2408"/>
              <w:gridCol w:w="3481"/>
            </w:tblGrid>
            <w:tr w14:paraId="31142F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253" w:type="dxa"/>
                  <w:vAlign w:val="top"/>
                </w:tcPr>
                <w:p w14:paraId="2F05FA37">
                  <w:pPr>
                    <w:pStyle w:val="6"/>
                    <w:spacing w:before="60" w:line="222" w:lineRule="auto"/>
                    <w:ind w:left="430"/>
                  </w:pPr>
                  <w:r>
                    <w:rPr>
                      <w:b/>
                      <w:bCs/>
                      <w:spacing w:val="-7"/>
                    </w:rPr>
                    <w:t>时段</w:t>
                  </w:r>
                </w:p>
              </w:tc>
              <w:tc>
                <w:tcPr>
                  <w:tcW w:w="1137" w:type="dxa"/>
                  <w:vAlign w:val="top"/>
                </w:tcPr>
                <w:p w14:paraId="5F564BAB">
                  <w:pPr>
                    <w:pStyle w:val="6"/>
                    <w:spacing w:before="60" w:line="221" w:lineRule="auto"/>
                    <w:ind w:left="151"/>
                  </w:pPr>
                  <w:r>
                    <w:rPr>
                      <w:b/>
                      <w:bCs/>
                      <w:spacing w:val="-4"/>
                    </w:rPr>
                    <w:t>污染类别</w:t>
                  </w:r>
                </w:p>
              </w:tc>
              <w:tc>
                <w:tcPr>
                  <w:tcW w:w="2408" w:type="dxa"/>
                  <w:vAlign w:val="top"/>
                </w:tcPr>
                <w:p w14:paraId="55C6CEE6">
                  <w:pPr>
                    <w:pStyle w:val="6"/>
                    <w:spacing w:before="61" w:line="221" w:lineRule="auto"/>
                    <w:ind w:left="896"/>
                  </w:pPr>
                  <w:r>
                    <w:rPr>
                      <w:b/>
                      <w:bCs/>
                      <w:spacing w:val="-4"/>
                    </w:rPr>
                    <w:t>污染源</w:t>
                  </w:r>
                </w:p>
              </w:tc>
              <w:tc>
                <w:tcPr>
                  <w:tcW w:w="3481" w:type="dxa"/>
                  <w:vAlign w:val="top"/>
                </w:tcPr>
                <w:p w14:paraId="16CDAFF7">
                  <w:pPr>
                    <w:pStyle w:val="6"/>
                    <w:spacing w:before="61" w:line="221" w:lineRule="auto"/>
                    <w:ind w:left="1114"/>
                  </w:pPr>
                  <w:r>
                    <w:rPr>
                      <w:b/>
                      <w:bCs/>
                      <w:spacing w:val="-3"/>
                    </w:rPr>
                    <w:t>主要污染因子</w:t>
                  </w:r>
                </w:p>
              </w:tc>
            </w:tr>
            <w:tr w14:paraId="0452E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53" w:type="dxa"/>
                  <w:vMerge w:val="restart"/>
                  <w:tcBorders>
                    <w:bottom w:val="nil"/>
                  </w:tcBorders>
                  <w:vAlign w:val="top"/>
                </w:tcPr>
                <w:p w14:paraId="21F0E9F9">
                  <w:pPr>
                    <w:spacing w:line="264" w:lineRule="auto"/>
                    <w:rPr>
                      <w:rFonts w:ascii="Arial"/>
                      <w:sz w:val="21"/>
                    </w:rPr>
                  </w:pPr>
                </w:p>
                <w:p w14:paraId="2D62CC1C">
                  <w:pPr>
                    <w:spacing w:line="264" w:lineRule="auto"/>
                    <w:rPr>
                      <w:rFonts w:ascii="Arial"/>
                      <w:sz w:val="21"/>
                    </w:rPr>
                  </w:pPr>
                </w:p>
                <w:p w14:paraId="279B98DF">
                  <w:pPr>
                    <w:spacing w:line="265" w:lineRule="auto"/>
                    <w:rPr>
                      <w:rFonts w:ascii="Arial"/>
                      <w:sz w:val="21"/>
                    </w:rPr>
                  </w:pPr>
                </w:p>
                <w:p w14:paraId="41BB530F">
                  <w:pPr>
                    <w:pStyle w:val="6"/>
                    <w:spacing w:before="68" w:line="221" w:lineRule="auto"/>
                    <w:ind w:left="314"/>
                  </w:pPr>
                  <w:r>
                    <w:rPr>
                      <w:spacing w:val="-1"/>
                    </w:rPr>
                    <w:t>施工期</w:t>
                  </w:r>
                </w:p>
              </w:tc>
              <w:tc>
                <w:tcPr>
                  <w:tcW w:w="1137" w:type="dxa"/>
                  <w:vAlign w:val="top"/>
                </w:tcPr>
                <w:p w14:paraId="7D0A41BE">
                  <w:pPr>
                    <w:pStyle w:val="6"/>
                    <w:spacing w:before="55" w:line="221" w:lineRule="auto"/>
                    <w:ind w:left="360"/>
                  </w:pPr>
                  <w:r>
                    <w:rPr>
                      <w:spacing w:val="-2"/>
                    </w:rPr>
                    <w:t>废气</w:t>
                  </w:r>
                </w:p>
              </w:tc>
              <w:tc>
                <w:tcPr>
                  <w:tcW w:w="2408" w:type="dxa"/>
                  <w:vAlign w:val="top"/>
                </w:tcPr>
                <w:p w14:paraId="7E7D8129">
                  <w:pPr>
                    <w:pStyle w:val="6"/>
                    <w:spacing w:before="54" w:line="223" w:lineRule="auto"/>
                    <w:ind w:left="790"/>
                  </w:pPr>
                  <w:r>
                    <w:rPr>
                      <w:spacing w:val="-1"/>
                    </w:rPr>
                    <w:t>施工扬尘</w:t>
                  </w:r>
                </w:p>
              </w:tc>
              <w:tc>
                <w:tcPr>
                  <w:tcW w:w="3481" w:type="dxa"/>
                  <w:vAlign w:val="top"/>
                </w:tcPr>
                <w:p w14:paraId="55307B59">
                  <w:pPr>
                    <w:spacing w:before="93" w:line="187" w:lineRule="auto"/>
                    <w:ind w:left="156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TSP</w:t>
                  </w:r>
                </w:p>
              </w:tc>
            </w:tr>
            <w:tr w14:paraId="240A28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1253" w:type="dxa"/>
                  <w:vMerge w:val="continue"/>
                  <w:tcBorders>
                    <w:top w:val="nil"/>
                    <w:bottom w:val="nil"/>
                  </w:tcBorders>
                  <w:vAlign w:val="top"/>
                </w:tcPr>
                <w:p w14:paraId="3BFB2FD0">
                  <w:pPr>
                    <w:rPr>
                      <w:rFonts w:ascii="Arial"/>
                      <w:sz w:val="21"/>
                    </w:rPr>
                  </w:pPr>
                </w:p>
              </w:tc>
              <w:tc>
                <w:tcPr>
                  <w:tcW w:w="1137" w:type="dxa"/>
                  <w:vAlign w:val="top"/>
                </w:tcPr>
                <w:p w14:paraId="3CE8A6CD">
                  <w:pPr>
                    <w:pStyle w:val="6"/>
                    <w:spacing w:before="213" w:line="221" w:lineRule="auto"/>
                    <w:ind w:left="360"/>
                  </w:pPr>
                  <w:r>
                    <w:rPr>
                      <w:spacing w:val="-2"/>
                    </w:rPr>
                    <w:t>废水</w:t>
                  </w:r>
                </w:p>
              </w:tc>
              <w:tc>
                <w:tcPr>
                  <w:tcW w:w="2408" w:type="dxa"/>
                  <w:vAlign w:val="top"/>
                </w:tcPr>
                <w:p w14:paraId="67F19DF7">
                  <w:pPr>
                    <w:pStyle w:val="6"/>
                    <w:spacing w:before="213" w:line="221" w:lineRule="auto"/>
                    <w:ind w:left="264"/>
                  </w:pPr>
                  <w:r>
                    <w:rPr>
                      <w:spacing w:val="-1"/>
                    </w:rPr>
                    <w:t>施工废水、生活污水</w:t>
                  </w:r>
                </w:p>
              </w:tc>
              <w:tc>
                <w:tcPr>
                  <w:tcW w:w="3481" w:type="dxa"/>
                  <w:vAlign w:val="top"/>
                </w:tcPr>
                <w:p w14:paraId="77926C26">
                  <w:pPr>
                    <w:pStyle w:val="6"/>
                    <w:spacing w:before="55" w:line="217" w:lineRule="auto"/>
                    <w:ind w:left="133"/>
                  </w:pPr>
                  <w:r>
                    <w:rPr>
                      <w:rFonts w:ascii="Times New Roman" w:hAnsi="Times New Roman" w:eastAsia="Times New Roman" w:cs="Times New Roman"/>
                      <w:spacing w:val="-8"/>
                    </w:rPr>
                    <w:t>SS</w:t>
                  </w:r>
                  <w:r>
                    <w:rPr>
                      <w:rFonts w:ascii="Times New Roman" w:hAnsi="Times New Roman" w:eastAsia="Times New Roman" w:cs="Times New Roman"/>
                      <w:spacing w:val="-26"/>
                    </w:rPr>
                    <w:t xml:space="preserve"> </w:t>
                  </w:r>
                  <w:r>
                    <w:rPr>
                      <w:spacing w:val="-8"/>
                    </w:rPr>
                    <w:t>、</w:t>
                  </w:r>
                  <w:r>
                    <w:rPr>
                      <w:rFonts w:ascii="Times New Roman" w:hAnsi="Times New Roman" w:eastAsia="Times New Roman" w:cs="Times New Roman"/>
                      <w:spacing w:val="-8"/>
                    </w:rPr>
                    <w:t>pH</w:t>
                  </w:r>
                  <w:r>
                    <w:rPr>
                      <w:spacing w:val="-8"/>
                    </w:rPr>
                    <w:t>（无量纲）、</w:t>
                  </w:r>
                  <w:r>
                    <w:rPr>
                      <w:rFonts w:ascii="Times New Roman" w:hAnsi="Times New Roman" w:eastAsia="Times New Roman" w:cs="Times New Roman"/>
                      <w:spacing w:val="-8"/>
                    </w:rPr>
                    <w:t>COD</w:t>
                  </w:r>
                  <w:r>
                    <w:rPr>
                      <w:rFonts w:ascii="Times New Roman" w:hAnsi="Times New Roman" w:eastAsia="Times New Roman" w:cs="Times New Roman"/>
                      <w:spacing w:val="-31"/>
                    </w:rPr>
                    <w:t xml:space="preserve"> </w:t>
                  </w:r>
                  <w:r>
                    <w:rPr>
                      <w:spacing w:val="-8"/>
                    </w:rPr>
                    <w:t>、</w:t>
                  </w:r>
                  <w:r>
                    <w:rPr>
                      <w:rFonts w:ascii="Times New Roman" w:hAnsi="Times New Roman" w:eastAsia="Times New Roman" w:cs="Times New Roman"/>
                      <w:spacing w:val="-8"/>
                    </w:rPr>
                    <w:t>BOD</w:t>
                  </w:r>
                  <w:r>
                    <w:rPr>
                      <w:rFonts w:ascii="Times New Roman" w:hAnsi="Times New Roman" w:eastAsia="Times New Roman" w:cs="Times New Roman"/>
                      <w:spacing w:val="-8"/>
                      <w:position w:val="-1"/>
                      <w:sz w:val="13"/>
                      <w:szCs w:val="13"/>
                    </w:rPr>
                    <w:t>5</w:t>
                  </w:r>
                  <w:r>
                    <w:rPr>
                      <w:spacing w:val="-8"/>
                    </w:rPr>
                    <w:t>、</w:t>
                  </w:r>
                </w:p>
                <w:p w14:paraId="55A20A8C">
                  <w:pPr>
                    <w:pStyle w:val="6"/>
                    <w:spacing w:before="70" w:line="224" w:lineRule="auto"/>
                    <w:ind w:left="1016"/>
                  </w:pPr>
                  <w:r>
                    <w:rPr>
                      <w:rFonts w:ascii="Times New Roman" w:hAnsi="Times New Roman" w:eastAsia="Times New Roman" w:cs="Times New Roman"/>
                    </w:rPr>
                    <w:t>NH</w:t>
                  </w:r>
                  <w:r>
                    <w:rPr>
                      <w:rFonts w:ascii="Times New Roman" w:hAnsi="Times New Roman" w:eastAsia="Times New Roman" w:cs="Times New Roman"/>
                      <w:position w:val="-1"/>
                      <w:sz w:val="13"/>
                      <w:szCs w:val="13"/>
                    </w:rPr>
                    <w:t>3</w:t>
                  </w:r>
                  <w:r>
                    <w:rPr>
                      <w:rFonts w:ascii="Times New Roman" w:hAnsi="Times New Roman" w:eastAsia="Times New Roman" w:cs="Times New Roman"/>
                    </w:rPr>
                    <w:t>-N</w:t>
                  </w:r>
                  <w:r>
                    <w:t>、石油类</w:t>
                  </w:r>
                </w:p>
              </w:tc>
            </w:tr>
            <w:tr w14:paraId="347AFA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1253" w:type="dxa"/>
                  <w:vMerge w:val="continue"/>
                  <w:tcBorders>
                    <w:top w:val="nil"/>
                    <w:bottom w:val="nil"/>
                  </w:tcBorders>
                  <w:vAlign w:val="top"/>
                </w:tcPr>
                <w:p w14:paraId="5ACDFC16">
                  <w:pPr>
                    <w:rPr>
                      <w:rFonts w:ascii="Arial"/>
                      <w:sz w:val="21"/>
                    </w:rPr>
                  </w:pPr>
                </w:p>
              </w:tc>
              <w:tc>
                <w:tcPr>
                  <w:tcW w:w="1137" w:type="dxa"/>
                  <w:vAlign w:val="top"/>
                </w:tcPr>
                <w:p w14:paraId="3A104195">
                  <w:pPr>
                    <w:pStyle w:val="6"/>
                    <w:spacing w:before="56" w:line="221" w:lineRule="auto"/>
                    <w:ind w:left="371"/>
                  </w:pPr>
                  <w:r>
                    <w:rPr>
                      <w:spacing w:val="-4"/>
                    </w:rPr>
                    <w:t>噪声</w:t>
                  </w:r>
                </w:p>
              </w:tc>
              <w:tc>
                <w:tcPr>
                  <w:tcW w:w="2408" w:type="dxa"/>
                  <w:vAlign w:val="top"/>
                </w:tcPr>
                <w:p w14:paraId="243F92DE">
                  <w:pPr>
                    <w:pStyle w:val="6"/>
                    <w:spacing w:before="56" w:line="220" w:lineRule="auto"/>
                    <w:ind w:left="790"/>
                  </w:pPr>
                  <w:r>
                    <w:rPr>
                      <w:spacing w:val="-1"/>
                    </w:rPr>
                    <w:t>施工机械</w:t>
                  </w:r>
                </w:p>
              </w:tc>
              <w:tc>
                <w:tcPr>
                  <w:tcW w:w="3481" w:type="dxa"/>
                  <w:vAlign w:val="top"/>
                </w:tcPr>
                <w:p w14:paraId="2E4397F6">
                  <w:pPr>
                    <w:pStyle w:val="6"/>
                    <w:spacing w:before="56" w:line="220" w:lineRule="auto"/>
                    <w:ind w:left="1323"/>
                  </w:pPr>
                  <w:r>
                    <w:rPr>
                      <w:spacing w:val="-1"/>
                    </w:rPr>
                    <w:t>机械噪声</w:t>
                  </w:r>
                </w:p>
              </w:tc>
            </w:tr>
            <w:tr w14:paraId="43174B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253" w:type="dxa"/>
                  <w:vMerge w:val="continue"/>
                  <w:tcBorders>
                    <w:top w:val="nil"/>
                    <w:bottom w:val="nil"/>
                  </w:tcBorders>
                  <w:vAlign w:val="top"/>
                </w:tcPr>
                <w:p w14:paraId="173A714A">
                  <w:pPr>
                    <w:rPr>
                      <w:rFonts w:ascii="Arial"/>
                      <w:sz w:val="21"/>
                    </w:rPr>
                  </w:pPr>
                </w:p>
              </w:tc>
              <w:tc>
                <w:tcPr>
                  <w:tcW w:w="1137" w:type="dxa"/>
                  <w:vAlign w:val="top"/>
                </w:tcPr>
                <w:p w14:paraId="3367E299">
                  <w:pPr>
                    <w:pStyle w:val="6"/>
                    <w:spacing w:before="60" w:line="220" w:lineRule="auto"/>
                    <w:ind w:left="379"/>
                  </w:pPr>
                  <w:r>
                    <w:rPr>
                      <w:spacing w:val="-7"/>
                    </w:rPr>
                    <w:t>固废</w:t>
                  </w:r>
                </w:p>
              </w:tc>
              <w:tc>
                <w:tcPr>
                  <w:tcW w:w="2408" w:type="dxa"/>
                  <w:vAlign w:val="top"/>
                </w:tcPr>
                <w:p w14:paraId="4FEA27E7">
                  <w:pPr>
                    <w:pStyle w:val="6"/>
                    <w:spacing w:before="60" w:line="220" w:lineRule="auto"/>
                    <w:ind w:left="371"/>
                  </w:pPr>
                  <w:r>
                    <w:rPr>
                      <w:spacing w:val="-1"/>
                    </w:rPr>
                    <w:t>地基开挖、构筑物</w:t>
                  </w:r>
                </w:p>
              </w:tc>
              <w:tc>
                <w:tcPr>
                  <w:tcW w:w="3481" w:type="dxa"/>
                  <w:vAlign w:val="top"/>
                </w:tcPr>
                <w:p w14:paraId="1C7CAE49">
                  <w:pPr>
                    <w:pStyle w:val="6"/>
                    <w:spacing w:before="60" w:line="220" w:lineRule="auto"/>
                    <w:ind w:left="801"/>
                  </w:pPr>
                  <w:r>
                    <w:rPr>
                      <w:spacing w:val="-1"/>
                    </w:rPr>
                    <w:t>建筑垃圾、生活垃圾</w:t>
                  </w:r>
                </w:p>
              </w:tc>
            </w:tr>
            <w:tr w14:paraId="323CB6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253" w:type="dxa"/>
                  <w:vMerge w:val="continue"/>
                  <w:tcBorders>
                    <w:top w:val="nil"/>
                  </w:tcBorders>
                  <w:vAlign w:val="top"/>
                </w:tcPr>
                <w:p w14:paraId="78909416">
                  <w:pPr>
                    <w:rPr>
                      <w:rFonts w:ascii="Arial"/>
                      <w:sz w:val="21"/>
                    </w:rPr>
                  </w:pPr>
                </w:p>
              </w:tc>
              <w:tc>
                <w:tcPr>
                  <w:tcW w:w="1137" w:type="dxa"/>
                  <w:vAlign w:val="top"/>
                </w:tcPr>
                <w:p w14:paraId="7F52F14F">
                  <w:pPr>
                    <w:pStyle w:val="6"/>
                    <w:spacing w:before="57" w:line="226" w:lineRule="auto"/>
                    <w:ind w:left="362"/>
                  </w:pPr>
                  <w:r>
                    <w:rPr>
                      <w:spacing w:val="-2"/>
                    </w:rPr>
                    <w:t>生态</w:t>
                  </w:r>
                </w:p>
              </w:tc>
              <w:tc>
                <w:tcPr>
                  <w:tcW w:w="5889" w:type="dxa"/>
                  <w:gridSpan w:val="2"/>
                  <w:vAlign w:val="top"/>
                </w:tcPr>
                <w:p w14:paraId="418CCDC1">
                  <w:pPr>
                    <w:pStyle w:val="6"/>
                    <w:spacing w:before="57" w:line="221" w:lineRule="auto"/>
                    <w:ind w:left="2530"/>
                  </w:pPr>
                  <w:r>
                    <w:rPr>
                      <w:spacing w:val="-2"/>
                    </w:rPr>
                    <w:t>植被破坏</w:t>
                  </w:r>
                </w:p>
              </w:tc>
            </w:tr>
          </w:tbl>
          <w:p w14:paraId="30C7D7EC">
            <w:pPr>
              <w:pStyle w:val="6"/>
              <w:spacing w:before="118" w:line="234" w:lineRule="auto"/>
              <w:ind w:left="108"/>
              <w:rPr>
                <w:sz w:val="24"/>
                <w:szCs w:val="24"/>
              </w:rPr>
            </w:pPr>
            <w:r>
              <w:rPr>
                <w:rFonts w:ascii="Times New Roman" w:hAnsi="Times New Roman" w:eastAsia="Times New Roman" w:cs="Times New Roman"/>
                <w:b/>
                <w:bCs/>
                <w:spacing w:val="-5"/>
                <w:sz w:val="24"/>
                <w:szCs w:val="24"/>
              </w:rPr>
              <w:t>2</w:t>
            </w:r>
            <w:r>
              <w:rPr>
                <w:rFonts w:ascii="Times New Roman" w:hAnsi="Times New Roman" w:eastAsia="Times New Roman" w:cs="Times New Roman"/>
                <w:b/>
                <w:bCs/>
                <w:spacing w:val="-27"/>
                <w:sz w:val="24"/>
                <w:szCs w:val="24"/>
              </w:rPr>
              <w:t xml:space="preserve"> </w:t>
            </w:r>
            <w:r>
              <w:rPr>
                <w:b/>
                <w:bCs/>
                <w:spacing w:val="-5"/>
                <w:sz w:val="24"/>
                <w:szCs w:val="24"/>
              </w:rPr>
              <w:t>、施工期生态环境影响</w:t>
            </w:r>
          </w:p>
          <w:p w14:paraId="5049498F">
            <w:pPr>
              <w:pStyle w:val="6"/>
              <w:spacing w:before="171" w:line="234"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）项目占地的影响</w:t>
            </w:r>
          </w:p>
          <w:p w14:paraId="78D086F7">
            <w:pPr>
              <w:pStyle w:val="6"/>
              <w:spacing w:before="169" w:line="230" w:lineRule="auto"/>
              <w:ind w:left="593"/>
              <w:rPr>
                <w:sz w:val="24"/>
                <w:szCs w:val="24"/>
              </w:rPr>
            </w:pPr>
            <w:r>
              <w:rPr>
                <w:spacing w:val="-2"/>
                <w:sz w:val="24"/>
                <w:szCs w:val="24"/>
              </w:rPr>
              <w:t xml:space="preserve">本项目输电线路建设区总占地面积 </w:t>
            </w:r>
            <w:r>
              <w:rPr>
                <w:rFonts w:ascii="Times New Roman" w:hAnsi="Times New Roman" w:eastAsia="Times New Roman" w:cs="Times New Roman"/>
                <w:spacing w:val="-2"/>
                <w:sz w:val="24"/>
                <w:szCs w:val="24"/>
              </w:rPr>
              <w:t>1.9426hm</w:t>
            </w:r>
            <w:r>
              <w:rPr>
                <w:rFonts w:ascii="Times New Roman" w:hAnsi="Times New Roman" w:eastAsia="Times New Roman" w:cs="Times New Roman"/>
                <w:spacing w:val="-2"/>
                <w:position w:val="9"/>
                <w:sz w:val="16"/>
                <w:szCs w:val="16"/>
              </w:rPr>
              <w:t>2</w:t>
            </w:r>
            <w:r>
              <w:rPr>
                <w:spacing w:val="-2"/>
                <w:sz w:val="24"/>
                <w:szCs w:val="24"/>
              </w:rPr>
              <w:t>，其中永久占地</w:t>
            </w:r>
            <w:r>
              <w:rPr>
                <w:spacing w:val="-12"/>
                <w:sz w:val="24"/>
                <w:szCs w:val="24"/>
              </w:rPr>
              <w:t xml:space="preserve"> </w:t>
            </w:r>
            <w:r>
              <w:rPr>
                <w:rFonts w:ascii="Times New Roman" w:hAnsi="Times New Roman" w:eastAsia="Times New Roman" w:cs="Times New Roman"/>
                <w:spacing w:val="-2"/>
                <w:sz w:val="24"/>
                <w:szCs w:val="24"/>
              </w:rPr>
              <w:t>0.0216hm</w:t>
            </w:r>
            <w:r>
              <w:rPr>
                <w:spacing w:val="-2"/>
                <w:sz w:val="24"/>
                <w:szCs w:val="24"/>
              </w:rPr>
              <w:t>²</w:t>
            </w:r>
            <w:r>
              <w:rPr>
                <w:spacing w:val="-91"/>
                <w:sz w:val="24"/>
                <w:szCs w:val="24"/>
              </w:rPr>
              <w:t xml:space="preserve"> </w:t>
            </w:r>
            <w:r>
              <w:rPr>
                <w:spacing w:val="-2"/>
                <w:sz w:val="24"/>
                <w:szCs w:val="24"/>
              </w:rPr>
              <w:t>,</w:t>
            </w:r>
          </w:p>
        </w:tc>
      </w:tr>
    </w:tbl>
    <w:p w14:paraId="362C6D61">
      <w:pPr>
        <w:rPr>
          <w:rFonts w:ascii="Arial"/>
          <w:sz w:val="21"/>
        </w:rPr>
      </w:pPr>
    </w:p>
    <w:p w14:paraId="4CC5E2C3">
      <w:pPr>
        <w:rPr>
          <w:rFonts w:ascii="Arial" w:hAnsi="Arial" w:eastAsia="Arial" w:cs="Arial"/>
          <w:sz w:val="21"/>
          <w:szCs w:val="21"/>
        </w:rPr>
        <w:sectPr>
          <w:footerReference r:id="rId63" w:type="default"/>
          <w:pgSz w:w="11907" w:h="16841"/>
          <w:pgMar w:top="400" w:right="1408" w:bottom="1126" w:left="1414" w:header="0" w:footer="925" w:gutter="0"/>
          <w:cols w:space="720" w:num="1"/>
        </w:sectPr>
      </w:pPr>
    </w:p>
    <w:p w14:paraId="4A0B16F1">
      <w:pPr>
        <w:spacing w:before="2"/>
      </w:pPr>
    </w:p>
    <w:p w14:paraId="5A46C86B">
      <w:pPr>
        <w:spacing w:before="2"/>
      </w:pPr>
    </w:p>
    <w:p w14:paraId="18F08F10">
      <w:pPr>
        <w:spacing w:before="1"/>
      </w:pPr>
    </w:p>
    <w:p w14:paraId="3A2B1AA2">
      <w:pPr>
        <w:spacing w:before="1"/>
      </w:pPr>
    </w:p>
    <w:p w14:paraId="554F0FF1">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000D99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63CAA3E2">
            <w:pPr>
              <w:rPr>
                <w:rFonts w:ascii="Arial"/>
                <w:sz w:val="21"/>
              </w:rPr>
            </w:pPr>
          </w:p>
        </w:tc>
        <w:tc>
          <w:tcPr>
            <w:tcW w:w="8507" w:type="dxa"/>
            <w:vAlign w:val="top"/>
          </w:tcPr>
          <w:p w14:paraId="3254B192">
            <w:pPr>
              <w:pStyle w:val="6"/>
              <w:spacing w:before="122" w:line="364" w:lineRule="auto"/>
              <w:ind w:left="111" w:right="107" w:firstLine="2"/>
              <w:jc w:val="both"/>
              <w:rPr>
                <w:sz w:val="24"/>
                <w:szCs w:val="24"/>
              </w:rPr>
            </w:pPr>
            <w:r>
              <w:rPr>
                <w:spacing w:val="-1"/>
                <w:sz w:val="24"/>
                <w:szCs w:val="24"/>
              </w:rPr>
              <w:t xml:space="preserve">用于塔基建设与 </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46"/>
                <w:w w:val="101"/>
                <w:sz w:val="24"/>
                <w:szCs w:val="24"/>
              </w:rPr>
              <w:t xml:space="preserve"> </w:t>
            </w:r>
            <w:r>
              <w:rPr>
                <w:spacing w:val="-1"/>
                <w:sz w:val="24"/>
                <w:szCs w:val="24"/>
              </w:rPr>
              <w:t>迤车变间隔扩建，土地类型包括林地、耕地</w:t>
            </w:r>
            <w:r>
              <w:rPr>
                <w:spacing w:val="-2"/>
                <w:sz w:val="24"/>
                <w:szCs w:val="24"/>
              </w:rPr>
              <w:t>；临时占地</w:t>
            </w:r>
            <w:r>
              <w:rPr>
                <w:rFonts w:ascii="Times New Roman" w:hAnsi="Times New Roman" w:eastAsia="Times New Roman" w:cs="Times New Roman"/>
                <w:spacing w:val="3"/>
                <w:sz w:val="24"/>
                <w:szCs w:val="24"/>
              </w:rPr>
              <w:t>1.82</w:t>
            </w:r>
            <w:r>
              <w:rPr>
                <w:rFonts w:ascii="Times New Roman" w:hAnsi="Times New Roman" w:eastAsia="Times New Roman" w:cs="Times New Roman"/>
                <w:sz w:val="24"/>
                <w:szCs w:val="24"/>
              </w:rPr>
              <w:t>hm</w:t>
            </w:r>
            <w:r>
              <w:rPr>
                <w:spacing w:val="3"/>
                <w:sz w:val="24"/>
                <w:szCs w:val="24"/>
              </w:rPr>
              <w:t>²,涵盖塔基施工区、牵张场地、跨越场地和施工便道，</w:t>
            </w:r>
            <w:r>
              <w:rPr>
                <w:spacing w:val="2"/>
                <w:sz w:val="24"/>
                <w:szCs w:val="24"/>
              </w:rPr>
              <w:t>涉及林地、耕地</w:t>
            </w:r>
            <w:r>
              <w:rPr>
                <w:spacing w:val="-7"/>
                <w:sz w:val="24"/>
                <w:szCs w:val="24"/>
              </w:rPr>
              <w:t>及草地。永久占地施工时， 严格将场地限制在征地范围内，施工结束后，对变电</w:t>
            </w:r>
            <w:r>
              <w:rPr>
                <w:spacing w:val="-3"/>
                <w:sz w:val="24"/>
                <w:szCs w:val="24"/>
              </w:rPr>
              <w:t>站周边及塔基中间区域进行植被恢复。塔基实</w:t>
            </w:r>
            <w:r>
              <w:rPr>
                <w:spacing w:val="-4"/>
                <w:sz w:val="24"/>
                <w:szCs w:val="24"/>
              </w:rPr>
              <w:t>际占地仅</w:t>
            </w:r>
            <w:r>
              <w:rPr>
                <w:spacing w:val="-55"/>
                <w:sz w:val="24"/>
                <w:szCs w:val="24"/>
              </w:rPr>
              <w:t xml:space="preserve"> </w:t>
            </w:r>
            <w:r>
              <w:rPr>
                <w:rFonts w:ascii="Times New Roman" w:hAnsi="Times New Roman" w:eastAsia="Times New Roman" w:cs="Times New Roman"/>
                <w:spacing w:val="-4"/>
                <w:sz w:val="24"/>
                <w:szCs w:val="24"/>
              </w:rPr>
              <w:t xml:space="preserve">4 </w:t>
            </w:r>
            <w:r>
              <w:rPr>
                <w:spacing w:val="-4"/>
                <w:sz w:val="24"/>
                <w:szCs w:val="24"/>
              </w:rPr>
              <w:t>个支撑脚，损害的多为</w:t>
            </w:r>
            <w:r>
              <w:rPr>
                <w:spacing w:val="-3"/>
                <w:sz w:val="24"/>
                <w:szCs w:val="24"/>
              </w:rPr>
              <w:t>常见植物，不会改变沿线植被群落。临时占</w:t>
            </w:r>
            <w:r>
              <w:rPr>
                <w:spacing w:val="-4"/>
                <w:sz w:val="24"/>
                <w:szCs w:val="24"/>
              </w:rPr>
              <w:t>地施工中，施工道路优先利用或拓宽</w:t>
            </w:r>
            <w:r>
              <w:rPr>
                <w:spacing w:val="-3"/>
                <w:sz w:val="24"/>
                <w:szCs w:val="24"/>
              </w:rPr>
              <w:t>原有道路，由于单塔施工时间短，其对植被</w:t>
            </w:r>
            <w:r>
              <w:rPr>
                <w:spacing w:val="-4"/>
                <w:sz w:val="24"/>
                <w:szCs w:val="24"/>
              </w:rPr>
              <w:t>的破坏是暂时的，施工完成后植被可</w:t>
            </w:r>
            <w:r>
              <w:rPr>
                <w:spacing w:val="-7"/>
                <w:sz w:val="24"/>
                <w:szCs w:val="24"/>
              </w:rPr>
              <w:t>逐步恢复。</w:t>
            </w:r>
          </w:p>
          <w:p w14:paraId="6F44D724">
            <w:pPr>
              <w:pStyle w:val="6"/>
              <w:spacing w:before="7" w:line="235"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）对生态系统的影响</w:t>
            </w:r>
          </w:p>
          <w:p w14:paraId="166CC2FE">
            <w:pPr>
              <w:pStyle w:val="6"/>
              <w:spacing w:before="165" w:line="365" w:lineRule="auto"/>
              <w:ind w:left="111" w:right="109" w:firstLine="484"/>
              <w:jc w:val="both"/>
              <w:rPr>
                <w:sz w:val="24"/>
                <w:szCs w:val="24"/>
              </w:rPr>
            </w:pPr>
            <w:r>
              <w:rPr>
                <w:spacing w:val="-4"/>
                <w:sz w:val="24"/>
                <w:szCs w:val="24"/>
              </w:rPr>
              <w:t>项目施工区域分散且占地小，临时占地施工结束后进行植被恢复，少量林木</w:t>
            </w:r>
            <w:r>
              <w:rPr>
                <w:spacing w:val="-3"/>
                <w:sz w:val="24"/>
                <w:szCs w:val="24"/>
              </w:rPr>
              <w:t>处理不会改变森林生态系统群落演替，也不会</w:t>
            </w:r>
            <w:r>
              <w:rPr>
                <w:spacing w:val="-4"/>
                <w:sz w:val="24"/>
                <w:szCs w:val="24"/>
              </w:rPr>
              <w:t>造成系统性破坏。输电线路以高空</w:t>
            </w:r>
            <w:r>
              <w:rPr>
                <w:spacing w:val="-3"/>
                <w:sz w:val="24"/>
                <w:szCs w:val="24"/>
              </w:rPr>
              <w:t>架设跨越河流，不占用湿地生态系统，通过</w:t>
            </w:r>
            <w:r>
              <w:rPr>
                <w:spacing w:val="-4"/>
                <w:sz w:val="24"/>
                <w:szCs w:val="24"/>
              </w:rPr>
              <w:t>加强施工人员环保教育、控制污染物</w:t>
            </w:r>
            <w:r>
              <w:rPr>
                <w:spacing w:val="-3"/>
                <w:sz w:val="24"/>
                <w:szCs w:val="24"/>
              </w:rPr>
              <w:t>排放，可将对湿地的影响控制在较低水平。塔</w:t>
            </w:r>
            <w:r>
              <w:rPr>
                <w:spacing w:val="-4"/>
                <w:sz w:val="24"/>
                <w:szCs w:val="24"/>
              </w:rPr>
              <w:t>基基础开挖及施工活动会损害农作物，导致产量减少。施工人员产生的噪声、废气、垃圾等污染物虽对城镇生态有</w:t>
            </w:r>
            <w:r>
              <w:rPr>
                <w:spacing w:val="-3"/>
                <w:sz w:val="24"/>
                <w:szCs w:val="24"/>
              </w:rPr>
              <w:t>影响，但因就近租房，不会大幅加剧现有环</w:t>
            </w:r>
            <w:r>
              <w:rPr>
                <w:spacing w:val="-4"/>
                <w:sz w:val="24"/>
                <w:szCs w:val="24"/>
              </w:rPr>
              <w:t>境问题，对城镇生态系统影响整体可</w:t>
            </w:r>
            <w:r>
              <w:rPr>
                <w:spacing w:val="-11"/>
                <w:sz w:val="24"/>
                <w:szCs w:val="24"/>
              </w:rPr>
              <w:t>控。</w:t>
            </w:r>
          </w:p>
          <w:p w14:paraId="788116D0">
            <w:pPr>
              <w:pStyle w:val="6"/>
              <w:spacing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3</w:t>
            </w:r>
            <w:r>
              <w:rPr>
                <w:b/>
                <w:bCs/>
                <w:spacing w:val="-4"/>
                <w:sz w:val="24"/>
                <w:szCs w:val="24"/>
              </w:rPr>
              <w:t>）对植被的影响分析</w:t>
            </w:r>
          </w:p>
          <w:p w14:paraId="70BBD67C">
            <w:pPr>
              <w:pStyle w:val="6"/>
              <w:spacing w:before="168" w:line="365" w:lineRule="auto"/>
              <w:ind w:left="112" w:right="109" w:firstLine="483"/>
              <w:jc w:val="both"/>
              <w:rPr>
                <w:sz w:val="24"/>
                <w:szCs w:val="24"/>
              </w:rPr>
            </w:pPr>
            <w:r>
              <w:rPr>
                <w:spacing w:val="-4"/>
                <w:sz w:val="24"/>
                <w:szCs w:val="24"/>
              </w:rPr>
              <w:t>项目永久与临时占地致使陆生植物分布面积缩减，不过永久占地中林地占比</w:t>
            </w:r>
            <w:r>
              <w:rPr>
                <w:spacing w:val="-7"/>
                <w:sz w:val="24"/>
                <w:szCs w:val="24"/>
              </w:rPr>
              <w:t>小，影响有限，临时占地施工后可恢复。施工过程中， 铁塔基础开挖等作业会影</w:t>
            </w:r>
            <w:r>
              <w:rPr>
                <w:spacing w:val="-4"/>
                <w:sz w:val="24"/>
                <w:szCs w:val="24"/>
              </w:rPr>
              <w:t>响植物资源，但占用植被多为区域常见优势种，且砍伐量少，仅造成数量少量减</w:t>
            </w:r>
            <w:r>
              <w:rPr>
                <w:spacing w:val="-7"/>
                <w:sz w:val="24"/>
                <w:szCs w:val="24"/>
              </w:rPr>
              <w:t>少，不影响其生存繁衍与物种多样性。对于无法避开的片林， 采用高跨设计，仅</w:t>
            </w:r>
            <w:r>
              <w:rPr>
                <w:spacing w:val="-1"/>
                <w:sz w:val="24"/>
                <w:szCs w:val="24"/>
              </w:rPr>
              <w:t>砍伐塔基及临时占地处乔灌木，不会造成森林大面</w:t>
            </w:r>
            <w:r>
              <w:rPr>
                <w:spacing w:val="-2"/>
                <w:sz w:val="24"/>
                <w:szCs w:val="24"/>
              </w:rPr>
              <w:t>积减少或植被类型改变。</w:t>
            </w:r>
          </w:p>
          <w:p w14:paraId="1ADAA3B3">
            <w:pPr>
              <w:pStyle w:val="6"/>
              <w:spacing w:line="234"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4</w:t>
            </w:r>
            <w:r>
              <w:rPr>
                <w:b/>
                <w:bCs/>
                <w:spacing w:val="-4"/>
                <w:sz w:val="24"/>
                <w:szCs w:val="24"/>
              </w:rPr>
              <w:t>）对陆生动物的影响</w:t>
            </w:r>
          </w:p>
          <w:p w14:paraId="5CC39FD3">
            <w:pPr>
              <w:pStyle w:val="6"/>
              <w:spacing w:before="168" w:line="365" w:lineRule="auto"/>
              <w:ind w:left="115" w:right="109" w:firstLine="476"/>
              <w:jc w:val="both"/>
              <w:rPr>
                <w:sz w:val="24"/>
                <w:szCs w:val="24"/>
              </w:rPr>
            </w:pPr>
            <w:r>
              <w:rPr>
                <w:spacing w:val="-4"/>
                <w:sz w:val="24"/>
                <w:szCs w:val="24"/>
              </w:rPr>
              <w:t>施工期间，兽类、鸟类凭借较强的迁徙能力避开影响，周边丰富的适宜生境为其提供替代场所，施工结束后部分会返回原栖息地，部分在周边重新分布。项目建设呈点线型，未显著改变爬行类、两栖类的整体生境，它们凭借自身活动能力可规避施工干扰。施工结束后，随着生态环境恢复，对这些动物的影响将逐渐</w:t>
            </w:r>
            <w:r>
              <w:rPr>
                <w:spacing w:val="-11"/>
                <w:sz w:val="24"/>
                <w:szCs w:val="24"/>
              </w:rPr>
              <w:t>消退。</w:t>
            </w:r>
          </w:p>
          <w:p w14:paraId="0B948726">
            <w:pPr>
              <w:pStyle w:val="6"/>
              <w:spacing w:line="234"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5</w:t>
            </w:r>
            <w:r>
              <w:rPr>
                <w:b/>
                <w:bCs/>
                <w:spacing w:val="-4"/>
                <w:sz w:val="24"/>
                <w:szCs w:val="24"/>
              </w:rPr>
              <w:t>）项目对生态保护红线的影响</w:t>
            </w:r>
          </w:p>
        </w:tc>
      </w:tr>
    </w:tbl>
    <w:p w14:paraId="75778731">
      <w:pPr>
        <w:rPr>
          <w:rFonts w:ascii="Arial"/>
          <w:sz w:val="21"/>
        </w:rPr>
      </w:pPr>
    </w:p>
    <w:p w14:paraId="54DDD0D0">
      <w:pPr>
        <w:rPr>
          <w:rFonts w:ascii="Arial" w:hAnsi="Arial" w:eastAsia="Arial" w:cs="Arial"/>
          <w:sz w:val="21"/>
          <w:szCs w:val="21"/>
        </w:rPr>
        <w:sectPr>
          <w:footerReference r:id="rId64" w:type="default"/>
          <w:pgSz w:w="11907" w:h="16841"/>
          <w:pgMar w:top="400" w:right="1408" w:bottom="1126" w:left="1414" w:header="0" w:footer="925" w:gutter="0"/>
          <w:cols w:space="720" w:num="1"/>
        </w:sectPr>
      </w:pPr>
    </w:p>
    <w:p w14:paraId="79DB46C8">
      <w:pPr>
        <w:spacing w:before="2"/>
      </w:pPr>
    </w:p>
    <w:p w14:paraId="25C9018C">
      <w:pPr>
        <w:spacing w:before="2"/>
      </w:pPr>
    </w:p>
    <w:p w14:paraId="715CDFCE">
      <w:pPr>
        <w:spacing w:before="1"/>
      </w:pPr>
    </w:p>
    <w:p w14:paraId="2AECDCA1">
      <w:pPr>
        <w:spacing w:before="1"/>
      </w:pPr>
    </w:p>
    <w:p w14:paraId="556617FF">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4452DF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24D6AFFA">
            <w:pPr>
              <w:rPr>
                <w:rFonts w:ascii="Arial"/>
                <w:sz w:val="21"/>
              </w:rPr>
            </w:pPr>
          </w:p>
        </w:tc>
        <w:tc>
          <w:tcPr>
            <w:tcW w:w="8507" w:type="dxa"/>
            <w:vAlign w:val="top"/>
          </w:tcPr>
          <w:p w14:paraId="295870D9">
            <w:pPr>
              <w:pStyle w:val="6"/>
              <w:spacing w:before="123" w:line="363" w:lineRule="auto"/>
              <w:ind w:left="110" w:right="42" w:firstLine="484"/>
              <w:jc w:val="both"/>
              <w:rPr>
                <w:sz w:val="24"/>
                <w:szCs w:val="24"/>
              </w:rPr>
            </w:pPr>
            <w:r>
              <w:rPr>
                <w:spacing w:val="-1"/>
                <w:sz w:val="24"/>
                <w:szCs w:val="24"/>
              </w:rPr>
              <w:t>线路穿越会泽县金沙江下游</w:t>
            </w:r>
            <w:r>
              <w:rPr>
                <w:rFonts w:ascii="Times New Roman" w:hAnsi="Times New Roman" w:eastAsia="Times New Roman" w:cs="Times New Roman"/>
                <w:spacing w:val="-1"/>
                <w:sz w:val="24"/>
                <w:szCs w:val="24"/>
              </w:rPr>
              <w:t>-</w:t>
            </w:r>
            <w:r>
              <w:rPr>
                <w:spacing w:val="-1"/>
                <w:sz w:val="24"/>
                <w:szCs w:val="24"/>
              </w:rPr>
              <w:t xml:space="preserve">小江流域水土流失控制生态保护红线 </w:t>
            </w:r>
            <w:r>
              <w:rPr>
                <w:rFonts w:ascii="Times New Roman" w:hAnsi="Times New Roman" w:eastAsia="Times New Roman" w:cs="Times New Roman"/>
                <w:spacing w:val="-1"/>
                <w:sz w:val="24"/>
                <w:szCs w:val="24"/>
              </w:rPr>
              <w:t>4257m</w:t>
            </w:r>
            <w:r>
              <w:rPr>
                <w:rFonts w:ascii="Times New Roman" w:hAnsi="Times New Roman" w:eastAsia="Times New Roman" w:cs="Times New Roman"/>
                <w:spacing w:val="-26"/>
                <w:sz w:val="24"/>
                <w:szCs w:val="24"/>
              </w:rPr>
              <w:t xml:space="preserve"> </w:t>
            </w:r>
            <w:r>
              <w:rPr>
                <w:spacing w:val="-1"/>
                <w:sz w:val="24"/>
                <w:szCs w:val="24"/>
              </w:rPr>
              <w:t>，</w:t>
            </w:r>
            <w:r>
              <w:rPr>
                <w:sz w:val="24"/>
                <w:szCs w:val="24"/>
              </w:rPr>
              <w:t xml:space="preserve"> </w:t>
            </w:r>
            <w:r>
              <w:rPr>
                <w:rFonts w:ascii="Times New Roman" w:hAnsi="Times New Roman" w:eastAsia="Times New Roman" w:cs="Times New Roman"/>
                <w:spacing w:val="-1"/>
                <w:sz w:val="24"/>
                <w:szCs w:val="24"/>
              </w:rPr>
              <w:t xml:space="preserve">13  </w:t>
            </w:r>
            <w:r>
              <w:rPr>
                <w:spacing w:val="-1"/>
                <w:sz w:val="24"/>
                <w:szCs w:val="24"/>
              </w:rPr>
              <w:t>个塔基位于红线内，</w:t>
            </w:r>
            <w:r>
              <w:rPr>
                <w:spacing w:val="-68"/>
                <w:sz w:val="24"/>
                <w:szCs w:val="24"/>
              </w:rPr>
              <w:t xml:space="preserve"> </w:t>
            </w:r>
            <w:r>
              <w:rPr>
                <w:spacing w:val="-1"/>
                <w:sz w:val="24"/>
                <w:szCs w:val="24"/>
              </w:rPr>
              <w:t>占用植被类型以云南</w:t>
            </w:r>
            <w:r>
              <w:rPr>
                <w:spacing w:val="-2"/>
                <w:sz w:val="24"/>
                <w:szCs w:val="24"/>
              </w:rPr>
              <w:t>松林及稀树灌草丛为主。工程通过</w:t>
            </w:r>
            <w:r>
              <w:rPr>
                <w:spacing w:val="-8"/>
                <w:sz w:val="24"/>
                <w:szCs w:val="24"/>
              </w:rPr>
              <w:t>避让红线密集区，从零星区域或间隙穿过，且在红线内不开挖便道、不</w:t>
            </w:r>
            <w:r>
              <w:rPr>
                <w:spacing w:val="-9"/>
                <w:sz w:val="24"/>
                <w:szCs w:val="24"/>
              </w:rPr>
              <w:t>砍伐通道，</w:t>
            </w:r>
            <w:r>
              <w:rPr>
                <w:spacing w:val="-3"/>
                <w:sz w:val="24"/>
                <w:szCs w:val="24"/>
              </w:rPr>
              <w:t>采用无人机放线，最大程度减少对生态保护红线</w:t>
            </w:r>
            <w:r>
              <w:rPr>
                <w:spacing w:val="-4"/>
                <w:sz w:val="24"/>
                <w:szCs w:val="24"/>
              </w:rPr>
              <w:t>的扰动，对其稳定性和完整性影</w:t>
            </w:r>
            <w:r>
              <w:rPr>
                <w:spacing w:val="-2"/>
                <w:sz w:val="24"/>
                <w:szCs w:val="24"/>
              </w:rPr>
              <w:t>响微弱。</w:t>
            </w:r>
            <w:r>
              <w:rPr>
                <w:b/>
                <w:bCs/>
                <w:spacing w:val="-2"/>
                <w:sz w:val="24"/>
                <w:szCs w:val="24"/>
              </w:rPr>
              <w:t>详见生态环境影响专题评价。</w:t>
            </w:r>
          </w:p>
          <w:p w14:paraId="33906B82">
            <w:pPr>
              <w:pStyle w:val="6"/>
              <w:spacing w:before="11" w:line="234" w:lineRule="auto"/>
              <w:ind w:left="106"/>
              <w:rPr>
                <w:sz w:val="24"/>
                <w:szCs w:val="24"/>
              </w:rPr>
            </w:pPr>
            <w:r>
              <w:rPr>
                <w:rFonts w:ascii="Times New Roman" w:hAnsi="Times New Roman" w:eastAsia="Times New Roman" w:cs="Times New Roman"/>
                <w:b/>
                <w:bCs/>
                <w:spacing w:val="-3"/>
                <w:sz w:val="24"/>
                <w:szCs w:val="24"/>
              </w:rPr>
              <w:t>3</w:t>
            </w:r>
            <w:r>
              <w:rPr>
                <w:b/>
                <w:bCs/>
                <w:spacing w:val="-3"/>
                <w:sz w:val="24"/>
                <w:szCs w:val="24"/>
              </w:rPr>
              <w:t>、施工期大气环境影响</w:t>
            </w:r>
          </w:p>
          <w:p w14:paraId="5A289116">
            <w:pPr>
              <w:pStyle w:val="6"/>
              <w:spacing w:before="168" w:line="233" w:lineRule="auto"/>
              <w:ind w:left="601"/>
              <w:rPr>
                <w:sz w:val="24"/>
                <w:szCs w:val="24"/>
              </w:rPr>
            </w:pPr>
            <w:r>
              <w:rPr>
                <w:b/>
                <w:bCs/>
                <w:spacing w:val="-6"/>
                <w:sz w:val="24"/>
                <w:szCs w:val="24"/>
              </w:rPr>
              <w:t>（</w:t>
            </w:r>
            <w:r>
              <w:rPr>
                <w:rFonts w:ascii="Times New Roman" w:hAnsi="Times New Roman" w:eastAsia="Times New Roman" w:cs="Times New Roman"/>
                <w:b/>
                <w:bCs/>
                <w:spacing w:val="-6"/>
                <w:sz w:val="24"/>
                <w:szCs w:val="24"/>
              </w:rPr>
              <w:t>1</w:t>
            </w:r>
            <w:r>
              <w:rPr>
                <w:b/>
                <w:bCs/>
                <w:spacing w:val="-6"/>
                <w:sz w:val="24"/>
                <w:szCs w:val="24"/>
              </w:rPr>
              <w:t>）输电线路</w:t>
            </w:r>
          </w:p>
          <w:p w14:paraId="61870557">
            <w:pPr>
              <w:pStyle w:val="6"/>
              <w:spacing w:before="171" w:line="236" w:lineRule="auto"/>
              <w:ind w:left="611"/>
              <w:rPr>
                <w:sz w:val="24"/>
                <w:szCs w:val="24"/>
              </w:rPr>
            </w:pPr>
            <w:r>
              <w:rPr>
                <w:rFonts w:ascii="Times New Roman" w:hAnsi="Times New Roman" w:eastAsia="Times New Roman" w:cs="Times New Roman"/>
                <w:spacing w:val="-6"/>
                <w:sz w:val="24"/>
                <w:szCs w:val="24"/>
              </w:rPr>
              <w:t>1</w:t>
            </w:r>
            <w:r>
              <w:rPr>
                <w:spacing w:val="-6"/>
                <w:sz w:val="24"/>
                <w:szCs w:val="24"/>
              </w:rPr>
              <w:t>）施工扬尘</w:t>
            </w:r>
          </w:p>
          <w:p w14:paraId="518F4ACD">
            <w:pPr>
              <w:pStyle w:val="6"/>
              <w:spacing w:before="165" w:line="365" w:lineRule="auto"/>
              <w:ind w:left="111" w:right="24" w:firstLine="484"/>
              <w:rPr>
                <w:sz w:val="24"/>
                <w:szCs w:val="24"/>
              </w:rPr>
            </w:pPr>
            <w:r>
              <w:rPr>
                <w:spacing w:val="-6"/>
                <w:sz w:val="24"/>
                <w:szCs w:val="24"/>
              </w:rPr>
              <w:t>项目的扬尘主要是由基础开挖、建材装卸等施工环节，</w:t>
            </w:r>
            <w:r>
              <w:rPr>
                <w:spacing w:val="-39"/>
                <w:sz w:val="24"/>
                <w:szCs w:val="24"/>
              </w:rPr>
              <w:t xml:space="preserve"> </w:t>
            </w:r>
            <w:r>
              <w:rPr>
                <w:spacing w:val="-6"/>
                <w:sz w:val="24"/>
                <w:szCs w:val="24"/>
              </w:rPr>
              <w:t>以</w:t>
            </w:r>
            <w:r>
              <w:rPr>
                <w:spacing w:val="-7"/>
                <w:sz w:val="24"/>
                <w:szCs w:val="24"/>
              </w:rPr>
              <w:t>及施工形成的裸土</w:t>
            </w:r>
            <w:r>
              <w:rPr>
                <w:spacing w:val="-6"/>
                <w:sz w:val="24"/>
                <w:szCs w:val="24"/>
              </w:rPr>
              <w:t>面、堆渣堆料而产生，</w:t>
            </w:r>
            <w:r>
              <w:rPr>
                <w:spacing w:val="-29"/>
                <w:sz w:val="24"/>
                <w:szCs w:val="24"/>
              </w:rPr>
              <w:t xml:space="preserve"> </w:t>
            </w:r>
            <w:r>
              <w:rPr>
                <w:spacing w:val="-6"/>
                <w:sz w:val="24"/>
                <w:szCs w:val="24"/>
              </w:rPr>
              <w:t>再就是施工车辆运输水泥、砂石等材料也可能引起较</w:t>
            </w:r>
            <w:r>
              <w:rPr>
                <w:spacing w:val="-7"/>
                <w:sz w:val="24"/>
                <w:szCs w:val="24"/>
              </w:rPr>
              <w:t>大的</w:t>
            </w:r>
            <w:r>
              <w:rPr>
                <w:spacing w:val="-3"/>
                <w:sz w:val="24"/>
                <w:szCs w:val="24"/>
              </w:rPr>
              <w:t>扬尘及道路扬尘，其主要污染物为</w:t>
            </w:r>
            <w:r>
              <w:rPr>
                <w:spacing w:val="-52"/>
                <w:sz w:val="24"/>
                <w:szCs w:val="24"/>
              </w:rPr>
              <w:t xml:space="preserve"> </w:t>
            </w:r>
            <w:r>
              <w:rPr>
                <w:rFonts w:ascii="Times New Roman" w:hAnsi="Times New Roman" w:eastAsia="Times New Roman" w:cs="Times New Roman"/>
                <w:spacing w:val="-3"/>
                <w:sz w:val="24"/>
                <w:szCs w:val="24"/>
              </w:rPr>
              <w:t>TSP</w:t>
            </w:r>
            <w:r>
              <w:rPr>
                <w:spacing w:val="-3"/>
                <w:sz w:val="24"/>
                <w:szCs w:val="24"/>
              </w:rPr>
              <w:t>，不含</w:t>
            </w:r>
            <w:r>
              <w:rPr>
                <w:spacing w:val="-4"/>
                <w:sz w:val="24"/>
                <w:szCs w:val="24"/>
              </w:rPr>
              <w:t>有毒有害的特殊污染物质，对周边</w:t>
            </w:r>
            <w:r>
              <w:rPr>
                <w:spacing w:val="-8"/>
                <w:sz w:val="24"/>
                <w:szCs w:val="24"/>
              </w:rPr>
              <w:t>环境有一定的污染。扬尘呈无组织排放，其产生强度与施工方式、气象条件有关。</w:t>
            </w:r>
          </w:p>
          <w:p w14:paraId="601C945E">
            <w:pPr>
              <w:pStyle w:val="6"/>
              <w:spacing w:before="6" w:line="362" w:lineRule="auto"/>
              <w:ind w:left="111" w:right="19" w:firstLine="480"/>
              <w:rPr>
                <w:sz w:val="24"/>
                <w:szCs w:val="24"/>
              </w:rPr>
            </w:pPr>
            <w:r>
              <w:rPr>
                <w:spacing w:val="3"/>
                <w:sz w:val="24"/>
                <w:szCs w:val="24"/>
              </w:rPr>
              <w:t>施工作业中产生的扬尘对环境空气造成的影响大小取决于产尘量和气候条</w:t>
            </w:r>
            <w:r>
              <w:rPr>
                <w:spacing w:val="-7"/>
                <w:sz w:val="24"/>
                <w:szCs w:val="24"/>
              </w:rPr>
              <w:t>件，影响面主要集中在施工场地</w:t>
            </w:r>
            <w:r>
              <w:rPr>
                <w:spacing w:val="-49"/>
                <w:sz w:val="24"/>
                <w:szCs w:val="24"/>
              </w:rPr>
              <w:t xml:space="preserve"> </w:t>
            </w:r>
            <w:r>
              <w:rPr>
                <w:rFonts w:ascii="Times New Roman" w:hAnsi="Times New Roman" w:eastAsia="Times New Roman" w:cs="Times New Roman"/>
                <w:spacing w:val="-7"/>
                <w:sz w:val="24"/>
                <w:szCs w:val="24"/>
              </w:rPr>
              <w:t>200m</w:t>
            </w:r>
            <w:r>
              <w:rPr>
                <w:rFonts w:ascii="Times New Roman" w:hAnsi="Times New Roman" w:eastAsia="Times New Roman" w:cs="Times New Roman"/>
                <w:spacing w:val="15"/>
                <w:w w:val="101"/>
                <w:sz w:val="24"/>
                <w:szCs w:val="24"/>
              </w:rPr>
              <w:t xml:space="preserve"> </w:t>
            </w:r>
            <w:r>
              <w:rPr>
                <w:spacing w:val="-7"/>
                <w:sz w:val="24"/>
                <w:szCs w:val="24"/>
              </w:rPr>
              <w:t>范围内。据有关资料，</w:t>
            </w:r>
            <w:r>
              <w:rPr>
                <w:spacing w:val="63"/>
                <w:sz w:val="24"/>
                <w:szCs w:val="24"/>
              </w:rPr>
              <w:t xml:space="preserve"> </w:t>
            </w:r>
            <w:r>
              <w:rPr>
                <w:spacing w:val="-7"/>
                <w:sz w:val="24"/>
                <w:szCs w:val="24"/>
              </w:rPr>
              <w:t>当风速大于</w:t>
            </w:r>
            <w:r>
              <w:rPr>
                <w:spacing w:val="-49"/>
                <w:sz w:val="24"/>
                <w:szCs w:val="24"/>
              </w:rPr>
              <w:t xml:space="preserve"> </w:t>
            </w:r>
            <w:r>
              <w:rPr>
                <w:rFonts w:ascii="Times New Roman" w:hAnsi="Times New Roman" w:eastAsia="Times New Roman" w:cs="Times New Roman"/>
                <w:spacing w:val="-7"/>
                <w:sz w:val="24"/>
                <w:szCs w:val="24"/>
              </w:rPr>
              <w:t>3.0m/s</w:t>
            </w:r>
            <w:r>
              <w:rPr>
                <w:spacing w:val="-6"/>
                <w:sz w:val="24"/>
                <w:szCs w:val="24"/>
              </w:rPr>
              <w:t>时，地面将产生扬尘。另外，</w:t>
            </w:r>
            <w:r>
              <w:rPr>
                <w:spacing w:val="-31"/>
                <w:sz w:val="24"/>
                <w:szCs w:val="24"/>
              </w:rPr>
              <w:t xml:space="preserve"> </w:t>
            </w:r>
            <w:r>
              <w:rPr>
                <w:spacing w:val="-6"/>
                <w:sz w:val="24"/>
                <w:szCs w:val="24"/>
              </w:rPr>
              <w:t>进出施工场地的运输车辆也会造成施工作业场所近</w:t>
            </w:r>
            <w:r>
              <w:rPr>
                <w:spacing w:val="-2"/>
                <w:sz w:val="24"/>
                <w:szCs w:val="24"/>
              </w:rPr>
              <w:t xml:space="preserve">地面粉尘浓度升高，运输车辆引起的扬尘对路边 </w:t>
            </w:r>
            <w:r>
              <w:rPr>
                <w:rFonts w:ascii="Times New Roman" w:hAnsi="Times New Roman" w:eastAsia="Times New Roman" w:cs="Times New Roman"/>
                <w:spacing w:val="-2"/>
                <w:sz w:val="24"/>
                <w:szCs w:val="24"/>
              </w:rPr>
              <w:t>30m</w:t>
            </w:r>
            <w:r>
              <w:rPr>
                <w:rFonts w:ascii="Times New Roman" w:hAnsi="Times New Roman" w:eastAsia="Times New Roman" w:cs="Times New Roman"/>
                <w:spacing w:val="64"/>
                <w:w w:val="101"/>
                <w:sz w:val="24"/>
                <w:szCs w:val="24"/>
              </w:rPr>
              <w:t xml:space="preserve"> </w:t>
            </w:r>
            <w:r>
              <w:rPr>
                <w:spacing w:val="-2"/>
                <w:sz w:val="24"/>
                <w:szCs w:val="24"/>
              </w:rPr>
              <w:t>范围内影响较大，而且形</w:t>
            </w:r>
            <w:r>
              <w:rPr>
                <w:spacing w:val="-8"/>
                <w:sz w:val="24"/>
                <w:szCs w:val="24"/>
              </w:rPr>
              <w:t>成线性污染，路边的</w:t>
            </w:r>
            <w:r>
              <w:rPr>
                <w:spacing w:val="-47"/>
                <w:sz w:val="24"/>
                <w:szCs w:val="24"/>
              </w:rPr>
              <w:t xml:space="preserve"> </w:t>
            </w:r>
            <w:r>
              <w:rPr>
                <w:rFonts w:ascii="Times New Roman" w:hAnsi="Times New Roman" w:eastAsia="Times New Roman" w:cs="Times New Roman"/>
                <w:spacing w:val="-8"/>
                <w:sz w:val="24"/>
                <w:szCs w:val="24"/>
              </w:rPr>
              <w:t xml:space="preserve">TSP </w:t>
            </w:r>
            <w:r>
              <w:rPr>
                <w:spacing w:val="-8"/>
                <w:sz w:val="24"/>
                <w:szCs w:val="24"/>
              </w:rPr>
              <w:t>浓度可达</w:t>
            </w:r>
            <w:r>
              <w:rPr>
                <w:spacing w:val="-32"/>
                <w:sz w:val="24"/>
                <w:szCs w:val="24"/>
              </w:rPr>
              <w:t xml:space="preserve"> </w:t>
            </w:r>
            <w:r>
              <w:rPr>
                <w:rFonts w:ascii="Times New Roman" w:hAnsi="Times New Roman" w:eastAsia="Times New Roman" w:cs="Times New Roman"/>
                <w:spacing w:val="-8"/>
                <w:sz w:val="24"/>
                <w:szCs w:val="24"/>
              </w:rPr>
              <w:t>10mg/m</w:t>
            </w:r>
            <w:r>
              <w:rPr>
                <w:rFonts w:ascii="Times New Roman" w:hAnsi="Times New Roman" w:eastAsia="Times New Roman" w:cs="Times New Roman"/>
                <w:spacing w:val="-8"/>
                <w:position w:val="8"/>
                <w:sz w:val="16"/>
                <w:szCs w:val="16"/>
              </w:rPr>
              <w:t xml:space="preserve">3  </w:t>
            </w:r>
            <w:r>
              <w:rPr>
                <w:spacing w:val="-8"/>
                <w:sz w:val="24"/>
                <w:szCs w:val="24"/>
              </w:rPr>
              <w:t>以上，一般浓度范围在</w:t>
            </w:r>
            <w:r>
              <w:rPr>
                <w:spacing w:val="-31"/>
                <w:sz w:val="24"/>
                <w:szCs w:val="24"/>
              </w:rPr>
              <w:t xml:space="preserve"> </w:t>
            </w:r>
            <w:r>
              <w:rPr>
                <w:rFonts w:ascii="Times New Roman" w:hAnsi="Times New Roman" w:eastAsia="Times New Roman" w:cs="Times New Roman"/>
                <w:spacing w:val="-8"/>
                <w:sz w:val="24"/>
                <w:szCs w:val="24"/>
              </w:rPr>
              <w:t>1.5~30mg/m</w:t>
            </w:r>
            <w:r>
              <w:rPr>
                <w:rFonts w:ascii="Times New Roman" w:hAnsi="Times New Roman" w:eastAsia="Times New Roman" w:cs="Times New Roman"/>
                <w:spacing w:val="-8"/>
                <w:position w:val="8"/>
                <w:sz w:val="16"/>
                <w:szCs w:val="16"/>
              </w:rPr>
              <w:t>3</w:t>
            </w:r>
            <w:r>
              <w:rPr>
                <w:spacing w:val="-8"/>
                <w:sz w:val="24"/>
                <w:szCs w:val="24"/>
              </w:rPr>
              <w:t>。</w:t>
            </w:r>
          </w:p>
          <w:p w14:paraId="15F8888C">
            <w:pPr>
              <w:pStyle w:val="6"/>
              <w:spacing w:before="10" w:line="365" w:lineRule="auto"/>
              <w:ind w:left="112" w:right="109" w:firstLine="603"/>
              <w:rPr>
                <w:sz w:val="24"/>
                <w:szCs w:val="24"/>
              </w:rPr>
            </w:pPr>
            <w:r>
              <w:rPr>
                <w:sz w:val="24"/>
                <w:szCs w:val="24"/>
              </w:rPr>
              <w:t>项目沿线分布有居民点，施工中若不采取扬尘防治措施</w:t>
            </w:r>
            <w:r>
              <w:rPr>
                <w:spacing w:val="-1"/>
                <w:sz w:val="24"/>
                <w:szCs w:val="24"/>
              </w:rPr>
              <w:t>，将对其产生扬尘</w:t>
            </w:r>
            <w:r>
              <w:rPr>
                <w:spacing w:val="-4"/>
                <w:sz w:val="24"/>
                <w:szCs w:val="24"/>
              </w:rPr>
              <w:t>影响，因此项目施工时应对场地进行洒水降尘，堆场进行遮盖，由于施工作业面呈点状分布，不会造成大面积地表裸露，且工程开挖量很小，单个塔基施工期很</w:t>
            </w:r>
            <w:r>
              <w:rPr>
                <w:spacing w:val="-1"/>
                <w:sz w:val="24"/>
                <w:szCs w:val="24"/>
              </w:rPr>
              <w:t>短，经采取上述措施后，施工扬尘对周围居民影响不大。</w:t>
            </w:r>
          </w:p>
          <w:p w14:paraId="388C713B">
            <w:pPr>
              <w:pStyle w:val="6"/>
              <w:spacing w:before="1" w:line="232" w:lineRule="auto"/>
              <w:ind w:left="708"/>
              <w:rPr>
                <w:sz w:val="24"/>
                <w:szCs w:val="24"/>
              </w:rPr>
            </w:pPr>
            <w:r>
              <w:rPr>
                <w:rFonts w:ascii="Times New Roman" w:hAnsi="Times New Roman" w:eastAsia="Times New Roman" w:cs="Times New Roman"/>
                <w:spacing w:val="-2"/>
                <w:sz w:val="24"/>
                <w:szCs w:val="24"/>
              </w:rPr>
              <w:t>2</w:t>
            </w:r>
            <w:r>
              <w:rPr>
                <w:spacing w:val="-2"/>
                <w:sz w:val="24"/>
                <w:szCs w:val="24"/>
              </w:rPr>
              <w:t>）汽车尾气及机械废气</w:t>
            </w:r>
          </w:p>
          <w:p w14:paraId="16A7FE87">
            <w:pPr>
              <w:pStyle w:val="6"/>
              <w:spacing w:before="171" w:line="365" w:lineRule="auto"/>
              <w:ind w:left="113" w:right="111" w:firstLine="598"/>
              <w:rPr>
                <w:sz w:val="24"/>
                <w:szCs w:val="24"/>
              </w:rPr>
            </w:pPr>
            <w:r>
              <w:rPr>
                <w:sz w:val="24"/>
                <w:szCs w:val="24"/>
              </w:rPr>
              <w:t>机械燃油烟气主要由运输车辆和施工机械产生，产生量较小，主要</w:t>
            </w:r>
            <w:r>
              <w:rPr>
                <w:spacing w:val="-1"/>
                <w:sz w:val="24"/>
                <w:szCs w:val="24"/>
              </w:rPr>
              <w:t>污染物</w:t>
            </w:r>
            <w:r>
              <w:rPr>
                <w:spacing w:val="-2"/>
                <w:sz w:val="24"/>
                <w:szCs w:val="24"/>
              </w:rPr>
              <w:t>为</w:t>
            </w:r>
            <w:r>
              <w:rPr>
                <w:spacing w:val="-63"/>
                <w:sz w:val="24"/>
                <w:szCs w:val="24"/>
              </w:rPr>
              <w:t xml:space="preserve"> </w:t>
            </w:r>
            <w:r>
              <w:rPr>
                <w:rFonts w:ascii="Times New Roman" w:hAnsi="Times New Roman" w:eastAsia="Times New Roman" w:cs="Times New Roman"/>
                <w:spacing w:val="-2"/>
                <w:sz w:val="24"/>
                <w:szCs w:val="24"/>
              </w:rPr>
              <w:t>NOx</w:t>
            </w:r>
            <w:r>
              <w:rPr>
                <w:spacing w:val="-2"/>
                <w:sz w:val="24"/>
                <w:szCs w:val="24"/>
              </w:rPr>
              <w:t>、</w:t>
            </w:r>
            <w:r>
              <w:rPr>
                <w:rFonts w:ascii="Times New Roman" w:hAnsi="Times New Roman" w:eastAsia="Times New Roman" w:cs="Times New Roman"/>
                <w:spacing w:val="-2"/>
                <w:sz w:val="24"/>
                <w:szCs w:val="24"/>
              </w:rPr>
              <w:t xml:space="preserve">CO </w:t>
            </w:r>
            <w:r>
              <w:rPr>
                <w:spacing w:val="-2"/>
                <w:sz w:val="24"/>
                <w:szCs w:val="24"/>
              </w:rPr>
              <w:t>和烃类等，属无组织排放性质间断性排放，产生</w:t>
            </w:r>
            <w:r>
              <w:rPr>
                <w:spacing w:val="-3"/>
                <w:sz w:val="24"/>
                <w:szCs w:val="24"/>
              </w:rPr>
              <w:t>量较小，对项目区</w:t>
            </w:r>
            <w:r>
              <w:rPr>
                <w:spacing w:val="-4"/>
                <w:sz w:val="24"/>
                <w:szCs w:val="24"/>
              </w:rPr>
              <w:t>域的空气环境质量影响不大。</w:t>
            </w:r>
          </w:p>
          <w:p w14:paraId="702F8EDB">
            <w:pPr>
              <w:pStyle w:val="6"/>
              <w:spacing w:line="234" w:lineRule="auto"/>
              <w:ind w:left="718"/>
              <w:rPr>
                <w:sz w:val="24"/>
                <w:szCs w:val="24"/>
              </w:rPr>
            </w:pPr>
            <w:r>
              <w:rPr>
                <w:b/>
                <w:bCs/>
                <w:spacing w:val="-6"/>
                <w:sz w:val="24"/>
                <w:szCs w:val="24"/>
              </w:rPr>
              <w:t>（</w:t>
            </w:r>
            <w:r>
              <w:rPr>
                <w:rFonts w:ascii="Times New Roman" w:hAnsi="Times New Roman" w:eastAsia="Times New Roman" w:cs="Times New Roman"/>
                <w:b/>
                <w:bCs/>
                <w:spacing w:val="-6"/>
                <w:sz w:val="24"/>
                <w:szCs w:val="24"/>
              </w:rPr>
              <w:t>2</w:t>
            </w:r>
            <w:r>
              <w:rPr>
                <w:b/>
                <w:bCs/>
                <w:spacing w:val="-6"/>
                <w:sz w:val="24"/>
                <w:szCs w:val="24"/>
              </w:rPr>
              <w:t>）间隔扩建</w:t>
            </w:r>
          </w:p>
          <w:p w14:paraId="48CCCFAE">
            <w:pPr>
              <w:pStyle w:val="6"/>
              <w:spacing w:before="168" w:line="318" w:lineRule="auto"/>
              <w:ind w:left="113" w:right="119" w:firstLine="601"/>
              <w:rPr>
                <w:sz w:val="24"/>
                <w:szCs w:val="24"/>
              </w:rPr>
            </w:pPr>
            <w:r>
              <w:rPr>
                <w:rFonts w:ascii="Times New Roman" w:hAnsi="Times New Roman" w:eastAsia="Times New Roman" w:cs="Times New Roman"/>
                <w:spacing w:val="-1"/>
                <w:sz w:val="24"/>
                <w:szCs w:val="24"/>
              </w:rPr>
              <w:t>500kV</w:t>
            </w:r>
            <w:r>
              <w:rPr>
                <w:rFonts w:ascii="Times New Roman" w:hAnsi="Times New Roman" w:eastAsia="Times New Roman" w:cs="Times New Roman"/>
                <w:spacing w:val="19"/>
                <w:sz w:val="24"/>
                <w:szCs w:val="24"/>
              </w:rPr>
              <w:t xml:space="preserve"> </w:t>
            </w:r>
            <w:r>
              <w:rPr>
                <w:spacing w:val="-1"/>
                <w:sz w:val="24"/>
                <w:szCs w:val="24"/>
              </w:rPr>
              <w:t>乐业变间隔扩建与</w:t>
            </w:r>
            <w:r>
              <w:rPr>
                <w:rFonts w:ascii="Times New Roman" w:hAnsi="Times New Roman" w:eastAsia="Times New Roman" w:cs="Times New Roman"/>
                <w:spacing w:val="-1"/>
                <w:sz w:val="24"/>
                <w:szCs w:val="24"/>
              </w:rPr>
              <w:t>500kV</w:t>
            </w:r>
            <w:r>
              <w:rPr>
                <w:rFonts w:ascii="Times New Roman" w:hAnsi="Times New Roman" w:eastAsia="Times New Roman" w:cs="Times New Roman"/>
                <w:spacing w:val="17"/>
                <w:sz w:val="24"/>
                <w:szCs w:val="24"/>
              </w:rPr>
              <w:t xml:space="preserve"> </w:t>
            </w:r>
            <w:r>
              <w:rPr>
                <w:spacing w:val="-1"/>
                <w:sz w:val="24"/>
                <w:szCs w:val="24"/>
              </w:rPr>
              <w:t>乐业变主体工程同步施工，经采取原环评</w:t>
            </w:r>
            <w:r>
              <w:rPr>
                <w:spacing w:val="-2"/>
                <w:sz w:val="24"/>
                <w:szCs w:val="24"/>
              </w:rPr>
              <w:t>提出的洒水降尘、物料覆盖等措施后，对环境空气的影响不大。</w:t>
            </w:r>
          </w:p>
        </w:tc>
      </w:tr>
    </w:tbl>
    <w:p w14:paraId="52D23438">
      <w:pPr>
        <w:rPr>
          <w:rFonts w:ascii="Arial"/>
          <w:sz w:val="21"/>
        </w:rPr>
      </w:pPr>
    </w:p>
    <w:p w14:paraId="73E85A03">
      <w:pPr>
        <w:rPr>
          <w:rFonts w:ascii="Arial" w:hAnsi="Arial" w:eastAsia="Arial" w:cs="Arial"/>
          <w:sz w:val="21"/>
          <w:szCs w:val="21"/>
        </w:rPr>
        <w:sectPr>
          <w:footerReference r:id="rId65" w:type="default"/>
          <w:pgSz w:w="11907" w:h="16841"/>
          <w:pgMar w:top="400" w:right="1408" w:bottom="1126" w:left="1414" w:header="0" w:footer="925" w:gutter="0"/>
          <w:cols w:space="720" w:num="1"/>
        </w:sectPr>
      </w:pPr>
    </w:p>
    <w:p w14:paraId="0D4E3B7F">
      <w:pPr>
        <w:spacing w:before="2"/>
      </w:pPr>
    </w:p>
    <w:p w14:paraId="30DC0D7B">
      <w:pPr>
        <w:spacing w:before="2"/>
      </w:pPr>
    </w:p>
    <w:p w14:paraId="7C183FDA">
      <w:pPr>
        <w:spacing w:before="1"/>
      </w:pPr>
    </w:p>
    <w:p w14:paraId="58088FC4">
      <w:pPr>
        <w:spacing w:before="1"/>
      </w:pPr>
    </w:p>
    <w:p w14:paraId="01797FC5">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4ABB2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0EE88E88">
            <w:pPr>
              <w:rPr>
                <w:rFonts w:ascii="Arial"/>
                <w:sz w:val="21"/>
              </w:rPr>
            </w:pPr>
          </w:p>
        </w:tc>
        <w:tc>
          <w:tcPr>
            <w:tcW w:w="8507" w:type="dxa"/>
            <w:vAlign w:val="top"/>
          </w:tcPr>
          <w:p w14:paraId="7B982095">
            <w:pPr>
              <w:pStyle w:val="6"/>
              <w:spacing w:before="126" w:line="364" w:lineRule="auto"/>
              <w:ind w:left="112" w:right="109" w:firstLine="595"/>
              <w:jc w:val="both"/>
              <w:rPr>
                <w:sz w:val="24"/>
                <w:szCs w:val="24"/>
              </w:rPr>
            </w:pP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37"/>
                <w:sz w:val="24"/>
                <w:szCs w:val="24"/>
              </w:rPr>
              <w:t xml:space="preserve"> </w:t>
            </w:r>
            <w:r>
              <w:rPr>
                <w:spacing w:val="-1"/>
                <w:sz w:val="24"/>
                <w:szCs w:val="24"/>
              </w:rPr>
              <w:t>迤车变间隔扩建在</w:t>
            </w:r>
            <w:r>
              <w:rPr>
                <w:spacing w:val="-26"/>
                <w:sz w:val="24"/>
                <w:szCs w:val="24"/>
              </w:rPr>
              <w:t xml:space="preserve"> </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37"/>
                <w:sz w:val="24"/>
                <w:szCs w:val="24"/>
              </w:rPr>
              <w:t xml:space="preserve"> </w:t>
            </w:r>
            <w:r>
              <w:rPr>
                <w:spacing w:val="-1"/>
                <w:sz w:val="24"/>
                <w:szCs w:val="24"/>
              </w:rPr>
              <w:t>迤</w:t>
            </w:r>
            <w:r>
              <w:rPr>
                <w:spacing w:val="-2"/>
                <w:sz w:val="24"/>
                <w:szCs w:val="24"/>
              </w:rPr>
              <w:t xml:space="preserve">车变南侧新征地 </w:t>
            </w:r>
            <w:r>
              <w:rPr>
                <w:rFonts w:ascii="Times New Roman" w:hAnsi="Times New Roman" w:eastAsia="Times New Roman" w:cs="Times New Roman"/>
                <w:spacing w:val="-2"/>
                <w:sz w:val="24"/>
                <w:szCs w:val="24"/>
              </w:rPr>
              <w:t>1010m</w:t>
            </w:r>
            <w:r>
              <w:rPr>
                <w:rFonts w:ascii="Times New Roman" w:hAnsi="Times New Roman" w:eastAsia="Times New Roman" w:cs="Times New Roman"/>
                <w:spacing w:val="-2"/>
                <w:position w:val="9"/>
                <w:sz w:val="16"/>
                <w:szCs w:val="16"/>
              </w:rPr>
              <w:t>2</w:t>
            </w:r>
            <w:r>
              <w:rPr>
                <w:spacing w:val="-2"/>
                <w:sz w:val="24"/>
                <w:szCs w:val="24"/>
              </w:rPr>
              <w:t>，包含基础及</w:t>
            </w:r>
            <w:r>
              <w:rPr>
                <w:spacing w:val="-4"/>
                <w:sz w:val="24"/>
                <w:szCs w:val="24"/>
              </w:rPr>
              <w:t>电缆沟施工，支架、户外电气设备安装，涉及的施工面积不大，施工扰动范围和</w:t>
            </w:r>
            <w:r>
              <w:rPr>
                <w:spacing w:val="-3"/>
                <w:sz w:val="24"/>
                <w:szCs w:val="24"/>
              </w:rPr>
              <w:t>扰动强度均较低，在采取洒水降尘等环境保</w:t>
            </w:r>
            <w:r>
              <w:rPr>
                <w:spacing w:val="-4"/>
                <w:sz w:val="24"/>
                <w:szCs w:val="24"/>
              </w:rPr>
              <w:t>护措施后，施工扬尘对周围大气环境</w:t>
            </w:r>
            <w:r>
              <w:rPr>
                <w:spacing w:val="-7"/>
                <w:sz w:val="24"/>
                <w:szCs w:val="24"/>
              </w:rPr>
              <w:t>的影响很小。</w:t>
            </w:r>
          </w:p>
          <w:p w14:paraId="1F20904B">
            <w:pPr>
              <w:pStyle w:val="6"/>
              <w:spacing w:line="233" w:lineRule="auto"/>
              <w:ind w:left="109"/>
              <w:rPr>
                <w:sz w:val="24"/>
                <w:szCs w:val="24"/>
              </w:rPr>
            </w:pPr>
            <w:r>
              <w:rPr>
                <w:rFonts w:ascii="Times New Roman" w:hAnsi="Times New Roman" w:eastAsia="Times New Roman" w:cs="Times New Roman"/>
                <w:b/>
                <w:bCs/>
                <w:spacing w:val="-3"/>
                <w:sz w:val="24"/>
                <w:szCs w:val="24"/>
              </w:rPr>
              <w:t>4</w:t>
            </w:r>
            <w:r>
              <w:rPr>
                <w:b/>
                <w:bCs/>
                <w:spacing w:val="-3"/>
                <w:sz w:val="24"/>
                <w:szCs w:val="24"/>
              </w:rPr>
              <w:t>、施工期地表水环境影响</w:t>
            </w:r>
          </w:p>
          <w:p w14:paraId="6FA517D9">
            <w:pPr>
              <w:pStyle w:val="6"/>
              <w:spacing w:before="172" w:line="233" w:lineRule="auto"/>
              <w:ind w:left="601"/>
              <w:rPr>
                <w:sz w:val="24"/>
                <w:szCs w:val="24"/>
              </w:rPr>
            </w:pPr>
            <w:r>
              <w:rPr>
                <w:b/>
                <w:bCs/>
                <w:spacing w:val="-6"/>
                <w:sz w:val="24"/>
                <w:szCs w:val="24"/>
              </w:rPr>
              <w:t>（</w:t>
            </w:r>
            <w:r>
              <w:rPr>
                <w:rFonts w:ascii="Times New Roman" w:hAnsi="Times New Roman" w:eastAsia="Times New Roman" w:cs="Times New Roman"/>
                <w:b/>
                <w:bCs/>
                <w:spacing w:val="-6"/>
                <w:sz w:val="24"/>
                <w:szCs w:val="24"/>
              </w:rPr>
              <w:t>1</w:t>
            </w:r>
            <w:r>
              <w:rPr>
                <w:b/>
                <w:bCs/>
                <w:spacing w:val="-6"/>
                <w:sz w:val="24"/>
                <w:szCs w:val="24"/>
              </w:rPr>
              <w:t>）输电线路</w:t>
            </w:r>
          </w:p>
          <w:p w14:paraId="44736AEF">
            <w:pPr>
              <w:pStyle w:val="6"/>
              <w:spacing w:before="166" w:line="365" w:lineRule="auto"/>
              <w:ind w:left="111" w:right="51" w:firstLine="480"/>
              <w:jc w:val="both"/>
              <w:rPr>
                <w:sz w:val="24"/>
                <w:szCs w:val="24"/>
              </w:rPr>
            </w:pPr>
            <w:r>
              <w:rPr>
                <w:spacing w:val="-4"/>
                <w:sz w:val="24"/>
                <w:szCs w:val="24"/>
              </w:rPr>
              <w:t>施工废水主要来源于混凝土搅拌、养护及施工工具清洗等，主要污染物均为</w:t>
            </w:r>
            <w:r>
              <w:rPr>
                <w:rFonts w:ascii="Times New Roman" w:hAnsi="Times New Roman" w:eastAsia="Times New Roman" w:cs="Times New Roman"/>
                <w:spacing w:val="-4"/>
                <w:sz w:val="24"/>
                <w:szCs w:val="24"/>
              </w:rPr>
              <w:t>SS</w:t>
            </w:r>
            <w:r>
              <w:rPr>
                <w:spacing w:val="-4"/>
                <w:sz w:val="24"/>
                <w:szCs w:val="24"/>
              </w:rPr>
              <w:t>，施工人员租用当地民房，生活污水依托原有污水设施处置。工程施工比</w:t>
            </w:r>
            <w:r>
              <w:rPr>
                <w:spacing w:val="-5"/>
                <w:sz w:val="24"/>
                <w:szCs w:val="24"/>
              </w:rPr>
              <w:t>较分</w:t>
            </w:r>
            <w:r>
              <w:rPr>
                <w:spacing w:val="-4"/>
                <w:sz w:val="24"/>
                <w:szCs w:val="24"/>
              </w:rPr>
              <w:t>散，施工点距地表水体均在</w:t>
            </w:r>
            <w:r>
              <w:rPr>
                <w:spacing w:val="-19"/>
                <w:sz w:val="24"/>
                <w:szCs w:val="24"/>
              </w:rPr>
              <w:t xml:space="preserve"> </w:t>
            </w:r>
            <w:r>
              <w:rPr>
                <w:rFonts w:ascii="Times New Roman" w:hAnsi="Times New Roman" w:eastAsia="Times New Roman" w:cs="Times New Roman"/>
                <w:spacing w:val="-4"/>
                <w:sz w:val="24"/>
                <w:szCs w:val="24"/>
              </w:rPr>
              <w:t>100m</w:t>
            </w:r>
            <w:r>
              <w:rPr>
                <w:rFonts w:ascii="Times New Roman" w:hAnsi="Times New Roman" w:eastAsia="Times New Roman" w:cs="Times New Roman"/>
                <w:spacing w:val="38"/>
                <w:sz w:val="24"/>
                <w:szCs w:val="24"/>
              </w:rPr>
              <w:t xml:space="preserve"> </w:t>
            </w:r>
            <w:r>
              <w:rPr>
                <w:spacing w:val="-4"/>
                <w:sz w:val="24"/>
                <w:szCs w:val="24"/>
              </w:rPr>
              <w:t>以上，施工期很短，产生废水量很少，用简易沉淀桶沉淀后就近回用于施工作业和洒水降尘等；线路跨越水体处采用无人机放</w:t>
            </w:r>
            <w:r>
              <w:rPr>
                <w:spacing w:val="-3"/>
                <w:sz w:val="24"/>
                <w:szCs w:val="24"/>
              </w:rPr>
              <w:t>线工艺，不会对地表水体产生不良影响。施工期不</w:t>
            </w:r>
            <w:r>
              <w:rPr>
                <w:spacing w:val="-4"/>
                <w:sz w:val="24"/>
                <w:szCs w:val="24"/>
              </w:rPr>
              <w:t>向河道排放污水和废渣，基础</w:t>
            </w:r>
            <w:r>
              <w:rPr>
                <w:spacing w:val="-2"/>
                <w:sz w:val="24"/>
                <w:szCs w:val="24"/>
              </w:rPr>
              <w:t>开挖避开雨季，铁塔处结合地形采用不等高设计，修建护坡、排水沟及截洪沟，</w:t>
            </w:r>
            <w:r>
              <w:rPr>
                <w:spacing w:val="-3"/>
                <w:sz w:val="24"/>
                <w:szCs w:val="24"/>
              </w:rPr>
              <w:t>及时进行植被恢复，防止因雨水冲刷导致水土</w:t>
            </w:r>
            <w:r>
              <w:rPr>
                <w:spacing w:val="-4"/>
                <w:sz w:val="24"/>
                <w:szCs w:val="24"/>
              </w:rPr>
              <w:t>流失。采取一定的防护措施后，对</w:t>
            </w:r>
            <w:r>
              <w:rPr>
                <w:spacing w:val="-5"/>
                <w:sz w:val="24"/>
                <w:szCs w:val="24"/>
              </w:rPr>
              <w:t>地表水影响较小。</w:t>
            </w:r>
          </w:p>
          <w:p w14:paraId="41591AE7">
            <w:pPr>
              <w:pStyle w:val="6"/>
              <w:spacing w:line="234" w:lineRule="auto"/>
              <w:ind w:left="601"/>
              <w:rPr>
                <w:sz w:val="24"/>
                <w:szCs w:val="24"/>
              </w:rPr>
            </w:pPr>
            <w:r>
              <w:rPr>
                <w:b/>
                <w:bCs/>
                <w:spacing w:val="-6"/>
                <w:sz w:val="24"/>
                <w:szCs w:val="24"/>
              </w:rPr>
              <w:t>（</w:t>
            </w:r>
            <w:r>
              <w:rPr>
                <w:rFonts w:ascii="Times New Roman" w:hAnsi="Times New Roman" w:eastAsia="Times New Roman" w:cs="Times New Roman"/>
                <w:b/>
                <w:bCs/>
                <w:spacing w:val="-6"/>
                <w:sz w:val="24"/>
                <w:szCs w:val="24"/>
              </w:rPr>
              <w:t>2</w:t>
            </w:r>
            <w:r>
              <w:rPr>
                <w:b/>
                <w:bCs/>
                <w:spacing w:val="-6"/>
                <w:sz w:val="24"/>
                <w:szCs w:val="24"/>
              </w:rPr>
              <w:t>）间隔扩建</w:t>
            </w:r>
          </w:p>
          <w:p w14:paraId="23F89B66">
            <w:pPr>
              <w:pStyle w:val="6"/>
              <w:spacing w:before="169" w:line="365" w:lineRule="auto"/>
              <w:ind w:left="108" w:right="117" w:firstLine="483"/>
              <w:rPr>
                <w:sz w:val="24"/>
                <w:szCs w:val="24"/>
              </w:rPr>
            </w:pPr>
            <w:r>
              <w:rPr>
                <w:spacing w:val="3"/>
                <w:sz w:val="24"/>
                <w:szCs w:val="24"/>
              </w:rPr>
              <w:t>施工废水通过施工场地设置的沉淀池处理后在场地内回用于施工作业或洒</w:t>
            </w:r>
            <w:r>
              <w:rPr>
                <w:spacing w:val="4"/>
                <w:sz w:val="24"/>
                <w:szCs w:val="24"/>
              </w:rPr>
              <w:t xml:space="preserve">水降尘。施工人员生活污水依托 </w:t>
            </w:r>
            <w:r>
              <w:rPr>
                <w:rFonts w:ascii="Times New Roman" w:hAnsi="Times New Roman" w:eastAsia="Times New Roman" w:cs="Times New Roman"/>
                <w:spacing w:val="4"/>
                <w:sz w:val="24"/>
                <w:szCs w:val="24"/>
              </w:rPr>
              <w:t>500</w:t>
            </w:r>
            <w:r>
              <w:rPr>
                <w:rFonts w:ascii="Times New Roman" w:hAnsi="Times New Roman" w:eastAsia="Times New Roman" w:cs="Times New Roman"/>
                <w:sz w:val="24"/>
                <w:szCs w:val="24"/>
              </w:rPr>
              <w:t>kV</w:t>
            </w:r>
            <w:r>
              <w:rPr>
                <w:rFonts w:ascii="Times New Roman" w:hAnsi="Times New Roman" w:eastAsia="Times New Roman" w:cs="Times New Roman"/>
                <w:spacing w:val="4"/>
                <w:sz w:val="24"/>
                <w:szCs w:val="24"/>
              </w:rPr>
              <w:t xml:space="preserve">  </w:t>
            </w:r>
            <w:r>
              <w:rPr>
                <w:spacing w:val="4"/>
                <w:sz w:val="24"/>
                <w:szCs w:val="24"/>
              </w:rPr>
              <w:t>乐业变主体工程施工场地临时厕所、</w:t>
            </w:r>
            <w:r>
              <w:rPr>
                <w:spacing w:val="12"/>
                <w:sz w:val="24"/>
                <w:szCs w:val="24"/>
              </w:rPr>
              <w:t xml:space="preserve"> </w:t>
            </w:r>
            <w:r>
              <w:rPr>
                <w:rFonts w:ascii="Times New Roman" w:hAnsi="Times New Roman" w:eastAsia="Times New Roman" w:cs="Times New Roman"/>
                <w:spacing w:val="2"/>
                <w:sz w:val="24"/>
                <w:szCs w:val="24"/>
              </w:rPr>
              <w:t>220</w:t>
            </w:r>
            <w:r>
              <w:rPr>
                <w:rFonts w:ascii="Times New Roman" w:hAnsi="Times New Roman" w:eastAsia="Times New Roman" w:cs="Times New Roman"/>
                <w:sz w:val="24"/>
                <w:szCs w:val="24"/>
              </w:rPr>
              <w:t>kV</w:t>
            </w:r>
            <w:r>
              <w:rPr>
                <w:rFonts w:ascii="Times New Roman" w:hAnsi="Times New Roman" w:eastAsia="Times New Roman" w:cs="Times New Roman"/>
                <w:spacing w:val="2"/>
                <w:sz w:val="24"/>
                <w:szCs w:val="24"/>
              </w:rPr>
              <w:t xml:space="preserve">  </w:t>
            </w:r>
            <w:r>
              <w:rPr>
                <w:spacing w:val="2"/>
                <w:sz w:val="24"/>
                <w:szCs w:val="24"/>
              </w:rPr>
              <w:t>迤车变站内原有污水处理设施处置，不外排，</w:t>
            </w:r>
            <w:r>
              <w:rPr>
                <w:spacing w:val="1"/>
                <w:sz w:val="24"/>
                <w:szCs w:val="24"/>
              </w:rPr>
              <w:t>对周边地表水体的影响很</w:t>
            </w:r>
            <w:r>
              <w:rPr>
                <w:spacing w:val="-10"/>
                <w:sz w:val="24"/>
                <w:szCs w:val="24"/>
              </w:rPr>
              <w:t>小。</w:t>
            </w:r>
          </w:p>
          <w:p w14:paraId="4524E5D3">
            <w:pPr>
              <w:pStyle w:val="6"/>
              <w:spacing w:line="234" w:lineRule="auto"/>
              <w:ind w:left="111"/>
              <w:rPr>
                <w:sz w:val="24"/>
                <w:szCs w:val="24"/>
              </w:rPr>
            </w:pPr>
            <w:r>
              <w:rPr>
                <w:rFonts w:ascii="Times New Roman" w:hAnsi="Times New Roman" w:eastAsia="Times New Roman" w:cs="Times New Roman"/>
                <w:b/>
                <w:bCs/>
                <w:spacing w:val="-3"/>
                <w:sz w:val="24"/>
                <w:szCs w:val="24"/>
              </w:rPr>
              <w:t>5</w:t>
            </w:r>
            <w:r>
              <w:rPr>
                <w:b/>
                <w:bCs/>
                <w:spacing w:val="-3"/>
                <w:sz w:val="24"/>
                <w:szCs w:val="24"/>
              </w:rPr>
              <w:t>、施工期声环境影响</w:t>
            </w:r>
          </w:p>
          <w:p w14:paraId="79AECFFD">
            <w:pPr>
              <w:pStyle w:val="6"/>
              <w:spacing w:before="168" w:line="233" w:lineRule="auto"/>
              <w:ind w:left="601"/>
              <w:rPr>
                <w:sz w:val="24"/>
                <w:szCs w:val="24"/>
              </w:rPr>
            </w:pPr>
            <w:r>
              <w:rPr>
                <w:b/>
                <w:bCs/>
                <w:spacing w:val="-6"/>
                <w:sz w:val="24"/>
                <w:szCs w:val="24"/>
              </w:rPr>
              <w:t>（</w:t>
            </w:r>
            <w:r>
              <w:rPr>
                <w:rFonts w:ascii="Times New Roman" w:hAnsi="Times New Roman" w:eastAsia="Times New Roman" w:cs="Times New Roman"/>
                <w:b/>
                <w:bCs/>
                <w:spacing w:val="-6"/>
                <w:sz w:val="24"/>
                <w:szCs w:val="24"/>
              </w:rPr>
              <w:t>1</w:t>
            </w:r>
            <w:r>
              <w:rPr>
                <w:b/>
                <w:bCs/>
                <w:spacing w:val="-6"/>
                <w:sz w:val="24"/>
                <w:szCs w:val="24"/>
              </w:rPr>
              <w:t>）输电线路</w:t>
            </w:r>
          </w:p>
          <w:p w14:paraId="4BF3DF4F">
            <w:pPr>
              <w:pStyle w:val="6"/>
              <w:spacing w:before="173" w:line="364" w:lineRule="auto"/>
              <w:ind w:left="112" w:right="107" w:firstLine="480"/>
              <w:jc w:val="both"/>
              <w:rPr>
                <w:sz w:val="24"/>
                <w:szCs w:val="24"/>
              </w:rPr>
            </w:pPr>
            <w:r>
              <w:rPr>
                <w:sz w:val="24"/>
                <w:szCs w:val="24"/>
              </w:rPr>
              <w:t>根据《环境噪声与振动控制工程技术导则》（</w:t>
            </w:r>
            <w:r>
              <w:rPr>
                <w:rFonts w:ascii="Times New Roman" w:hAnsi="Times New Roman" w:eastAsia="Times New Roman" w:cs="Times New Roman"/>
                <w:sz w:val="24"/>
                <w:szCs w:val="24"/>
              </w:rPr>
              <w:t>HJ2034-2013</w:t>
            </w:r>
            <w:r>
              <w:rPr>
                <w:spacing w:val="5"/>
                <w:sz w:val="24"/>
                <w:szCs w:val="24"/>
              </w:rPr>
              <w:t>），</w:t>
            </w:r>
            <w:r>
              <w:rPr>
                <w:sz w:val="24"/>
                <w:szCs w:val="24"/>
              </w:rPr>
              <w:t>施工期</w:t>
            </w:r>
            <w:r>
              <w:rPr>
                <w:spacing w:val="-1"/>
                <w:sz w:val="24"/>
                <w:szCs w:val="24"/>
              </w:rPr>
              <w:t>噪声</w:t>
            </w:r>
            <w:r>
              <w:rPr>
                <w:spacing w:val="-3"/>
                <w:sz w:val="24"/>
                <w:szCs w:val="24"/>
              </w:rPr>
              <w:t>污染源主要是施工机械和运输车辆，大多为不连续性噪声，这些机械</w:t>
            </w:r>
            <w:r>
              <w:rPr>
                <w:spacing w:val="-36"/>
                <w:sz w:val="24"/>
                <w:szCs w:val="24"/>
              </w:rPr>
              <w:t xml:space="preserve"> </w:t>
            </w:r>
            <w:r>
              <w:rPr>
                <w:rFonts w:ascii="Times New Roman" w:hAnsi="Times New Roman" w:eastAsia="Times New Roman" w:cs="Times New Roman"/>
                <w:spacing w:val="-3"/>
                <w:sz w:val="24"/>
                <w:szCs w:val="24"/>
              </w:rPr>
              <w:t>5m</w:t>
            </w:r>
            <w:r>
              <w:rPr>
                <w:rFonts w:ascii="Times New Roman" w:hAnsi="Times New Roman" w:eastAsia="Times New Roman" w:cs="Times New Roman"/>
                <w:spacing w:val="15"/>
                <w:sz w:val="24"/>
                <w:szCs w:val="24"/>
              </w:rPr>
              <w:t xml:space="preserve"> </w:t>
            </w:r>
            <w:r>
              <w:rPr>
                <w:spacing w:val="-3"/>
                <w:sz w:val="24"/>
                <w:szCs w:val="24"/>
              </w:rPr>
              <w:t>处的单</w:t>
            </w:r>
            <w:r>
              <w:rPr>
                <w:spacing w:val="-2"/>
                <w:sz w:val="24"/>
                <w:szCs w:val="24"/>
              </w:rPr>
              <w:t>体声压级一般在</w:t>
            </w:r>
            <w:r>
              <w:rPr>
                <w:spacing w:val="-34"/>
                <w:sz w:val="24"/>
                <w:szCs w:val="24"/>
              </w:rPr>
              <w:t xml:space="preserve"> </w:t>
            </w:r>
            <w:r>
              <w:rPr>
                <w:rFonts w:ascii="Times New Roman" w:hAnsi="Times New Roman" w:eastAsia="Times New Roman" w:cs="Times New Roman"/>
                <w:spacing w:val="-2"/>
                <w:sz w:val="24"/>
                <w:szCs w:val="24"/>
              </w:rPr>
              <w:t>80~95dB</w:t>
            </w:r>
            <w:r>
              <w:rPr>
                <w:spacing w:val="-2"/>
                <w:sz w:val="24"/>
                <w:szCs w:val="24"/>
              </w:rPr>
              <w:t>（</w:t>
            </w:r>
            <w:r>
              <w:rPr>
                <w:rFonts w:ascii="Times New Roman" w:hAnsi="Times New Roman" w:eastAsia="Times New Roman" w:cs="Times New Roman"/>
                <w:spacing w:val="-2"/>
                <w:sz w:val="24"/>
                <w:szCs w:val="24"/>
              </w:rPr>
              <w:t>A</w:t>
            </w:r>
            <w:r>
              <w:rPr>
                <w:spacing w:val="-2"/>
                <w:sz w:val="24"/>
                <w:szCs w:val="24"/>
              </w:rPr>
              <w:t>）。</w:t>
            </w:r>
          </w:p>
          <w:p w14:paraId="3E97C2D8">
            <w:pPr>
              <w:pStyle w:val="6"/>
              <w:spacing w:before="2" w:line="341" w:lineRule="auto"/>
              <w:ind w:left="113" w:right="22" w:firstLine="479"/>
              <w:jc w:val="both"/>
              <w:rPr>
                <w:sz w:val="24"/>
                <w:szCs w:val="24"/>
              </w:rPr>
            </w:pPr>
            <w:r>
              <w:rPr>
                <w:spacing w:val="-8"/>
                <w:sz w:val="24"/>
                <w:szCs w:val="24"/>
              </w:rPr>
              <w:t>根据《环境影响评价技术导则</w:t>
            </w:r>
            <w:r>
              <w:rPr>
                <w:spacing w:val="39"/>
                <w:sz w:val="24"/>
                <w:szCs w:val="24"/>
              </w:rPr>
              <w:t xml:space="preserve"> </w:t>
            </w:r>
            <w:r>
              <w:rPr>
                <w:spacing w:val="-8"/>
                <w:sz w:val="24"/>
                <w:szCs w:val="24"/>
              </w:rPr>
              <w:t>声环境》（</w:t>
            </w:r>
            <w:r>
              <w:rPr>
                <w:rFonts w:ascii="Times New Roman" w:hAnsi="Times New Roman" w:eastAsia="Times New Roman" w:cs="Times New Roman"/>
                <w:spacing w:val="-8"/>
                <w:sz w:val="24"/>
                <w:szCs w:val="24"/>
              </w:rPr>
              <w:t>HJ2.4-2021</w:t>
            </w:r>
            <w:r>
              <w:rPr>
                <w:spacing w:val="-59"/>
                <w:w w:val="93"/>
                <w:sz w:val="24"/>
                <w:szCs w:val="24"/>
              </w:rPr>
              <w:t>），</w:t>
            </w:r>
            <w:r>
              <w:rPr>
                <w:spacing w:val="-8"/>
                <w:sz w:val="24"/>
                <w:szCs w:val="24"/>
              </w:rPr>
              <w:t>预测过程仅考虑几何发散引起的衰减，不考虑空气吸收衰减、地面效应及其他多方面效应引起的衰减。</w:t>
            </w:r>
            <w:r>
              <w:rPr>
                <w:spacing w:val="-4"/>
                <w:sz w:val="24"/>
                <w:szCs w:val="24"/>
              </w:rPr>
              <w:t>利用点声源的几何发散衰减公式预测施工机械噪声不同距离处的噪声值，公式如</w:t>
            </w:r>
            <w:r>
              <w:rPr>
                <w:spacing w:val="-17"/>
                <w:sz w:val="24"/>
                <w:szCs w:val="24"/>
              </w:rPr>
              <w:t>下：</w:t>
            </w:r>
          </w:p>
        </w:tc>
      </w:tr>
    </w:tbl>
    <w:p w14:paraId="7D866A7D">
      <w:pPr>
        <w:rPr>
          <w:rFonts w:ascii="Arial"/>
          <w:sz w:val="21"/>
        </w:rPr>
      </w:pPr>
    </w:p>
    <w:p w14:paraId="70D4FD84">
      <w:pPr>
        <w:rPr>
          <w:rFonts w:ascii="Arial" w:hAnsi="Arial" w:eastAsia="Arial" w:cs="Arial"/>
          <w:sz w:val="21"/>
          <w:szCs w:val="21"/>
        </w:rPr>
        <w:sectPr>
          <w:footerReference r:id="rId66" w:type="default"/>
          <w:pgSz w:w="11907" w:h="16841"/>
          <w:pgMar w:top="400" w:right="1408" w:bottom="1126" w:left="1414" w:header="0" w:footer="925" w:gutter="0"/>
          <w:cols w:space="720" w:num="1"/>
        </w:sectPr>
      </w:pPr>
    </w:p>
    <w:p w14:paraId="0B63D3F6">
      <w:pPr>
        <w:spacing w:before="2"/>
      </w:pPr>
    </w:p>
    <w:p w14:paraId="548DC9CC">
      <w:pPr>
        <w:spacing w:before="2"/>
      </w:pPr>
    </w:p>
    <w:p w14:paraId="5071C8B5">
      <w:pPr>
        <w:spacing w:before="1"/>
      </w:pPr>
    </w:p>
    <w:p w14:paraId="6340B116">
      <w:pPr>
        <w:spacing w:before="1"/>
      </w:pPr>
    </w:p>
    <w:p w14:paraId="4CA490A7">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11C34C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374" w:hRule="atLeast"/>
        </w:trPr>
        <w:tc>
          <w:tcPr>
            <w:tcW w:w="571" w:type="dxa"/>
            <w:vAlign w:val="top"/>
          </w:tcPr>
          <w:p w14:paraId="14449F50">
            <w:pPr>
              <w:rPr>
                <w:rFonts w:ascii="Arial"/>
                <w:sz w:val="21"/>
              </w:rPr>
            </w:pPr>
          </w:p>
        </w:tc>
        <w:tc>
          <w:tcPr>
            <w:tcW w:w="8507" w:type="dxa"/>
            <w:vAlign w:val="top"/>
          </w:tcPr>
          <w:p w14:paraId="551DD597">
            <w:pPr>
              <w:spacing w:before="135" w:line="198" w:lineRule="auto"/>
              <w:ind w:left="3146"/>
              <w:rPr>
                <w:rFonts w:ascii="微软雅黑" w:hAnsi="微软雅黑" w:eastAsia="微软雅黑" w:cs="微软雅黑"/>
                <w:sz w:val="17"/>
                <w:szCs w:val="17"/>
              </w:rPr>
            </w:pPr>
            <w:r>
              <w:rPr>
                <w:rFonts w:ascii="微软雅黑" w:hAnsi="微软雅黑" w:eastAsia="微软雅黑" w:cs="微软雅黑"/>
                <w:spacing w:val="-4"/>
                <w:sz w:val="24"/>
                <w:szCs w:val="24"/>
              </w:rPr>
              <w:t>L</w:t>
            </w:r>
            <w:r>
              <w:rPr>
                <w:rFonts w:ascii="微软雅黑" w:hAnsi="微软雅黑" w:eastAsia="微软雅黑" w:cs="微软雅黑"/>
                <w:spacing w:val="-4"/>
                <w:position w:val="-4"/>
                <w:sz w:val="17"/>
                <w:szCs w:val="17"/>
              </w:rPr>
              <w:t>A</w:t>
            </w:r>
            <w:r>
              <w:rPr>
                <w:rFonts w:ascii="微软雅黑" w:hAnsi="微软雅黑" w:eastAsia="微软雅黑" w:cs="微软雅黑"/>
                <w:position w:val="-4"/>
                <w:sz w:val="17"/>
                <w:szCs w:val="17"/>
              </w:rPr>
              <w:t xml:space="preserve"> </w:t>
            </w:r>
            <w:r>
              <w:rPr>
                <w:rFonts w:ascii="微软雅黑" w:hAnsi="微软雅黑" w:eastAsia="微软雅黑" w:cs="微软雅黑"/>
                <w:spacing w:val="-4"/>
                <w:position w:val="1"/>
                <w:sz w:val="24"/>
                <w:szCs w:val="24"/>
              </w:rPr>
              <w:t xml:space="preserve">(r) </w:t>
            </w:r>
            <w:r>
              <w:rPr>
                <w:rFonts w:ascii="微软雅黑" w:hAnsi="微软雅黑" w:eastAsia="微软雅黑" w:cs="微软雅黑"/>
                <w:spacing w:val="-4"/>
                <w:sz w:val="24"/>
                <w:szCs w:val="24"/>
              </w:rPr>
              <w:t>=</w:t>
            </w:r>
            <w:r>
              <w:rPr>
                <w:rFonts w:ascii="微软雅黑" w:hAnsi="微软雅黑" w:eastAsia="微软雅黑" w:cs="微软雅黑"/>
                <w:spacing w:val="1"/>
                <w:sz w:val="24"/>
                <w:szCs w:val="24"/>
              </w:rPr>
              <w:t xml:space="preserve"> </w:t>
            </w:r>
            <w:r>
              <w:rPr>
                <w:rFonts w:ascii="微软雅黑" w:hAnsi="微软雅黑" w:eastAsia="微软雅黑" w:cs="微软雅黑"/>
                <w:spacing w:val="-4"/>
                <w:sz w:val="24"/>
                <w:szCs w:val="24"/>
              </w:rPr>
              <w:t>L</w:t>
            </w:r>
            <w:r>
              <w:rPr>
                <w:rFonts w:ascii="微软雅黑" w:hAnsi="微软雅黑" w:eastAsia="微软雅黑" w:cs="微软雅黑"/>
                <w:spacing w:val="-4"/>
                <w:position w:val="-4"/>
                <w:sz w:val="17"/>
                <w:szCs w:val="17"/>
              </w:rPr>
              <w:t>A</w:t>
            </w:r>
            <w:r>
              <w:rPr>
                <w:rFonts w:ascii="微软雅黑" w:hAnsi="微软雅黑" w:eastAsia="微软雅黑" w:cs="微软雅黑"/>
                <w:spacing w:val="-15"/>
                <w:position w:val="-4"/>
                <w:sz w:val="17"/>
                <w:szCs w:val="17"/>
              </w:rPr>
              <w:t xml:space="preserve"> </w:t>
            </w:r>
            <w:r>
              <w:rPr>
                <w:rFonts w:ascii="微软雅黑" w:hAnsi="微软雅黑" w:eastAsia="微软雅黑" w:cs="微软雅黑"/>
                <w:spacing w:val="-4"/>
                <w:position w:val="1"/>
                <w:sz w:val="24"/>
                <w:szCs w:val="24"/>
              </w:rPr>
              <w:t>(r</w:t>
            </w:r>
            <w:r>
              <w:rPr>
                <w:rFonts w:ascii="微软雅黑" w:hAnsi="微软雅黑" w:eastAsia="微软雅黑" w:cs="微软雅黑"/>
                <w:spacing w:val="-4"/>
                <w:sz w:val="17"/>
                <w:szCs w:val="17"/>
              </w:rPr>
              <w:t>0</w:t>
            </w:r>
            <w:r>
              <w:rPr>
                <w:rFonts w:ascii="微软雅黑" w:hAnsi="微软雅黑" w:eastAsia="微软雅黑" w:cs="微软雅黑"/>
                <w:spacing w:val="-4"/>
                <w:sz w:val="24"/>
                <w:szCs w:val="24"/>
              </w:rPr>
              <w:t>) 一</w:t>
            </w:r>
            <w:r>
              <w:rPr>
                <w:rFonts w:ascii="微软雅黑" w:hAnsi="微软雅黑" w:eastAsia="微软雅黑" w:cs="微软雅黑"/>
                <w:spacing w:val="-19"/>
                <w:sz w:val="24"/>
                <w:szCs w:val="24"/>
              </w:rPr>
              <w:t xml:space="preserve"> </w:t>
            </w:r>
            <w:r>
              <w:rPr>
                <w:rFonts w:ascii="微软雅黑" w:hAnsi="微软雅黑" w:eastAsia="微软雅黑" w:cs="微软雅黑"/>
                <w:spacing w:val="-4"/>
                <w:sz w:val="24"/>
                <w:szCs w:val="24"/>
              </w:rPr>
              <w:t>A</w:t>
            </w:r>
            <w:r>
              <w:rPr>
                <w:rFonts w:ascii="微软雅黑" w:hAnsi="微软雅黑" w:eastAsia="微软雅黑" w:cs="微软雅黑"/>
                <w:spacing w:val="-4"/>
                <w:position w:val="-4"/>
                <w:sz w:val="17"/>
                <w:szCs w:val="17"/>
              </w:rPr>
              <w:t>div</w:t>
            </w:r>
          </w:p>
          <w:p w14:paraId="5BC1C42D">
            <w:pPr>
              <w:pStyle w:val="6"/>
              <w:spacing w:before="113" w:line="285" w:lineRule="auto"/>
              <w:ind w:left="597" w:right="3337" w:firstLine="2733"/>
              <w:rPr>
                <w:sz w:val="24"/>
                <w:szCs w:val="24"/>
              </w:rPr>
            </w:pPr>
            <w:r>
              <w:rPr>
                <w:rFonts w:ascii="微软雅黑" w:hAnsi="微软雅黑" w:eastAsia="微软雅黑" w:cs="微软雅黑"/>
                <w:sz w:val="24"/>
                <w:szCs w:val="24"/>
              </w:rPr>
              <w:t>A</w:t>
            </w:r>
            <w:r>
              <w:rPr>
                <w:rFonts w:ascii="微软雅黑" w:hAnsi="微软雅黑" w:eastAsia="微软雅黑" w:cs="微软雅黑"/>
                <w:position w:val="-4"/>
                <w:sz w:val="17"/>
                <w:szCs w:val="17"/>
              </w:rPr>
              <w:t>div</w:t>
            </w:r>
            <w:r>
              <w:rPr>
                <w:rFonts w:ascii="微软雅黑" w:hAnsi="微软雅黑" w:eastAsia="微软雅黑" w:cs="微软雅黑"/>
                <w:spacing w:val="46"/>
                <w:w w:val="101"/>
                <w:position w:val="-4"/>
                <w:sz w:val="17"/>
                <w:szCs w:val="17"/>
              </w:rPr>
              <w:t xml:space="preserve"> </w:t>
            </w:r>
            <w:r>
              <w:rPr>
                <w:rFonts w:ascii="微软雅黑" w:hAnsi="微软雅黑" w:eastAsia="微软雅黑" w:cs="微软雅黑"/>
                <w:spacing w:val="3"/>
                <w:sz w:val="24"/>
                <w:szCs w:val="24"/>
              </w:rPr>
              <w:t>= 20</w:t>
            </w:r>
            <w:r>
              <w:rPr>
                <w:rFonts w:ascii="微软雅黑" w:hAnsi="微软雅黑" w:eastAsia="微软雅黑" w:cs="微软雅黑"/>
                <w:sz w:val="24"/>
                <w:szCs w:val="24"/>
              </w:rPr>
              <w:t>lg</w:t>
            </w:r>
            <w:r>
              <w:rPr>
                <w:rFonts w:ascii="微软雅黑" w:hAnsi="微软雅黑" w:eastAsia="微软雅黑" w:cs="微软雅黑"/>
                <w:spacing w:val="3"/>
                <w:position w:val="1"/>
                <w:sz w:val="24"/>
                <w:szCs w:val="24"/>
              </w:rPr>
              <w:t>(r/r</w:t>
            </w:r>
            <w:r>
              <w:rPr>
                <w:rFonts w:ascii="微软雅黑" w:hAnsi="微软雅黑" w:eastAsia="微软雅黑" w:cs="微软雅黑"/>
                <w:spacing w:val="3"/>
                <w:sz w:val="17"/>
                <w:szCs w:val="17"/>
              </w:rPr>
              <w:t>0</w:t>
            </w:r>
            <w:r>
              <w:rPr>
                <w:rFonts w:ascii="微软雅黑" w:hAnsi="微软雅黑" w:eastAsia="微软雅黑" w:cs="微软雅黑"/>
                <w:spacing w:val="3"/>
                <w:sz w:val="24"/>
                <w:szCs w:val="24"/>
              </w:rPr>
              <w:t>)</w:t>
            </w:r>
            <w:r>
              <w:rPr>
                <w:spacing w:val="-16"/>
                <w:sz w:val="24"/>
                <w:szCs w:val="24"/>
              </w:rPr>
              <w:t>式中：</w:t>
            </w:r>
          </w:p>
          <w:p w14:paraId="7B8D2E1D">
            <w:pPr>
              <w:pStyle w:val="6"/>
              <w:spacing w:before="62" w:line="234" w:lineRule="auto"/>
              <w:ind w:left="1055"/>
              <w:rPr>
                <w:sz w:val="24"/>
                <w:szCs w:val="24"/>
              </w:rPr>
            </w:pPr>
            <w:r>
              <w:rPr>
                <w:rFonts w:ascii="Times New Roman" w:hAnsi="Times New Roman" w:eastAsia="Times New Roman" w:cs="Times New Roman"/>
                <w:i/>
                <w:iCs/>
                <w:sz w:val="24"/>
                <w:szCs w:val="24"/>
              </w:rPr>
              <w:t>L</w:t>
            </w:r>
            <w:r>
              <w:rPr>
                <w:rFonts w:ascii="Times New Roman" w:hAnsi="Times New Roman" w:eastAsia="Times New Roman" w:cs="Times New Roman"/>
                <w:position w:val="-1"/>
                <w:sz w:val="16"/>
                <w:szCs w:val="16"/>
              </w:rPr>
              <w:t>A</w:t>
            </w:r>
            <w:r>
              <w:rPr>
                <w:sz w:val="24"/>
                <w:szCs w:val="24"/>
              </w:rPr>
              <w:t>（</w:t>
            </w:r>
            <w:r>
              <w:rPr>
                <w:rFonts w:ascii="Times New Roman" w:hAnsi="Times New Roman" w:eastAsia="Times New Roman" w:cs="Times New Roman"/>
                <w:i/>
                <w:iCs/>
                <w:sz w:val="24"/>
                <w:szCs w:val="24"/>
              </w:rPr>
              <w:t>r</w:t>
            </w:r>
            <w:r>
              <w:rPr>
                <w:sz w:val="24"/>
                <w:szCs w:val="24"/>
              </w:rPr>
              <w:t>）</w:t>
            </w:r>
            <w:r>
              <w:rPr>
                <w:rFonts w:ascii="Times New Roman" w:hAnsi="Times New Roman" w:eastAsia="Times New Roman" w:cs="Times New Roman"/>
                <w:sz w:val="24"/>
                <w:szCs w:val="24"/>
              </w:rPr>
              <w:t>——</w:t>
            </w:r>
            <w:r>
              <w:rPr>
                <w:sz w:val="24"/>
                <w:szCs w:val="24"/>
              </w:rPr>
              <w:t>距声源</w:t>
            </w:r>
            <w:r>
              <w:rPr>
                <w:spacing w:val="-55"/>
                <w:sz w:val="24"/>
                <w:szCs w:val="24"/>
              </w:rPr>
              <w:t xml:space="preserve"> </w:t>
            </w:r>
            <w:r>
              <w:rPr>
                <w:rFonts w:ascii="Times New Roman" w:hAnsi="Times New Roman" w:eastAsia="Times New Roman" w:cs="Times New Roman"/>
                <w:i/>
                <w:iCs/>
                <w:sz w:val="24"/>
                <w:szCs w:val="24"/>
              </w:rPr>
              <w:t xml:space="preserve">r </w:t>
            </w:r>
            <w:r>
              <w:rPr>
                <w:sz w:val="24"/>
                <w:szCs w:val="24"/>
              </w:rPr>
              <w:t>处的</w:t>
            </w:r>
            <w:r>
              <w:rPr>
                <w:spacing w:val="-57"/>
                <w:sz w:val="24"/>
                <w:szCs w:val="24"/>
              </w:rPr>
              <w:t xml:space="preserve"> </w:t>
            </w:r>
            <w:r>
              <w:rPr>
                <w:rFonts w:ascii="Times New Roman" w:hAnsi="Times New Roman" w:eastAsia="Times New Roman" w:cs="Times New Roman"/>
                <w:sz w:val="24"/>
                <w:szCs w:val="24"/>
              </w:rPr>
              <w:t xml:space="preserve">A </w:t>
            </w:r>
            <w:r>
              <w:rPr>
                <w:sz w:val="24"/>
                <w:szCs w:val="24"/>
              </w:rPr>
              <w:t>声级，</w:t>
            </w:r>
            <w:r>
              <w:rPr>
                <w:rFonts w:ascii="Times New Roman" w:hAnsi="Times New Roman" w:eastAsia="Times New Roman" w:cs="Times New Roman"/>
                <w:sz w:val="24"/>
                <w:szCs w:val="24"/>
              </w:rPr>
              <w:t>dB</w:t>
            </w:r>
            <w:r>
              <w:rPr>
                <w:sz w:val="24"/>
                <w:szCs w:val="24"/>
              </w:rPr>
              <w:t>（</w:t>
            </w:r>
            <w:r>
              <w:rPr>
                <w:rFonts w:ascii="Times New Roman" w:hAnsi="Times New Roman" w:eastAsia="Times New Roman" w:cs="Times New Roman"/>
                <w:sz w:val="24"/>
                <w:szCs w:val="24"/>
              </w:rPr>
              <w:t>A</w:t>
            </w:r>
            <w:r>
              <w:rPr>
                <w:spacing w:val="-44"/>
                <w:sz w:val="24"/>
                <w:szCs w:val="24"/>
              </w:rPr>
              <w:t>）；</w:t>
            </w:r>
          </w:p>
          <w:p w14:paraId="475EFD63">
            <w:pPr>
              <w:pStyle w:val="6"/>
              <w:spacing w:before="168" w:line="235" w:lineRule="auto"/>
              <w:ind w:left="1055"/>
              <w:rPr>
                <w:sz w:val="24"/>
                <w:szCs w:val="24"/>
              </w:rPr>
            </w:pPr>
            <w:r>
              <w:rPr>
                <w:rFonts w:ascii="Times New Roman" w:hAnsi="Times New Roman" w:eastAsia="Times New Roman" w:cs="Times New Roman"/>
                <w:i/>
                <w:iCs/>
                <w:spacing w:val="-1"/>
                <w:sz w:val="24"/>
                <w:szCs w:val="24"/>
              </w:rPr>
              <w:t>L</w:t>
            </w:r>
            <w:r>
              <w:rPr>
                <w:rFonts w:ascii="Times New Roman" w:hAnsi="Times New Roman" w:eastAsia="Times New Roman" w:cs="Times New Roman"/>
                <w:spacing w:val="-1"/>
                <w:position w:val="-1"/>
                <w:sz w:val="16"/>
                <w:szCs w:val="16"/>
              </w:rPr>
              <w:t>A</w:t>
            </w:r>
            <w:r>
              <w:rPr>
                <w:spacing w:val="-1"/>
                <w:sz w:val="24"/>
                <w:szCs w:val="24"/>
              </w:rPr>
              <w:t>（</w:t>
            </w:r>
            <w:r>
              <w:rPr>
                <w:rFonts w:ascii="Times New Roman" w:hAnsi="Times New Roman" w:eastAsia="Times New Roman" w:cs="Times New Roman"/>
                <w:i/>
                <w:iCs/>
                <w:spacing w:val="-1"/>
                <w:sz w:val="24"/>
                <w:szCs w:val="24"/>
              </w:rPr>
              <w:t>r</w:t>
            </w:r>
            <w:r>
              <w:rPr>
                <w:rFonts w:ascii="Times New Roman" w:hAnsi="Times New Roman" w:eastAsia="Times New Roman" w:cs="Times New Roman"/>
                <w:spacing w:val="-1"/>
                <w:sz w:val="16"/>
                <w:szCs w:val="16"/>
              </w:rPr>
              <w:t>0</w:t>
            </w:r>
            <w:r>
              <w:rPr>
                <w:spacing w:val="-1"/>
                <w:sz w:val="24"/>
                <w:szCs w:val="24"/>
              </w:rPr>
              <w:t>）</w:t>
            </w:r>
            <w:r>
              <w:rPr>
                <w:rFonts w:ascii="Times New Roman" w:hAnsi="Times New Roman" w:eastAsia="Times New Roman" w:cs="Times New Roman"/>
                <w:spacing w:val="-1"/>
                <w:sz w:val="24"/>
                <w:szCs w:val="24"/>
              </w:rPr>
              <w:t>——</w:t>
            </w:r>
            <w:r>
              <w:rPr>
                <w:spacing w:val="-1"/>
                <w:sz w:val="24"/>
                <w:szCs w:val="24"/>
              </w:rPr>
              <w:t>参考位置</w:t>
            </w:r>
            <w:r>
              <w:rPr>
                <w:spacing w:val="-56"/>
                <w:sz w:val="24"/>
                <w:szCs w:val="24"/>
              </w:rPr>
              <w:t xml:space="preserve"> </w:t>
            </w:r>
            <w:r>
              <w:rPr>
                <w:rFonts w:ascii="Times New Roman" w:hAnsi="Times New Roman" w:eastAsia="Times New Roman" w:cs="Times New Roman"/>
                <w:i/>
                <w:iCs/>
                <w:spacing w:val="-1"/>
                <w:sz w:val="24"/>
                <w:szCs w:val="24"/>
              </w:rPr>
              <w:t>r</w:t>
            </w:r>
            <w:r>
              <w:rPr>
                <w:rFonts w:ascii="Times New Roman" w:hAnsi="Times New Roman" w:eastAsia="Times New Roman" w:cs="Times New Roman"/>
                <w:spacing w:val="-1"/>
                <w:position w:val="-1"/>
                <w:sz w:val="16"/>
                <w:szCs w:val="16"/>
              </w:rPr>
              <w:t>0</w:t>
            </w:r>
            <w:r>
              <w:rPr>
                <w:rFonts w:ascii="Times New Roman" w:hAnsi="Times New Roman" w:eastAsia="Times New Roman" w:cs="Times New Roman"/>
                <w:spacing w:val="17"/>
                <w:position w:val="-1"/>
                <w:sz w:val="16"/>
                <w:szCs w:val="16"/>
              </w:rPr>
              <w:t xml:space="preserve"> </w:t>
            </w:r>
            <w:r>
              <w:rPr>
                <w:spacing w:val="-1"/>
                <w:sz w:val="24"/>
                <w:szCs w:val="24"/>
              </w:rPr>
              <w:t>处的</w:t>
            </w:r>
            <w:r>
              <w:rPr>
                <w:spacing w:val="-58"/>
                <w:sz w:val="24"/>
                <w:szCs w:val="24"/>
              </w:rPr>
              <w:t xml:space="preserve"> </w:t>
            </w:r>
            <w:r>
              <w:rPr>
                <w:rFonts w:ascii="Times New Roman" w:hAnsi="Times New Roman" w:eastAsia="Times New Roman" w:cs="Times New Roman"/>
                <w:spacing w:val="-1"/>
                <w:sz w:val="24"/>
                <w:szCs w:val="24"/>
              </w:rPr>
              <w:t xml:space="preserve">A </w:t>
            </w:r>
            <w:r>
              <w:rPr>
                <w:spacing w:val="-1"/>
                <w:sz w:val="24"/>
                <w:szCs w:val="24"/>
              </w:rPr>
              <w:t>声级，</w:t>
            </w:r>
            <w:r>
              <w:rPr>
                <w:rFonts w:ascii="Times New Roman" w:hAnsi="Times New Roman" w:eastAsia="Times New Roman" w:cs="Times New Roman"/>
                <w:spacing w:val="-1"/>
                <w:sz w:val="24"/>
                <w:szCs w:val="24"/>
              </w:rPr>
              <w:t>dB</w:t>
            </w:r>
            <w:r>
              <w:rPr>
                <w:spacing w:val="-1"/>
                <w:sz w:val="24"/>
                <w:szCs w:val="24"/>
              </w:rPr>
              <w:t>（</w:t>
            </w:r>
            <w:r>
              <w:rPr>
                <w:rFonts w:ascii="Times New Roman" w:hAnsi="Times New Roman" w:eastAsia="Times New Roman" w:cs="Times New Roman"/>
                <w:spacing w:val="-1"/>
                <w:sz w:val="24"/>
                <w:szCs w:val="24"/>
              </w:rPr>
              <w:t>A</w:t>
            </w:r>
            <w:r>
              <w:rPr>
                <w:spacing w:val="-63"/>
                <w:sz w:val="24"/>
                <w:szCs w:val="24"/>
              </w:rPr>
              <w:t>）；</w:t>
            </w:r>
          </w:p>
          <w:p w14:paraId="6477EB92">
            <w:pPr>
              <w:pStyle w:val="6"/>
              <w:spacing w:before="170" w:line="234" w:lineRule="auto"/>
              <w:ind w:left="1051"/>
              <w:rPr>
                <w:sz w:val="24"/>
                <w:szCs w:val="24"/>
              </w:rPr>
            </w:pPr>
            <w:r>
              <w:rPr>
                <w:rFonts w:ascii="Times New Roman" w:hAnsi="Times New Roman" w:eastAsia="Times New Roman" w:cs="Times New Roman"/>
                <w:i/>
                <w:iCs/>
                <w:sz w:val="24"/>
                <w:szCs w:val="24"/>
              </w:rPr>
              <w:t>A</w:t>
            </w:r>
            <w:r>
              <w:rPr>
                <w:rFonts w:ascii="Times New Roman" w:hAnsi="Times New Roman" w:eastAsia="Times New Roman" w:cs="Times New Roman"/>
                <w:position w:val="-1"/>
                <w:sz w:val="16"/>
                <w:szCs w:val="16"/>
              </w:rPr>
              <w:t>div</w:t>
            </w:r>
            <w:r>
              <w:rPr>
                <w:rFonts w:ascii="Times New Roman" w:hAnsi="Times New Roman" w:eastAsia="Times New Roman" w:cs="Times New Roman"/>
                <w:spacing w:val="30"/>
                <w:w w:val="102"/>
                <w:position w:val="-1"/>
                <w:sz w:val="16"/>
                <w:szCs w:val="16"/>
              </w:rPr>
              <w:t xml:space="preserve"> </w:t>
            </w:r>
            <w:r>
              <w:rPr>
                <w:rFonts w:ascii="Times New Roman" w:hAnsi="Times New Roman" w:eastAsia="Times New Roman" w:cs="Times New Roman"/>
                <w:sz w:val="24"/>
                <w:szCs w:val="24"/>
              </w:rPr>
              <w:t>——</w:t>
            </w:r>
            <w:r>
              <w:rPr>
                <w:sz w:val="24"/>
                <w:szCs w:val="24"/>
              </w:rPr>
              <w:t>几何发散引起的衰减，</w:t>
            </w:r>
            <w:r>
              <w:rPr>
                <w:rFonts w:ascii="Times New Roman" w:hAnsi="Times New Roman" w:eastAsia="Times New Roman" w:cs="Times New Roman"/>
                <w:sz w:val="24"/>
                <w:szCs w:val="24"/>
              </w:rPr>
              <w:t>dB</w:t>
            </w:r>
            <w:r>
              <w:rPr>
                <w:sz w:val="24"/>
                <w:szCs w:val="24"/>
              </w:rPr>
              <w:t>；</w:t>
            </w:r>
          </w:p>
          <w:p w14:paraId="3A804665">
            <w:pPr>
              <w:pStyle w:val="6"/>
              <w:spacing w:before="168" w:line="234" w:lineRule="auto"/>
              <w:ind w:left="1068"/>
              <w:rPr>
                <w:sz w:val="24"/>
                <w:szCs w:val="24"/>
              </w:rPr>
            </w:pPr>
            <w:r>
              <w:rPr>
                <w:rFonts w:ascii="Times New Roman" w:hAnsi="Times New Roman" w:eastAsia="Times New Roman" w:cs="Times New Roman"/>
                <w:i/>
                <w:iCs/>
                <w:spacing w:val="-4"/>
                <w:sz w:val="24"/>
                <w:szCs w:val="24"/>
              </w:rPr>
              <w:t xml:space="preserve">r </w:t>
            </w:r>
            <w:r>
              <w:rPr>
                <w:rFonts w:ascii="Times New Roman" w:hAnsi="Times New Roman" w:eastAsia="Times New Roman" w:cs="Times New Roman"/>
                <w:spacing w:val="-4"/>
                <w:sz w:val="24"/>
                <w:szCs w:val="24"/>
              </w:rPr>
              <w:t>——</w:t>
            </w:r>
            <w:r>
              <w:rPr>
                <w:spacing w:val="-4"/>
                <w:sz w:val="24"/>
                <w:szCs w:val="24"/>
              </w:rPr>
              <w:t>预测点距声源的距离；</w:t>
            </w:r>
          </w:p>
          <w:p w14:paraId="3DB79D6F">
            <w:pPr>
              <w:pStyle w:val="6"/>
              <w:spacing w:before="171" w:line="235" w:lineRule="auto"/>
              <w:ind w:left="1068"/>
              <w:rPr>
                <w:sz w:val="24"/>
                <w:szCs w:val="24"/>
              </w:rPr>
            </w:pPr>
            <w:r>
              <w:rPr>
                <w:rFonts w:ascii="Times New Roman" w:hAnsi="Times New Roman" w:eastAsia="Times New Roman" w:cs="Times New Roman"/>
                <w:i/>
                <w:iCs/>
                <w:spacing w:val="-3"/>
                <w:sz w:val="24"/>
                <w:szCs w:val="24"/>
              </w:rPr>
              <w:t>r</w:t>
            </w:r>
            <w:r>
              <w:rPr>
                <w:rFonts w:ascii="Times New Roman" w:hAnsi="Times New Roman" w:eastAsia="Times New Roman" w:cs="Times New Roman"/>
                <w:spacing w:val="-3"/>
                <w:position w:val="-1"/>
                <w:sz w:val="16"/>
                <w:szCs w:val="16"/>
              </w:rPr>
              <w:t>0</w:t>
            </w:r>
            <w:r>
              <w:rPr>
                <w:rFonts w:ascii="Times New Roman" w:hAnsi="Times New Roman" w:eastAsia="Times New Roman" w:cs="Times New Roman"/>
                <w:spacing w:val="33"/>
                <w:w w:val="101"/>
                <w:position w:val="-1"/>
                <w:sz w:val="16"/>
                <w:szCs w:val="16"/>
              </w:rPr>
              <w:t xml:space="preserve"> </w:t>
            </w:r>
            <w:r>
              <w:rPr>
                <w:rFonts w:ascii="Times New Roman" w:hAnsi="Times New Roman" w:eastAsia="Times New Roman" w:cs="Times New Roman"/>
                <w:spacing w:val="-3"/>
                <w:sz w:val="24"/>
                <w:szCs w:val="24"/>
              </w:rPr>
              <w:t>——</w:t>
            </w:r>
            <w:r>
              <w:rPr>
                <w:spacing w:val="-3"/>
                <w:sz w:val="24"/>
                <w:szCs w:val="24"/>
              </w:rPr>
              <w:t>参考位置距声源的距离。</w:t>
            </w:r>
          </w:p>
          <w:p w14:paraId="7D166BBB">
            <w:pPr>
              <w:pStyle w:val="6"/>
              <w:spacing w:before="167" w:line="220" w:lineRule="auto"/>
              <w:ind w:left="594"/>
              <w:rPr>
                <w:sz w:val="24"/>
                <w:szCs w:val="24"/>
              </w:rPr>
            </w:pPr>
            <w:r>
              <w:rPr>
                <w:spacing w:val="-4"/>
                <w:sz w:val="24"/>
                <w:szCs w:val="24"/>
              </w:rPr>
              <w:t>预测结果见下表。</w:t>
            </w:r>
          </w:p>
          <w:p w14:paraId="71C15CC9">
            <w:pPr>
              <w:pStyle w:val="6"/>
              <w:spacing w:before="126" w:line="231" w:lineRule="auto"/>
              <w:ind w:left="1142"/>
            </w:pPr>
            <w:r>
              <w:rPr>
                <w:b/>
                <w:bCs/>
                <w:spacing w:val="-1"/>
              </w:rPr>
              <w:t>表</w:t>
            </w:r>
            <w:r>
              <w:rPr>
                <w:spacing w:val="-44"/>
              </w:rPr>
              <w:t xml:space="preserve"> </w:t>
            </w:r>
            <w:r>
              <w:rPr>
                <w:rFonts w:ascii="Times New Roman" w:hAnsi="Times New Roman" w:eastAsia="Times New Roman" w:cs="Times New Roman"/>
                <w:b/>
                <w:bCs/>
                <w:spacing w:val="-1"/>
              </w:rPr>
              <w:t xml:space="preserve">4-2    </w:t>
            </w:r>
            <w:r>
              <w:rPr>
                <w:b/>
                <w:bCs/>
                <w:spacing w:val="-1"/>
              </w:rPr>
              <w:t>施工设备噪声对不同距离接受点的影响值</w:t>
            </w:r>
            <w:r>
              <w:rPr>
                <w:spacing w:val="-2"/>
              </w:rPr>
              <w:t xml:space="preserve">  </w:t>
            </w:r>
            <w:r>
              <w:rPr>
                <w:b/>
                <w:bCs/>
                <w:spacing w:val="-2"/>
              </w:rPr>
              <w:t>单位：</w:t>
            </w:r>
            <w:r>
              <w:rPr>
                <w:rFonts w:ascii="Times New Roman" w:hAnsi="Times New Roman" w:eastAsia="Times New Roman" w:cs="Times New Roman"/>
                <w:b/>
                <w:bCs/>
                <w:spacing w:val="-2"/>
              </w:rPr>
              <w:t>dB</w:t>
            </w:r>
            <w:r>
              <w:rPr>
                <w:b/>
                <w:bCs/>
                <w:spacing w:val="-2"/>
              </w:rPr>
              <w:t>（</w:t>
            </w:r>
            <w:r>
              <w:rPr>
                <w:rFonts w:ascii="Times New Roman" w:hAnsi="Times New Roman" w:eastAsia="Times New Roman" w:cs="Times New Roman"/>
                <w:b/>
                <w:bCs/>
                <w:spacing w:val="-2"/>
              </w:rPr>
              <w:t>A</w:t>
            </w:r>
            <w:r>
              <w:rPr>
                <w:b/>
                <w:bCs/>
                <w:spacing w:val="-2"/>
              </w:rPr>
              <w:t>）</w:t>
            </w:r>
          </w:p>
          <w:tbl>
            <w:tblPr>
              <w:tblStyle w:val="5"/>
              <w:tblW w:w="8303" w:type="dxa"/>
              <w:tblInd w:w="9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04"/>
              <w:gridCol w:w="1135"/>
              <w:gridCol w:w="991"/>
              <w:gridCol w:w="708"/>
              <w:gridCol w:w="710"/>
              <w:gridCol w:w="640"/>
              <w:gridCol w:w="633"/>
              <w:gridCol w:w="569"/>
              <w:gridCol w:w="566"/>
              <w:gridCol w:w="609"/>
              <w:gridCol w:w="645"/>
              <w:gridCol w:w="593"/>
            </w:tblGrid>
            <w:tr w14:paraId="5F725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504" w:type="dxa"/>
                  <w:vMerge w:val="restart"/>
                  <w:tcBorders>
                    <w:bottom w:val="nil"/>
                  </w:tcBorders>
                  <w:textDirection w:val="tbRlV"/>
                  <w:vAlign w:val="top"/>
                </w:tcPr>
                <w:p w14:paraId="71EE3A6F">
                  <w:pPr>
                    <w:pStyle w:val="6"/>
                    <w:spacing w:before="143" w:line="211" w:lineRule="auto"/>
                    <w:ind w:left="63"/>
                  </w:pPr>
                  <w:r>
                    <w:rPr>
                      <w:b/>
                      <w:bCs/>
                      <w:spacing w:val="-1"/>
                    </w:rPr>
                    <w:t>序</w:t>
                  </w:r>
                  <w:r>
                    <w:rPr>
                      <w:spacing w:val="-1"/>
                    </w:rPr>
                    <w:t xml:space="preserve"> </w:t>
                  </w:r>
                  <w:r>
                    <w:rPr>
                      <w:b/>
                      <w:bCs/>
                      <w:spacing w:val="-1"/>
                    </w:rPr>
                    <w:t>号</w:t>
                  </w:r>
                </w:p>
              </w:tc>
              <w:tc>
                <w:tcPr>
                  <w:tcW w:w="1135" w:type="dxa"/>
                  <w:vMerge w:val="restart"/>
                  <w:tcBorders>
                    <w:bottom w:val="nil"/>
                  </w:tcBorders>
                  <w:vAlign w:val="top"/>
                </w:tcPr>
                <w:p w14:paraId="1501ACFC">
                  <w:pPr>
                    <w:pStyle w:val="6"/>
                    <w:spacing w:before="63" w:line="220" w:lineRule="auto"/>
                    <w:ind w:left="357"/>
                  </w:pPr>
                  <w:r>
                    <w:rPr>
                      <w:b/>
                      <w:bCs/>
                      <w:spacing w:val="-4"/>
                    </w:rPr>
                    <w:t>机械</w:t>
                  </w:r>
                </w:p>
                <w:p w14:paraId="02603339">
                  <w:pPr>
                    <w:pStyle w:val="6"/>
                    <w:spacing w:before="66" w:line="223" w:lineRule="auto"/>
                    <w:ind w:left="360"/>
                  </w:pPr>
                  <w:r>
                    <w:rPr>
                      <w:b/>
                      <w:bCs/>
                      <w:spacing w:val="-5"/>
                    </w:rPr>
                    <w:t>名称</w:t>
                  </w:r>
                </w:p>
              </w:tc>
              <w:tc>
                <w:tcPr>
                  <w:tcW w:w="991" w:type="dxa"/>
                  <w:vMerge w:val="restart"/>
                  <w:tcBorders>
                    <w:bottom w:val="nil"/>
                  </w:tcBorders>
                  <w:vAlign w:val="top"/>
                </w:tcPr>
                <w:p w14:paraId="70101A0D">
                  <w:pPr>
                    <w:pStyle w:val="6"/>
                    <w:spacing w:before="221" w:line="221" w:lineRule="auto"/>
                    <w:ind w:left="88"/>
                  </w:pPr>
                  <w:r>
                    <w:rPr>
                      <w:b/>
                      <w:bCs/>
                      <w:spacing w:val="-5"/>
                    </w:rPr>
                    <w:t>噪声源强</w:t>
                  </w:r>
                </w:p>
              </w:tc>
              <w:tc>
                <w:tcPr>
                  <w:tcW w:w="5673" w:type="dxa"/>
                  <w:gridSpan w:val="9"/>
                  <w:vAlign w:val="top"/>
                </w:tcPr>
                <w:p w14:paraId="1DA800BD">
                  <w:pPr>
                    <w:pStyle w:val="6"/>
                    <w:spacing w:before="58" w:line="216" w:lineRule="auto"/>
                    <w:ind w:left="1445"/>
                    <w:rPr>
                      <w:rFonts w:ascii="Times New Roman" w:hAnsi="Times New Roman" w:eastAsia="Times New Roman" w:cs="Times New Roman"/>
                    </w:rPr>
                  </w:pPr>
                  <w:r>
                    <w:rPr>
                      <w:b/>
                      <w:bCs/>
                      <w:spacing w:val="-2"/>
                    </w:rPr>
                    <w:t>不同距离处的噪声预测</w:t>
                  </w:r>
                  <w:r>
                    <w:rPr>
                      <w:rFonts w:ascii="Times New Roman" w:hAnsi="Times New Roman" w:eastAsia="Times New Roman" w:cs="Times New Roman"/>
                      <w:b/>
                      <w:bCs/>
                      <w:spacing w:val="-2"/>
                    </w:rPr>
                    <w:t>[dB(A)]</w:t>
                  </w:r>
                </w:p>
              </w:tc>
            </w:tr>
            <w:tr w14:paraId="1921B8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04" w:type="dxa"/>
                  <w:vMerge w:val="continue"/>
                  <w:tcBorders>
                    <w:top w:val="nil"/>
                  </w:tcBorders>
                  <w:textDirection w:val="tbRlV"/>
                  <w:vAlign w:val="top"/>
                </w:tcPr>
                <w:p w14:paraId="237E8A8C">
                  <w:pPr>
                    <w:rPr>
                      <w:rFonts w:ascii="Arial"/>
                      <w:sz w:val="21"/>
                    </w:rPr>
                  </w:pPr>
                </w:p>
              </w:tc>
              <w:tc>
                <w:tcPr>
                  <w:tcW w:w="1135" w:type="dxa"/>
                  <w:vMerge w:val="continue"/>
                  <w:tcBorders>
                    <w:top w:val="nil"/>
                  </w:tcBorders>
                  <w:vAlign w:val="top"/>
                </w:tcPr>
                <w:p w14:paraId="35FFD849">
                  <w:pPr>
                    <w:rPr>
                      <w:rFonts w:ascii="Arial"/>
                      <w:sz w:val="21"/>
                    </w:rPr>
                  </w:pPr>
                </w:p>
              </w:tc>
              <w:tc>
                <w:tcPr>
                  <w:tcW w:w="991" w:type="dxa"/>
                  <w:vMerge w:val="continue"/>
                  <w:tcBorders>
                    <w:top w:val="nil"/>
                  </w:tcBorders>
                  <w:vAlign w:val="top"/>
                </w:tcPr>
                <w:p w14:paraId="0A3F17CB">
                  <w:pPr>
                    <w:rPr>
                      <w:rFonts w:ascii="Arial"/>
                      <w:sz w:val="21"/>
                    </w:rPr>
                  </w:pPr>
                </w:p>
              </w:tc>
              <w:tc>
                <w:tcPr>
                  <w:tcW w:w="708" w:type="dxa"/>
                  <w:vAlign w:val="top"/>
                </w:tcPr>
                <w:p w14:paraId="42871D8A">
                  <w:pPr>
                    <w:spacing w:before="95" w:line="214" w:lineRule="auto"/>
                    <w:ind w:left="173"/>
                    <w:rPr>
                      <w:rFonts w:ascii="Times New Roman" w:hAnsi="Times New Roman" w:eastAsia="Times New Roman" w:cs="Times New Roman"/>
                      <w:sz w:val="21"/>
                      <w:szCs w:val="21"/>
                    </w:rPr>
                  </w:pPr>
                  <w:r>
                    <w:rPr>
                      <w:rFonts w:ascii="Times New Roman" w:hAnsi="Times New Roman" w:eastAsia="Times New Roman" w:cs="Times New Roman"/>
                      <w:b/>
                      <w:bCs/>
                      <w:spacing w:val="-3"/>
                      <w:sz w:val="21"/>
                      <w:szCs w:val="21"/>
                    </w:rPr>
                    <w:t>10m</w:t>
                  </w:r>
                </w:p>
              </w:tc>
              <w:tc>
                <w:tcPr>
                  <w:tcW w:w="710" w:type="dxa"/>
                  <w:vAlign w:val="top"/>
                </w:tcPr>
                <w:p w14:paraId="46CEE700">
                  <w:pPr>
                    <w:spacing w:before="95" w:line="214" w:lineRule="auto"/>
                    <w:ind w:left="164"/>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20m</w:t>
                  </w:r>
                </w:p>
              </w:tc>
              <w:tc>
                <w:tcPr>
                  <w:tcW w:w="640" w:type="dxa"/>
                  <w:vAlign w:val="top"/>
                </w:tcPr>
                <w:p w14:paraId="02268462">
                  <w:pPr>
                    <w:spacing w:before="95" w:line="214" w:lineRule="auto"/>
                    <w:ind w:left="127"/>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30m</w:t>
                  </w:r>
                </w:p>
              </w:tc>
              <w:tc>
                <w:tcPr>
                  <w:tcW w:w="633" w:type="dxa"/>
                  <w:vAlign w:val="top"/>
                </w:tcPr>
                <w:p w14:paraId="07F173CF">
                  <w:pPr>
                    <w:spacing w:before="95" w:line="214" w:lineRule="auto"/>
                    <w:ind w:left="130"/>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40m</w:t>
                  </w:r>
                </w:p>
              </w:tc>
              <w:tc>
                <w:tcPr>
                  <w:tcW w:w="569" w:type="dxa"/>
                  <w:vAlign w:val="top"/>
                </w:tcPr>
                <w:p w14:paraId="672F6A1C">
                  <w:pPr>
                    <w:spacing w:before="95" w:line="214" w:lineRule="auto"/>
                    <w:ind w:left="98"/>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50m</w:t>
                  </w:r>
                </w:p>
              </w:tc>
              <w:tc>
                <w:tcPr>
                  <w:tcW w:w="566" w:type="dxa"/>
                  <w:vAlign w:val="top"/>
                </w:tcPr>
                <w:p w14:paraId="6FAD7926">
                  <w:pPr>
                    <w:spacing w:before="95" w:line="214" w:lineRule="auto"/>
                    <w:ind w:left="96"/>
                    <w:rPr>
                      <w:rFonts w:ascii="Times New Roman" w:hAnsi="Times New Roman" w:eastAsia="Times New Roman" w:cs="Times New Roman"/>
                      <w:sz w:val="21"/>
                      <w:szCs w:val="21"/>
                    </w:rPr>
                  </w:pPr>
                  <w:r>
                    <w:rPr>
                      <w:rFonts w:ascii="Times New Roman" w:hAnsi="Times New Roman" w:eastAsia="Times New Roman" w:cs="Times New Roman"/>
                      <w:b/>
                      <w:bCs/>
                      <w:spacing w:val="-1"/>
                      <w:sz w:val="21"/>
                      <w:szCs w:val="21"/>
                    </w:rPr>
                    <w:t>70m</w:t>
                  </w:r>
                </w:p>
              </w:tc>
              <w:tc>
                <w:tcPr>
                  <w:tcW w:w="609" w:type="dxa"/>
                  <w:vAlign w:val="top"/>
                </w:tcPr>
                <w:p w14:paraId="081A9CDB">
                  <w:pPr>
                    <w:spacing w:before="95" w:line="214" w:lineRule="auto"/>
                    <w:ind w:left="204"/>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90</w:t>
                  </w:r>
                </w:p>
              </w:tc>
              <w:tc>
                <w:tcPr>
                  <w:tcW w:w="645" w:type="dxa"/>
                  <w:vAlign w:val="top"/>
                </w:tcPr>
                <w:p w14:paraId="17194FF4">
                  <w:pPr>
                    <w:spacing w:before="95" w:line="214" w:lineRule="auto"/>
                    <w:ind w:left="92"/>
                    <w:rPr>
                      <w:rFonts w:ascii="Times New Roman" w:hAnsi="Times New Roman" w:eastAsia="Times New Roman" w:cs="Times New Roman"/>
                      <w:sz w:val="21"/>
                      <w:szCs w:val="21"/>
                    </w:rPr>
                  </w:pPr>
                  <w:r>
                    <w:rPr>
                      <w:rFonts w:ascii="Times New Roman" w:hAnsi="Times New Roman" w:eastAsia="Times New Roman" w:cs="Times New Roman"/>
                      <w:b/>
                      <w:bCs/>
                      <w:spacing w:val="-2"/>
                      <w:sz w:val="21"/>
                      <w:szCs w:val="21"/>
                    </w:rPr>
                    <w:t>100m</w:t>
                  </w:r>
                </w:p>
              </w:tc>
              <w:tc>
                <w:tcPr>
                  <w:tcW w:w="593" w:type="dxa"/>
                  <w:vAlign w:val="top"/>
                </w:tcPr>
                <w:p w14:paraId="5BE877BE">
                  <w:pPr>
                    <w:spacing w:before="95" w:line="214" w:lineRule="auto"/>
                    <w:ind w:left="69"/>
                    <w:rPr>
                      <w:rFonts w:ascii="Times New Roman" w:hAnsi="Times New Roman" w:eastAsia="Times New Roman" w:cs="Times New Roman"/>
                      <w:sz w:val="21"/>
                      <w:szCs w:val="21"/>
                    </w:rPr>
                  </w:pPr>
                  <w:r>
                    <w:rPr>
                      <w:rFonts w:ascii="Times New Roman" w:hAnsi="Times New Roman" w:eastAsia="Times New Roman" w:cs="Times New Roman"/>
                      <w:b/>
                      <w:bCs/>
                      <w:spacing w:val="-5"/>
                      <w:sz w:val="21"/>
                      <w:szCs w:val="21"/>
                    </w:rPr>
                    <w:t>110m</w:t>
                  </w:r>
                </w:p>
              </w:tc>
            </w:tr>
            <w:tr w14:paraId="5C159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504" w:type="dxa"/>
                  <w:vAlign w:val="top"/>
                </w:tcPr>
                <w:p w14:paraId="1DC3EE66">
                  <w:pPr>
                    <w:spacing w:before="89" w:line="219" w:lineRule="auto"/>
                    <w:ind w:left="221"/>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135" w:type="dxa"/>
                  <w:vAlign w:val="top"/>
                </w:tcPr>
                <w:p w14:paraId="010199A1">
                  <w:pPr>
                    <w:pStyle w:val="6"/>
                    <w:spacing w:before="54" w:line="220" w:lineRule="auto"/>
                    <w:ind w:left="254"/>
                  </w:pPr>
                  <w:r>
                    <w:rPr>
                      <w:spacing w:val="-2"/>
                    </w:rPr>
                    <w:t>牵张机</w:t>
                  </w:r>
                </w:p>
              </w:tc>
              <w:tc>
                <w:tcPr>
                  <w:tcW w:w="991" w:type="dxa"/>
                  <w:vAlign w:val="top"/>
                </w:tcPr>
                <w:p w14:paraId="23379960">
                  <w:pPr>
                    <w:spacing w:before="89" w:line="219" w:lineRule="auto"/>
                    <w:ind w:left="39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80</w:t>
                  </w:r>
                </w:p>
              </w:tc>
              <w:tc>
                <w:tcPr>
                  <w:tcW w:w="708" w:type="dxa"/>
                  <w:vAlign w:val="top"/>
                </w:tcPr>
                <w:p w14:paraId="6DEA182B">
                  <w:pPr>
                    <w:spacing w:before="89" w:line="219" w:lineRule="auto"/>
                    <w:ind w:left="25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74</w:t>
                  </w:r>
                </w:p>
              </w:tc>
              <w:tc>
                <w:tcPr>
                  <w:tcW w:w="710" w:type="dxa"/>
                  <w:vAlign w:val="top"/>
                </w:tcPr>
                <w:p w14:paraId="1C2AB940">
                  <w:pPr>
                    <w:spacing w:before="89" w:line="219" w:lineRule="auto"/>
                    <w:ind w:left="25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68</w:t>
                  </w:r>
                </w:p>
              </w:tc>
              <w:tc>
                <w:tcPr>
                  <w:tcW w:w="640" w:type="dxa"/>
                  <w:vAlign w:val="top"/>
                </w:tcPr>
                <w:p w14:paraId="7D6C3F88">
                  <w:pPr>
                    <w:spacing w:before="89" w:line="219" w:lineRule="auto"/>
                    <w:ind w:left="21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64</w:t>
                  </w:r>
                </w:p>
              </w:tc>
              <w:tc>
                <w:tcPr>
                  <w:tcW w:w="633" w:type="dxa"/>
                  <w:vAlign w:val="top"/>
                </w:tcPr>
                <w:p w14:paraId="5ABA07E5">
                  <w:pPr>
                    <w:spacing w:before="89" w:line="219" w:lineRule="auto"/>
                    <w:ind w:left="22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62</w:t>
                  </w:r>
                </w:p>
              </w:tc>
              <w:tc>
                <w:tcPr>
                  <w:tcW w:w="569" w:type="dxa"/>
                  <w:vAlign w:val="top"/>
                </w:tcPr>
                <w:p w14:paraId="117F0EF8">
                  <w:pPr>
                    <w:spacing w:before="89" w:line="219" w:lineRule="auto"/>
                    <w:ind w:left="18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60</w:t>
                  </w:r>
                </w:p>
              </w:tc>
              <w:tc>
                <w:tcPr>
                  <w:tcW w:w="566" w:type="dxa"/>
                  <w:vAlign w:val="top"/>
                </w:tcPr>
                <w:p w14:paraId="6BE4DF33">
                  <w:pPr>
                    <w:spacing w:before="89" w:line="219" w:lineRule="auto"/>
                    <w:ind w:left="18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57</w:t>
                  </w:r>
                </w:p>
              </w:tc>
              <w:tc>
                <w:tcPr>
                  <w:tcW w:w="609" w:type="dxa"/>
                  <w:vAlign w:val="top"/>
                </w:tcPr>
                <w:p w14:paraId="6BC0BADF">
                  <w:pPr>
                    <w:spacing w:before="89" w:line="219" w:lineRule="auto"/>
                    <w:ind w:left="20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55</w:t>
                  </w:r>
                </w:p>
              </w:tc>
              <w:tc>
                <w:tcPr>
                  <w:tcW w:w="645" w:type="dxa"/>
                  <w:vAlign w:val="top"/>
                </w:tcPr>
                <w:p w14:paraId="7D991335">
                  <w:pPr>
                    <w:spacing w:before="89" w:line="219" w:lineRule="auto"/>
                    <w:ind w:left="22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54</w:t>
                  </w:r>
                </w:p>
              </w:tc>
              <w:tc>
                <w:tcPr>
                  <w:tcW w:w="593" w:type="dxa"/>
                  <w:vAlign w:val="top"/>
                </w:tcPr>
                <w:p w14:paraId="56A38CB6">
                  <w:pPr>
                    <w:spacing w:before="89" w:line="219" w:lineRule="auto"/>
                    <w:ind w:left="19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53</w:t>
                  </w:r>
                </w:p>
              </w:tc>
            </w:tr>
            <w:tr w14:paraId="29082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04" w:type="dxa"/>
                  <w:vAlign w:val="top"/>
                </w:tcPr>
                <w:p w14:paraId="2F5CAE44">
                  <w:pPr>
                    <w:spacing w:before="91" w:line="218" w:lineRule="auto"/>
                    <w:ind w:left="201"/>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135" w:type="dxa"/>
                  <w:vAlign w:val="top"/>
                </w:tcPr>
                <w:p w14:paraId="1FD81C74">
                  <w:pPr>
                    <w:pStyle w:val="6"/>
                    <w:spacing w:before="56" w:line="220" w:lineRule="auto"/>
                    <w:ind w:left="251"/>
                  </w:pPr>
                  <w:r>
                    <w:rPr>
                      <w:spacing w:val="-1"/>
                    </w:rPr>
                    <w:t>振捣机</w:t>
                  </w:r>
                </w:p>
              </w:tc>
              <w:tc>
                <w:tcPr>
                  <w:tcW w:w="991" w:type="dxa"/>
                  <w:vAlign w:val="top"/>
                </w:tcPr>
                <w:p w14:paraId="1235B71E">
                  <w:pPr>
                    <w:spacing w:before="91" w:line="218" w:lineRule="auto"/>
                    <w:ind w:left="39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86</w:t>
                  </w:r>
                </w:p>
              </w:tc>
              <w:tc>
                <w:tcPr>
                  <w:tcW w:w="708" w:type="dxa"/>
                  <w:vAlign w:val="top"/>
                </w:tcPr>
                <w:p w14:paraId="332757C3">
                  <w:pPr>
                    <w:spacing w:before="91" w:line="218" w:lineRule="auto"/>
                    <w:ind w:left="25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80</w:t>
                  </w:r>
                </w:p>
              </w:tc>
              <w:tc>
                <w:tcPr>
                  <w:tcW w:w="710" w:type="dxa"/>
                  <w:vAlign w:val="top"/>
                </w:tcPr>
                <w:p w14:paraId="55BE8172">
                  <w:pPr>
                    <w:spacing w:before="91" w:line="218" w:lineRule="auto"/>
                    <w:ind w:left="25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74</w:t>
                  </w:r>
                </w:p>
              </w:tc>
              <w:tc>
                <w:tcPr>
                  <w:tcW w:w="640" w:type="dxa"/>
                  <w:vAlign w:val="top"/>
                </w:tcPr>
                <w:p w14:paraId="2FDE74E1">
                  <w:pPr>
                    <w:spacing w:before="91" w:line="218" w:lineRule="auto"/>
                    <w:ind w:left="21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70</w:t>
                  </w:r>
                </w:p>
              </w:tc>
              <w:tc>
                <w:tcPr>
                  <w:tcW w:w="633" w:type="dxa"/>
                  <w:vAlign w:val="top"/>
                </w:tcPr>
                <w:p w14:paraId="7EC7F29C">
                  <w:pPr>
                    <w:spacing w:before="91" w:line="218" w:lineRule="auto"/>
                    <w:ind w:left="22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68</w:t>
                  </w:r>
                </w:p>
              </w:tc>
              <w:tc>
                <w:tcPr>
                  <w:tcW w:w="569" w:type="dxa"/>
                  <w:vAlign w:val="top"/>
                </w:tcPr>
                <w:p w14:paraId="7022B551">
                  <w:pPr>
                    <w:spacing w:before="91" w:line="218" w:lineRule="auto"/>
                    <w:ind w:left="18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66</w:t>
                  </w:r>
                </w:p>
              </w:tc>
              <w:tc>
                <w:tcPr>
                  <w:tcW w:w="566" w:type="dxa"/>
                  <w:vAlign w:val="top"/>
                </w:tcPr>
                <w:p w14:paraId="6EEF3BFE">
                  <w:pPr>
                    <w:spacing w:before="91" w:line="218" w:lineRule="auto"/>
                    <w:ind w:left="18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63</w:t>
                  </w:r>
                </w:p>
              </w:tc>
              <w:tc>
                <w:tcPr>
                  <w:tcW w:w="609" w:type="dxa"/>
                  <w:vAlign w:val="top"/>
                </w:tcPr>
                <w:p w14:paraId="5DFCDACA">
                  <w:pPr>
                    <w:spacing w:before="91" w:line="218" w:lineRule="auto"/>
                    <w:ind w:left="20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61</w:t>
                  </w:r>
                </w:p>
              </w:tc>
              <w:tc>
                <w:tcPr>
                  <w:tcW w:w="645" w:type="dxa"/>
                  <w:vAlign w:val="top"/>
                </w:tcPr>
                <w:p w14:paraId="401699FD">
                  <w:pPr>
                    <w:spacing w:before="91" w:line="218" w:lineRule="auto"/>
                    <w:ind w:left="22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60</w:t>
                  </w:r>
                </w:p>
              </w:tc>
              <w:tc>
                <w:tcPr>
                  <w:tcW w:w="593" w:type="dxa"/>
                  <w:vAlign w:val="top"/>
                </w:tcPr>
                <w:p w14:paraId="1B766463">
                  <w:pPr>
                    <w:spacing w:before="91" w:line="218" w:lineRule="auto"/>
                    <w:ind w:left="19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59</w:t>
                  </w:r>
                </w:p>
              </w:tc>
            </w:tr>
            <w:tr w14:paraId="54D9D8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04" w:type="dxa"/>
                  <w:vAlign w:val="top"/>
                </w:tcPr>
                <w:p w14:paraId="616CEB2D">
                  <w:pPr>
                    <w:spacing w:before="91" w:line="218" w:lineRule="auto"/>
                    <w:ind w:left="205"/>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135" w:type="dxa"/>
                  <w:vAlign w:val="top"/>
                </w:tcPr>
                <w:p w14:paraId="27033D19">
                  <w:pPr>
                    <w:pStyle w:val="6"/>
                    <w:spacing w:before="56" w:line="220" w:lineRule="auto"/>
                    <w:ind w:left="175"/>
                  </w:pPr>
                  <w:r>
                    <w:rPr>
                      <w:spacing w:val="-8"/>
                    </w:rPr>
                    <w:t>吊装机械</w:t>
                  </w:r>
                </w:p>
              </w:tc>
              <w:tc>
                <w:tcPr>
                  <w:tcW w:w="991" w:type="dxa"/>
                  <w:vAlign w:val="top"/>
                </w:tcPr>
                <w:p w14:paraId="57D6AD89">
                  <w:pPr>
                    <w:spacing w:before="91" w:line="218" w:lineRule="auto"/>
                    <w:ind w:left="39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80</w:t>
                  </w:r>
                </w:p>
              </w:tc>
              <w:tc>
                <w:tcPr>
                  <w:tcW w:w="708" w:type="dxa"/>
                  <w:vAlign w:val="top"/>
                </w:tcPr>
                <w:p w14:paraId="58B2A051">
                  <w:pPr>
                    <w:spacing w:before="91" w:line="218" w:lineRule="auto"/>
                    <w:ind w:left="25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74</w:t>
                  </w:r>
                </w:p>
              </w:tc>
              <w:tc>
                <w:tcPr>
                  <w:tcW w:w="710" w:type="dxa"/>
                  <w:vAlign w:val="top"/>
                </w:tcPr>
                <w:p w14:paraId="1D5DC79A">
                  <w:pPr>
                    <w:spacing w:before="91" w:line="218" w:lineRule="auto"/>
                    <w:ind w:left="25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68</w:t>
                  </w:r>
                </w:p>
              </w:tc>
              <w:tc>
                <w:tcPr>
                  <w:tcW w:w="640" w:type="dxa"/>
                  <w:vAlign w:val="top"/>
                </w:tcPr>
                <w:p w14:paraId="49402A06">
                  <w:pPr>
                    <w:spacing w:before="91" w:line="218" w:lineRule="auto"/>
                    <w:ind w:left="21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64</w:t>
                  </w:r>
                </w:p>
              </w:tc>
              <w:tc>
                <w:tcPr>
                  <w:tcW w:w="633" w:type="dxa"/>
                  <w:vAlign w:val="top"/>
                </w:tcPr>
                <w:p w14:paraId="72019D29">
                  <w:pPr>
                    <w:spacing w:before="91" w:line="218" w:lineRule="auto"/>
                    <w:ind w:left="22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62</w:t>
                  </w:r>
                </w:p>
              </w:tc>
              <w:tc>
                <w:tcPr>
                  <w:tcW w:w="569" w:type="dxa"/>
                  <w:vAlign w:val="top"/>
                </w:tcPr>
                <w:p w14:paraId="0F1974BE">
                  <w:pPr>
                    <w:spacing w:before="91" w:line="218" w:lineRule="auto"/>
                    <w:ind w:left="18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60</w:t>
                  </w:r>
                </w:p>
              </w:tc>
              <w:tc>
                <w:tcPr>
                  <w:tcW w:w="566" w:type="dxa"/>
                  <w:vAlign w:val="top"/>
                </w:tcPr>
                <w:p w14:paraId="25B57489">
                  <w:pPr>
                    <w:spacing w:before="91" w:line="218" w:lineRule="auto"/>
                    <w:ind w:left="18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57</w:t>
                  </w:r>
                </w:p>
              </w:tc>
              <w:tc>
                <w:tcPr>
                  <w:tcW w:w="609" w:type="dxa"/>
                  <w:vAlign w:val="top"/>
                </w:tcPr>
                <w:p w14:paraId="42DE91FD">
                  <w:pPr>
                    <w:spacing w:before="91" w:line="218" w:lineRule="auto"/>
                    <w:ind w:left="20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55</w:t>
                  </w:r>
                </w:p>
              </w:tc>
              <w:tc>
                <w:tcPr>
                  <w:tcW w:w="645" w:type="dxa"/>
                  <w:vAlign w:val="top"/>
                </w:tcPr>
                <w:p w14:paraId="49FEB274">
                  <w:pPr>
                    <w:spacing w:before="91" w:line="218" w:lineRule="auto"/>
                    <w:ind w:left="22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54</w:t>
                  </w:r>
                </w:p>
              </w:tc>
              <w:tc>
                <w:tcPr>
                  <w:tcW w:w="593" w:type="dxa"/>
                  <w:vAlign w:val="top"/>
                </w:tcPr>
                <w:p w14:paraId="1C93C0DB">
                  <w:pPr>
                    <w:spacing w:before="91" w:line="218" w:lineRule="auto"/>
                    <w:ind w:left="19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53</w:t>
                  </w:r>
                </w:p>
              </w:tc>
            </w:tr>
            <w:tr w14:paraId="6F5009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04" w:type="dxa"/>
                  <w:vAlign w:val="top"/>
                </w:tcPr>
                <w:p w14:paraId="09793299">
                  <w:pPr>
                    <w:spacing w:before="91" w:line="218" w:lineRule="auto"/>
                    <w:ind w:left="199"/>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135" w:type="dxa"/>
                  <w:vAlign w:val="top"/>
                </w:tcPr>
                <w:p w14:paraId="673F5CF8">
                  <w:pPr>
                    <w:pStyle w:val="6"/>
                    <w:spacing w:before="56" w:line="221" w:lineRule="auto"/>
                    <w:ind w:left="184"/>
                  </w:pPr>
                  <w:r>
                    <w:rPr>
                      <w:spacing w:val="-10"/>
                    </w:rPr>
                    <w:t>自卸卡车</w:t>
                  </w:r>
                </w:p>
              </w:tc>
              <w:tc>
                <w:tcPr>
                  <w:tcW w:w="991" w:type="dxa"/>
                  <w:vAlign w:val="top"/>
                </w:tcPr>
                <w:p w14:paraId="1898BB7A">
                  <w:pPr>
                    <w:spacing w:before="91" w:line="218" w:lineRule="auto"/>
                    <w:ind w:left="39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82</w:t>
                  </w:r>
                </w:p>
              </w:tc>
              <w:tc>
                <w:tcPr>
                  <w:tcW w:w="708" w:type="dxa"/>
                  <w:vAlign w:val="top"/>
                </w:tcPr>
                <w:p w14:paraId="254C6C8F">
                  <w:pPr>
                    <w:spacing w:before="91" w:line="218" w:lineRule="auto"/>
                    <w:ind w:left="25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76</w:t>
                  </w:r>
                </w:p>
              </w:tc>
              <w:tc>
                <w:tcPr>
                  <w:tcW w:w="710" w:type="dxa"/>
                  <w:vAlign w:val="top"/>
                </w:tcPr>
                <w:p w14:paraId="4E9D7038">
                  <w:pPr>
                    <w:spacing w:before="91" w:line="218" w:lineRule="auto"/>
                    <w:ind w:left="25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70</w:t>
                  </w:r>
                </w:p>
              </w:tc>
              <w:tc>
                <w:tcPr>
                  <w:tcW w:w="640" w:type="dxa"/>
                  <w:vAlign w:val="top"/>
                </w:tcPr>
                <w:p w14:paraId="5CD7AA1F">
                  <w:pPr>
                    <w:spacing w:before="91" w:line="218" w:lineRule="auto"/>
                    <w:ind w:left="21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66</w:t>
                  </w:r>
                </w:p>
              </w:tc>
              <w:tc>
                <w:tcPr>
                  <w:tcW w:w="633" w:type="dxa"/>
                  <w:vAlign w:val="top"/>
                </w:tcPr>
                <w:p w14:paraId="1F7AFAD9">
                  <w:pPr>
                    <w:spacing w:before="91" w:line="218" w:lineRule="auto"/>
                    <w:ind w:left="22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64</w:t>
                  </w:r>
                </w:p>
              </w:tc>
              <w:tc>
                <w:tcPr>
                  <w:tcW w:w="569" w:type="dxa"/>
                  <w:vAlign w:val="top"/>
                </w:tcPr>
                <w:p w14:paraId="1E7C3C5D">
                  <w:pPr>
                    <w:spacing w:before="91" w:line="218" w:lineRule="auto"/>
                    <w:ind w:left="18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62</w:t>
                  </w:r>
                </w:p>
              </w:tc>
              <w:tc>
                <w:tcPr>
                  <w:tcW w:w="566" w:type="dxa"/>
                  <w:vAlign w:val="top"/>
                </w:tcPr>
                <w:p w14:paraId="3D122D0D">
                  <w:pPr>
                    <w:spacing w:before="91" w:line="218" w:lineRule="auto"/>
                    <w:ind w:left="18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59</w:t>
                  </w:r>
                </w:p>
              </w:tc>
              <w:tc>
                <w:tcPr>
                  <w:tcW w:w="609" w:type="dxa"/>
                  <w:vAlign w:val="top"/>
                </w:tcPr>
                <w:p w14:paraId="297F1335">
                  <w:pPr>
                    <w:spacing w:before="91" w:line="218" w:lineRule="auto"/>
                    <w:ind w:left="20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57</w:t>
                  </w:r>
                </w:p>
              </w:tc>
              <w:tc>
                <w:tcPr>
                  <w:tcW w:w="645" w:type="dxa"/>
                  <w:vAlign w:val="top"/>
                </w:tcPr>
                <w:p w14:paraId="4DFA363D">
                  <w:pPr>
                    <w:spacing w:before="91" w:line="218" w:lineRule="auto"/>
                    <w:ind w:left="22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56</w:t>
                  </w:r>
                </w:p>
              </w:tc>
              <w:tc>
                <w:tcPr>
                  <w:tcW w:w="593" w:type="dxa"/>
                  <w:vAlign w:val="top"/>
                </w:tcPr>
                <w:p w14:paraId="0A4BD70E">
                  <w:pPr>
                    <w:spacing w:before="91" w:line="218" w:lineRule="auto"/>
                    <w:ind w:left="19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55</w:t>
                  </w:r>
                </w:p>
              </w:tc>
            </w:tr>
            <w:tr w14:paraId="69DD2F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504" w:type="dxa"/>
                  <w:vAlign w:val="top"/>
                </w:tcPr>
                <w:p w14:paraId="153AFF4A">
                  <w:pPr>
                    <w:spacing w:before="92" w:line="214" w:lineRule="auto"/>
                    <w:ind w:left="206"/>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135" w:type="dxa"/>
                  <w:vAlign w:val="top"/>
                </w:tcPr>
                <w:p w14:paraId="6314A7BE">
                  <w:pPr>
                    <w:pStyle w:val="6"/>
                    <w:spacing w:before="57" w:line="220" w:lineRule="auto"/>
                    <w:ind w:left="251"/>
                  </w:pPr>
                  <w:r>
                    <w:rPr>
                      <w:spacing w:val="-1"/>
                    </w:rPr>
                    <w:t>切割机</w:t>
                  </w:r>
                </w:p>
              </w:tc>
              <w:tc>
                <w:tcPr>
                  <w:tcW w:w="991" w:type="dxa"/>
                  <w:vAlign w:val="top"/>
                </w:tcPr>
                <w:p w14:paraId="3AA2B6D1">
                  <w:pPr>
                    <w:spacing w:before="92" w:line="214" w:lineRule="auto"/>
                    <w:ind w:left="39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95</w:t>
                  </w:r>
                </w:p>
              </w:tc>
              <w:tc>
                <w:tcPr>
                  <w:tcW w:w="708" w:type="dxa"/>
                  <w:vAlign w:val="top"/>
                </w:tcPr>
                <w:p w14:paraId="3DB31DE1">
                  <w:pPr>
                    <w:spacing w:before="92" w:line="214" w:lineRule="auto"/>
                    <w:ind w:left="25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89</w:t>
                  </w:r>
                </w:p>
              </w:tc>
              <w:tc>
                <w:tcPr>
                  <w:tcW w:w="710" w:type="dxa"/>
                  <w:vAlign w:val="top"/>
                </w:tcPr>
                <w:p w14:paraId="2B8F11FB">
                  <w:pPr>
                    <w:spacing w:before="92" w:line="214" w:lineRule="auto"/>
                    <w:ind w:left="25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83</w:t>
                  </w:r>
                </w:p>
              </w:tc>
              <w:tc>
                <w:tcPr>
                  <w:tcW w:w="640" w:type="dxa"/>
                  <w:vAlign w:val="top"/>
                </w:tcPr>
                <w:p w14:paraId="1747D81B">
                  <w:pPr>
                    <w:spacing w:before="92" w:line="214" w:lineRule="auto"/>
                    <w:ind w:left="21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79</w:t>
                  </w:r>
                </w:p>
              </w:tc>
              <w:tc>
                <w:tcPr>
                  <w:tcW w:w="633" w:type="dxa"/>
                  <w:vAlign w:val="top"/>
                </w:tcPr>
                <w:p w14:paraId="00509270">
                  <w:pPr>
                    <w:spacing w:before="92" w:line="214" w:lineRule="auto"/>
                    <w:ind w:left="21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77</w:t>
                  </w:r>
                </w:p>
              </w:tc>
              <w:tc>
                <w:tcPr>
                  <w:tcW w:w="569" w:type="dxa"/>
                  <w:vAlign w:val="top"/>
                </w:tcPr>
                <w:p w14:paraId="2DA6ED93">
                  <w:pPr>
                    <w:spacing w:before="92" w:line="214" w:lineRule="auto"/>
                    <w:ind w:left="18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75</w:t>
                  </w:r>
                </w:p>
              </w:tc>
              <w:tc>
                <w:tcPr>
                  <w:tcW w:w="566" w:type="dxa"/>
                  <w:vAlign w:val="top"/>
                </w:tcPr>
                <w:p w14:paraId="01FB7D1E">
                  <w:pPr>
                    <w:spacing w:before="92" w:line="214" w:lineRule="auto"/>
                    <w:ind w:left="18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72</w:t>
                  </w:r>
                </w:p>
              </w:tc>
              <w:tc>
                <w:tcPr>
                  <w:tcW w:w="609" w:type="dxa"/>
                  <w:vAlign w:val="top"/>
                </w:tcPr>
                <w:p w14:paraId="226BC286">
                  <w:pPr>
                    <w:spacing w:before="92" w:line="214" w:lineRule="auto"/>
                    <w:ind w:left="20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70</w:t>
                  </w:r>
                </w:p>
              </w:tc>
              <w:tc>
                <w:tcPr>
                  <w:tcW w:w="645" w:type="dxa"/>
                  <w:vAlign w:val="top"/>
                </w:tcPr>
                <w:p w14:paraId="721AA3B1">
                  <w:pPr>
                    <w:spacing w:before="92" w:line="214" w:lineRule="auto"/>
                    <w:ind w:left="22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69</w:t>
                  </w:r>
                </w:p>
              </w:tc>
              <w:tc>
                <w:tcPr>
                  <w:tcW w:w="593" w:type="dxa"/>
                  <w:vAlign w:val="top"/>
                </w:tcPr>
                <w:p w14:paraId="26963716">
                  <w:pPr>
                    <w:spacing w:before="92" w:line="214" w:lineRule="auto"/>
                    <w:ind w:left="19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68</w:t>
                  </w:r>
                </w:p>
              </w:tc>
            </w:tr>
            <w:tr w14:paraId="539674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1639" w:type="dxa"/>
                  <w:gridSpan w:val="2"/>
                  <w:vAlign w:val="top"/>
                </w:tcPr>
                <w:p w14:paraId="1361B2CD">
                  <w:pPr>
                    <w:pStyle w:val="6"/>
                    <w:spacing w:before="60" w:line="221" w:lineRule="auto"/>
                    <w:ind w:left="202"/>
                  </w:pPr>
                  <w:r>
                    <w:rPr>
                      <w:spacing w:val="-3"/>
                    </w:rPr>
                    <w:t>多声源叠加值</w:t>
                  </w:r>
                </w:p>
              </w:tc>
              <w:tc>
                <w:tcPr>
                  <w:tcW w:w="991" w:type="dxa"/>
                  <w:vAlign w:val="top"/>
                </w:tcPr>
                <w:p w14:paraId="230EC19E">
                  <w:pPr>
                    <w:spacing w:before="95" w:line="218" w:lineRule="auto"/>
                    <w:ind w:left="39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96</w:t>
                  </w:r>
                </w:p>
              </w:tc>
              <w:tc>
                <w:tcPr>
                  <w:tcW w:w="708" w:type="dxa"/>
                  <w:vAlign w:val="top"/>
                </w:tcPr>
                <w:p w14:paraId="38E71D01">
                  <w:pPr>
                    <w:spacing w:before="95" w:line="218" w:lineRule="auto"/>
                    <w:ind w:left="25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90</w:t>
                  </w:r>
                </w:p>
              </w:tc>
              <w:tc>
                <w:tcPr>
                  <w:tcW w:w="710" w:type="dxa"/>
                  <w:vAlign w:val="top"/>
                </w:tcPr>
                <w:p w14:paraId="1A41327F">
                  <w:pPr>
                    <w:spacing w:before="95" w:line="218" w:lineRule="auto"/>
                    <w:ind w:left="258"/>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84</w:t>
                  </w:r>
                </w:p>
              </w:tc>
              <w:tc>
                <w:tcPr>
                  <w:tcW w:w="640" w:type="dxa"/>
                  <w:vAlign w:val="top"/>
                </w:tcPr>
                <w:p w14:paraId="13E7D67A">
                  <w:pPr>
                    <w:spacing w:before="95" w:line="218" w:lineRule="auto"/>
                    <w:ind w:left="223"/>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80</w:t>
                  </w:r>
                </w:p>
              </w:tc>
              <w:tc>
                <w:tcPr>
                  <w:tcW w:w="633" w:type="dxa"/>
                  <w:vAlign w:val="top"/>
                </w:tcPr>
                <w:p w14:paraId="4005B588">
                  <w:pPr>
                    <w:spacing w:before="95" w:line="218" w:lineRule="auto"/>
                    <w:ind w:left="219"/>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78</w:t>
                  </w:r>
                </w:p>
              </w:tc>
              <w:tc>
                <w:tcPr>
                  <w:tcW w:w="569" w:type="dxa"/>
                  <w:vAlign w:val="top"/>
                </w:tcPr>
                <w:p w14:paraId="123EC286">
                  <w:pPr>
                    <w:spacing w:before="95" w:line="218" w:lineRule="auto"/>
                    <w:ind w:left="18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76</w:t>
                  </w:r>
                </w:p>
              </w:tc>
              <w:tc>
                <w:tcPr>
                  <w:tcW w:w="566" w:type="dxa"/>
                  <w:vAlign w:val="top"/>
                </w:tcPr>
                <w:p w14:paraId="33C794CB">
                  <w:pPr>
                    <w:spacing w:before="95" w:line="218" w:lineRule="auto"/>
                    <w:ind w:left="18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73</w:t>
                  </w:r>
                </w:p>
              </w:tc>
              <w:tc>
                <w:tcPr>
                  <w:tcW w:w="609" w:type="dxa"/>
                  <w:vAlign w:val="top"/>
                </w:tcPr>
                <w:p w14:paraId="3C620312">
                  <w:pPr>
                    <w:spacing w:before="95" w:line="218" w:lineRule="auto"/>
                    <w:ind w:left="20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71</w:t>
                  </w:r>
                </w:p>
              </w:tc>
              <w:tc>
                <w:tcPr>
                  <w:tcW w:w="645" w:type="dxa"/>
                  <w:vAlign w:val="top"/>
                </w:tcPr>
                <w:p w14:paraId="7B293784">
                  <w:pPr>
                    <w:spacing w:before="95" w:line="218" w:lineRule="auto"/>
                    <w:ind w:left="22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70</w:t>
                  </w:r>
                </w:p>
              </w:tc>
              <w:tc>
                <w:tcPr>
                  <w:tcW w:w="593" w:type="dxa"/>
                  <w:vAlign w:val="top"/>
                </w:tcPr>
                <w:p w14:paraId="79033654">
                  <w:pPr>
                    <w:spacing w:before="95" w:line="218" w:lineRule="auto"/>
                    <w:ind w:left="19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69</w:t>
                  </w:r>
                </w:p>
              </w:tc>
            </w:tr>
          </w:tbl>
          <w:p w14:paraId="0E2BA3DC">
            <w:pPr>
              <w:pStyle w:val="6"/>
              <w:spacing w:before="117" w:line="364" w:lineRule="auto"/>
              <w:ind w:left="111" w:right="43" w:firstLine="483"/>
              <w:jc w:val="both"/>
              <w:rPr>
                <w:sz w:val="24"/>
                <w:szCs w:val="24"/>
              </w:rPr>
            </w:pPr>
            <w:r>
              <w:rPr>
                <w:spacing w:val="-4"/>
                <w:sz w:val="24"/>
                <w:szCs w:val="24"/>
              </w:rPr>
              <w:t>从上表可以看出，各种施工机械满负荷运行时，声源噪声强度较大，对建设</w:t>
            </w:r>
            <w:r>
              <w:rPr>
                <w:spacing w:val="-3"/>
                <w:sz w:val="24"/>
                <w:szCs w:val="24"/>
              </w:rPr>
              <w:t>项目周围环境有一定影响。但随着距离的增</w:t>
            </w:r>
            <w:r>
              <w:rPr>
                <w:spacing w:val="-4"/>
                <w:sz w:val="24"/>
                <w:szCs w:val="24"/>
              </w:rPr>
              <w:t>加，噪声衰减量增大，在距离施工机</w:t>
            </w:r>
            <w:r>
              <w:rPr>
                <w:spacing w:val="-10"/>
                <w:sz w:val="24"/>
                <w:szCs w:val="24"/>
              </w:rPr>
              <w:t>械</w:t>
            </w:r>
            <w:r>
              <w:rPr>
                <w:spacing w:val="-31"/>
                <w:sz w:val="24"/>
                <w:szCs w:val="24"/>
              </w:rPr>
              <w:t xml:space="preserve"> </w:t>
            </w:r>
            <w:r>
              <w:rPr>
                <w:rFonts w:ascii="Times New Roman" w:hAnsi="Times New Roman" w:eastAsia="Times New Roman" w:cs="Times New Roman"/>
                <w:spacing w:val="-10"/>
                <w:sz w:val="24"/>
                <w:szCs w:val="24"/>
              </w:rPr>
              <w:t>100m</w:t>
            </w:r>
            <w:r>
              <w:rPr>
                <w:rFonts w:ascii="Times New Roman" w:hAnsi="Times New Roman" w:eastAsia="Times New Roman" w:cs="Times New Roman"/>
                <w:spacing w:val="22"/>
                <w:sz w:val="24"/>
                <w:szCs w:val="24"/>
              </w:rPr>
              <w:t xml:space="preserve"> </w:t>
            </w:r>
            <w:r>
              <w:rPr>
                <w:spacing w:val="-10"/>
                <w:sz w:val="24"/>
                <w:szCs w:val="24"/>
              </w:rPr>
              <w:t>时，施工噪声昼间可达《建筑施工场界噪声排放标准》（</w:t>
            </w:r>
            <w:r>
              <w:rPr>
                <w:rFonts w:ascii="Times New Roman" w:hAnsi="Times New Roman" w:eastAsia="Times New Roman" w:cs="Times New Roman"/>
                <w:spacing w:val="-10"/>
                <w:sz w:val="24"/>
                <w:szCs w:val="24"/>
              </w:rPr>
              <w:t>GB12523-2011</w:t>
            </w:r>
            <w:r>
              <w:rPr>
                <w:spacing w:val="-56"/>
                <w:w w:val="89"/>
                <w:sz w:val="24"/>
                <w:szCs w:val="24"/>
              </w:rPr>
              <w:t>），</w:t>
            </w:r>
            <w:r>
              <w:rPr>
                <w:spacing w:val="-5"/>
                <w:sz w:val="24"/>
                <w:szCs w:val="24"/>
              </w:rPr>
              <w:t>项目夜间不施工。</w:t>
            </w:r>
          </w:p>
          <w:p w14:paraId="4CED6BEF">
            <w:pPr>
              <w:pStyle w:val="6"/>
              <w:spacing w:before="2" w:line="365" w:lineRule="auto"/>
              <w:ind w:left="111" w:right="107" w:firstLine="482"/>
              <w:jc w:val="both"/>
              <w:rPr>
                <w:sz w:val="24"/>
                <w:szCs w:val="24"/>
              </w:rPr>
            </w:pPr>
            <w:r>
              <w:rPr>
                <w:spacing w:val="-1"/>
                <w:sz w:val="24"/>
                <w:szCs w:val="24"/>
              </w:rPr>
              <w:t>牵张场的布置尽量选择荒草地或裸露地表，并远离线路周边的居</w:t>
            </w:r>
            <w:r>
              <w:rPr>
                <w:spacing w:val="-2"/>
                <w:sz w:val="24"/>
                <w:szCs w:val="24"/>
              </w:rPr>
              <w:t>民点</w:t>
            </w:r>
            <w:r>
              <w:rPr>
                <w:spacing w:val="-28"/>
                <w:sz w:val="24"/>
                <w:szCs w:val="24"/>
              </w:rPr>
              <w:t xml:space="preserve"> </w:t>
            </w:r>
            <w:r>
              <w:rPr>
                <w:rFonts w:ascii="Times New Roman" w:hAnsi="Times New Roman" w:eastAsia="Times New Roman" w:cs="Times New Roman"/>
                <w:spacing w:val="-2"/>
                <w:sz w:val="24"/>
                <w:szCs w:val="24"/>
              </w:rPr>
              <w:t>100m</w:t>
            </w:r>
            <w:r>
              <w:rPr>
                <w:spacing w:val="-3"/>
                <w:sz w:val="24"/>
                <w:szCs w:val="24"/>
              </w:rPr>
              <w:t>以上，减小牵张场设备噪声对居民生活的影响</w:t>
            </w:r>
            <w:r>
              <w:rPr>
                <w:spacing w:val="-4"/>
                <w:sz w:val="24"/>
                <w:szCs w:val="24"/>
              </w:rPr>
              <w:t>。部分线路工程塔基下临时施工场</w:t>
            </w:r>
            <w:r>
              <w:rPr>
                <w:spacing w:val="-3"/>
                <w:sz w:val="24"/>
                <w:szCs w:val="24"/>
              </w:rPr>
              <w:t>地距居民区较近，产生的噪声应采取临时围挡</w:t>
            </w:r>
            <w:r>
              <w:rPr>
                <w:spacing w:val="-4"/>
                <w:sz w:val="24"/>
                <w:szCs w:val="24"/>
              </w:rPr>
              <w:t>，尽量采取人工掏挖基础不使用高</w:t>
            </w:r>
            <w:r>
              <w:rPr>
                <w:spacing w:val="-3"/>
                <w:sz w:val="24"/>
                <w:szCs w:val="24"/>
              </w:rPr>
              <w:t>噪施工机械，合理布局等方式，使噪声影响</w:t>
            </w:r>
            <w:r>
              <w:rPr>
                <w:spacing w:val="-4"/>
                <w:sz w:val="24"/>
                <w:szCs w:val="24"/>
              </w:rPr>
              <w:t>范围控制在施工场地内，以减小施工</w:t>
            </w:r>
            <w:r>
              <w:rPr>
                <w:spacing w:val="-6"/>
                <w:sz w:val="24"/>
                <w:szCs w:val="24"/>
              </w:rPr>
              <w:t>噪声对居民区的影响。输电线路单个塔基施工时间很短，</w:t>
            </w:r>
            <w:r>
              <w:rPr>
                <w:spacing w:val="-27"/>
                <w:sz w:val="24"/>
                <w:szCs w:val="24"/>
              </w:rPr>
              <w:t xml:space="preserve"> </w:t>
            </w:r>
            <w:r>
              <w:rPr>
                <w:spacing w:val="-6"/>
                <w:sz w:val="24"/>
                <w:szCs w:val="24"/>
              </w:rPr>
              <w:t>夜间不施工，</w:t>
            </w:r>
            <w:r>
              <w:rPr>
                <w:spacing w:val="-7"/>
                <w:sz w:val="24"/>
                <w:szCs w:val="24"/>
              </w:rPr>
              <w:t>架空线路</w:t>
            </w:r>
            <w:r>
              <w:rPr>
                <w:spacing w:val="-3"/>
                <w:sz w:val="24"/>
                <w:szCs w:val="24"/>
              </w:rPr>
              <w:t>施工噪声对沿线声环境的影响可以接受。</w:t>
            </w:r>
          </w:p>
          <w:p w14:paraId="4449F2FB">
            <w:pPr>
              <w:pStyle w:val="6"/>
              <w:spacing w:line="234" w:lineRule="auto"/>
              <w:ind w:left="601"/>
              <w:rPr>
                <w:sz w:val="24"/>
                <w:szCs w:val="24"/>
              </w:rPr>
            </w:pPr>
            <w:r>
              <w:rPr>
                <w:b/>
                <w:bCs/>
                <w:spacing w:val="-6"/>
                <w:sz w:val="24"/>
                <w:szCs w:val="24"/>
              </w:rPr>
              <w:t>（</w:t>
            </w:r>
            <w:r>
              <w:rPr>
                <w:rFonts w:ascii="Times New Roman" w:hAnsi="Times New Roman" w:eastAsia="Times New Roman" w:cs="Times New Roman"/>
                <w:b/>
                <w:bCs/>
                <w:spacing w:val="-6"/>
                <w:sz w:val="24"/>
                <w:szCs w:val="24"/>
              </w:rPr>
              <w:t>2</w:t>
            </w:r>
            <w:r>
              <w:rPr>
                <w:b/>
                <w:bCs/>
                <w:spacing w:val="-6"/>
                <w:sz w:val="24"/>
                <w:szCs w:val="24"/>
              </w:rPr>
              <w:t>）间隔扩建</w:t>
            </w:r>
          </w:p>
          <w:p w14:paraId="350FAFB1">
            <w:pPr>
              <w:pStyle w:val="6"/>
              <w:spacing w:before="171" w:line="317" w:lineRule="auto"/>
              <w:ind w:left="115" w:right="108" w:firstLine="479"/>
              <w:rPr>
                <w:sz w:val="24"/>
                <w:szCs w:val="24"/>
              </w:rPr>
            </w:pPr>
            <w:r>
              <w:rPr>
                <w:rFonts w:ascii="Times New Roman" w:hAnsi="Times New Roman" w:eastAsia="Times New Roman" w:cs="Times New Roman"/>
                <w:spacing w:val="-2"/>
                <w:sz w:val="24"/>
                <w:szCs w:val="24"/>
              </w:rPr>
              <w:t>500kV</w:t>
            </w:r>
            <w:r>
              <w:rPr>
                <w:rFonts w:ascii="Times New Roman" w:hAnsi="Times New Roman" w:eastAsia="Times New Roman" w:cs="Times New Roman"/>
                <w:spacing w:val="61"/>
                <w:w w:val="101"/>
                <w:sz w:val="24"/>
                <w:szCs w:val="24"/>
              </w:rPr>
              <w:t xml:space="preserve"> </w:t>
            </w:r>
            <w:r>
              <w:rPr>
                <w:spacing w:val="-2"/>
                <w:sz w:val="24"/>
                <w:szCs w:val="24"/>
              </w:rPr>
              <w:t>乐业变间隔扩建与</w:t>
            </w:r>
            <w:r>
              <w:rPr>
                <w:spacing w:val="-22"/>
                <w:sz w:val="24"/>
                <w:szCs w:val="24"/>
              </w:rPr>
              <w:t xml:space="preserve"> </w:t>
            </w:r>
            <w:r>
              <w:rPr>
                <w:rFonts w:ascii="Times New Roman" w:hAnsi="Times New Roman" w:eastAsia="Times New Roman" w:cs="Times New Roman"/>
                <w:spacing w:val="-2"/>
                <w:sz w:val="24"/>
                <w:szCs w:val="24"/>
              </w:rPr>
              <w:t>500kV</w:t>
            </w:r>
            <w:r>
              <w:rPr>
                <w:rFonts w:ascii="Times New Roman" w:hAnsi="Times New Roman" w:eastAsia="Times New Roman" w:cs="Times New Roman"/>
                <w:spacing w:val="43"/>
                <w:sz w:val="24"/>
                <w:szCs w:val="24"/>
              </w:rPr>
              <w:t xml:space="preserve"> </w:t>
            </w:r>
            <w:r>
              <w:rPr>
                <w:spacing w:val="-2"/>
                <w:sz w:val="24"/>
                <w:szCs w:val="24"/>
              </w:rPr>
              <w:t>乐业变主体工程同步进行，本次间隔扩建工程量很小，声环境保护按原环评及其批复的要求执行，影响可控。</w:t>
            </w:r>
          </w:p>
        </w:tc>
      </w:tr>
    </w:tbl>
    <w:p w14:paraId="00B4E686">
      <w:pPr>
        <w:rPr>
          <w:rFonts w:ascii="Arial"/>
          <w:sz w:val="21"/>
        </w:rPr>
      </w:pPr>
    </w:p>
    <w:p w14:paraId="05E60553">
      <w:pPr>
        <w:rPr>
          <w:rFonts w:ascii="Arial" w:hAnsi="Arial" w:eastAsia="Arial" w:cs="Arial"/>
          <w:sz w:val="21"/>
          <w:szCs w:val="21"/>
        </w:rPr>
        <w:sectPr>
          <w:footerReference r:id="rId67" w:type="default"/>
          <w:pgSz w:w="11907" w:h="16841"/>
          <w:pgMar w:top="400" w:right="1408" w:bottom="1126" w:left="1414" w:header="0" w:footer="925" w:gutter="0"/>
          <w:cols w:space="720" w:num="1"/>
        </w:sectPr>
      </w:pPr>
    </w:p>
    <w:p w14:paraId="03D5E969">
      <w:pPr>
        <w:spacing w:before="2"/>
      </w:pPr>
    </w:p>
    <w:p w14:paraId="40D8AD13">
      <w:pPr>
        <w:spacing w:before="2"/>
      </w:pPr>
    </w:p>
    <w:p w14:paraId="2B90198D">
      <w:pPr>
        <w:spacing w:before="1"/>
      </w:pPr>
    </w:p>
    <w:p w14:paraId="25F85E12">
      <w:pPr>
        <w:spacing w:before="1"/>
      </w:pPr>
    </w:p>
    <w:p w14:paraId="56041958">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3763B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18AD8529">
            <w:pPr>
              <w:rPr>
                <w:rFonts w:ascii="Arial"/>
                <w:sz w:val="21"/>
              </w:rPr>
            </w:pPr>
          </w:p>
        </w:tc>
        <w:tc>
          <w:tcPr>
            <w:tcW w:w="8507" w:type="dxa"/>
            <w:vAlign w:val="top"/>
          </w:tcPr>
          <w:p w14:paraId="0ED64ABB">
            <w:pPr>
              <w:pStyle w:val="6"/>
              <w:spacing w:before="126" w:line="364" w:lineRule="auto"/>
              <w:ind w:left="112" w:right="109" w:firstLine="475"/>
              <w:jc w:val="both"/>
              <w:rPr>
                <w:sz w:val="24"/>
                <w:szCs w:val="24"/>
              </w:rPr>
            </w:pPr>
            <w:r>
              <w:rPr>
                <w:rFonts w:ascii="Times New Roman" w:hAnsi="Times New Roman" w:eastAsia="Times New Roman" w:cs="Times New Roman"/>
                <w:spacing w:val="-3"/>
                <w:sz w:val="24"/>
                <w:szCs w:val="24"/>
              </w:rPr>
              <w:t xml:space="preserve">220kV </w:t>
            </w:r>
            <w:r>
              <w:rPr>
                <w:spacing w:val="-3"/>
                <w:sz w:val="24"/>
                <w:szCs w:val="24"/>
              </w:rPr>
              <w:t>迤车变间隔扩建需新征地，施工时通过合理布局，使施工设</w:t>
            </w:r>
            <w:r>
              <w:rPr>
                <w:spacing w:val="-4"/>
                <w:sz w:val="24"/>
                <w:szCs w:val="24"/>
              </w:rPr>
              <w:t>备远离围</w:t>
            </w:r>
            <w:r>
              <w:rPr>
                <w:spacing w:val="-6"/>
                <w:sz w:val="24"/>
                <w:szCs w:val="24"/>
              </w:rPr>
              <w:t>墙。若因工艺需要采用高噪声设备进行施工时应严格控制施工时间，</w:t>
            </w:r>
            <w:r>
              <w:rPr>
                <w:spacing w:val="-31"/>
                <w:sz w:val="24"/>
                <w:szCs w:val="24"/>
              </w:rPr>
              <w:t xml:space="preserve"> </w:t>
            </w:r>
            <w:r>
              <w:rPr>
                <w:spacing w:val="-6"/>
                <w:sz w:val="24"/>
                <w:szCs w:val="24"/>
              </w:rPr>
              <w:t>同时避开清</w:t>
            </w:r>
            <w:r>
              <w:rPr>
                <w:spacing w:val="-1"/>
                <w:sz w:val="24"/>
                <w:szCs w:val="24"/>
              </w:rPr>
              <w:t>晨、午间等时段，夜间不进行施工。施工噪声</w:t>
            </w:r>
            <w:r>
              <w:rPr>
                <w:spacing w:val="-2"/>
                <w:sz w:val="24"/>
                <w:szCs w:val="24"/>
              </w:rPr>
              <w:t xml:space="preserve">在围墙外 </w:t>
            </w:r>
            <w:r>
              <w:rPr>
                <w:rFonts w:ascii="Times New Roman" w:hAnsi="Times New Roman" w:eastAsia="Times New Roman" w:cs="Times New Roman"/>
                <w:spacing w:val="-2"/>
                <w:sz w:val="24"/>
                <w:szCs w:val="24"/>
              </w:rPr>
              <w:t>30m</w:t>
            </w:r>
            <w:r>
              <w:rPr>
                <w:rFonts w:ascii="Times New Roman" w:hAnsi="Times New Roman" w:eastAsia="Times New Roman" w:cs="Times New Roman"/>
                <w:spacing w:val="43"/>
                <w:w w:val="101"/>
                <w:sz w:val="24"/>
                <w:szCs w:val="24"/>
              </w:rPr>
              <w:t xml:space="preserve"> </w:t>
            </w:r>
            <w:r>
              <w:rPr>
                <w:spacing w:val="-2"/>
                <w:sz w:val="24"/>
                <w:szCs w:val="24"/>
              </w:rPr>
              <w:t>可达《建筑施工场</w:t>
            </w:r>
            <w:r>
              <w:rPr>
                <w:spacing w:val="-6"/>
                <w:sz w:val="24"/>
                <w:szCs w:val="24"/>
              </w:rPr>
              <w:t>界噪声排放标准》（</w:t>
            </w:r>
            <w:r>
              <w:rPr>
                <w:rFonts w:ascii="Times New Roman" w:hAnsi="Times New Roman" w:eastAsia="Times New Roman" w:cs="Times New Roman"/>
                <w:spacing w:val="-6"/>
                <w:sz w:val="24"/>
                <w:szCs w:val="24"/>
              </w:rPr>
              <w:t>GB12523-2011</w:t>
            </w:r>
            <w:r>
              <w:rPr>
                <w:spacing w:val="-49"/>
                <w:sz w:val="24"/>
                <w:szCs w:val="24"/>
              </w:rPr>
              <w:t>），</w:t>
            </w:r>
            <w:r>
              <w:rPr>
                <w:spacing w:val="-6"/>
                <w:sz w:val="24"/>
                <w:szCs w:val="24"/>
              </w:rPr>
              <w:t>产生的声环境影响较小。</w:t>
            </w:r>
          </w:p>
          <w:p w14:paraId="76E241E2">
            <w:pPr>
              <w:pStyle w:val="6"/>
              <w:spacing w:line="234" w:lineRule="auto"/>
              <w:ind w:left="111"/>
              <w:rPr>
                <w:sz w:val="24"/>
                <w:szCs w:val="24"/>
              </w:rPr>
            </w:pPr>
            <w:r>
              <w:rPr>
                <w:rFonts w:ascii="Times New Roman" w:hAnsi="Times New Roman" w:eastAsia="Times New Roman" w:cs="Times New Roman"/>
                <w:b/>
                <w:bCs/>
                <w:spacing w:val="-4"/>
                <w:sz w:val="24"/>
                <w:szCs w:val="24"/>
              </w:rPr>
              <w:t>6</w:t>
            </w:r>
            <w:r>
              <w:rPr>
                <w:b/>
                <w:bCs/>
                <w:spacing w:val="-4"/>
                <w:sz w:val="24"/>
                <w:szCs w:val="24"/>
              </w:rPr>
              <w:t>、施工期固体废物影响</w:t>
            </w:r>
          </w:p>
          <w:p w14:paraId="014ACDB0">
            <w:pPr>
              <w:pStyle w:val="6"/>
              <w:spacing w:before="171"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）废弃土石方</w:t>
            </w:r>
          </w:p>
          <w:p w14:paraId="3E5E56AE">
            <w:pPr>
              <w:pStyle w:val="6"/>
              <w:spacing w:before="168" w:line="365" w:lineRule="auto"/>
              <w:ind w:left="112" w:right="109" w:firstLine="480"/>
              <w:jc w:val="both"/>
              <w:rPr>
                <w:sz w:val="24"/>
                <w:szCs w:val="24"/>
              </w:rPr>
            </w:pPr>
            <w:r>
              <w:rPr>
                <w:spacing w:val="-4"/>
                <w:sz w:val="24"/>
                <w:szCs w:val="24"/>
              </w:rPr>
              <w:t>根据工程水保方案，架空线路施工期产生的表土用于施工结束后临时施工场</w:t>
            </w:r>
            <w:r>
              <w:rPr>
                <w:spacing w:val="-6"/>
                <w:sz w:val="24"/>
                <w:szCs w:val="24"/>
              </w:rPr>
              <w:t>地生态恢复使用，其余土石方用于塔基回填、塔基周边护坡使用，</w:t>
            </w:r>
            <w:r>
              <w:rPr>
                <w:spacing w:val="-29"/>
                <w:sz w:val="24"/>
                <w:szCs w:val="24"/>
              </w:rPr>
              <w:t xml:space="preserve"> </w:t>
            </w:r>
            <w:r>
              <w:rPr>
                <w:spacing w:val="-6"/>
                <w:sz w:val="24"/>
                <w:szCs w:val="24"/>
              </w:rPr>
              <w:t>无永久</w:t>
            </w:r>
            <w:r>
              <w:rPr>
                <w:spacing w:val="-7"/>
                <w:sz w:val="24"/>
                <w:szCs w:val="24"/>
              </w:rPr>
              <w:t>弃渣产</w:t>
            </w:r>
            <w:r>
              <w:rPr>
                <w:spacing w:val="-4"/>
                <w:sz w:val="24"/>
                <w:szCs w:val="24"/>
              </w:rPr>
              <w:t>生，不设置取土场和永久弃渣场。工程各施工区域均不设置弃渣场，土石方就地回填利用，对环境影响较小。</w:t>
            </w:r>
          </w:p>
          <w:p w14:paraId="73A35CA5">
            <w:pPr>
              <w:pStyle w:val="6"/>
              <w:spacing w:line="219" w:lineRule="auto"/>
              <w:ind w:left="592"/>
              <w:rPr>
                <w:sz w:val="24"/>
                <w:szCs w:val="24"/>
              </w:rPr>
            </w:pPr>
            <w:r>
              <w:rPr>
                <w:sz w:val="24"/>
                <w:szCs w:val="24"/>
              </w:rPr>
              <w:t>根据项目水土保持方案，间隔扩建挖方全部在</w:t>
            </w:r>
            <w:r>
              <w:rPr>
                <w:spacing w:val="-1"/>
                <w:sz w:val="24"/>
                <w:szCs w:val="24"/>
              </w:rPr>
              <w:t>变电站内平衡，不弃渣。</w:t>
            </w:r>
          </w:p>
          <w:p w14:paraId="3669D910">
            <w:pPr>
              <w:pStyle w:val="6"/>
              <w:spacing w:before="189" w:line="234" w:lineRule="auto"/>
              <w:ind w:left="601"/>
              <w:rPr>
                <w:sz w:val="24"/>
                <w:szCs w:val="24"/>
              </w:rPr>
            </w:pPr>
            <w:r>
              <w:rPr>
                <w:b/>
                <w:bCs/>
                <w:spacing w:val="-6"/>
                <w:sz w:val="24"/>
                <w:szCs w:val="24"/>
              </w:rPr>
              <w:t>（</w:t>
            </w:r>
            <w:r>
              <w:rPr>
                <w:rFonts w:ascii="Times New Roman" w:hAnsi="Times New Roman" w:eastAsia="Times New Roman" w:cs="Times New Roman"/>
                <w:b/>
                <w:bCs/>
                <w:spacing w:val="-6"/>
                <w:sz w:val="24"/>
                <w:szCs w:val="24"/>
              </w:rPr>
              <w:t>2</w:t>
            </w:r>
            <w:r>
              <w:rPr>
                <w:b/>
                <w:bCs/>
                <w:spacing w:val="-6"/>
                <w:sz w:val="24"/>
                <w:szCs w:val="24"/>
              </w:rPr>
              <w:t>）建筑垃圾</w:t>
            </w:r>
          </w:p>
          <w:p w14:paraId="33D8D6FF">
            <w:pPr>
              <w:pStyle w:val="6"/>
              <w:spacing w:before="168" w:line="365" w:lineRule="auto"/>
              <w:ind w:left="111" w:right="24" w:firstLine="480"/>
              <w:jc w:val="both"/>
              <w:rPr>
                <w:sz w:val="24"/>
                <w:szCs w:val="24"/>
              </w:rPr>
            </w:pPr>
            <w:r>
              <w:rPr>
                <w:spacing w:val="-8"/>
                <w:sz w:val="24"/>
                <w:szCs w:val="24"/>
              </w:rPr>
              <w:t>输电线路和间隔扩建工程施工期产生少量的建筑垃圾包括水泥、砖块</w:t>
            </w:r>
            <w:r>
              <w:rPr>
                <w:spacing w:val="-9"/>
                <w:sz w:val="24"/>
                <w:szCs w:val="24"/>
              </w:rPr>
              <w:t>、沙石、</w:t>
            </w:r>
            <w:r>
              <w:rPr>
                <w:spacing w:val="-3"/>
                <w:sz w:val="24"/>
                <w:szCs w:val="24"/>
              </w:rPr>
              <w:t>废弃铁质零件或导线以及零部件包装材料等，</w:t>
            </w:r>
            <w:r>
              <w:rPr>
                <w:spacing w:val="-4"/>
                <w:sz w:val="24"/>
                <w:szCs w:val="24"/>
              </w:rPr>
              <w:t>可回收利用的部分回收利用，不可</w:t>
            </w:r>
            <w:r>
              <w:rPr>
                <w:spacing w:val="-2"/>
                <w:sz w:val="24"/>
                <w:szCs w:val="24"/>
              </w:rPr>
              <w:t>回收部分清运至相关部门指定堆放点集中处理。</w:t>
            </w:r>
          </w:p>
          <w:p w14:paraId="634A5CAF">
            <w:pPr>
              <w:pStyle w:val="6"/>
              <w:spacing w:line="234" w:lineRule="auto"/>
              <w:ind w:left="601"/>
              <w:rPr>
                <w:sz w:val="24"/>
                <w:szCs w:val="24"/>
              </w:rPr>
            </w:pPr>
            <w:r>
              <w:rPr>
                <w:b/>
                <w:bCs/>
                <w:spacing w:val="-6"/>
                <w:sz w:val="24"/>
                <w:szCs w:val="24"/>
              </w:rPr>
              <w:t>（</w:t>
            </w:r>
            <w:r>
              <w:rPr>
                <w:rFonts w:ascii="Times New Roman" w:hAnsi="Times New Roman" w:eastAsia="Times New Roman" w:cs="Times New Roman"/>
                <w:b/>
                <w:bCs/>
                <w:spacing w:val="-6"/>
                <w:sz w:val="24"/>
                <w:szCs w:val="24"/>
              </w:rPr>
              <w:t>3</w:t>
            </w:r>
            <w:r>
              <w:rPr>
                <w:b/>
                <w:bCs/>
                <w:spacing w:val="-6"/>
                <w:sz w:val="24"/>
                <w:szCs w:val="24"/>
              </w:rPr>
              <w:t>）生活垃圾</w:t>
            </w:r>
          </w:p>
          <w:p w14:paraId="073D6D55">
            <w:pPr>
              <w:pStyle w:val="6"/>
              <w:spacing w:before="169" w:line="365" w:lineRule="auto"/>
              <w:ind w:left="114" w:right="109" w:firstLine="477"/>
              <w:jc w:val="both"/>
              <w:rPr>
                <w:sz w:val="24"/>
                <w:szCs w:val="24"/>
              </w:rPr>
            </w:pPr>
            <w:r>
              <w:rPr>
                <w:spacing w:val="-4"/>
                <w:sz w:val="24"/>
                <w:szCs w:val="24"/>
              </w:rPr>
              <w:t>输电线路施工不在施工区设置工棚食宿，施工人员租用沿线居民房屋，生活垃圾依托村镇居民房屋现有卫生设施处理。塔基施工场地内产生的零星生活垃圾</w:t>
            </w:r>
            <w:r>
              <w:rPr>
                <w:spacing w:val="-3"/>
                <w:sz w:val="24"/>
                <w:szCs w:val="24"/>
              </w:rPr>
              <w:t>收集后带回居住村镇一起处理。</w:t>
            </w:r>
          </w:p>
          <w:p w14:paraId="43AAD0D9">
            <w:pPr>
              <w:pStyle w:val="6"/>
              <w:spacing w:before="1" w:line="364" w:lineRule="auto"/>
              <w:ind w:left="114" w:right="119" w:firstLine="496"/>
              <w:rPr>
                <w:sz w:val="24"/>
                <w:szCs w:val="24"/>
              </w:rPr>
            </w:pPr>
            <w:r>
              <w:rPr>
                <w:spacing w:val="3"/>
                <w:sz w:val="24"/>
                <w:szCs w:val="24"/>
              </w:rPr>
              <w:t>间隔扩建施工人员产生的生活垃圾利用站内现有垃圾桶或施</w:t>
            </w:r>
            <w:r>
              <w:rPr>
                <w:spacing w:val="2"/>
                <w:sz w:val="24"/>
                <w:szCs w:val="24"/>
              </w:rPr>
              <w:t>工场地设置的</w:t>
            </w:r>
            <w:r>
              <w:rPr>
                <w:spacing w:val="-4"/>
                <w:sz w:val="24"/>
                <w:szCs w:val="24"/>
              </w:rPr>
              <w:t>垃圾桶收集，定期清运。</w:t>
            </w:r>
          </w:p>
          <w:p w14:paraId="041C7C03">
            <w:pPr>
              <w:pStyle w:val="6"/>
              <w:spacing w:before="1" w:line="233" w:lineRule="auto"/>
              <w:ind w:left="111"/>
              <w:rPr>
                <w:sz w:val="24"/>
                <w:szCs w:val="24"/>
              </w:rPr>
            </w:pPr>
            <w:r>
              <w:rPr>
                <w:rFonts w:ascii="Times New Roman" w:hAnsi="Times New Roman" w:eastAsia="Times New Roman" w:cs="Times New Roman"/>
                <w:b/>
                <w:bCs/>
                <w:spacing w:val="-3"/>
                <w:sz w:val="24"/>
                <w:szCs w:val="24"/>
              </w:rPr>
              <w:t>7</w:t>
            </w:r>
            <w:r>
              <w:rPr>
                <w:b/>
                <w:bCs/>
                <w:spacing w:val="-3"/>
                <w:sz w:val="24"/>
                <w:szCs w:val="24"/>
              </w:rPr>
              <w:t>、线路拆除影响分析</w:t>
            </w:r>
          </w:p>
          <w:p w14:paraId="1C211D02">
            <w:pPr>
              <w:pStyle w:val="6"/>
              <w:spacing w:before="169" w:line="365" w:lineRule="auto"/>
              <w:ind w:left="113" w:right="107" w:firstLine="508"/>
              <w:rPr>
                <w:sz w:val="24"/>
                <w:szCs w:val="24"/>
              </w:rPr>
            </w:pPr>
            <w:r>
              <w:rPr>
                <w:spacing w:val="-2"/>
                <w:sz w:val="24"/>
                <w:szCs w:val="24"/>
              </w:rPr>
              <w:t>由于本期对</w:t>
            </w:r>
            <w:r>
              <w:rPr>
                <w:spacing w:val="-38"/>
                <w:sz w:val="24"/>
                <w:szCs w:val="24"/>
              </w:rPr>
              <w:t xml:space="preserve">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28"/>
                <w:sz w:val="24"/>
                <w:szCs w:val="24"/>
              </w:rPr>
              <w:t xml:space="preserve"> </w:t>
            </w:r>
            <w:r>
              <w:rPr>
                <w:spacing w:val="-2"/>
                <w:sz w:val="24"/>
                <w:szCs w:val="24"/>
              </w:rPr>
              <w:t>者迤Ⅰ线从</w:t>
            </w:r>
            <w:r>
              <w:rPr>
                <w:spacing w:val="-32"/>
                <w:sz w:val="24"/>
                <w:szCs w:val="24"/>
              </w:rPr>
              <w:t xml:space="preserve"> </w:t>
            </w:r>
            <w:r>
              <w:rPr>
                <w:rFonts w:ascii="Times New Roman" w:hAnsi="Times New Roman" w:eastAsia="Times New Roman" w:cs="Times New Roman"/>
                <w:spacing w:val="-2"/>
                <w:sz w:val="24"/>
                <w:szCs w:val="24"/>
              </w:rPr>
              <w:t>68#</w:t>
            </w:r>
            <w:r>
              <w:rPr>
                <w:spacing w:val="-2"/>
                <w:sz w:val="24"/>
                <w:szCs w:val="24"/>
              </w:rPr>
              <w:t>塔进行改接，需拆除原</w:t>
            </w:r>
            <w:r>
              <w:rPr>
                <w:spacing w:val="-38"/>
                <w:sz w:val="24"/>
                <w:szCs w:val="24"/>
              </w:rPr>
              <w:t xml:space="preserve"> </w:t>
            </w:r>
            <w:r>
              <w:rPr>
                <w:rFonts w:ascii="Times New Roman" w:hAnsi="Times New Roman" w:eastAsia="Times New Roman" w:cs="Times New Roman"/>
                <w:spacing w:val="-3"/>
                <w:sz w:val="24"/>
                <w:szCs w:val="24"/>
              </w:rPr>
              <w:t>220kV</w:t>
            </w:r>
            <w:r>
              <w:rPr>
                <w:rFonts w:ascii="Times New Roman" w:hAnsi="Times New Roman" w:eastAsia="Times New Roman" w:cs="Times New Roman"/>
                <w:spacing w:val="28"/>
                <w:sz w:val="24"/>
                <w:szCs w:val="24"/>
              </w:rPr>
              <w:t xml:space="preserve"> </w:t>
            </w:r>
            <w:r>
              <w:rPr>
                <w:spacing w:val="-3"/>
                <w:sz w:val="24"/>
                <w:szCs w:val="24"/>
              </w:rPr>
              <w:t>者迤Ⅰ线</w:t>
            </w:r>
            <w:r>
              <w:rPr>
                <w:rFonts w:ascii="Times New Roman" w:hAnsi="Times New Roman" w:eastAsia="Times New Roman" w:cs="Times New Roman"/>
                <w:sz w:val="24"/>
                <w:szCs w:val="24"/>
              </w:rPr>
              <w:t>68#</w:t>
            </w:r>
            <w:r>
              <w:rPr>
                <w:sz w:val="24"/>
                <w:szCs w:val="24"/>
              </w:rPr>
              <w:t>塔</w:t>
            </w:r>
            <w:r>
              <w:rPr>
                <w:rFonts w:ascii="Times New Roman" w:hAnsi="Times New Roman" w:eastAsia="Times New Roman" w:cs="Times New Roman"/>
                <w:sz w:val="24"/>
                <w:szCs w:val="24"/>
              </w:rPr>
              <w:t xml:space="preserve">~220kV </w:t>
            </w:r>
            <w:r>
              <w:rPr>
                <w:sz w:val="24"/>
                <w:szCs w:val="24"/>
              </w:rPr>
              <w:t>迤车变的导线，长度约</w:t>
            </w:r>
            <w:r>
              <w:rPr>
                <w:rFonts w:ascii="Times New Roman" w:hAnsi="Times New Roman" w:eastAsia="Times New Roman" w:cs="Times New Roman"/>
                <w:sz w:val="24"/>
                <w:szCs w:val="24"/>
              </w:rPr>
              <w:t>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z w:val="24"/>
                <w:szCs w:val="24"/>
              </w:rPr>
              <w:t>1</w:t>
            </w:r>
            <w:r>
              <w:rPr>
                <w:rFonts w:ascii="Times New Roman" w:hAnsi="Times New Roman" w:eastAsia="Times New Roman" w:cs="Times New Roman"/>
                <w:spacing w:val="-1"/>
                <w:sz w:val="24"/>
                <w:szCs w:val="24"/>
              </w:rPr>
              <w:t>km</w:t>
            </w:r>
            <w:r>
              <w:rPr>
                <w:spacing w:val="-1"/>
                <w:sz w:val="24"/>
                <w:szCs w:val="24"/>
              </w:rPr>
              <w:t>，不拆除铁塔。</w:t>
            </w:r>
          </w:p>
          <w:p w14:paraId="10497386">
            <w:pPr>
              <w:pStyle w:val="6"/>
              <w:spacing w:before="4" w:line="365" w:lineRule="auto"/>
              <w:ind w:left="113" w:right="111" w:firstLine="481"/>
              <w:jc w:val="both"/>
              <w:rPr>
                <w:sz w:val="24"/>
                <w:szCs w:val="24"/>
              </w:rPr>
            </w:pPr>
            <w:r>
              <w:rPr>
                <w:spacing w:val="-7"/>
                <w:sz w:val="24"/>
                <w:szCs w:val="24"/>
              </w:rPr>
              <w:t>线路拆除施工简单、扰动小， 拆除的附件、地线、导线</w:t>
            </w:r>
            <w:r>
              <w:rPr>
                <w:spacing w:val="-8"/>
                <w:sz w:val="24"/>
                <w:szCs w:val="24"/>
              </w:rPr>
              <w:t>等均可由建设单位回</w:t>
            </w:r>
            <w:r>
              <w:rPr>
                <w:spacing w:val="-7"/>
                <w:sz w:val="24"/>
                <w:szCs w:val="24"/>
              </w:rPr>
              <w:t>收，铁塔保留不拆除。拆除施工可利用乡村道路、机耕道及原有运维通道， 无需</w:t>
            </w:r>
            <w:r>
              <w:rPr>
                <w:spacing w:val="-2"/>
                <w:sz w:val="24"/>
                <w:szCs w:val="24"/>
              </w:rPr>
              <w:t>新建施工道路，有效地减少了生态环境的扰动，对环境的影响很小。</w:t>
            </w:r>
          </w:p>
        </w:tc>
      </w:tr>
    </w:tbl>
    <w:p w14:paraId="08293DD6">
      <w:pPr>
        <w:rPr>
          <w:rFonts w:ascii="Arial"/>
          <w:sz w:val="21"/>
        </w:rPr>
      </w:pPr>
    </w:p>
    <w:p w14:paraId="75179BDC">
      <w:pPr>
        <w:rPr>
          <w:rFonts w:ascii="Arial" w:hAnsi="Arial" w:eastAsia="Arial" w:cs="Arial"/>
          <w:sz w:val="21"/>
          <w:szCs w:val="21"/>
        </w:rPr>
        <w:sectPr>
          <w:footerReference r:id="rId68" w:type="default"/>
          <w:pgSz w:w="11907" w:h="16841"/>
          <w:pgMar w:top="400" w:right="1408" w:bottom="1126" w:left="1414" w:header="0" w:footer="925" w:gutter="0"/>
          <w:cols w:space="720" w:num="1"/>
        </w:sectPr>
      </w:pPr>
    </w:p>
    <w:p w14:paraId="56ACF1ED">
      <w:pPr>
        <w:spacing w:before="2"/>
      </w:pPr>
    </w:p>
    <w:p w14:paraId="34B58D5E">
      <w:pPr>
        <w:spacing w:before="2"/>
      </w:pPr>
    </w:p>
    <w:p w14:paraId="4537685A">
      <w:pPr>
        <w:spacing w:before="1"/>
      </w:pPr>
    </w:p>
    <w:p w14:paraId="75E91154">
      <w:pPr>
        <w:spacing w:before="1"/>
      </w:pPr>
    </w:p>
    <w:p w14:paraId="569F7D52">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22D4AE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99" w:hRule="atLeast"/>
        </w:trPr>
        <w:tc>
          <w:tcPr>
            <w:tcW w:w="571" w:type="dxa"/>
            <w:vAlign w:val="top"/>
          </w:tcPr>
          <w:p w14:paraId="7549AFEF">
            <w:pPr>
              <w:spacing w:line="241" w:lineRule="auto"/>
              <w:rPr>
                <w:rFonts w:ascii="Arial"/>
                <w:sz w:val="21"/>
              </w:rPr>
            </w:pPr>
          </w:p>
          <w:p w14:paraId="573C8C37">
            <w:pPr>
              <w:spacing w:line="241" w:lineRule="auto"/>
              <w:rPr>
                <w:rFonts w:ascii="Arial"/>
                <w:sz w:val="21"/>
              </w:rPr>
            </w:pPr>
          </w:p>
          <w:p w14:paraId="56F93246">
            <w:pPr>
              <w:spacing w:line="241" w:lineRule="auto"/>
              <w:rPr>
                <w:rFonts w:ascii="Arial"/>
                <w:sz w:val="21"/>
              </w:rPr>
            </w:pPr>
          </w:p>
          <w:p w14:paraId="3A26E0B7">
            <w:pPr>
              <w:spacing w:line="241" w:lineRule="auto"/>
              <w:rPr>
                <w:rFonts w:ascii="Arial"/>
                <w:sz w:val="21"/>
              </w:rPr>
            </w:pPr>
          </w:p>
          <w:p w14:paraId="1147AADE">
            <w:pPr>
              <w:spacing w:line="241" w:lineRule="auto"/>
              <w:rPr>
                <w:rFonts w:ascii="Arial"/>
                <w:sz w:val="21"/>
              </w:rPr>
            </w:pPr>
          </w:p>
          <w:p w14:paraId="1FA4712F">
            <w:pPr>
              <w:spacing w:line="241" w:lineRule="auto"/>
              <w:rPr>
                <w:rFonts w:ascii="Arial"/>
                <w:sz w:val="21"/>
              </w:rPr>
            </w:pPr>
          </w:p>
          <w:p w14:paraId="0691B978">
            <w:pPr>
              <w:spacing w:line="241" w:lineRule="auto"/>
              <w:rPr>
                <w:rFonts w:ascii="Arial"/>
                <w:sz w:val="21"/>
              </w:rPr>
            </w:pPr>
          </w:p>
          <w:p w14:paraId="08B6098A">
            <w:pPr>
              <w:spacing w:line="242" w:lineRule="auto"/>
              <w:rPr>
                <w:rFonts w:ascii="Arial"/>
                <w:sz w:val="21"/>
              </w:rPr>
            </w:pPr>
          </w:p>
          <w:p w14:paraId="05015BC7">
            <w:pPr>
              <w:spacing w:line="242" w:lineRule="auto"/>
              <w:rPr>
                <w:rFonts w:ascii="Arial"/>
                <w:sz w:val="21"/>
              </w:rPr>
            </w:pPr>
          </w:p>
          <w:p w14:paraId="3A3CE195">
            <w:pPr>
              <w:spacing w:line="242" w:lineRule="auto"/>
              <w:rPr>
                <w:rFonts w:ascii="Arial"/>
                <w:sz w:val="21"/>
              </w:rPr>
            </w:pPr>
          </w:p>
          <w:p w14:paraId="53BC7F84">
            <w:pPr>
              <w:spacing w:line="242" w:lineRule="auto"/>
              <w:rPr>
                <w:rFonts w:ascii="Arial"/>
                <w:sz w:val="21"/>
              </w:rPr>
            </w:pPr>
          </w:p>
          <w:p w14:paraId="4E317088">
            <w:pPr>
              <w:spacing w:line="242" w:lineRule="auto"/>
              <w:rPr>
                <w:rFonts w:ascii="Arial"/>
                <w:sz w:val="21"/>
              </w:rPr>
            </w:pPr>
          </w:p>
          <w:p w14:paraId="5B6BD2A0">
            <w:pPr>
              <w:spacing w:line="242" w:lineRule="auto"/>
              <w:rPr>
                <w:rFonts w:ascii="Arial"/>
                <w:sz w:val="21"/>
              </w:rPr>
            </w:pPr>
          </w:p>
          <w:p w14:paraId="3884EE9C">
            <w:pPr>
              <w:spacing w:line="242" w:lineRule="auto"/>
              <w:rPr>
                <w:rFonts w:ascii="Arial"/>
                <w:sz w:val="21"/>
              </w:rPr>
            </w:pPr>
          </w:p>
          <w:p w14:paraId="588D09E5">
            <w:pPr>
              <w:spacing w:line="242" w:lineRule="auto"/>
              <w:rPr>
                <w:rFonts w:ascii="Arial"/>
                <w:sz w:val="21"/>
              </w:rPr>
            </w:pPr>
          </w:p>
          <w:p w14:paraId="34396740">
            <w:pPr>
              <w:spacing w:line="242" w:lineRule="auto"/>
              <w:rPr>
                <w:rFonts w:ascii="Arial"/>
                <w:sz w:val="21"/>
              </w:rPr>
            </w:pPr>
          </w:p>
          <w:p w14:paraId="61FB98F8">
            <w:pPr>
              <w:spacing w:line="242" w:lineRule="auto"/>
              <w:rPr>
                <w:rFonts w:ascii="Arial"/>
                <w:sz w:val="21"/>
              </w:rPr>
            </w:pPr>
          </w:p>
          <w:p w14:paraId="2F73CACF">
            <w:pPr>
              <w:spacing w:line="242" w:lineRule="auto"/>
              <w:rPr>
                <w:rFonts w:ascii="Arial"/>
                <w:sz w:val="21"/>
              </w:rPr>
            </w:pPr>
          </w:p>
          <w:p w14:paraId="710BE5A8">
            <w:pPr>
              <w:spacing w:line="242" w:lineRule="auto"/>
              <w:rPr>
                <w:rFonts w:ascii="Arial"/>
                <w:sz w:val="21"/>
              </w:rPr>
            </w:pPr>
          </w:p>
          <w:p w14:paraId="496F8085">
            <w:pPr>
              <w:spacing w:line="242" w:lineRule="auto"/>
              <w:rPr>
                <w:rFonts w:ascii="Arial"/>
                <w:sz w:val="21"/>
              </w:rPr>
            </w:pPr>
          </w:p>
          <w:p w14:paraId="18799172">
            <w:pPr>
              <w:spacing w:line="242" w:lineRule="auto"/>
              <w:rPr>
                <w:rFonts w:ascii="Arial"/>
                <w:sz w:val="21"/>
              </w:rPr>
            </w:pPr>
          </w:p>
          <w:p w14:paraId="771D72BC">
            <w:pPr>
              <w:spacing w:line="242" w:lineRule="auto"/>
              <w:rPr>
                <w:rFonts w:ascii="Arial"/>
                <w:sz w:val="21"/>
              </w:rPr>
            </w:pPr>
          </w:p>
          <w:p w14:paraId="4DE7EBCF">
            <w:pPr>
              <w:spacing w:line="242" w:lineRule="auto"/>
              <w:rPr>
                <w:rFonts w:ascii="Arial"/>
                <w:sz w:val="21"/>
              </w:rPr>
            </w:pPr>
          </w:p>
          <w:p w14:paraId="10889425">
            <w:pPr>
              <w:spacing w:line="242" w:lineRule="auto"/>
              <w:rPr>
                <w:rFonts w:ascii="Arial"/>
                <w:sz w:val="21"/>
              </w:rPr>
            </w:pPr>
          </w:p>
          <w:p w14:paraId="0C44B45F">
            <w:pPr>
              <w:pStyle w:val="6"/>
              <w:spacing w:before="68" w:line="279" w:lineRule="auto"/>
              <w:ind w:left="60" w:right="71"/>
              <w:jc w:val="right"/>
            </w:pPr>
            <w:r>
              <w:rPr>
                <w:spacing w:val="6"/>
              </w:rPr>
              <w:t>运营期生态环境影响分</w:t>
            </w:r>
            <w:r>
              <w:t>析</w:t>
            </w:r>
          </w:p>
        </w:tc>
        <w:tc>
          <w:tcPr>
            <w:tcW w:w="8507" w:type="dxa"/>
            <w:vAlign w:val="top"/>
          </w:tcPr>
          <w:p w14:paraId="695EEC97">
            <w:pPr>
              <w:pStyle w:val="6"/>
              <w:spacing w:before="125" w:line="233" w:lineRule="auto"/>
              <w:ind w:left="118"/>
              <w:rPr>
                <w:sz w:val="24"/>
                <w:szCs w:val="24"/>
              </w:rPr>
            </w:pPr>
            <w:r>
              <w:rPr>
                <w:rFonts w:ascii="Times New Roman" w:hAnsi="Times New Roman" w:eastAsia="Times New Roman" w:cs="Times New Roman"/>
                <w:b/>
                <w:bCs/>
                <w:spacing w:val="-5"/>
                <w:sz w:val="24"/>
                <w:szCs w:val="24"/>
              </w:rPr>
              <w:t>1</w:t>
            </w:r>
            <w:r>
              <w:rPr>
                <w:b/>
                <w:bCs/>
                <w:spacing w:val="-5"/>
                <w:sz w:val="24"/>
                <w:szCs w:val="24"/>
              </w:rPr>
              <w:t>、运营期产污环节</w:t>
            </w:r>
          </w:p>
          <w:p w14:paraId="06122D15">
            <w:pPr>
              <w:pStyle w:val="6"/>
              <w:spacing w:before="169" w:line="366" w:lineRule="auto"/>
              <w:ind w:left="112" w:right="107" w:firstLine="479"/>
              <w:rPr>
                <w:sz w:val="24"/>
                <w:szCs w:val="24"/>
              </w:rPr>
            </w:pPr>
            <w:r>
              <w:rPr>
                <w:spacing w:val="-4"/>
                <w:sz w:val="24"/>
                <w:szCs w:val="24"/>
              </w:rPr>
              <w:t>输电线路的作用是传输电能，送电的过程中只是存在电流的传输现象，工程</w:t>
            </w:r>
            <w:r>
              <w:rPr>
                <w:spacing w:val="-2"/>
                <w:sz w:val="24"/>
                <w:szCs w:val="24"/>
              </w:rPr>
              <w:t>运行期的环境影响主要有工频电场、工频磁场、噪声。</w:t>
            </w:r>
          </w:p>
          <w:p w14:paraId="18CC54B2">
            <w:pPr>
              <w:pStyle w:val="6"/>
              <w:spacing w:before="88" w:line="1885" w:lineRule="exact"/>
              <w:ind w:firstLine="1684"/>
            </w:pPr>
            <w:r>
              <w:rPr>
                <w:position w:val="-37"/>
              </w:rPr>
              <w:pict>
                <v:group id="_x0000_s1161" o:spid="_x0000_s1161" o:spt="203" style="height:94.25pt;width:256.5pt;" coordsize="5130,1885">
                  <o:lock v:ext="edit"/>
                  <v:group id="_x0000_s1162" o:spid="_x0000_s1162" o:spt="203" style="position:absolute;left:0;top:88;height:1796;width:5130;" coordsize="5130,1796">
                    <o:lock v:ext="edit"/>
                    <v:shape id="_x0000_s1163" o:spid="_x0000_s1163" style="position:absolute;left:0;top:0;height:823;width:5130;" filled="f" stroked="t" coordsize="5130,823" path="m9,812l1280,812,1280,10,9,10,9,812xm3849,812l5119,812,5119,10,3849,10,3849,812xm1280,308l3849,308m1280,525l3849,525e">
                      <v:fill on="f" focussize="0,0"/>
                      <v:stroke weight="1pt" color="#000000" miterlimit="10" endcap="round"/>
                      <v:imagedata o:title=""/>
                      <o:lock v:ext="edit"/>
                    </v:shape>
                    <v:shape id="_x0000_s1164" o:spid="_x0000_s1164" style="position:absolute;left:945;top:515;height:1281;width:3225;" filled="f" stroked="t" coordsize="3225,1281" path="m9,1270l3214,1270,3214,840,9,840,9,1270xm1633,10l1633,716e">
                      <v:fill on="f" focussize="0,0"/>
                      <v:stroke weight="1pt" color="#000000" miterlimit="10" dashstyle="dash" endcap="round"/>
                      <v:imagedata o:title=""/>
                      <o:lock v:ext="edit"/>
                    </v:shape>
                    <v:shape id="_x0000_s1165" o:spid="_x0000_s1165" style="position:absolute;left:2508;top:1214;height:143;width:141;" fillcolor="#000000" filled="t" stroked="f" coordsize="141,143" path="m140,0l70,142,0,0,140,0xe">
                      <v:path/>
                      <v:fill on="t" focussize="0,0"/>
                      <v:stroke on="f"/>
                      <v:imagedata o:title=""/>
                      <o:lock v:ext="edit"/>
                    </v:shape>
                  </v:group>
                  <v:shape id="_x0000_s1166" o:spid="_x0000_s1166" o:spt="202" type="#_x0000_t202" style="position:absolute;left:209;top:340;height:1453;width:4722;" filled="f" stroked="f" coordsize="21600,21600">
                    <v:path/>
                    <v:fill on="f" focussize="0,0"/>
                    <v:stroke on="f"/>
                    <v:imagedata o:title=""/>
                    <o:lock v:ext="edit" aspectratio="f"/>
                    <v:textbox inset="0mm,0mm,0mm,0mm">
                      <w:txbxContent>
                        <w:p w14:paraId="4272CE92">
                          <w:pPr>
                            <w:spacing w:before="20" w:line="224" w:lineRule="auto"/>
                            <w:ind w:left="20"/>
                            <w:rPr>
                              <w:rFonts w:ascii="宋体" w:hAnsi="宋体" w:eastAsia="宋体" w:cs="宋体"/>
                              <w:sz w:val="24"/>
                              <w:szCs w:val="24"/>
                            </w:rPr>
                          </w:pPr>
                          <w:r>
                            <w:rPr>
                              <w:rFonts w:ascii="宋体" w:hAnsi="宋体" w:eastAsia="宋体" w:cs="宋体"/>
                              <w:spacing w:val="-3"/>
                              <w:sz w:val="24"/>
                              <w:szCs w:val="24"/>
                            </w:rPr>
                            <w:t>变电站A</w:t>
                          </w:r>
                          <w:r>
                            <w:rPr>
                              <w:rFonts w:ascii="宋体" w:hAnsi="宋体" w:eastAsia="宋体" w:cs="宋体"/>
                              <w:spacing w:val="1"/>
                              <w:sz w:val="24"/>
                              <w:szCs w:val="24"/>
                            </w:rPr>
                            <w:t xml:space="preserve">                         </w:t>
                          </w:r>
                          <w:r>
                            <w:rPr>
                              <w:rFonts w:ascii="宋体" w:hAnsi="宋体" w:eastAsia="宋体" w:cs="宋体"/>
                              <w:spacing w:val="-3"/>
                              <w:sz w:val="24"/>
                              <w:szCs w:val="24"/>
                            </w:rPr>
                            <w:t>变电站B</w:t>
                          </w:r>
                        </w:p>
                        <w:p w14:paraId="0C518B0D">
                          <w:pPr>
                            <w:spacing w:line="264" w:lineRule="auto"/>
                            <w:rPr>
                              <w:rFonts w:ascii="Arial"/>
                              <w:sz w:val="21"/>
                            </w:rPr>
                          </w:pPr>
                        </w:p>
                        <w:p w14:paraId="7833A5CC">
                          <w:pPr>
                            <w:spacing w:line="264" w:lineRule="auto"/>
                            <w:rPr>
                              <w:rFonts w:ascii="Arial"/>
                              <w:sz w:val="21"/>
                            </w:rPr>
                          </w:pPr>
                        </w:p>
                        <w:p w14:paraId="5C27B2DE">
                          <w:pPr>
                            <w:spacing w:line="265" w:lineRule="auto"/>
                            <w:rPr>
                              <w:rFonts w:ascii="Arial"/>
                              <w:sz w:val="21"/>
                            </w:rPr>
                          </w:pPr>
                        </w:p>
                        <w:p w14:paraId="6BF0AEA2">
                          <w:pPr>
                            <w:spacing w:before="78" w:line="224" w:lineRule="auto"/>
                            <w:ind w:left="922"/>
                            <w:rPr>
                              <w:rFonts w:ascii="宋体" w:hAnsi="宋体" w:eastAsia="宋体" w:cs="宋体"/>
                              <w:sz w:val="24"/>
                              <w:szCs w:val="24"/>
                            </w:rPr>
                          </w:pPr>
                          <w:r>
                            <w:rPr>
                              <w:rFonts w:ascii="宋体" w:hAnsi="宋体" w:eastAsia="宋体" w:cs="宋体"/>
                              <w:spacing w:val="-2"/>
                              <w:sz w:val="24"/>
                              <w:szCs w:val="24"/>
                            </w:rPr>
                            <w:t>工频电场、工频磁场、噪声</w:t>
                          </w:r>
                        </w:p>
                      </w:txbxContent>
                    </v:textbox>
                  </v:shape>
                  <v:shape id="_x0000_s1167" o:spid="_x0000_s1167" o:spt="202" type="#_x0000_t202" style="position:absolute;left:2074;top:-20;height:285;width:993;" filled="f" stroked="f" coordsize="21600,21600">
                    <v:path/>
                    <v:fill on="f" focussize="0,0"/>
                    <v:stroke on="f"/>
                    <v:imagedata o:title=""/>
                    <o:lock v:ext="edit" aspectratio="f"/>
                    <v:textbox inset="0mm,0mm,0mm,0mm">
                      <w:txbxContent>
                        <w:p w14:paraId="696BD4E4">
                          <w:pPr>
                            <w:spacing w:before="20" w:line="223" w:lineRule="auto"/>
                            <w:ind w:left="20"/>
                            <w:rPr>
                              <w:rFonts w:ascii="宋体" w:hAnsi="宋体" w:eastAsia="宋体" w:cs="宋体"/>
                              <w:sz w:val="24"/>
                              <w:szCs w:val="24"/>
                            </w:rPr>
                          </w:pPr>
                          <w:r>
                            <w:rPr>
                              <w:rFonts w:ascii="宋体" w:hAnsi="宋体" w:eastAsia="宋体" w:cs="宋体"/>
                              <w:spacing w:val="-2"/>
                              <w:sz w:val="24"/>
                              <w:szCs w:val="24"/>
                            </w:rPr>
                            <w:t>输电线路</w:t>
                          </w:r>
                        </w:p>
                      </w:txbxContent>
                    </v:textbox>
                  </v:shape>
                  <w10:wrap type="none"/>
                  <w10:anchorlock/>
                </v:group>
              </w:pict>
            </w:r>
          </w:p>
          <w:p w14:paraId="09943BD6">
            <w:pPr>
              <w:pStyle w:val="6"/>
              <w:spacing w:before="249" w:line="234" w:lineRule="auto"/>
              <w:ind w:left="2633"/>
            </w:pPr>
            <w:r>
              <w:rPr>
                <w:b/>
                <w:bCs/>
                <w:spacing w:val="-3"/>
              </w:rPr>
              <w:t>图</w:t>
            </w:r>
            <w:r>
              <w:rPr>
                <w:spacing w:val="-38"/>
              </w:rPr>
              <w:t xml:space="preserve"> </w:t>
            </w:r>
            <w:r>
              <w:rPr>
                <w:rFonts w:ascii="Times New Roman" w:hAnsi="Times New Roman" w:eastAsia="Times New Roman" w:cs="Times New Roman"/>
                <w:b/>
                <w:bCs/>
                <w:spacing w:val="-3"/>
              </w:rPr>
              <w:t xml:space="preserve">4-2    </w:t>
            </w:r>
            <w:r>
              <w:rPr>
                <w:b/>
                <w:bCs/>
                <w:spacing w:val="-3"/>
              </w:rPr>
              <w:t>运营期输电线路产污环节图</w:t>
            </w:r>
          </w:p>
          <w:p w14:paraId="7A8BAE27">
            <w:pPr>
              <w:pStyle w:val="6"/>
              <w:spacing w:before="192" w:line="365" w:lineRule="auto"/>
              <w:ind w:left="117" w:right="112" w:firstLine="477"/>
              <w:rPr>
                <w:sz w:val="24"/>
                <w:szCs w:val="24"/>
              </w:rPr>
            </w:pPr>
            <w:r>
              <w:rPr>
                <w:rFonts w:ascii="Times New Roman" w:hAnsi="Times New Roman" w:eastAsia="Times New Roman" w:cs="Times New Roman"/>
                <w:sz w:val="24"/>
                <w:szCs w:val="24"/>
              </w:rPr>
              <w:t xml:space="preserve">500kV  </w:t>
            </w:r>
            <w:r>
              <w:rPr>
                <w:sz w:val="24"/>
                <w:szCs w:val="24"/>
              </w:rPr>
              <w:t>乐业变、</w:t>
            </w:r>
            <w:r>
              <w:rPr>
                <w:rFonts w:ascii="Times New Roman" w:hAnsi="Times New Roman" w:eastAsia="Times New Roman" w:cs="Times New Roman"/>
                <w:sz w:val="24"/>
                <w:szCs w:val="24"/>
              </w:rPr>
              <w:t xml:space="preserve">220kV  </w:t>
            </w:r>
            <w:r>
              <w:rPr>
                <w:sz w:val="24"/>
                <w:szCs w:val="24"/>
              </w:rPr>
              <w:t>迤车变间隔扩建不新增主变压器和高压电抗器等噪</w:t>
            </w:r>
            <w:r>
              <w:rPr>
                <w:spacing w:val="-2"/>
                <w:sz w:val="24"/>
                <w:szCs w:val="24"/>
              </w:rPr>
              <w:t>声、电磁污染源，运营期不新增劳动定员，变电站产污水平维持原状。</w:t>
            </w:r>
          </w:p>
          <w:p w14:paraId="3786BB5A">
            <w:pPr>
              <w:pStyle w:val="6"/>
              <w:spacing w:line="234" w:lineRule="auto"/>
              <w:ind w:left="108"/>
              <w:rPr>
                <w:sz w:val="24"/>
                <w:szCs w:val="24"/>
              </w:rPr>
            </w:pPr>
            <w:r>
              <w:rPr>
                <w:rFonts w:ascii="Times New Roman" w:hAnsi="Times New Roman" w:eastAsia="Times New Roman" w:cs="Times New Roman"/>
                <w:b/>
                <w:bCs/>
                <w:spacing w:val="-4"/>
                <w:sz w:val="24"/>
                <w:szCs w:val="24"/>
              </w:rPr>
              <w:t>2</w:t>
            </w:r>
            <w:r>
              <w:rPr>
                <w:b/>
                <w:bCs/>
                <w:spacing w:val="-4"/>
                <w:sz w:val="24"/>
                <w:szCs w:val="24"/>
              </w:rPr>
              <w:t>、运营期生态环境影响</w:t>
            </w:r>
          </w:p>
          <w:p w14:paraId="2A6FF95C">
            <w:pPr>
              <w:pStyle w:val="6"/>
              <w:spacing w:before="172"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）对植被植物的影响</w:t>
            </w:r>
          </w:p>
          <w:p w14:paraId="4333E4E7">
            <w:pPr>
              <w:pStyle w:val="6"/>
              <w:spacing w:before="173" w:line="364" w:lineRule="auto"/>
              <w:ind w:left="111" w:right="107" w:firstLine="481"/>
              <w:jc w:val="both"/>
              <w:rPr>
                <w:sz w:val="24"/>
                <w:szCs w:val="24"/>
              </w:rPr>
            </w:pPr>
            <w:r>
              <w:rPr>
                <w:spacing w:val="-4"/>
                <w:sz w:val="24"/>
                <w:szCs w:val="24"/>
              </w:rPr>
              <w:t>本项目线路运行期不进行林木砍伐，以减少植被破坏，保护好现有植被及动</w:t>
            </w:r>
            <w:r>
              <w:rPr>
                <w:spacing w:val="-3"/>
                <w:sz w:val="24"/>
                <w:szCs w:val="24"/>
              </w:rPr>
              <w:t>物生境；仅按相关规定对导线下方不满足安全距</w:t>
            </w:r>
            <w:r>
              <w:rPr>
                <w:spacing w:val="-4"/>
                <w:sz w:val="24"/>
                <w:szCs w:val="24"/>
              </w:rPr>
              <w:t>离的零星林木进行削枝，以保证</w:t>
            </w:r>
            <w:r>
              <w:rPr>
                <w:spacing w:val="-3"/>
                <w:sz w:val="24"/>
                <w:szCs w:val="24"/>
              </w:rPr>
              <w:t>线路安全运行，不会对植物种类和数量产生明显</w:t>
            </w:r>
            <w:r>
              <w:rPr>
                <w:spacing w:val="-4"/>
                <w:sz w:val="24"/>
                <w:szCs w:val="24"/>
              </w:rPr>
              <w:t>影响。运维人员可能在运行维护</w:t>
            </w:r>
            <w:r>
              <w:rPr>
                <w:spacing w:val="-1"/>
                <w:sz w:val="24"/>
                <w:szCs w:val="24"/>
              </w:rPr>
              <w:t>过程中对植被造成一定踩踏和引入外来植物。通常线路维护检查</w:t>
            </w:r>
            <w:r>
              <w:rPr>
                <w:spacing w:val="35"/>
                <w:sz w:val="24"/>
                <w:szCs w:val="24"/>
              </w:rPr>
              <w:t xml:space="preserve"> </w:t>
            </w:r>
            <w:r>
              <w:rPr>
                <w:rFonts w:ascii="Times New Roman" w:hAnsi="Times New Roman" w:eastAsia="Times New Roman" w:cs="Times New Roman"/>
                <w:spacing w:val="-1"/>
                <w:sz w:val="24"/>
                <w:szCs w:val="24"/>
              </w:rPr>
              <w:t xml:space="preserve">1  </w:t>
            </w:r>
            <w:r>
              <w:rPr>
                <w:spacing w:val="-1"/>
                <w:sz w:val="24"/>
                <w:szCs w:val="24"/>
              </w:rPr>
              <w:t>个月左右进</w:t>
            </w:r>
            <w:r>
              <w:rPr>
                <w:spacing w:val="-5"/>
                <w:sz w:val="24"/>
                <w:szCs w:val="24"/>
              </w:rPr>
              <w:t>行</w:t>
            </w:r>
            <w:r>
              <w:rPr>
                <w:spacing w:val="-26"/>
                <w:sz w:val="24"/>
                <w:szCs w:val="24"/>
              </w:rPr>
              <w:t xml:space="preserve"> </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16"/>
                <w:sz w:val="24"/>
                <w:szCs w:val="24"/>
              </w:rPr>
              <w:t xml:space="preserve"> </w:t>
            </w:r>
            <w:r>
              <w:rPr>
                <w:spacing w:val="-5"/>
                <w:sz w:val="24"/>
                <w:szCs w:val="24"/>
              </w:rPr>
              <w:t>次，运行及维护人员的数量和负重有限，频次低，对植被的破坏强度小，不会带来明显的持续不利影响。通过禁止维护人员引入外来物种，</w:t>
            </w:r>
            <w:r>
              <w:rPr>
                <w:spacing w:val="-65"/>
                <w:sz w:val="24"/>
                <w:szCs w:val="24"/>
              </w:rPr>
              <w:t xml:space="preserve"> </w:t>
            </w:r>
            <w:r>
              <w:rPr>
                <w:spacing w:val="-5"/>
                <w:sz w:val="24"/>
                <w:szCs w:val="24"/>
              </w:rPr>
              <w:t>可避免人为引入</w:t>
            </w:r>
            <w:r>
              <w:rPr>
                <w:spacing w:val="-3"/>
                <w:sz w:val="24"/>
                <w:szCs w:val="24"/>
              </w:rPr>
              <w:t>外来物种对本土植物造成威胁。从区域类似环境</w:t>
            </w:r>
            <w:r>
              <w:rPr>
                <w:spacing w:val="-4"/>
                <w:sz w:val="24"/>
                <w:szCs w:val="24"/>
              </w:rPr>
              <w:t>状况的已运行的工程来看，输电</w:t>
            </w:r>
            <w:r>
              <w:rPr>
                <w:spacing w:val="-3"/>
                <w:sz w:val="24"/>
                <w:szCs w:val="24"/>
              </w:rPr>
              <w:t>线路运行对周围植物生长无明显影响。</w:t>
            </w:r>
          </w:p>
          <w:p w14:paraId="5B877CDC">
            <w:pPr>
              <w:pStyle w:val="6"/>
              <w:spacing w:before="3" w:line="234"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）对动物资源的影响</w:t>
            </w:r>
          </w:p>
          <w:p w14:paraId="71DBA2C6">
            <w:pPr>
              <w:pStyle w:val="6"/>
              <w:spacing w:before="170" w:line="351" w:lineRule="auto"/>
              <w:ind w:left="111" w:right="42" w:firstLine="481"/>
              <w:jc w:val="both"/>
              <w:rPr>
                <w:sz w:val="24"/>
                <w:szCs w:val="24"/>
              </w:rPr>
            </w:pPr>
            <w:r>
              <w:rPr>
                <w:spacing w:val="-4"/>
                <w:sz w:val="24"/>
                <w:szCs w:val="24"/>
              </w:rPr>
              <w:t>本项目定期维护和检查的人员会对线路及周边区域的动物造成干扰，但这种</w:t>
            </w:r>
            <w:r>
              <w:rPr>
                <w:spacing w:val="-3"/>
                <w:sz w:val="24"/>
                <w:szCs w:val="24"/>
              </w:rPr>
              <w:t>干扰强度很低，时间很短，对动物活动影响</w:t>
            </w:r>
            <w:r>
              <w:rPr>
                <w:spacing w:val="-4"/>
                <w:sz w:val="24"/>
                <w:szCs w:val="24"/>
              </w:rPr>
              <w:t>极为有限。从区域类似环境条件下已</w:t>
            </w:r>
            <w:r>
              <w:rPr>
                <w:spacing w:val="-3"/>
                <w:sz w:val="24"/>
                <w:szCs w:val="24"/>
              </w:rPr>
              <w:t>运行的输变电工程来看，线路运行时未出现工</w:t>
            </w:r>
            <w:r>
              <w:rPr>
                <w:spacing w:val="-4"/>
                <w:sz w:val="24"/>
                <w:szCs w:val="24"/>
              </w:rPr>
              <w:t>频电场、工频磁场和噪声对走廊附</w:t>
            </w:r>
            <w:r>
              <w:rPr>
                <w:spacing w:val="-3"/>
                <w:sz w:val="24"/>
                <w:szCs w:val="24"/>
              </w:rPr>
              <w:t>近的野生动物的生活习性、行为表现及生育率</w:t>
            </w:r>
            <w:r>
              <w:rPr>
                <w:spacing w:val="-4"/>
                <w:sz w:val="24"/>
                <w:szCs w:val="24"/>
              </w:rPr>
              <w:t>等产生明显影响的情况。本项目线</w:t>
            </w:r>
            <w:r>
              <w:rPr>
                <w:spacing w:val="-8"/>
                <w:sz w:val="24"/>
                <w:szCs w:val="24"/>
              </w:rPr>
              <w:t>路杆塔分散分布，塔基占地不会明显减少陆栖动物的生境面积，线路</w:t>
            </w:r>
            <w:r>
              <w:rPr>
                <w:spacing w:val="-9"/>
                <w:sz w:val="24"/>
                <w:szCs w:val="24"/>
              </w:rPr>
              <w:t>杆塔档距大，</w:t>
            </w:r>
            <w:r>
              <w:rPr>
                <w:spacing w:val="-3"/>
                <w:sz w:val="24"/>
                <w:szCs w:val="24"/>
              </w:rPr>
              <w:t>不会阻断陆栖动物活动通道，对陆栖动物种群</w:t>
            </w:r>
            <w:r>
              <w:rPr>
                <w:spacing w:val="-4"/>
                <w:sz w:val="24"/>
                <w:szCs w:val="24"/>
              </w:rPr>
              <w:t>交流影响小。评价区域内的野生鸟</w:t>
            </w:r>
            <w:r>
              <w:rPr>
                <w:spacing w:val="-3"/>
                <w:sz w:val="24"/>
                <w:szCs w:val="24"/>
              </w:rPr>
              <w:t>类活动范围大、行动敏捷，且飞行高度一般高于</w:t>
            </w:r>
            <w:r>
              <w:rPr>
                <w:spacing w:val="-4"/>
                <w:sz w:val="24"/>
                <w:szCs w:val="24"/>
              </w:rPr>
              <w:t>线路架设高度，在飞行时碰撞杆</w:t>
            </w:r>
          </w:p>
        </w:tc>
      </w:tr>
    </w:tbl>
    <w:p w14:paraId="6550104A">
      <w:pPr>
        <w:rPr>
          <w:rFonts w:ascii="Arial"/>
          <w:sz w:val="21"/>
        </w:rPr>
      </w:pPr>
    </w:p>
    <w:p w14:paraId="6EB9120C">
      <w:pPr>
        <w:rPr>
          <w:rFonts w:ascii="Arial" w:hAnsi="Arial" w:eastAsia="Arial" w:cs="Arial"/>
          <w:sz w:val="21"/>
          <w:szCs w:val="21"/>
        </w:rPr>
        <w:sectPr>
          <w:footerReference r:id="rId69" w:type="default"/>
          <w:pgSz w:w="11907" w:h="16841"/>
          <w:pgMar w:top="400" w:right="1408" w:bottom="1126" w:left="1414" w:header="0" w:footer="925" w:gutter="0"/>
          <w:cols w:space="720" w:num="1"/>
        </w:sectPr>
      </w:pPr>
    </w:p>
    <w:p w14:paraId="5419682E">
      <w:pPr>
        <w:spacing w:before="2"/>
      </w:pPr>
    </w:p>
    <w:p w14:paraId="5E696766">
      <w:pPr>
        <w:spacing w:before="2"/>
      </w:pPr>
    </w:p>
    <w:p w14:paraId="32B53A69">
      <w:pPr>
        <w:spacing w:before="1"/>
      </w:pPr>
    </w:p>
    <w:p w14:paraId="5ACB61C2">
      <w:pPr>
        <w:spacing w:before="1"/>
      </w:pPr>
    </w:p>
    <w:p w14:paraId="781D05F5">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7"/>
        <w:gridCol w:w="1620"/>
        <w:gridCol w:w="3428"/>
        <w:gridCol w:w="3349"/>
        <w:gridCol w:w="104"/>
      </w:tblGrid>
      <w:tr w14:paraId="1BE7C3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04" w:hRule="atLeast"/>
        </w:trPr>
        <w:tc>
          <w:tcPr>
            <w:tcW w:w="577" w:type="dxa"/>
            <w:vMerge w:val="restart"/>
            <w:tcBorders>
              <w:bottom w:val="nil"/>
            </w:tcBorders>
            <w:vAlign w:val="top"/>
          </w:tcPr>
          <w:p w14:paraId="1FB671EB">
            <w:pPr>
              <w:rPr>
                <w:rFonts w:ascii="Arial"/>
                <w:sz w:val="21"/>
              </w:rPr>
            </w:pPr>
          </w:p>
        </w:tc>
        <w:tc>
          <w:tcPr>
            <w:tcW w:w="8501" w:type="dxa"/>
            <w:gridSpan w:val="4"/>
            <w:vAlign w:val="top"/>
          </w:tcPr>
          <w:p w14:paraId="4C2038D7">
            <w:pPr>
              <w:pStyle w:val="6"/>
              <w:spacing w:before="124" w:line="364" w:lineRule="auto"/>
              <w:ind w:left="113" w:right="109" w:hanging="7"/>
              <w:rPr>
                <w:sz w:val="24"/>
                <w:szCs w:val="24"/>
              </w:rPr>
            </w:pPr>
            <w:r>
              <w:rPr>
                <w:spacing w:val="-3"/>
                <w:sz w:val="24"/>
                <w:szCs w:val="24"/>
              </w:rPr>
              <w:t>塔的概率不大；从区域内已投运的线路运行</w:t>
            </w:r>
            <w:r>
              <w:rPr>
                <w:spacing w:val="-4"/>
                <w:sz w:val="24"/>
                <w:szCs w:val="24"/>
              </w:rPr>
              <w:t>情况来看，线路建成后并未对鸟类的飞行和生活习性造成影响。</w:t>
            </w:r>
          </w:p>
          <w:p w14:paraId="0F581122">
            <w:pPr>
              <w:pStyle w:val="6"/>
              <w:spacing w:line="234" w:lineRule="auto"/>
              <w:ind w:left="100"/>
              <w:rPr>
                <w:sz w:val="24"/>
                <w:szCs w:val="24"/>
              </w:rPr>
            </w:pPr>
            <w:r>
              <w:rPr>
                <w:rFonts w:ascii="Times New Roman" w:hAnsi="Times New Roman" w:eastAsia="Times New Roman" w:cs="Times New Roman"/>
                <w:b/>
                <w:bCs/>
                <w:spacing w:val="-3"/>
                <w:sz w:val="24"/>
                <w:szCs w:val="24"/>
              </w:rPr>
              <w:t>3</w:t>
            </w:r>
            <w:r>
              <w:rPr>
                <w:b/>
                <w:bCs/>
                <w:spacing w:val="-3"/>
                <w:sz w:val="24"/>
                <w:szCs w:val="24"/>
              </w:rPr>
              <w:t>、运营期声环境影响</w:t>
            </w:r>
          </w:p>
          <w:p w14:paraId="1F69E817">
            <w:pPr>
              <w:pStyle w:val="6"/>
              <w:spacing w:before="171" w:line="233" w:lineRule="auto"/>
              <w:ind w:left="595"/>
              <w:rPr>
                <w:sz w:val="24"/>
                <w:szCs w:val="24"/>
              </w:rPr>
            </w:pPr>
            <w:r>
              <w:rPr>
                <w:b/>
                <w:bCs/>
                <w:spacing w:val="-6"/>
                <w:sz w:val="24"/>
                <w:szCs w:val="24"/>
              </w:rPr>
              <w:t>（</w:t>
            </w:r>
            <w:r>
              <w:rPr>
                <w:rFonts w:ascii="Times New Roman" w:hAnsi="Times New Roman" w:eastAsia="Times New Roman" w:cs="Times New Roman"/>
                <w:b/>
                <w:bCs/>
                <w:spacing w:val="-6"/>
                <w:sz w:val="24"/>
                <w:szCs w:val="24"/>
              </w:rPr>
              <w:t>1</w:t>
            </w:r>
            <w:r>
              <w:rPr>
                <w:b/>
                <w:bCs/>
                <w:spacing w:val="-6"/>
                <w:sz w:val="24"/>
                <w:szCs w:val="24"/>
              </w:rPr>
              <w:t>）输电线路</w:t>
            </w:r>
          </w:p>
          <w:p w14:paraId="6CB080E1">
            <w:pPr>
              <w:pStyle w:val="6"/>
              <w:spacing w:before="166" w:line="365" w:lineRule="auto"/>
              <w:ind w:left="107" w:right="52" w:firstLine="478"/>
              <w:jc w:val="both"/>
              <w:rPr>
                <w:sz w:val="24"/>
                <w:szCs w:val="24"/>
              </w:rPr>
            </w:pPr>
            <w:r>
              <w:rPr>
                <w:spacing w:val="-4"/>
                <w:sz w:val="24"/>
                <w:szCs w:val="24"/>
              </w:rPr>
              <w:t>输电线路下的可听噪声主要由导线表面的局部放电（电晕）产生的。一般来说，在干燥天气条件下，导线通常运行在电晕起始水平以下，线路上只有很少的电晕源，因而也就不可能造成很大的可听噪声。但在潮湿和下雨天气条件下，因</w:t>
            </w:r>
            <w:r>
              <w:rPr>
                <w:spacing w:val="-2"/>
                <w:sz w:val="24"/>
                <w:szCs w:val="24"/>
              </w:rPr>
              <w:t>为水滴在导线表面或附近的存在，使局部的电场强度增加，从而产生电晕放电，</w:t>
            </w:r>
            <w:r>
              <w:rPr>
                <w:spacing w:val="-4"/>
                <w:sz w:val="24"/>
                <w:szCs w:val="24"/>
              </w:rPr>
              <w:t>电晕放电的效应之一则产生了线路的可听噪声。输电线路下的可听噪声与导线排列方式关系不大，主要与天气条件有关外，还和导线的几何结构有关，即导线截</w:t>
            </w:r>
            <w:r>
              <w:rPr>
                <w:spacing w:val="-2"/>
                <w:sz w:val="24"/>
                <w:szCs w:val="24"/>
              </w:rPr>
              <w:t>面增大，噪声值降低。当分裂导线的总截面为定值时，所用的次导线根数越多，</w:t>
            </w:r>
            <w:r>
              <w:rPr>
                <w:spacing w:val="-6"/>
                <w:sz w:val="24"/>
                <w:szCs w:val="24"/>
              </w:rPr>
              <w:t>噪声值就越低。</w:t>
            </w:r>
          </w:p>
          <w:p w14:paraId="1E8A325A">
            <w:pPr>
              <w:pStyle w:val="6"/>
              <w:spacing w:line="356" w:lineRule="auto"/>
              <w:ind w:left="106" w:right="123" w:firstLine="480"/>
              <w:rPr>
                <w:sz w:val="24"/>
                <w:szCs w:val="24"/>
              </w:rPr>
            </w:pPr>
            <w:r>
              <w:rPr>
                <w:spacing w:val="-7"/>
                <w:sz w:val="24"/>
                <w:szCs w:val="24"/>
              </w:rPr>
              <w:t>根据《环境影响评价技术导则</w:t>
            </w:r>
            <w:r>
              <w:rPr>
                <w:spacing w:val="34"/>
                <w:sz w:val="24"/>
                <w:szCs w:val="24"/>
              </w:rPr>
              <w:t xml:space="preserve"> </w:t>
            </w:r>
            <w:r>
              <w:rPr>
                <w:spacing w:val="-7"/>
                <w:sz w:val="24"/>
                <w:szCs w:val="24"/>
              </w:rPr>
              <w:t>输变电》（</w:t>
            </w:r>
            <w:r>
              <w:rPr>
                <w:rFonts w:ascii="Times New Roman" w:hAnsi="Times New Roman" w:eastAsia="Times New Roman" w:cs="Times New Roman"/>
                <w:spacing w:val="-7"/>
                <w:sz w:val="24"/>
                <w:szCs w:val="24"/>
              </w:rPr>
              <w:t>HJ24-2020</w:t>
            </w:r>
            <w:r>
              <w:rPr>
                <w:spacing w:val="-60"/>
                <w:w w:val="95"/>
                <w:sz w:val="24"/>
                <w:szCs w:val="24"/>
              </w:rPr>
              <w:t>），</w:t>
            </w:r>
            <w:r>
              <w:rPr>
                <w:spacing w:val="-7"/>
                <w:sz w:val="24"/>
                <w:szCs w:val="24"/>
              </w:rPr>
              <w:t>本项目输电线路噪声</w:t>
            </w:r>
            <w:r>
              <w:rPr>
                <w:spacing w:val="-1"/>
                <w:sz w:val="24"/>
                <w:szCs w:val="24"/>
              </w:rPr>
              <w:t>环境影响采用类比验证法进行预测评价。</w:t>
            </w:r>
          </w:p>
          <w:p w14:paraId="424D8125">
            <w:pPr>
              <w:pStyle w:val="6"/>
              <w:spacing w:before="21" w:line="233" w:lineRule="auto"/>
              <w:ind w:left="605"/>
              <w:rPr>
                <w:sz w:val="24"/>
                <w:szCs w:val="24"/>
              </w:rPr>
            </w:pPr>
            <w:r>
              <w:rPr>
                <w:rFonts w:ascii="Times New Roman" w:hAnsi="Times New Roman" w:eastAsia="Times New Roman" w:cs="Times New Roman"/>
                <w:spacing w:val="-5"/>
                <w:sz w:val="24"/>
                <w:szCs w:val="24"/>
              </w:rPr>
              <w:t>1</w:t>
            </w:r>
            <w:r>
              <w:rPr>
                <w:spacing w:val="-5"/>
                <w:sz w:val="24"/>
                <w:szCs w:val="24"/>
              </w:rPr>
              <w:t>）类比条件分析</w:t>
            </w:r>
          </w:p>
          <w:p w14:paraId="51D24636">
            <w:pPr>
              <w:pStyle w:val="6"/>
              <w:spacing w:before="170" w:line="355" w:lineRule="auto"/>
              <w:ind w:left="111" w:right="43" w:firstLine="475"/>
              <w:rPr>
                <w:sz w:val="24"/>
                <w:szCs w:val="24"/>
              </w:rPr>
            </w:pPr>
            <w:r>
              <w:rPr>
                <w:spacing w:val="-4"/>
                <w:sz w:val="24"/>
                <w:szCs w:val="24"/>
              </w:rPr>
              <w:t>根据本项目的工程内容及输电线路噪声的产生机理，</w:t>
            </w:r>
            <w:r>
              <w:rPr>
                <w:rFonts w:ascii="Times New Roman" w:hAnsi="Times New Roman" w:eastAsia="Times New Roman" w:cs="Times New Roman"/>
                <w:spacing w:val="-4"/>
                <w:sz w:val="24"/>
                <w:szCs w:val="24"/>
              </w:rPr>
              <w:t>C</w:t>
            </w:r>
            <w:r>
              <w:rPr>
                <w:rFonts w:ascii="Times New Roman" w:hAnsi="Times New Roman" w:eastAsia="Times New Roman" w:cs="Times New Roman"/>
                <w:spacing w:val="34"/>
                <w:sz w:val="24"/>
                <w:szCs w:val="24"/>
              </w:rPr>
              <w:t xml:space="preserve"> </w:t>
            </w:r>
            <w:r>
              <w:rPr>
                <w:spacing w:val="-4"/>
                <w:sz w:val="24"/>
                <w:szCs w:val="24"/>
              </w:rPr>
              <w:t>回线路负载</w:t>
            </w:r>
            <w:r>
              <w:rPr>
                <w:spacing w:val="-5"/>
                <w:sz w:val="24"/>
                <w:szCs w:val="24"/>
              </w:rPr>
              <w:t>远高于另</w:t>
            </w:r>
            <w:r>
              <w:rPr>
                <w:spacing w:val="-3"/>
                <w:sz w:val="24"/>
                <w:szCs w:val="24"/>
              </w:rPr>
              <w:t>外</w:t>
            </w:r>
            <w:r>
              <w:rPr>
                <w:spacing w:val="-50"/>
                <w:sz w:val="24"/>
                <w:szCs w:val="24"/>
              </w:rPr>
              <w:t xml:space="preserve">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3"/>
                <w:sz w:val="24"/>
                <w:szCs w:val="24"/>
              </w:rPr>
              <w:t xml:space="preserve"> </w:t>
            </w:r>
            <w:r>
              <w:rPr>
                <w:spacing w:val="-3"/>
                <w:sz w:val="24"/>
                <w:szCs w:val="24"/>
              </w:rPr>
              <w:t>回线路，且在</w:t>
            </w:r>
            <w:r>
              <w:rPr>
                <w:spacing w:val="-55"/>
                <w:sz w:val="24"/>
                <w:szCs w:val="24"/>
              </w:rPr>
              <w:t xml:space="preserve"> </w:t>
            </w:r>
            <w:r>
              <w:rPr>
                <w:rFonts w:ascii="Times New Roman" w:hAnsi="Times New Roman" w:eastAsia="Times New Roman" w:cs="Times New Roman"/>
                <w:spacing w:val="-3"/>
                <w:sz w:val="24"/>
                <w:szCs w:val="24"/>
              </w:rPr>
              <w:t xml:space="preserve">220kV </w:t>
            </w:r>
            <w:r>
              <w:rPr>
                <w:spacing w:val="-3"/>
                <w:sz w:val="24"/>
                <w:szCs w:val="24"/>
              </w:rPr>
              <w:t>迤车变出线侧沿用</w:t>
            </w:r>
            <w:r>
              <w:rPr>
                <w:spacing w:val="-31"/>
                <w:sz w:val="24"/>
                <w:szCs w:val="24"/>
              </w:rPr>
              <w:t xml:space="preserve"> </w:t>
            </w:r>
            <w:r>
              <w:rPr>
                <w:rFonts w:ascii="Times New Roman" w:hAnsi="Times New Roman" w:eastAsia="Times New Roman" w:cs="Times New Roman"/>
                <w:spacing w:val="-3"/>
                <w:sz w:val="24"/>
                <w:szCs w:val="24"/>
              </w:rPr>
              <w:t xml:space="preserve">1 </w:t>
            </w:r>
            <w:r>
              <w:rPr>
                <w:spacing w:val="-3"/>
                <w:sz w:val="24"/>
                <w:szCs w:val="24"/>
              </w:rPr>
              <w:t>基</w:t>
            </w:r>
            <w:r>
              <w:rPr>
                <w:spacing w:val="-55"/>
                <w:sz w:val="24"/>
                <w:szCs w:val="24"/>
              </w:rPr>
              <w:t xml:space="preserve"> </w:t>
            </w:r>
            <w:r>
              <w:rPr>
                <w:rFonts w:ascii="Times New Roman" w:hAnsi="Times New Roman" w:eastAsia="Times New Roman" w:cs="Times New Roman"/>
                <w:spacing w:val="-3"/>
                <w:sz w:val="24"/>
                <w:szCs w:val="24"/>
              </w:rPr>
              <w:t xml:space="preserve">220kV </w:t>
            </w:r>
            <w:r>
              <w:rPr>
                <w:spacing w:val="-3"/>
                <w:sz w:val="24"/>
                <w:szCs w:val="24"/>
              </w:rPr>
              <w:t>者迤Ⅰ回线</w:t>
            </w:r>
            <w:r>
              <w:rPr>
                <w:rFonts w:ascii="Times New Roman" w:hAnsi="Times New Roman" w:eastAsia="Times New Roman" w:cs="Times New Roman"/>
                <w:spacing w:val="-3"/>
                <w:sz w:val="24"/>
                <w:szCs w:val="24"/>
              </w:rPr>
              <w:t>73#</w:t>
            </w:r>
            <w:r>
              <w:rPr>
                <w:spacing w:val="-3"/>
                <w:sz w:val="24"/>
                <w:szCs w:val="24"/>
              </w:rPr>
              <w:t>双回塔，</w:t>
            </w:r>
            <w:r>
              <w:rPr>
                <w:spacing w:val="-1"/>
                <w:sz w:val="24"/>
                <w:szCs w:val="24"/>
              </w:rPr>
              <w:t xml:space="preserve">与 </w:t>
            </w:r>
            <w:r>
              <w:rPr>
                <w:rFonts w:ascii="Times New Roman" w:hAnsi="Times New Roman" w:eastAsia="Times New Roman" w:cs="Times New Roman"/>
                <w:spacing w:val="-1"/>
                <w:sz w:val="24"/>
                <w:szCs w:val="24"/>
              </w:rPr>
              <w:t>73#</w:t>
            </w:r>
            <w:r>
              <w:rPr>
                <w:spacing w:val="-1"/>
                <w:sz w:val="24"/>
                <w:szCs w:val="24"/>
              </w:rPr>
              <w:t xml:space="preserve">双回塔上原有的 </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56"/>
                <w:w w:val="101"/>
                <w:sz w:val="24"/>
                <w:szCs w:val="24"/>
              </w:rPr>
              <w:t xml:space="preserve"> </w:t>
            </w:r>
            <w:r>
              <w:rPr>
                <w:spacing w:val="-1"/>
                <w:sz w:val="24"/>
                <w:szCs w:val="24"/>
              </w:rPr>
              <w:t>者迤Ⅱ回线</w:t>
            </w:r>
            <w:r>
              <w:rPr>
                <w:spacing w:val="-2"/>
                <w:sz w:val="24"/>
                <w:szCs w:val="24"/>
              </w:rPr>
              <w:t>形成同塔双回架设，其噪声水平也将</w:t>
            </w:r>
            <w:r>
              <w:rPr>
                <w:spacing w:val="-4"/>
                <w:sz w:val="24"/>
                <w:szCs w:val="24"/>
              </w:rPr>
              <w:t>高于</w:t>
            </w:r>
            <w:r>
              <w:rPr>
                <w:spacing w:val="-45"/>
                <w:sz w:val="24"/>
                <w:szCs w:val="24"/>
              </w:rPr>
              <w:t xml:space="preserve"> </w:t>
            </w:r>
            <w:r>
              <w:rPr>
                <w:rFonts w:ascii="Times New Roman" w:hAnsi="Times New Roman" w:eastAsia="Times New Roman" w:cs="Times New Roman"/>
                <w:spacing w:val="-4"/>
                <w:sz w:val="24"/>
                <w:szCs w:val="24"/>
              </w:rPr>
              <w:t>D</w:t>
            </w:r>
            <w:r>
              <w:rPr>
                <w:rFonts w:ascii="Times New Roman" w:hAnsi="Times New Roman" w:eastAsia="Times New Roman" w:cs="Times New Roman"/>
                <w:spacing w:val="32"/>
                <w:w w:val="101"/>
                <w:sz w:val="24"/>
                <w:szCs w:val="24"/>
              </w:rPr>
              <w:t xml:space="preserve"> </w:t>
            </w:r>
            <w:r>
              <w:rPr>
                <w:spacing w:val="-4"/>
                <w:sz w:val="24"/>
                <w:szCs w:val="24"/>
              </w:rPr>
              <w:t>回和</w:t>
            </w:r>
            <w:r>
              <w:rPr>
                <w:spacing w:val="-55"/>
                <w:sz w:val="24"/>
                <w:szCs w:val="24"/>
              </w:rPr>
              <w:t xml:space="preserve"> </w:t>
            </w:r>
            <w:r>
              <w:rPr>
                <w:rFonts w:ascii="Times New Roman" w:hAnsi="Times New Roman" w:eastAsia="Times New Roman" w:cs="Times New Roman"/>
                <w:spacing w:val="-4"/>
                <w:sz w:val="24"/>
                <w:szCs w:val="24"/>
              </w:rPr>
              <w:t>E</w:t>
            </w:r>
            <w:r>
              <w:rPr>
                <w:rFonts w:ascii="Times New Roman" w:hAnsi="Times New Roman" w:eastAsia="Times New Roman" w:cs="Times New Roman"/>
                <w:spacing w:val="33"/>
                <w:sz w:val="24"/>
                <w:szCs w:val="24"/>
              </w:rPr>
              <w:t xml:space="preserve"> </w:t>
            </w:r>
            <w:r>
              <w:rPr>
                <w:spacing w:val="-4"/>
                <w:sz w:val="24"/>
                <w:szCs w:val="24"/>
              </w:rPr>
              <w:t>回线路，从保守角度考虑，本次预测采用</w:t>
            </w:r>
            <w:r>
              <w:rPr>
                <w:spacing w:val="-54"/>
                <w:sz w:val="24"/>
                <w:szCs w:val="24"/>
              </w:rPr>
              <w:t xml:space="preserve"> </w:t>
            </w:r>
            <w:r>
              <w:rPr>
                <w:rFonts w:ascii="Times New Roman" w:hAnsi="Times New Roman" w:eastAsia="Times New Roman" w:cs="Times New Roman"/>
                <w:spacing w:val="-4"/>
                <w:sz w:val="24"/>
                <w:szCs w:val="24"/>
              </w:rPr>
              <w:t>220kV</w:t>
            </w:r>
            <w:r>
              <w:rPr>
                <w:rFonts w:ascii="Times New Roman" w:hAnsi="Times New Roman" w:eastAsia="Times New Roman" w:cs="Times New Roman"/>
                <w:spacing w:val="32"/>
                <w:w w:val="101"/>
                <w:sz w:val="24"/>
                <w:szCs w:val="24"/>
              </w:rPr>
              <w:t xml:space="preserve"> </w:t>
            </w:r>
            <w:r>
              <w:rPr>
                <w:spacing w:val="-4"/>
                <w:sz w:val="24"/>
                <w:szCs w:val="24"/>
              </w:rPr>
              <w:t>同塔双回线路噪</w:t>
            </w:r>
            <w:r>
              <w:rPr>
                <w:spacing w:val="-2"/>
                <w:sz w:val="24"/>
                <w:szCs w:val="24"/>
              </w:rPr>
              <w:t>声断面监测值进行类比预测。相关参数的比较见下表。</w:t>
            </w:r>
          </w:p>
          <w:p w14:paraId="247FDE58">
            <w:pPr>
              <w:pStyle w:val="6"/>
              <w:spacing w:line="223" w:lineRule="auto"/>
              <w:ind w:left="2394"/>
            </w:pPr>
            <w:r>
              <w:rPr>
                <w:b/>
                <w:bCs/>
                <w:spacing w:val="-2"/>
              </w:rPr>
              <w:t>表</w:t>
            </w:r>
            <w:r>
              <w:rPr>
                <w:spacing w:val="-35"/>
              </w:rPr>
              <w:t xml:space="preserve"> </w:t>
            </w:r>
            <w:r>
              <w:rPr>
                <w:rFonts w:ascii="Times New Roman" w:hAnsi="Times New Roman" w:eastAsia="Times New Roman" w:cs="Times New Roman"/>
                <w:b/>
                <w:bCs/>
                <w:spacing w:val="-2"/>
              </w:rPr>
              <w:t xml:space="preserve">4-3    </w:t>
            </w:r>
            <w:r>
              <w:rPr>
                <w:b/>
                <w:bCs/>
                <w:spacing w:val="-2"/>
              </w:rPr>
              <w:t>本项目线路和类比线路相关参数</w:t>
            </w:r>
          </w:p>
        </w:tc>
      </w:tr>
      <w:tr w14:paraId="703AA1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7" w:type="dxa"/>
            <w:vMerge w:val="continue"/>
            <w:tcBorders>
              <w:top w:val="nil"/>
              <w:bottom w:val="nil"/>
            </w:tcBorders>
            <w:vAlign w:val="top"/>
          </w:tcPr>
          <w:p w14:paraId="01A5890E">
            <w:pPr>
              <w:rPr>
                <w:rFonts w:ascii="Arial"/>
                <w:sz w:val="21"/>
              </w:rPr>
            </w:pPr>
          </w:p>
        </w:tc>
        <w:tc>
          <w:tcPr>
            <w:tcW w:w="1620" w:type="dxa"/>
            <w:vAlign w:val="top"/>
          </w:tcPr>
          <w:p w14:paraId="05DF8C2C">
            <w:pPr>
              <w:pStyle w:val="6"/>
              <w:spacing w:before="215" w:line="221" w:lineRule="auto"/>
              <w:ind w:left="687"/>
            </w:pPr>
            <w:r>
              <w:rPr>
                <w:b/>
                <w:bCs/>
                <w:spacing w:val="-5"/>
              </w:rPr>
              <w:t>项目</w:t>
            </w:r>
          </w:p>
        </w:tc>
        <w:tc>
          <w:tcPr>
            <w:tcW w:w="3428" w:type="dxa"/>
            <w:vAlign w:val="top"/>
          </w:tcPr>
          <w:p w14:paraId="00BC077C">
            <w:pPr>
              <w:pStyle w:val="6"/>
              <w:spacing w:before="215" w:line="220" w:lineRule="auto"/>
              <w:ind w:left="406"/>
            </w:pPr>
            <w:r>
              <w:rPr>
                <w:b/>
                <w:bCs/>
                <w:spacing w:val="-4"/>
              </w:rPr>
              <w:t>本项目新建输电线路（</w:t>
            </w:r>
            <w:r>
              <w:rPr>
                <w:rFonts w:ascii="Times New Roman" w:hAnsi="Times New Roman" w:eastAsia="Times New Roman" w:cs="Times New Roman"/>
                <w:b/>
                <w:bCs/>
                <w:spacing w:val="-4"/>
              </w:rPr>
              <w:t>C</w:t>
            </w:r>
            <w:r>
              <w:rPr>
                <w:rFonts w:ascii="Times New Roman" w:hAnsi="Times New Roman" w:eastAsia="Times New Roman" w:cs="Times New Roman"/>
                <w:b/>
                <w:bCs/>
                <w:spacing w:val="33"/>
                <w:w w:val="101"/>
              </w:rPr>
              <w:t xml:space="preserve"> </w:t>
            </w:r>
            <w:r>
              <w:rPr>
                <w:b/>
                <w:bCs/>
                <w:spacing w:val="-4"/>
              </w:rPr>
              <w:t>回）</w:t>
            </w:r>
          </w:p>
        </w:tc>
        <w:tc>
          <w:tcPr>
            <w:tcW w:w="3349" w:type="dxa"/>
            <w:vAlign w:val="top"/>
          </w:tcPr>
          <w:p w14:paraId="5EE52CC1">
            <w:pPr>
              <w:pStyle w:val="6"/>
              <w:spacing w:before="56" w:line="251" w:lineRule="auto"/>
              <w:ind w:left="323" w:right="294" w:firstLine="3"/>
            </w:pPr>
            <w:r>
              <w:rPr>
                <w:b/>
                <w:bCs/>
                <w:spacing w:val="-3"/>
              </w:rPr>
              <w:t>类比线路（</w:t>
            </w:r>
            <w:r>
              <w:rPr>
                <w:rFonts w:ascii="Times New Roman" w:hAnsi="Times New Roman" w:eastAsia="Times New Roman" w:cs="Times New Roman"/>
                <w:b/>
                <w:bCs/>
                <w:spacing w:val="-3"/>
              </w:rPr>
              <w:t xml:space="preserve">220kV </w:t>
            </w:r>
            <w:r>
              <w:rPr>
                <w:b/>
                <w:bCs/>
                <w:spacing w:val="-3"/>
              </w:rPr>
              <w:t>兰昌Ⅰ回、</w:t>
            </w:r>
            <w:r>
              <w:rPr>
                <w:spacing w:val="12"/>
              </w:rPr>
              <w:t xml:space="preserve"> </w:t>
            </w:r>
            <w:r>
              <w:rPr>
                <w:rFonts w:ascii="Times New Roman" w:hAnsi="Times New Roman" w:eastAsia="Times New Roman" w:cs="Times New Roman"/>
                <w:b/>
                <w:bCs/>
                <w:spacing w:val="-2"/>
              </w:rPr>
              <w:t xml:space="preserve">220kV </w:t>
            </w:r>
            <w:r>
              <w:rPr>
                <w:b/>
                <w:bCs/>
                <w:spacing w:val="-2"/>
              </w:rPr>
              <w:t>兰河线同塔双回线路）</w:t>
            </w:r>
          </w:p>
        </w:tc>
        <w:tc>
          <w:tcPr>
            <w:tcW w:w="104" w:type="dxa"/>
            <w:tcBorders>
              <w:top w:val="nil"/>
              <w:bottom w:val="nil"/>
            </w:tcBorders>
            <w:vAlign w:val="top"/>
          </w:tcPr>
          <w:p w14:paraId="45BE752F">
            <w:pPr>
              <w:rPr>
                <w:rFonts w:ascii="Arial"/>
                <w:sz w:val="21"/>
              </w:rPr>
            </w:pPr>
          </w:p>
        </w:tc>
      </w:tr>
      <w:tr w14:paraId="1CBA44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7" w:type="dxa"/>
            <w:vMerge w:val="continue"/>
            <w:tcBorders>
              <w:top w:val="nil"/>
              <w:bottom w:val="nil"/>
            </w:tcBorders>
            <w:vAlign w:val="top"/>
          </w:tcPr>
          <w:p w14:paraId="295E7B2C">
            <w:pPr>
              <w:rPr>
                <w:rFonts w:ascii="Arial"/>
                <w:sz w:val="21"/>
              </w:rPr>
            </w:pPr>
          </w:p>
        </w:tc>
        <w:tc>
          <w:tcPr>
            <w:tcW w:w="1620" w:type="dxa"/>
            <w:vAlign w:val="top"/>
          </w:tcPr>
          <w:p w14:paraId="757D207F">
            <w:pPr>
              <w:pStyle w:val="6"/>
              <w:spacing w:before="56" w:line="221" w:lineRule="auto"/>
              <w:ind w:left="499"/>
            </w:pPr>
            <w:r>
              <w:rPr>
                <w:spacing w:val="-8"/>
              </w:rPr>
              <w:t>电压等级</w:t>
            </w:r>
          </w:p>
        </w:tc>
        <w:tc>
          <w:tcPr>
            <w:tcW w:w="3428" w:type="dxa"/>
            <w:vAlign w:val="top"/>
          </w:tcPr>
          <w:p w14:paraId="2EDE6686">
            <w:pPr>
              <w:spacing w:before="92" w:line="215" w:lineRule="auto"/>
              <w:ind w:left="14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220kV</w:t>
            </w:r>
          </w:p>
        </w:tc>
        <w:tc>
          <w:tcPr>
            <w:tcW w:w="3349" w:type="dxa"/>
            <w:vAlign w:val="top"/>
          </w:tcPr>
          <w:p w14:paraId="7F7AAF43">
            <w:pPr>
              <w:spacing w:before="92" w:line="215" w:lineRule="auto"/>
              <w:ind w:left="141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220kV</w:t>
            </w:r>
          </w:p>
        </w:tc>
        <w:tc>
          <w:tcPr>
            <w:tcW w:w="104" w:type="dxa"/>
            <w:tcBorders>
              <w:top w:val="nil"/>
              <w:bottom w:val="nil"/>
            </w:tcBorders>
            <w:vAlign w:val="top"/>
          </w:tcPr>
          <w:p w14:paraId="505AB699">
            <w:pPr>
              <w:rPr>
                <w:rFonts w:ascii="Arial"/>
                <w:sz w:val="21"/>
              </w:rPr>
            </w:pPr>
          </w:p>
        </w:tc>
      </w:tr>
      <w:tr w14:paraId="1A24D6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7" w:type="dxa"/>
            <w:vMerge w:val="continue"/>
            <w:tcBorders>
              <w:top w:val="nil"/>
              <w:bottom w:val="nil"/>
            </w:tcBorders>
            <w:vAlign w:val="top"/>
          </w:tcPr>
          <w:p w14:paraId="3057A894">
            <w:pPr>
              <w:rPr>
                <w:rFonts w:ascii="Arial"/>
                <w:sz w:val="21"/>
              </w:rPr>
            </w:pPr>
          </w:p>
        </w:tc>
        <w:tc>
          <w:tcPr>
            <w:tcW w:w="1620" w:type="dxa"/>
            <w:vAlign w:val="top"/>
          </w:tcPr>
          <w:p w14:paraId="091E313A">
            <w:pPr>
              <w:pStyle w:val="6"/>
              <w:spacing w:before="59" w:line="221" w:lineRule="auto"/>
              <w:ind w:left="475"/>
            </w:pPr>
            <w:r>
              <w:rPr>
                <w:spacing w:val="-2"/>
              </w:rPr>
              <w:t>架线方式</w:t>
            </w:r>
          </w:p>
        </w:tc>
        <w:tc>
          <w:tcPr>
            <w:tcW w:w="3428" w:type="dxa"/>
            <w:vAlign w:val="top"/>
          </w:tcPr>
          <w:p w14:paraId="7095B39C">
            <w:pPr>
              <w:pStyle w:val="6"/>
              <w:spacing w:before="59" w:line="221" w:lineRule="auto"/>
              <w:ind w:left="1355"/>
            </w:pPr>
            <w:r>
              <w:rPr>
                <w:spacing w:val="-2"/>
              </w:rPr>
              <w:t>单、双回</w:t>
            </w:r>
          </w:p>
        </w:tc>
        <w:tc>
          <w:tcPr>
            <w:tcW w:w="3349" w:type="dxa"/>
            <w:vAlign w:val="top"/>
          </w:tcPr>
          <w:p w14:paraId="549A61D4">
            <w:pPr>
              <w:pStyle w:val="6"/>
              <w:spacing w:before="59" w:line="221" w:lineRule="auto"/>
              <w:ind w:left="1490"/>
            </w:pPr>
            <w:r>
              <w:rPr>
                <w:spacing w:val="-3"/>
              </w:rPr>
              <w:t>双回</w:t>
            </w:r>
          </w:p>
        </w:tc>
        <w:tc>
          <w:tcPr>
            <w:tcW w:w="104" w:type="dxa"/>
            <w:tcBorders>
              <w:top w:val="nil"/>
              <w:bottom w:val="nil"/>
            </w:tcBorders>
            <w:vAlign w:val="top"/>
          </w:tcPr>
          <w:p w14:paraId="38666FA8">
            <w:pPr>
              <w:rPr>
                <w:rFonts w:ascii="Arial"/>
                <w:sz w:val="21"/>
              </w:rPr>
            </w:pPr>
          </w:p>
        </w:tc>
      </w:tr>
      <w:tr w14:paraId="6B6E06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577" w:type="dxa"/>
            <w:vMerge w:val="continue"/>
            <w:tcBorders>
              <w:top w:val="nil"/>
              <w:bottom w:val="nil"/>
            </w:tcBorders>
            <w:vAlign w:val="top"/>
          </w:tcPr>
          <w:p w14:paraId="470711B5">
            <w:pPr>
              <w:rPr>
                <w:rFonts w:ascii="Arial"/>
                <w:sz w:val="21"/>
              </w:rPr>
            </w:pPr>
          </w:p>
        </w:tc>
        <w:tc>
          <w:tcPr>
            <w:tcW w:w="1620" w:type="dxa"/>
            <w:vAlign w:val="top"/>
          </w:tcPr>
          <w:p w14:paraId="744BF1A9">
            <w:pPr>
              <w:pStyle w:val="6"/>
              <w:spacing w:before="58" w:line="222" w:lineRule="auto"/>
              <w:ind w:left="474"/>
            </w:pPr>
            <w:r>
              <w:rPr>
                <w:spacing w:val="-2"/>
              </w:rPr>
              <w:t>排列方式</w:t>
            </w:r>
          </w:p>
        </w:tc>
        <w:tc>
          <w:tcPr>
            <w:tcW w:w="3428" w:type="dxa"/>
            <w:vAlign w:val="top"/>
          </w:tcPr>
          <w:p w14:paraId="5E306E44">
            <w:pPr>
              <w:pStyle w:val="6"/>
              <w:spacing w:before="58" w:line="220" w:lineRule="auto"/>
              <w:ind w:left="302"/>
            </w:pPr>
            <w:r>
              <w:rPr>
                <w:spacing w:val="-2"/>
              </w:rPr>
              <w:t>三角排列、水平排列、垂直排列</w:t>
            </w:r>
          </w:p>
        </w:tc>
        <w:tc>
          <w:tcPr>
            <w:tcW w:w="3349" w:type="dxa"/>
            <w:vAlign w:val="top"/>
          </w:tcPr>
          <w:p w14:paraId="4D328F2C">
            <w:pPr>
              <w:pStyle w:val="6"/>
              <w:spacing w:before="58" w:line="222" w:lineRule="auto"/>
              <w:ind w:left="1280"/>
            </w:pPr>
            <w:r>
              <w:rPr>
                <w:spacing w:val="-2"/>
              </w:rPr>
              <w:t>垂直排列</w:t>
            </w:r>
          </w:p>
        </w:tc>
        <w:tc>
          <w:tcPr>
            <w:tcW w:w="104" w:type="dxa"/>
            <w:tcBorders>
              <w:top w:val="nil"/>
              <w:bottom w:val="nil"/>
            </w:tcBorders>
            <w:vAlign w:val="top"/>
          </w:tcPr>
          <w:p w14:paraId="2B46DEAE">
            <w:pPr>
              <w:rPr>
                <w:rFonts w:ascii="Arial"/>
                <w:sz w:val="21"/>
              </w:rPr>
            </w:pPr>
          </w:p>
        </w:tc>
      </w:tr>
      <w:tr w14:paraId="4B1FF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7" w:type="dxa"/>
            <w:vMerge w:val="continue"/>
            <w:tcBorders>
              <w:top w:val="nil"/>
              <w:bottom w:val="nil"/>
            </w:tcBorders>
            <w:vAlign w:val="top"/>
          </w:tcPr>
          <w:p w14:paraId="37BE7669">
            <w:pPr>
              <w:rPr>
                <w:rFonts w:ascii="Arial"/>
                <w:sz w:val="21"/>
              </w:rPr>
            </w:pPr>
          </w:p>
        </w:tc>
        <w:tc>
          <w:tcPr>
            <w:tcW w:w="1620" w:type="dxa"/>
            <w:vAlign w:val="top"/>
          </w:tcPr>
          <w:p w14:paraId="11E55DCC">
            <w:pPr>
              <w:pStyle w:val="6"/>
              <w:spacing w:before="215" w:line="221" w:lineRule="auto"/>
              <w:ind w:left="480"/>
            </w:pPr>
            <w:r>
              <w:rPr>
                <w:spacing w:val="-3"/>
              </w:rPr>
              <w:t>导线高度</w:t>
            </w:r>
          </w:p>
        </w:tc>
        <w:tc>
          <w:tcPr>
            <w:tcW w:w="3428" w:type="dxa"/>
            <w:vAlign w:val="top"/>
          </w:tcPr>
          <w:p w14:paraId="450BA8B5">
            <w:pPr>
              <w:pStyle w:val="6"/>
              <w:spacing w:before="56" w:line="251" w:lineRule="auto"/>
              <w:ind w:left="533" w:right="80" w:hanging="336"/>
            </w:pPr>
            <w:r>
              <w:rPr>
                <w:spacing w:val="-1"/>
              </w:rPr>
              <w:t>根据初步设计资料，线路建成后导</w:t>
            </w:r>
            <w:r>
              <w:rPr>
                <w:spacing w:val="-2"/>
              </w:rPr>
              <w:t>线对地高度在</w:t>
            </w:r>
            <w:r>
              <w:rPr>
                <w:spacing w:val="-27"/>
              </w:rPr>
              <w:t xml:space="preserve"> </w:t>
            </w:r>
            <w:r>
              <w:rPr>
                <w:rFonts w:ascii="Times New Roman" w:hAnsi="Times New Roman" w:eastAsia="Times New Roman" w:cs="Times New Roman"/>
                <w:spacing w:val="-2"/>
              </w:rPr>
              <w:t xml:space="preserve">15~42m </w:t>
            </w:r>
            <w:r>
              <w:rPr>
                <w:spacing w:val="-2"/>
              </w:rPr>
              <w:t>之间</w:t>
            </w:r>
          </w:p>
        </w:tc>
        <w:tc>
          <w:tcPr>
            <w:tcW w:w="3349" w:type="dxa"/>
            <w:vAlign w:val="top"/>
          </w:tcPr>
          <w:p w14:paraId="24771FA9">
            <w:pPr>
              <w:spacing w:before="250" w:line="234" w:lineRule="auto"/>
              <w:ind w:left="1529"/>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13m</w:t>
            </w:r>
          </w:p>
        </w:tc>
        <w:tc>
          <w:tcPr>
            <w:tcW w:w="104" w:type="dxa"/>
            <w:tcBorders>
              <w:top w:val="nil"/>
              <w:bottom w:val="nil"/>
            </w:tcBorders>
            <w:vAlign w:val="top"/>
          </w:tcPr>
          <w:p w14:paraId="159A88B1">
            <w:pPr>
              <w:rPr>
                <w:rFonts w:ascii="Arial"/>
                <w:sz w:val="21"/>
              </w:rPr>
            </w:pPr>
          </w:p>
        </w:tc>
      </w:tr>
      <w:tr w14:paraId="3797FF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7" w:type="dxa"/>
            <w:vMerge w:val="continue"/>
            <w:tcBorders>
              <w:top w:val="nil"/>
              <w:bottom w:val="nil"/>
            </w:tcBorders>
            <w:vAlign w:val="top"/>
          </w:tcPr>
          <w:p w14:paraId="000B0438">
            <w:pPr>
              <w:rPr>
                <w:rFonts w:ascii="Arial"/>
                <w:sz w:val="21"/>
              </w:rPr>
            </w:pPr>
          </w:p>
        </w:tc>
        <w:tc>
          <w:tcPr>
            <w:tcW w:w="1620" w:type="dxa"/>
            <w:vAlign w:val="top"/>
          </w:tcPr>
          <w:p w14:paraId="7B39E29F">
            <w:pPr>
              <w:pStyle w:val="6"/>
              <w:spacing w:before="57" w:line="221" w:lineRule="auto"/>
              <w:ind w:left="480"/>
            </w:pPr>
            <w:r>
              <w:rPr>
                <w:spacing w:val="-3"/>
              </w:rPr>
              <w:t>导线型号</w:t>
            </w:r>
          </w:p>
        </w:tc>
        <w:tc>
          <w:tcPr>
            <w:tcW w:w="3428" w:type="dxa"/>
            <w:vAlign w:val="top"/>
          </w:tcPr>
          <w:p w14:paraId="0A18E8B5">
            <w:pPr>
              <w:pStyle w:val="6"/>
              <w:spacing w:before="57" w:line="221" w:lineRule="auto"/>
              <w:ind w:left="836"/>
              <w:rPr>
                <w:rFonts w:ascii="Times New Roman" w:hAnsi="Times New Roman" w:eastAsia="Times New Roman" w:cs="Times New Roman"/>
              </w:rPr>
            </w:pPr>
            <w:r>
              <w:rPr>
                <w:rFonts w:ascii="Times New Roman" w:hAnsi="Times New Roman" w:eastAsia="Times New Roman" w:cs="Times New Roman"/>
                <w:spacing w:val="-1"/>
              </w:rPr>
              <w:t>2</w:t>
            </w:r>
            <w:r>
              <w:rPr>
                <w:spacing w:val="-1"/>
              </w:rPr>
              <w:t>×</w:t>
            </w:r>
            <w:r>
              <w:rPr>
                <w:rFonts w:ascii="Times New Roman" w:hAnsi="Times New Roman" w:eastAsia="Times New Roman" w:cs="Times New Roman"/>
                <w:spacing w:val="-1"/>
              </w:rPr>
              <w:t>JL/LB20A-400/50</w:t>
            </w:r>
          </w:p>
        </w:tc>
        <w:tc>
          <w:tcPr>
            <w:tcW w:w="3349" w:type="dxa"/>
            <w:vAlign w:val="top"/>
          </w:tcPr>
          <w:p w14:paraId="38AF935C">
            <w:pPr>
              <w:pStyle w:val="6"/>
              <w:spacing w:before="57" w:line="221" w:lineRule="auto"/>
              <w:ind w:left="762"/>
              <w:rPr>
                <w:rFonts w:ascii="Times New Roman" w:hAnsi="Times New Roman" w:eastAsia="Times New Roman" w:cs="Times New Roman"/>
              </w:rPr>
            </w:pPr>
            <w:r>
              <w:rPr>
                <w:rFonts w:ascii="Times New Roman" w:hAnsi="Times New Roman" w:eastAsia="Times New Roman" w:cs="Times New Roman"/>
                <w:spacing w:val="-1"/>
              </w:rPr>
              <w:t>2</w:t>
            </w:r>
            <w:r>
              <w:rPr>
                <w:spacing w:val="-1"/>
              </w:rPr>
              <w:t>×</w:t>
            </w:r>
            <w:r>
              <w:rPr>
                <w:rFonts w:ascii="Times New Roman" w:hAnsi="Times New Roman" w:eastAsia="Times New Roman" w:cs="Times New Roman"/>
                <w:spacing w:val="-1"/>
              </w:rPr>
              <w:t>JL/LB20A-400/50</w:t>
            </w:r>
          </w:p>
        </w:tc>
        <w:tc>
          <w:tcPr>
            <w:tcW w:w="104" w:type="dxa"/>
            <w:tcBorders>
              <w:top w:val="nil"/>
              <w:bottom w:val="nil"/>
            </w:tcBorders>
            <w:vAlign w:val="top"/>
          </w:tcPr>
          <w:p w14:paraId="0F1672FE">
            <w:pPr>
              <w:rPr>
                <w:rFonts w:ascii="Arial"/>
                <w:sz w:val="21"/>
              </w:rPr>
            </w:pPr>
          </w:p>
        </w:tc>
      </w:tr>
      <w:tr w14:paraId="5702D4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7" w:type="dxa"/>
            <w:vMerge w:val="continue"/>
            <w:tcBorders>
              <w:top w:val="nil"/>
              <w:bottom w:val="nil"/>
            </w:tcBorders>
            <w:vAlign w:val="top"/>
          </w:tcPr>
          <w:p w14:paraId="22A037B1">
            <w:pPr>
              <w:rPr>
                <w:rFonts w:ascii="Arial"/>
                <w:sz w:val="21"/>
              </w:rPr>
            </w:pPr>
          </w:p>
        </w:tc>
        <w:tc>
          <w:tcPr>
            <w:tcW w:w="1620" w:type="dxa"/>
            <w:vAlign w:val="top"/>
          </w:tcPr>
          <w:p w14:paraId="00D9A220">
            <w:pPr>
              <w:pStyle w:val="6"/>
              <w:spacing w:before="60" w:line="220" w:lineRule="auto"/>
              <w:ind w:left="478"/>
            </w:pPr>
            <w:r>
              <w:rPr>
                <w:spacing w:val="-3"/>
              </w:rPr>
              <w:t>背景状况</w:t>
            </w:r>
          </w:p>
        </w:tc>
        <w:tc>
          <w:tcPr>
            <w:tcW w:w="3428" w:type="dxa"/>
            <w:vAlign w:val="top"/>
          </w:tcPr>
          <w:p w14:paraId="76579F8D">
            <w:pPr>
              <w:pStyle w:val="6"/>
              <w:spacing w:before="60" w:line="220" w:lineRule="auto"/>
              <w:ind w:left="950"/>
            </w:pPr>
            <w:r>
              <w:rPr>
                <w:spacing w:val="-3"/>
              </w:rPr>
              <w:t>附近无其他噪声源</w:t>
            </w:r>
          </w:p>
        </w:tc>
        <w:tc>
          <w:tcPr>
            <w:tcW w:w="3349" w:type="dxa"/>
            <w:vAlign w:val="top"/>
          </w:tcPr>
          <w:p w14:paraId="2E584773">
            <w:pPr>
              <w:pStyle w:val="6"/>
              <w:spacing w:before="60" w:line="220" w:lineRule="auto"/>
              <w:ind w:left="876"/>
            </w:pPr>
            <w:r>
              <w:rPr>
                <w:spacing w:val="-3"/>
              </w:rPr>
              <w:t>附近无其他噪声源</w:t>
            </w:r>
          </w:p>
        </w:tc>
        <w:tc>
          <w:tcPr>
            <w:tcW w:w="104" w:type="dxa"/>
            <w:tcBorders>
              <w:top w:val="nil"/>
              <w:bottom w:val="nil"/>
            </w:tcBorders>
            <w:vAlign w:val="top"/>
          </w:tcPr>
          <w:p w14:paraId="6B61BC21">
            <w:pPr>
              <w:rPr>
                <w:rFonts w:ascii="Arial"/>
                <w:sz w:val="21"/>
              </w:rPr>
            </w:pPr>
          </w:p>
        </w:tc>
      </w:tr>
      <w:tr w14:paraId="19B410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7" w:type="dxa"/>
            <w:vMerge w:val="continue"/>
            <w:tcBorders>
              <w:top w:val="nil"/>
              <w:bottom w:val="nil"/>
            </w:tcBorders>
            <w:vAlign w:val="top"/>
          </w:tcPr>
          <w:p w14:paraId="1A9556A3">
            <w:pPr>
              <w:rPr>
                <w:rFonts w:ascii="Arial"/>
                <w:sz w:val="21"/>
              </w:rPr>
            </w:pPr>
          </w:p>
        </w:tc>
        <w:tc>
          <w:tcPr>
            <w:tcW w:w="1620" w:type="dxa"/>
            <w:vAlign w:val="top"/>
          </w:tcPr>
          <w:p w14:paraId="6C4CF7BF">
            <w:pPr>
              <w:pStyle w:val="6"/>
              <w:spacing w:before="58" w:line="221" w:lineRule="auto"/>
              <w:ind w:left="581"/>
            </w:pPr>
            <w:r>
              <w:rPr>
                <w:spacing w:val="-2"/>
              </w:rPr>
              <w:t>行政区</w:t>
            </w:r>
          </w:p>
        </w:tc>
        <w:tc>
          <w:tcPr>
            <w:tcW w:w="3428" w:type="dxa"/>
            <w:vAlign w:val="top"/>
          </w:tcPr>
          <w:p w14:paraId="6975FE47">
            <w:pPr>
              <w:pStyle w:val="6"/>
              <w:spacing w:before="58" w:line="220" w:lineRule="auto"/>
              <w:ind w:left="1167"/>
            </w:pPr>
            <w:r>
              <w:rPr>
                <w:spacing w:val="-5"/>
              </w:rPr>
              <w:t>曲靖市会泽县</w:t>
            </w:r>
          </w:p>
        </w:tc>
        <w:tc>
          <w:tcPr>
            <w:tcW w:w="3349" w:type="dxa"/>
            <w:vAlign w:val="top"/>
          </w:tcPr>
          <w:p w14:paraId="1741840F">
            <w:pPr>
              <w:pStyle w:val="6"/>
              <w:spacing w:before="57" w:line="221" w:lineRule="auto"/>
              <w:ind w:left="1071"/>
            </w:pPr>
            <w:r>
              <w:rPr>
                <w:spacing w:val="-1"/>
              </w:rPr>
              <w:t>保山市隆阳区</w:t>
            </w:r>
          </w:p>
        </w:tc>
        <w:tc>
          <w:tcPr>
            <w:tcW w:w="104" w:type="dxa"/>
            <w:tcBorders>
              <w:top w:val="nil"/>
              <w:bottom w:val="nil"/>
            </w:tcBorders>
            <w:vAlign w:val="top"/>
          </w:tcPr>
          <w:p w14:paraId="0BC57DF7">
            <w:pPr>
              <w:rPr>
                <w:rFonts w:ascii="Arial"/>
                <w:sz w:val="21"/>
              </w:rPr>
            </w:pPr>
          </w:p>
        </w:tc>
      </w:tr>
      <w:tr w14:paraId="02E9B7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577" w:type="dxa"/>
            <w:vMerge w:val="continue"/>
            <w:tcBorders>
              <w:top w:val="nil"/>
            </w:tcBorders>
            <w:vAlign w:val="top"/>
          </w:tcPr>
          <w:p w14:paraId="5A72A622">
            <w:pPr>
              <w:rPr>
                <w:rFonts w:ascii="Arial"/>
                <w:sz w:val="21"/>
              </w:rPr>
            </w:pPr>
          </w:p>
        </w:tc>
        <w:tc>
          <w:tcPr>
            <w:tcW w:w="1620" w:type="dxa"/>
            <w:vAlign w:val="top"/>
          </w:tcPr>
          <w:p w14:paraId="7D16EA29">
            <w:pPr>
              <w:pStyle w:val="6"/>
              <w:spacing w:before="59" w:line="221" w:lineRule="auto"/>
              <w:ind w:left="474"/>
            </w:pPr>
            <w:r>
              <w:rPr>
                <w:spacing w:val="-2"/>
              </w:rPr>
              <w:t>运行工况</w:t>
            </w:r>
          </w:p>
        </w:tc>
        <w:tc>
          <w:tcPr>
            <w:tcW w:w="3428" w:type="dxa"/>
            <w:vAlign w:val="top"/>
          </w:tcPr>
          <w:p w14:paraId="0C518AB3">
            <w:pPr>
              <w:pStyle w:val="6"/>
              <w:spacing w:before="58" w:line="234" w:lineRule="auto"/>
              <w:ind w:left="271"/>
              <w:rPr>
                <w:rFonts w:ascii="Times New Roman" w:hAnsi="Times New Roman" w:eastAsia="Times New Roman" w:cs="Times New Roman"/>
              </w:rPr>
            </w:pPr>
            <w:r>
              <w:rPr>
                <w:spacing w:val="-2"/>
              </w:rPr>
              <w:t>投运后最大传输容量为</w:t>
            </w:r>
            <w:r>
              <w:rPr>
                <w:spacing w:val="-24"/>
              </w:rPr>
              <w:t xml:space="preserve"> </w:t>
            </w:r>
            <w:r>
              <w:rPr>
                <w:rFonts w:ascii="Times New Roman" w:hAnsi="Times New Roman" w:eastAsia="Times New Roman" w:cs="Times New Roman"/>
                <w:spacing w:val="-2"/>
              </w:rPr>
              <w:t>892.5MW</w:t>
            </w:r>
          </w:p>
        </w:tc>
        <w:tc>
          <w:tcPr>
            <w:tcW w:w="3349" w:type="dxa"/>
            <w:vAlign w:val="top"/>
          </w:tcPr>
          <w:p w14:paraId="54D93AB9">
            <w:pPr>
              <w:pStyle w:val="6"/>
              <w:spacing w:before="58" w:line="220" w:lineRule="auto"/>
              <w:ind w:left="171"/>
            </w:pPr>
            <w:r>
              <w:rPr>
                <w:spacing w:val="-3"/>
              </w:rPr>
              <w:t>设计传输容量</w:t>
            </w:r>
            <w:r>
              <w:rPr>
                <w:spacing w:val="-29"/>
              </w:rPr>
              <w:t xml:space="preserve"> </w:t>
            </w:r>
            <w:r>
              <w:rPr>
                <w:rFonts w:ascii="Times New Roman" w:hAnsi="Times New Roman" w:eastAsia="Times New Roman" w:cs="Times New Roman"/>
                <w:spacing w:val="-3"/>
              </w:rPr>
              <w:t>865MW</w:t>
            </w:r>
            <w:r>
              <w:rPr>
                <w:spacing w:val="-3"/>
              </w:rPr>
              <w:t>；监测期间</w:t>
            </w:r>
          </w:p>
        </w:tc>
        <w:tc>
          <w:tcPr>
            <w:tcW w:w="104" w:type="dxa"/>
            <w:tcBorders>
              <w:top w:val="nil"/>
            </w:tcBorders>
            <w:vAlign w:val="top"/>
          </w:tcPr>
          <w:p w14:paraId="66162D0E">
            <w:pPr>
              <w:rPr>
                <w:rFonts w:ascii="Arial"/>
                <w:sz w:val="21"/>
              </w:rPr>
            </w:pPr>
          </w:p>
        </w:tc>
      </w:tr>
    </w:tbl>
    <w:p w14:paraId="7ED7EFE7">
      <w:pPr>
        <w:rPr>
          <w:rFonts w:ascii="Arial"/>
          <w:sz w:val="21"/>
        </w:rPr>
      </w:pPr>
    </w:p>
    <w:p w14:paraId="2683293E">
      <w:pPr>
        <w:rPr>
          <w:rFonts w:ascii="Arial" w:hAnsi="Arial" w:eastAsia="Arial" w:cs="Arial"/>
          <w:sz w:val="21"/>
          <w:szCs w:val="21"/>
        </w:rPr>
        <w:sectPr>
          <w:footerReference r:id="rId70" w:type="default"/>
          <w:pgSz w:w="11907" w:h="16841"/>
          <w:pgMar w:top="400" w:right="1408" w:bottom="1126" w:left="1414" w:header="0" w:footer="925" w:gutter="0"/>
          <w:cols w:space="720" w:num="1"/>
        </w:sectPr>
      </w:pPr>
    </w:p>
    <w:p w14:paraId="65C7E560">
      <w:pPr>
        <w:spacing w:before="2"/>
      </w:pPr>
    </w:p>
    <w:p w14:paraId="6AD5E6E6">
      <w:pPr>
        <w:spacing w:before="2"/>
      </w:pPr>
    </w:p>
    <w:p w14:paraId="7FD19D19">
      <w:pPr>
        <w:spacing w:before="1"/>
      </w:pPr>
    </w:p>
    <w:p w14:paraId="502E58C9">
      <w:pPr>
        <w:spacing w:before="1"/>
      </w:pPr>
    </w:p>
    <w:p w14:paraId="09CEAE1E">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09"/>
        <w:gridCol w:w="1603"/>
        <w:gridCol w:w="3239"/>
        <w:gridCol w:w="153"/>
        <w:gridCol w:w="1548"/>
        <w:gridCol w:w="849"/>
        <w:gridCol w:w="890"/>
        <w:gridCol w:w="116"/>
      </w:tblGrid>
      <w:tr w14:paraId="1B17E7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571" w:type="dxa"/>
            <w:vMerge w:val="restart"/>
            <w:tcBorders>
              <w:bottom w:val="nil"/>
            </w:tcBorders>
            <w:vAlign w:val="top"/>
          </w:tcPr>
          <w:p w14:paraId="2C6CEB0E">
            <w:pPr>
              <w:rPr>
                <w:rFonts w:ascii="Arial"/>
                <w:sz w:val="21"/>
              </w:rPr>
            </w:pPr>
          </w:p>
        </w:tc>
        <w:tc>
          <w:tcPr>
            <w:tcW w:w="109" w:type="dxa"/>
            <w:tcBorders>
              <w:bottom w:val="nil"/>
            </w:tcBorders>
            <w:vAlign w:val="top"/>
          </w:tcPr>
          <w:p w14:paraId="5292E574">
            <w:pPr>
              <w:rPr>
                <w:rFonts w:ascii="Arial"/>
                <w:sz w:val="21"/>
              </w:rPr>
            </w:pPr>
          </w:p>
        </w:tc>
        <w:tc>
          <w:tcPr>
            <w:tcW w:w="1603" w:type="dxa"/>
            <w:vAlign w:val="top"/>
          </w:tcPr>
          <w:p w14:paraId="24AC51DF">
            <w:pPr>
              <w:rPr>
                <w:rFonts w:ascii="Arial"/>
                <w:sz w:val="21"/>
              </w:rPr>
            </w:pPr>
          </w:p>
        </w:tc>
        <w:tc>
          <w:tcPr>
            <w:tcW w:w="3392" w:type="dxa"/>
            <w:gridSpan w:val="2"/>
            <w:vAlign w:val="top"/>
          </w:tcPr>
          <w:p w14:paraId="681C48CB">
            <w:pPr>
              <w:rPr>
                <w:rFonts w:ascii="Arial"/>
                <w:sz w:val="21"/>
              </w:rPr>
            </w:pPr>
          </w:p>
        </w:tc>
        <w:tc>
          <w:tcPr>
            <w:tcW w:w="3287" w:type="dxa"/>
            <w:gridSpan w:val="3"/>
            <w:vAlign w:val="top"/>
          </w:tcPr>
          <w:p w14:paraId="2BFB178F">
            <w:pPr>
              <w:pStyle w:val="6"/>
              <w:spacing w:before="69" w:line="252" w:lineRule="auto"/>
              <w:ind w:left="812" w:right="272" w:hanging="529"/>
            </w:pPr>
            <w:r>
              <w:rPr>
                <w:spacing w:val="-1"/>
              </w:rPr>
              <w:t>运行电压达到设计额定电压等级，线路运行正常</w:t>
            </w:r>
          </w:p>
        </w:tc>
        <w:tc>
          <w:tcPr>
            <w:tcW w:w="116" w:type="dxa"/>
            <w:tcBorders>
              <w:bottom w:val="nil"/>
            </w:tcBorders>
            <w:vAlign w:val="top"/>
          </w:tcPr>
          <w:p w14:paraId="4E44758F">
            <w:pPr>
              <w:rPr>
                <w:rFonts w:ascii="Arial"/>
                <w:sz w:val="21"/>
              </w:rPr>
            </w:pPr>
          </w:p>
        </w:tc>
      </w:tr>
      <w:tr w14:paraId="2BE46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747" w:hRule="atLeast"/>
        </w:trPr>
        <w:tc>
          <w:tcPr>
            <w:tcW w:w="571" w:type="dxa"/>
            <w:vMerge w:val="continue"/>
            <w:tcBorders>
              <w:top w:val="nil"/>
              <w:bottom w:val="nil"/>
            </w:tcBorders>
            <w:vAlign w:val="top"/>
          </w:tcPr>
          <w:p w14:paraId="26A81276">
            <w:pPr>
              <w:rPr>
                <w:rFonts w:ascii="Arial"/>
                <w:sz w:val="21"/>
              </w:rPr>
            </w:pPr>
          </w:p>
        </w:tc>
        <w:tc>
          <w:tcPr>
            <w:tcW w:w="8507" w:type="dxa"/>
            <w:gridSpan w:val="8"/>
            <w:vAlign w:val="top"/>
          </w:tcPr>
          <w:p w14:paraId="18FF7B32">
            <w:pPr>
              <w:pStyle w:val="6"/>
              <w:spacing w:before="118" w:line="233" w:lineRule="auto"/>
              <w:ind w:left="588"/>
              <w:rPr>
                <w:sz w:val="24"/>
                <w:szCs w:val="24"/>
              </w:rPr>
            </w:pPr>
            <w:r>
              <w:rPr>
                <w:rFonts w:ascii="Times New Roman" w:hAnsi="Times New Roman" w:eastAsia="Times New Roman" w:cs="Times New Roman"/>
                <w:spacing w:val="-2"/>
                <w:sz w:val="24"/>
                <w:szCs w:val="24"/>
              </w:rPr>
              <w:t>2</w:t>
            </w:r>
            <w:r>
              <w:rPr>
                <w:spacing w:val="-2"/>
                <w:sz w:val="24"/>
                <w:szCs w:val="24"/>
              </w:rPr>
              <w:t>）类比可行性</w:t>
            </w:r>
          </w:p>
          <w:p w14:paraId="01BCE9DE">
            <w:pPr>
              <w:pStyle w:val="6"/>
              <w:spacing w:before="169" w:line="365" w:lineRule="auto"/>
              <w:ind w:left="112" w:right="109" w:firstLine="480"/>
              <w:rPr>
                <w:sz w:val="24"/>
                <w:szCs w:val="24"/>
              </w:rPr>
            </w:pPr>
            <w:r>
              <w:rPr>
                <w:spacing w:val="-4"/>
                <w:sz w:val="24"/>
                <w:szCs w:val="24"/>
              </w:rPr>
              <w:t>类比线路与本工程输电线路的电压等级一致，线路规模基本相当，本次所选类比线路架设高度与本工程输电线路导线对地高度差别不大。输电线路噪声主要</w:t>
            </w:r>
            <w:r>
              <w:rPr>
                <w:spacing w:val="3"/>
                <w:sz w:val="24"/>
                <w:szCs w:val="24"/>
              </w:rPr>
              <w:t>是由导线电晕产生的，同电压等级情况下同塔双回线路的电晕水平大于单回线</w:t>
            </w:r>
            <w:r>
              <w:rPr>
                <w:spacing w:val="-3"/>
                <w:sz w:val="24"/>
                <w:szCs w:val="24"/>
              </w:rPr>
              <w:t>路，因此同塔双回线路的噪声类比可以覆盖</w:t>
            </w:r>
            <w:r>
              <w:rPr>
                <w:spacing w:val="-4"/>
                <w:sz w:val="24"/>
                <w:szCs w:val="24"/>
              </w:rPr>
              <w:t>单回线路的噪声，本次采用双回段的</w:t>
            </w:r>
            <w:r>
              <w:rPr>
                <w:spacing w:val="-5"/>
                <w:sz w:val="24"/>
                <w:szCs w:val="24"/>
              </w:rPr>
              <w:t>噪声监测结果进行评价。故类比对象的选择基本合理，</w:t>
            </w:r>
            <w:r>
              <w:rPr>
                <w:spacing w:val="-64"/>
                <w:sz w:val="24"/>
                <w:szCs w:val="24"/>
              </w:rPr>
              <w:t xml:space="preserve"> </w:t>
            </w:r>
            <w:r>
              <w:rPr>
                <w:spacing w:val="-5"/>
                <w:sz w:val="24"/>
                <w:szCs w:val="24"/>
              </w:rPr>
              <w:t>可以通过类比对象的</w:t>
            </w:r>
            <w:r>
              <w:rPr>
                <w:spacing w:val="-6"/>
                <w:sz w:val="24"/>
                <w:szCs w:val="24"/>
              </w:rPr>
              <w:t>监测</w:t>
            </w:r>
            <w:r>
              <w:rPr>
                <w:spacing w:val="-2"/>
                <w:sz w:val="24"/>
                <w:szCs w:val="24"/>
              </w:rPr>
              <w:t>结果反映本工程新建输电线路投运后产生的声环境影响。</w:t>
            </w:r>
          </w:p>
          <w:p w14:paraId="3097AF92">
            <w:pPr>
              <w:pStyle w:val="6"/>
              <w:spacing w:line="234" w:lineRule="auto"/>
              <w:ind w:left="592"/>
              <w:rPr>
                <w:sz w:val="24"/>
                <w:szCs w:val="24"/>
              </w:rPr>
            </w:pPr>
            <w:r>
              <w:rPr>
                <w:rFonts w:ascii="Times New Roman" w:hAnsi="Times New Roman" w:eastAsia="Times New Roman" w:cs="Times New Roman"/>
                <w:spacing w:val="-8"/>
                <w:sz w:val="24"/>
                <w:szCs w:val="24"/>
              </w:rPr>
              <w:t>3</w:t>
            </w:r>
            <w:r>
              <w:rPr>
                <w:spacing w:val="-8"/>
                <w:sz w:val="24"/>
                <w:szCs w:val="24"/>
              </w:rPr>
              <w:t>）监测项目</w:t>
            </w:r>
          </w:p>
          <w:p w14:paraId="7C08C462">
            <w:pPr>
              <w:pStyle w:val="6"/>
              <w:spacing w:before="168" w:line="233" w:lineRule="auto"/>
              <w:ind w:left="596"/>
              <w:rPr>
                <w:sz w:val="24"/>
                <w:szCs w:val="24"/>
              </w:rPr>
            </w:pPr>
            <w:r>
              <w:rPr>
                <w:spacing w:val="-6"/>
                <w:sz w:val="24"/>
                <w:szCs w:val="24"/>
              </w:rPr>
              <w:t>离地</w:t>
            </w:r>
            <w:r>
              <w:rPr>
                <w:spacing w:val="-27"/>
                <w:sz w:val="24"/>
                <w:szCs w:val="24"/>
              </w:rPr>
              <w:t xml:space="preserve"> </w:t>
            </w:r>
            <w:r>
              <w:rPr>
                <w:rFonts w:ascii="Times New Roman" w:hAnsi="Times New Roman" w:eastAsia="Times New Roman" w:cs="Times New Roman"/>
                <w:spacing w:val="-6"/>
                <w:sz w:val="24"/>
                <w:szCs w:val="24"/>
              </w:rPr>
              <w:t>1.2m</w:t>
            </w:r>
            <w:r>
              <w:rPr>
                <w:rFonts w:ascii="Times New Roman" w:hAnsi="Times New Roman" w:eastAsia="Times New Roman" w:cs="Times New Roman"/>
                <w:spacing w:val="15"/>
                <w:sz w:val="24"/>
                <w:szCs w:val="24"/>
              </w:rPr>
              <w:t xml:space="preserve"> </w:t>
            </w:r>
            <w:r>
              <w:rPr>
                <w:spacing w:val="-6"/>
                <w:sz w:val="24"/>
                <w:szCs w:val="24"/>
              </w:rPr>
              <w:t>处的连续等效</w:t>
            </w:r>
            <w:r>
              <w:rPr>
                <w:spacing w:val="-58"/>
                <w:sz w:val="24"/>
                <w:szCs w:val="24"/>
              </w:rPr>
              <w:t xml:space="preserve"> </w:t>
            </w:r>
            <w:r>
              <w:rPr>
                <w:rFonts w:ascii="Times New Roman" w:hAnsi="Times New Roman" w:eastAsia="Times New Roman" w:cs="Times New Roman"/>
                <w:spacing w:val="-6"/>
                <w:sz w:val="24"/>
                <w:szCs w:val="24"/>
              </w:rPr>
              <w:t>A</w:t>
            </w:r>
            <w:r>
              <w:rPr>
                <w:rFonts w:ascii="Times New Roman" w:hAnsi="Times New Roman" w:eastAsia="Times New Roman" w:cs="Times New Roman"/>
                <w:spacing w:val="13"/>
                <w:sz w:val="24"/>
                <w:szCs w:val="24"/>
              </w:rPr>
              <w:t xml:space="preserve"> </w:t>
            </w:r>
            <w:r>
              <w:rPr>
                <w:spacing w:val="-6"/>
                <w:sz w:val="24"/>
                <w:szCs w:val="24"/>
              </w:rPr>
              <w:t>声级。</w:t>
            </w:r>
          </w:p>
          <w:p w14:paraId="334F0C05">
            <w:pPr>
              <w:pStyle w:val="6"/>
              <w:spacing w:before="171" w:line="233" w:lineRule="auto"/>
              <w:ind w:left="586"/>
              <w:rPr>
                <w:sz w:val="24"/>
                <w:szCs w:val="24"/>
              </w:rPr>
            </w:pPr>
            <w:r>
              <w:rPr>
                <w:rFonts w:ascii="Times New Roman" w:hAnsi="Times New Roman" w:eastAsia="Times New Roman" w:cs="Times New Roman"/>
                <w:spacing w:val="-1"/>
                <w:sz w:val="24"/>
                <w:szCs w:val="24"/>
              </w:rPr>
              <w:t>4</w:t>
            </w:r>
            <w:r>
              <w:rPr>
                <w:spacing w:val="-1"/>
                <w:sz w:val="24"/>
                <w:szCs w:val="24"/>
              </w:rPr>
              <w:t>）监测布点、监测频次、监测时间及运行工况</w:t>
            </w:r>
          </w:p>
          <w:p w14:paraId="3E4C5485">
            <w:pPr>
              <w:pStyle w:val="6"/>
              <w:spacing w:before="171" w:line="356" w:lineRule="auto"/>
              <w:ind w:left="113" w:right="119" w:firstLine="480"/>
              <w:rPr>
                <w:sz w:val="24"/>
                <w:szCs w:val="24"/>
              </w:rPr>
            </w:pPr>
            <w:r>
              <w:rPr>
                <w:spacing w:val="-1"/>
                <w:sz w:val="24"/>
                <w:szCs w:val="24"/>
              </w:rPr>
              <w:t>监测布点：以弧垂最低位置处对地投影点为起点，测点间距为</w:t>
            </w:r>
            <w:r>
              <w:rPr>
                <w:spacing w:val="-44"/>
                <w:sz w:val="24"/>
                <w:szCs w:val="24"/>
              </w:rPr>
              <w:t xml:space="preserve"> </w:t>
            </w:r>
            <w:r>
              <w:rPr>
                <w:rFonts w:ascii="Times New Roman" w:hAnsi="Times New Roman" w:eastAsia="Times New Roman" w:cs="Times New Roman"/>
                <w:spacing w:val="-1"/>
                <w:sz w:val="24"/>
                <w:szCs w:val="24"/>
              </w:rPr>
              <w:t>5m</w:t>
            </w:r>
            <w:r>
              <w:rPr>
                <w:spacing w:val="-1"/>
                <w:sz w:val="24"/>
                <w:szCs w:val="24"/>
              </w:rPr>
              <w:t>，测</w:t>
            </w:r>
            <w:r>
              <w:rPr>
                <w:spacing w:val="-2"/>
                <w:sz w:val="24"/>
                <w:szCs w:val="24"/>
              </w:rPr>
              <w:t>至评</w:t>
            </w:r>
            <w:r>
              <w:rPr>
                <w:spacing w:val="-8"/>
                <w:sz w:val="24"/>
                <w:szCs w:val="24"/>
              </w:rPr>
              <w:t>价范围处。</w:t>
            </w:r>
          </w:p>
          <w:p w14:paraId="245BD361">
            <w:pPr>
              <w:pStyle w:val="6"/>
              <w:spacing w:before="22" w:line="233" w:lineRule="auto"/>
              <w:ind w:left="593"/>
              <w:rPr>
                <w:sz w:val="24"/>
                <w:szCs w:val="24"/>
              </w:rPr>
            </w:pPr>
            <w:r>
              <w:rPr>
                <w:spacing w:val="-2"/>
                <w:sz w:val="24"/>
                <w:szCs w:val="24"/>
              </w:rPr>
              <w:t>监测时间及频次：</w:t>
            </w:r>
            <w:r>
              <w:rPr>
                <w:rFonts w:ascii="Times New Roman" w:hAnsi="Times New Roman" w:eastAsia="Times New Roman" w:cs="Times New Roman"/>
                <w:spacing w:val="-2"/>
                <w:sz w:val="24"/>
                <w:szCs w:val="24"/>
              </w:rPr>
              <w:t>2024.7.31~8.</w:t>
            </w:r>
            <w:r>
              <w:rPr>
                <w:rFonts w:ascii="Times New Roman" w:hAnsi="Times New Roman" w:eastAsia="Times New Roman" w:cs="Times New Roman"/>
                <w:spacing w:val="-26"/>
                <w:sz w:val="24"/>
                <w:szCs w:val="24"/>
              </w:rPr>
              <w:t xml:space="preserve"> </w:t>
            </w:r>
            <w:r>
              <w:rPr>
                <w:rFonts w:ascii="Times New Roman" w:hAnsi="Times New Roman" w:eastAsia="Times New Roman" w:cs="Times New Roman"/>
                <w:spacing w:val="-2"/>
                <w:sz w:val="24"/>
                <w:szCs w:val="24"/>
              </w:rPr>
              <w:t>1</w:t>
            </w:r>
            <w:r>
              <w:rPr>
                <w:spacing w:val="-2"/>
                <w:sz w:val="24"/>
                <w:szCs w:val="24"/>
              </w:rPr>
              <w:t>，昼间、夜间各一次。</w:t>
            </w:r>
          </w:p>
          <w:p w14:paraId="5B228C3D">
            <w:pPr>
              <w:pStyle w:val="6"/>
              <w:spacing w:before="172" w:line="230" w:lineRule="auto"/>
              <w:ind w:left="593"/>
              <w:rPr>
                <w:sz w:val="24"/>
                <w:szCs w:val="24"/>
              </w:rPr>
            </w:pPr>
            <w:r>
              <w:rPr>
                <w:spacing w:val="2"/>
                <w:sz w:val="24"/>
                <w:szCs w:val="24"/>
              </w:rPr>
              <w:t>监测环境：晴，温度</w:t>
            </w:r>
            <w:r>
              <w:rPr>
                <w:spacing w:val="-43"/>
                <w:sz w:val="24"/>
                <w:szCs w:val="24"/>
              </w:rPr>
              <w:t xml:space="preserve"> </w:t>
            </w:r>
            <w:r>
              <w:rPr>
                <w:rFonts w:ascii="Times New Roman" w:hAnsi="Times New Roman" w:eastAsia="Times New Roman" w:cs="Times New Roman"/>
                <w:spacing w:val="2"/>
                <w:sz w:val="24"/>
                <w:szCs w:val="24"/>
              </w:rPr>
              <w:t>2.2~13.5</w:t>
            </w:r>
            <w:r>
              <w:rPr>
                <w:spacing w:val="2"/>
                <w:sz w:val="24"/>
                <w:szCs w:val="24"/>
              </w:rPr>
              <w:t>℃,风速</w:t>
            </w:r>
            <w:r>
              <w:rPr>
                <w:spacing w:val="-32"/>
                <w:sz w:val="24"/>
                <w:szCs w:val="24"/>
              </w:rPr>
              <w:t xml:space="preserve"> </w:t>
            </w:r>
            <w:r>
              <w:rPr>
                <w:rFonts w:ascii="Times New Roman" w:hAnsi="Times New Roman" w:eastAsia="Times New Roman" w:cs="Times New Roman"/>
                <w:spacing w:val="2"/>
                <w:sz w:val="24"/>
                <w:szCs w:val="24"/>
              </w:rPr>
              <w:t>1.8~3.0m/s</w:t>
            </w:r>
            <w:r>
              <w:rPr>
                <w:spacing w:val="2"/>
                <w:sz w:val="24"/>
                <w:szCs w:val="24"/>
              </w:rPr>
              <w:t>。</w:t>
            </w:r>
          </w:p>
          <w:p w14:paraId="59C3C9A3">
            <w:pPr>
              <w:pStyle w:val="6"/>
              <w:spacing w:before="173" w:line="365" w:lineRule="auto"/>
              <w:ind w:left="112" w:right="107" w:firstLine="480"/>
              <w:rPr>
                <w:sz w:val="24"/>
                <w:szCs w:val="24"/>
              </w:rPr>
            </w:pPr>
            <w:r>
              <w:rPr>
                <w:spacing w:val="-1"/>
                <w:sz w:val="24"/>
                <w:szCs w:val="24"/>
              </w:rPr>
              <w:t>运行工况：</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33"/>
                <w:w w:val="101"/>
                <w:sz w:val="24"/>
                <w:szCs w:val="24"/>
              </w:rPr>
              <w:t xml:space="preserve"> </w:t>
            </w:r>
            <w:r>
              <w:rPr>
                <w:spacing w:val="-1"/>
                <w:sz w:val="24"/>
                <w:szCs w:val="24"/>
              </w:rPr>
              <w:t>兰昌Ⅰ回电压</w:t>
            </w:r>
            <w:r>
              <w:rPr>
                <w:spacing w:val="-31"/>
                <w:sz w:val="24"/>
                <w:szCs w:val="24"/>
              </w:rPr>
              <w:t xml:space="preserve"> </w:t>
            </w:r>
            <w:r>
              <w:rPr>
                <w:rFonts w:ascii="Times New Roman" w:hAnsi="Times New Roman" w:eastAsia="Times New Roman" w:cs="Times New Roman"/>
                <w:spacing w:val="-1"/>
                <w:sz w:val="24"/>
                <w:szCs w:val="24"/>
              </w:rPr>
              <w:t>231.8~232.9kV</w:t>
            </w:r>
            <w:r>
              <w:rPr>
                <w:spacing w:val="-1"/>
                <w:sz w:val="24"/>
                <w:szCs w:val="24"/>
              </w:rPr>
              <w:t xml:space="preserve">，电流 </w:t>
            </w:r>
            <w:r>
              <w:rPr>
                <w:rFonts w:ascii="Times New Roman" w:hAnsi="Times New Roman" w:eastAsia="Times New Roman" w:cs="Times New Roman"/>
                <w:spacing w:val="-1"/>
                <w:sz w:val="24"/>
                <w:szCs w:val="24"/>
              </w:rPr>
              <w:t>56.6~58.7A</w:t>
            </w:r>
            <w:r>
              <w:rPr>
                <w:spacing w:val="-2"/>
                <w:sz w:val="24"/>
                <w:szCs w:val="24"/>
              </w:rPr>
              <w:t>；</w:t>
            </w:r>
            <w:r>
              <w:rPr>
                <w:rFonts w:ascii="Times New Roman" w:hAnsi="Times New Roman" w:eastAsia="Times New Roman" w:cs="Times New Roman"/>
                <w:spacing w:val="-2"/>
                <w:sz w:val="24"/>
                <w:szCs w:val="24"/>
              </w:rPr>
              <w:t>220kV</w:t>
            </w:r>
            <w:r>
              <w:rPr>
                <w:spacing w:val="-1"/>
                <w:sz w:val="24"/>
                <w:szCs w:val="24"/>
              </w:rPr>
              <w:t>兰河线电压</w:t>
            </w:r>
            <w:r>
              <w:rPr>
                <w:spacing w:val="-54"/>
                <w:sz w:val="24"/>
                <w:szCs w:val="24"/>
              </w:rPr>
              <w:t xml:space="preserve"> </w:t>
            </w:r>
            <w:r>
              <w:rPr>
                <w:rFonts w:ascii="Times New Roman" w:hAnsi="Times New Roman" w:eastAsia="Times New Roman" w:cs="Times New Roman"/>
                <w:spacing w:val="-1"/>
                <w:sz w:val="24"/>
                <w:szCs w:val="24"/>
              </w:rPr>
              <w:t>230.2~233.4kV</w:t>
            </w:r>
            <w:r>
              <w:rPr>
                <w:spacing w:val="-1"/>
                <w:sz w:val="24"/>
                <w:szCs w:val="24"/>
              </w:rPr>
              <w:t>，电流</w:t>
            </w:r>
            <w:r>
              <w:rPr>
                <w:spacing w:val="-40"/>
                <w:sz w:val="24"/>
                <w:szCs w:val="24"/>
              </w:rPr>
              <w:t xml:space="preserve"> </w:t>
            </w:r>
            <w:r>
              <w:rPr>
                <w:rFonts w:ascii="Times New Roman" w:hAnsi="Times New Roman" w:eastAsia="Times New Roman" w:cs="Times New Roman"/>
                <w:spacing w:val="-1"/>
                <w:sz w:val="24"/>
                <w:szCs w:val="24"/>
              </w:rPr>
              <w:t>35.8~4</w:t>
            </w:r>
            <w:r>
              <w:rPr>
                <w:rFonts w:ascii="Times New Roman" w:hAnsi="Times New Roman" w:eastAsia="Times New Roman" w:cs="Times New Roman"/>
                <w:spacing w:val="-2"/>
                <w:sz w:val="24"/>
                <w:szCs w:val="24"/>
              </w:rPr>
              <w:t>0.7A</w:t>
            </w:r>
            <w:r>
              <w:rPr>
                <w:spacing w:val="-2"/>
                <w:sz w:val="24"/>
                <w:szCs w:val="24"/>
              </w:rPr>
              <w:t>。</w:t>
            </w:r>
          </w:p>
          <w:p w14:paraId="66B5E666">
            <w:pPr>
              <w:pStyle w:val="6"/>
              <w:spacing w:line="234" w:lineRule="auto"/>
              <w:ind w:left="594"/>
              <w:rPr>
                <w:sz w:val="24"/>
                <w:szCs w:val="24"/>
              </w:rPr>
            </w:pPr>
            <w:r>
              <w:rPr>
                <w:rFonts w:ascii="Times New Roman" w:hAnsi="Times New Roman" w:eastAsia="Times New Roman" w:cs="Times New Roman"/>
                <w:spacing w:val="-4"/>
                <w:sz w:val="24"/>
                <w:szCs w:val="24"/>
              </w:rPr>
              <w:t>5</w:t>
            </w:r>
            <w:r>
              <w:rPr>
                <w:spacing w:val="-4"/>
                <w:sz w:val="24"/>
                <w:szCs w:val="24"/>
              </w:rPr>
              <w:t>）监测单位</w:t>
            </w:r>
          </w:p>
          <w:p w14:paraId="4E3049A1">
            <w:pPr>
              <w:pStyle w:val="6"/>
              <w:spacing w:before="170" w:line="219" w:lineRule="auto"/>
              <w:ind w:left="593"/>
              <w:rPr>
                <w:sz w:val="24"/>
                <w:szCs w:val="24"/>
              </w:rPr>
            </w:pPr>
            <w:r>
              <w:rPr>
                <w:spacing w:val="-3"/>
                <w:sz w:val="24"/>
                <w:szCs w:val="24"/>
              </w:rPr>
              <w:t>监测单位：云南科环环境工程咨询有限公司。</w:t>
            </w:r>
          </w:p>
          <w:p w14:paraId="17FC3A5B">
            <w:pPr>
              <w:pStyle w:val="6"/>
              <w:spacing w:before="189" w:line="235" w:lineRule="auto"/>
              <w:ind w:left="593"/>
              <w:rPr>
                <w:sz w:val="24"/>
                <w:szCs w:val="24"/>
              </w:rPr>
            </w:pPr>
            <w:r>
              <w:rPr>
                <w:rFonts w:ascii="Times New Roman" w:hAnsi="Times New Roman" w:eastAsia="Times New Roman" w:cs="Times New Roman"/>
                <w:spacing w:val="-3"/>
                <w:sz w:val="24"/>
                <w:szCs w:val="24"/>
              </w:rPr>
              <w:t>6</w:t>
            </w:r>
            <w:r>
              <w:rPr>
                <w:spacing w:val="-3"/>
                <w:sz w:val="24"/>
                <w:szCs w:val="24"/>
              </w:rPr>
              <w:t>）监测方法</w:t>
            </w:r>
          </w:p>
          <w:p w14:paraId="4A4180AF">
            <w:pPr>
              <w:pStyle w:val="6"/>
              <w:spacing w:before="170" w:line="233" w:lineRule="auto"/>
              <w:ind w:left="594"/>
              <w:rPr>
                <w:sz w:val="24"/>
                <w:szCs w:val="24"/>
              </w:rPr>
            </w:pPr>
            <w:r>
              <w:rPr>
                <w:spacing w:val="-5"/>
                <w:sz w:val="24"/>
                <w:szCs w:val="24"/>
              </w:rPr>
              <w:t>按《声环境质量标准》（</w:t>
            </w:r>
            <w:r>
              <w:rPr>
                <w:rFonts w:ascii="Times New Roman" w:hAnsi="Times New Roman" w:eastAsia="Times New Roman" w:cs="Times New Roman"/>
                <w:spacing w:val="-5"/>
                <w:sz w:val="24"/>
                <w:szCs w:val="24"/>
              </w:rPr>
              <w:t>GB3096-2008</w:t>
            </w:r>
            <w:r>
              <w:rPr>
                <w:spacing w:val="-5"/>
                <w:sz w:val="24"/>
                <w:szCs w:val="24"/>
              </w:rPr>
              <w:t>）的监测方法进行监测。</w:t>
            </w:r>
          </w:p>
          <w:p w14:paraId="45CC089C">
            <w:pPr>
              <w:pStyle w:val="6"/>
              <w:spacing w:before="170" w:line="233" w:lineRule="auto"/>
              <w:ind w:left="592"/>
              <w:rPr>
                <w:sz w:val="24"/>
                <w:szCs w:val="24"/>
              </w:rPr>
            </w:pPr>
            <w:r>
              <w:rPr>
                <w:rFonts w:ascii="Times New Roman" w:hAnsi="Times New Roman" w:eastAsia="Times New Roman" w:cs="Times New Roman"/>
                <w:spacing w:val="-3"/>
                <w:sz w:val="24"/>
                <w:szCs w:val="24"/>
              </w:rPr>
              <w:t>7</w:t>
            </w:r>
            <w:r>
              <w:rPr>
                <w:spacing w:val="-3"/>
                <w:sz w:val="24"/>
                <w:szCs w:val="24"/>
              </w:rPr>
              <w:t>）类比监测结果</w:t>
            </w:r>
          </w:p>
          <w:p w14:paraId="01E46D0C">
            <w:pPr>
              <w:pStyle w:val="6"/>
              <w:spacing w:before="171" w:line="220" w:lineRule="auto"/>
              <w:ind w:left="592"/>
              <w:rPr>
                <w:sz w:val="24"/>
                <w:szCs w:val="24"/>
              </w:rPr>
            </w:pPr>
            <w:r>
              <w:rPr>
                <w:spacing w:val="-3"/>
                <w:sz w:val="24"/>
                <w:szCs w:val="24"/>
              </w:rPr>
              <w:t>类比线路噪声监测结果见下表。</w:t>
            </w:r>
          </w:p>
          <w:p w14:paraId="3EBAE5BC">
            <w:pPr>
              <w:pStyle w:val="6"/>
              <w:spacing w:before="124" w:line="223" w:lineRule="auto"/>
              <w:ind w:left="2823"/>
            </w:pPr>
            <w:r>
              <w:rPr>
                <w:b/>
                <w:bCs/>
                <w:spacing w:val="-2"/>
              </w:rPr>
              <w:t>表</w:t>
            </w:r>
            <w:r>
              <w:rPr>
                <w:spacing w:val="-38"/>
              </w:rPr>
              <w:t xml:space="preserve"> </w:t>
            </w:r>
            <w:r>
              <w:rPr>
                <w:rFonts w:ascii="Times New Roman" w:hAnsi="Times New Roman" w:eastAsia="Times New Roman" w:cs="Times New Roman"/>
                <w:b/>
                <w:bCs/>
                <w:spacing w:val="-2"/>
              </w:rPr>
              <w:t xml:space="preserve">4-4    </w:t>
            </w:r>
            <w:r>
              <w:rPr>
                <w:b/>
                <w:bCs/>
                <w:spacing w:val="-2"/>
              </w:rPr>
              <w:t>类比线路噪声监测结果</w:t>
            </w:r>
          </w:p>
        </w:tc>
      </w:tr>
      <w:tr w14:paraId="3ABC1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71" w:type="dxa"/>
            <w:vMerge w:val="continue"/>
            <w:tcBorders>
              <w:top w:val="nil"/>
              <w:bottom w:val="nil"/>
            </w:tcBorders>
            <w:vAlign w:val="top"/>
          </w:tcPr>
          <w:p w14:paraId="75820347">
            <w:pPr>
              <w:rPr>
                <w:rFonts w:ascii="Arial"/>
                <w:sz w:val="21"/>
              </w:rPr>
            </w:pPr>
          </w:p>
        </w:tc>
        <w:tc>
          <w:tcPr>
            <w:tcW w:w="109" w:type="dxa"/>
            <w:tcBorders>
              <w:top w:val="nil"/>
              <w:bottom w:val="nil"/>
            </w:tcBorders>
            <w:vAlign w:val="top"/>
          </w:tcPr>
          <w:p w14:paraId="4F65405A">
            <w:pPr>
              <w:rPr>
                <w:rFonts w:ascii="Arial"/>
                <w:sz w:val="21"/>
              </w:rPr>
            </w:pPr>
          </w:p>
        </w:tc>
        <w:tc>
          <w:tcPr>
            <w:tcW w:w="4842" w:type="dxa"/>
            <w:gridSpan w:val="2"/>
            <w:vMerge w:val="restart"/>
            <w:tcBorders>
              <w:bottom w:val="nil"/>
            </w:tcBorders>
            <w:vAlign w:val="top"/>
          </w:tcPr>
          <w:p w14:paraId="580FCC74">
            <w:pPr>
              <w:pStyle w:val="6"/>
              <w:spacing w:before="220" w:line="222" w:lineRule="auto"/>
              <w:ind w:left="2113"/>
            </w:pPr>
            <w:r>
              <w:rPr>
                <w:b/>
                <w:bCs/>
                <w:spacing w:val="-4"/>
              </w:rPr>
              <w:t>监测点</w:t>
            </w:r>
          </w:p>
        </w:tc>
        <w:tc>
          <w:tcPr>
            <w:tcW w:w="1701" w:type="dxa"/>
            <w:gridSpan w:val="2"/>
            <w:vMerge w:val="restart"/>
            <w:tcBorders>
              <w:bottom w:val="nil"/>
            </w:tcBorders>
            <w:vAlign w:val="top"/>
          </w:tcPr>
          <w:p w14:paraId="6BFE42BC">
            <w:pPr>
              <w:pStyle w:val="6"/>
              <w:spacing w:before="221" w:line="221" w:lineRule="auto"/>
              <w:ind w:left="439"/>
            </w:pPr>
            <w:r>
              <w:rPr>
                <w:b/>
                <w:bCs/>
                <w:spacing w:val="-4"/>
              </w:rPr>
              <w:t>监测日期</w:t>
            </w:r>
          </w:p>
        </w:tc>
        <w:tc>
          <w:tcPr>
            <w:tcW w:w="1739" w:type="dxa"/>
            <w:gridSpan w:val="2"/>
            <w:vAlign w:val="top"/>
          </w:tcPr>
          <w:p w14:paraId="07DA29FD">
            <w:pPr>
              <w:pStyle w:val="6"/>
              <w:spacing w:before="57" w:line="216" w:lineRule="auto"/>
              <w:ind w:left="155"/>
              <w:rPr>
                <w:rFonts w:ascii="Times New Roman" w:hAnsi="Times New Roman" w:eastAsia="Times New Roman" w:cs="Times New Roman"/>
              </w:rPr>
            </w:pPr>
            <w:r>
              <w:rPr>
                <w:b/>
                <w:bCs/>
                <w:spacing w:val="-3"/>
              </w:rPr>
              <w:t>监测结果</w:t>
            </w:r>
            <w:r>
              <w:rPr>
                <w:spacing w:val="-38"/>
              </w:rPr>
              <w:t xml:space="preserve"> </w:t>
            </w:r>
            <w:r>
              <w:rPr>
                <w:rFonts w:ascii="Times New Roman" w:hAnsi="Times New Roman" w:eastAsia="Times New Roman" w:cs="Times New Roman"/>
                <w:b/>
                <w:bCs/>
                <w:spacing w:val="-3"/>
              </w:rPr>
              <w:t>dB(A)</w:t>
            </w:r>
          </w:p>
        </w:tc>
        <w:tc>
          <w:tcPr>
            <w:tcW w:w="116" w:type="dxa"/>
            <w:tcBorders>
              <w:top w:val="nil"/>
              <w:bottom w:val="nil"/>
            </w:tcBorders>
            <w:vAlign w:val="top"/>
          </w:tcPr>
          <w:p w14:paraId="20D64AA2">
            <w:pPr>
              <w:rPr>
                <w:rFonts w:ascii="Arial"/>
                <w:sz w:val="21"/>
              </w:rPr>
            </w:pPr>
          </w:p>
        </w:tc>
      </w:tr>
      <w:tr w14:paraId="347B35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571" w:type="dxa"/>
            <w:vMerge w:val="continue"/>
            <w:tcBorders>
              <w:top w:val="nil"/>
              <w:bottom w:val="nil"/>
            </w:tcBorders>
            <w:vAlign w:val="top"/>
          </w:tcPr>
          <w:p w14:paraId="6E59D878">
            <w:pPr>
              <w:rPr>
                <w:rFonts w:ascii="Arial"/>
                <w:sz w:val="21"/>
              </w:rPr>
            </w:pPr>
          </w:p>
        </w:tc>
        <w:tc>
          <w:tcPr>
            <w:tcW w:w="109" w:type="dxa"/>
            <w:tcBorders>
              <w:top w:val="nil"/>
              <w:bottom w:val="nil"/>
            </w:tcBorders>
            <w:vAlign w:val="top"/>
          </w:tcPr>
          <w:p w14:paraId="5D58934C">
            <w:pPr>
              <w:rPr>
                <w:rFonts w:ascii="Arial"/>
                <w:sz w:val="21"/>
              </w:rPr>
            </w:pPr>
          </w:p>
        </w:tc>
        <w:tc>
          <w:tcPr>
            <w:tcW w:w="4842" w:type="dxa"/>
            <w:gridSpan w:val="2"/>
            <w:vMerge w:val="continue"/>
            <w:tcBorders>
              <w:top w:val="nil"/>
            </w:tcBorders>
            <w:vAlign w:val="top"/>
          </w:tcPr>
          <w:p w14:paraId="59A2C555">
            <w:pPr>
              <w:rPr>
                <w:rFonts w:ascii="Arial"/>
                <w:sz w:val="21"/>
              </w:rPr>
            </w:pPr>
          </w:p>
        </w:tc>
        <w:tc>
          <w:tcPr>
            <w:tcW w:w="1701" w:type="dxa"/>
            <w:gridSpan w:val="2"/>
            <w:vMerge w:val="continue"/>
            <w:tcBorders>
              <w:top w:val="nil"/>
            </w:tcBorders>
            <w:vAlign w:val="top"/>
          </w:tcPr>
          <w:p w14:paraId="722A3BB7">
            <w:pPr>
              <w:rPr>
                <w:rFonts w:ascii="Arial"/>
                <w:sz w:val="21"/>
              </w:rPr>
            </w:pPr>
          </w:p>
        </w:tc>
        <w:tc>
          <w:tcPr>
            <w:tcW w:w="849" w:type="dxa"/>
            <w:vAlign w:val="top"/>
          </w:tcPr>
          <w:p w14:paraId="2FF73CD7">
            <w:pPr>
              <w:pStyle w:val="6"/>
              <w:spacing w:before="57" w:line="221" w:lineRule="auto"/>
              <w:ind w:left="223"/>
            </w:pPr>
            <w:r>
              <w:rPr>
                <w:b/>
                <w:bCs/>
                <w:spacing w:val="-5"/>
              </w:rPr>
              <w:t>昼间</w:t>
            </w:r>
          </w:p>
        </w:tc>
        <w:tc>
          <w:tcPr>
            <w:tcW w:w="890" w:type="dxa"/>
            <w:vAlign w:val="top"/>
          </w:tcPr>
          <w:p w14:paraId="2DD5908E">
            <w:pPr>
              <w:pStyle w:val="6"/>
              <w:spacing w:before="57" w:line="221" w:lineRule="auto"/>
              <w:ind w:left="244"/>
            </w:pPr>
            <w:r>
              <w:rPr>
                <w:b/>
                <w:bCs/>
                <w:spacing w:val="-5"/>
              </w:rPr>
              <w:t>夜间</w:t>
            </w:r>
          </w:p>
        </w:tc>
        <w:tc>
          <w:tcPr>
            <w:tcW w:w="116" w:type="dxa"/>
            <w:tcBorders>
              <w:top w:val="nil"/>
              <w:bottom w:val="nil"/>
            </w:tcBorders>
            <w:vAlign w:val="top"/>
          </w:tcPr>
          <w:p w14:paraId="74C5E334">
            <w:pPr>
              <w:rPr>
                <w:rFonts w:ascii="Arial"/>
                <w:sz w:val="21"/>
              </w:rPr>
            </w:pPr>
          </w:p>
        </w:tc>
      </w:tr>
      <w:tr w14:paraId="776F8E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1" w:type="dxa"/>
            <w:vMerge w:val="continue"/>
            <w:tcBorders>
              <w:top w:val="nil"/>
              <w:bottom w:val="nil"/>
            </w:tcBorders>
            <w:vAlign w:val="top"/>
          </w:tcPr>
          <w:p w14:paraId="53AC7B6D">
            <w:pPr>
              <w:rPr>
                <w:rFonts w:ascii="Arial"/>
                <w:sz w:val="21"/>
              </w:rPr>
            </w:pPr>
          </w:p>
        </w:tc>
        <w:tc>
          <w:tcPr>
            <w:tcW w:w="109" w:type="dxa"/>
            <w:tcBorders>
              <w:top w:val="nil"/>
              <w:bottom w:val="nil"/>
            </w:tcBorders>
            <w:vAlign w:val="top"/>
          </w:tcPr>
          <w:p w14:paraId="377056CB">
            <w:pPr>
              <w:rPr>
                <w:rFonts w:ascii="Arial"/>
                <w:sz w:val="21"/>
              </w:rPr>
            </w:pPr>
          </w:p>
        </w:tc>
        <w:tc>
          <w:tcPr>
            <w:tcW w:w="4842" w:type="dxa"/>
            <w:gridSpan w:val="2"/>
            <w:vAlign w:val="top"/>
          </w:tcPr>
          <w:p w14:paraId="26B5AA5F">
            <w:pPr>
              <w:pStyle w:val="6"/>
              <w:spacing w:before="59" w:line="221" w:lineRule="auto"/>
              <w:ind w:left="118"/>
            </w:pPr>
            <w:r>
              <w:rPr>
                <w:rFonts w:ascii="Times New Roman" w:hAnsi="Times New Roman" w:eastAsia="Times New Roman" w:cs="Times New Roman"/>
              </w:rPr>
              <w:t xml:space="preserve">220kV </w:t>
            </w:r>
            <w:r>
              <w:t>兰昌Ⅰ回、</w:t>
            </w:r>
            <w:r>
              <w:rPr>
                <w:rFonts w:ascii="Times New Roman" w:hAnsi="Times New Roman" w:eastAsia="Times New Roman" w:cs="Times New Roman"/>
              </w:rPr>
              <w:t xml:space="preserve">220kV </w:t>
            </w:r>
            <w:r>
              <w:t>兰河线同塔双回监测断面</w:t>
            </w:r>
          </w:p>
          <w:p w14:paraId="1DFFD12F">
            <w:pPr>
              <w:pStyle w:val="6"/>
              <w:spacing w:before="63" w:line="223" w:lineRule="auto"/>
              <w:ind w:left="1329"/>
            </w:pPr>
            <w:r>
              <w:rPr>
                <w:spacing w:val="-1"/>
              </w:rPr>
              <w:t>（</w:t>
            </w:r>
            <w:r>
              <w:rPr>
                <w:rFonts w:ascii="Times New Roman" w:hAnsi="Times New Roman" w:eastAsia="Times New Roman" w:cs="Times New Roman"/>
                <w:spacing w:val="-1"/>
              </w:rPr>
              <w:t>4#~5#</w:t>
            </w:r>
            <w:r>
              <w:rPr>
                <w:spacing w:val="-1"/>
              </w:rPr>
              <w:t>）同塔双回线下</w:t>
            </w:r>
          </w:p>
        </w:tc>
        <w:tc>
          <w:tcPr>
            <w:tcW w:w="1701" w:type="dxa"/>
            <w:gridSpan w:val="2"/>
            <w:vMerge w:val="restart"/>
            <w:tcBorders>
              <w:bottom w:val="nil"/>
            </w:tcBorders>
            <w:vAlign w:val="top"/>
          </w:tcPr>
          <w:p w14:paraId="5889A54B">
            <w:pPr>
              <w:spacing w:line="254" w:lineRule="auto"/>
              <w:rPr>
                <w:rFonts w:ascii="Arial"/>
                <w:sz w:val="21"/>
              </w:rPr>
            </w:pPr>
          </w:p>
          <w:p w14:paraId="3485C1E1">
            <w:pPr>
              <w:spacing w:line="255" w:lineRule="auto"/>
              <w:rPr>
                <w:rFonts w:ascii="Arial"/>
                <w:sz w:val="21"/>
              </w:rPr>
            </w:pPr>
          </w:p>
          <w:p w14:paraId="4109ED13">
            <w:pPr>
              <w:spacing w:before="60" w:line="233" w:lineRule="auto"/>
              <w:ind w:left="24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2024.7.31~8.1</w:t>
            </w:r>
          </w:p>
        </w:tc>
        <w:tc>
          <w:tcPr>
            <w:tcW w:w="849" w:type="dxa"/>
            <w:vAlign w:val="top"/>
          </w:tcPr>
          <w:p w14:paraId="6EC53683">
            <w:pPr>
              <w:spacing w:before="250" w:line="234" w:lineRule="auto"/>
              <w:ind w:left="3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890" w:type="dxa"/>
            <w:vAlign w:val="top"/>
          </w:tcPr>
          <w:p w14:paraId="403629E4">
            <w:pPr>
              <w:spacing w:before="251" w:line="236" w:lineRule="auto"/>
              <w:ind w:left="34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w:t>
            </w:r>
          </w:p>
        </w:tc>
        <w:tc>
          <w:tcPr>
            <w:tcW w:w="116" w:type="dxa"/>
            <w:tcBorders>
              <w:top w:val="nil"/>
              <w:bottom w:val="nil"/>
            </w:tcBorders>
            <w:vAlign w:val="top"/>
          </w:tcPr>
          <w:p w14:paraId="1EE1EEA9">
            <w:pPr>
              <w:rPr>
                <w:rFonts w:ascii="Arial"/>
                <w:sz w:val="21"/>
              </w:rPr>
            </w:pPr>
          </w:p>
        </w:tc>
      </w:tr>
      <w:tr w14:paraId="7A6E7B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2" w:hRule="atLeast"/>
        </w:trPr>
        <w:tc>
          <w:tcPr>
            <w:tcW w:w="571" w:type="dxa"/>
            <w:vMerge w:val="continue"/>
            <w:tcBorders>
              <w:top w:val="nil"/>
            </w:tcBorders>
            <w:vAlign w:val="top"/>
          </w:tcPr>
          <w:p w14:paraId="03F93C8D">
            <w:pPr>
              <w:rPr>
                <w:rFonts w:ascii="Arial"/>
                <w:sz w:val="21"/>
              </w:rPr>
            </w:pPr>
          </w:p>
        </w:tc>
        <w:tc>
          <w:tcPr>
            <w:tcW w:w="109" w:type="dxa"/>
            <w:tcBorders>
              <w:top w:val="nil"/>
            </w:tcBorders>
            <w:vAlign w:val="top"/>
          </w:tcPr>
          <w:p w14:paraId="1D443C8D">
            <w:pPr>
              <w:rPr>
                <w:rFonts w:ascii="Arial"/>
                <w:sz w:val="21"/>
              </w:rPr>
            </w:pPr>
          </w:p>
        </w:tc>
        <w:tc>
          <w:tcPr>
            <w:tcW w:w="4842" w:type="dxa"/>
            <w:gridSpan w:val="2"/>
            <w:vAlign w:val="top"/>
          </w:tcPr>
          <w:p w14:paraId="3BE0361A">
            <w:pPr>
              <w:pStyle w:val="6"/>
              <w:spacing w:before="57" w:line="257" w:lineRule="auto"/>
              <w:ind w:left="696" w:right="109" w:hanging="578"/>
            </w:pPr>
            <w:r>
              <w:rPr>
                <w:rFonts w:ascii="Times New Roman" w:hAnsi="Times New Roman" w:eastAsia="Times New Roman" w:cs="Times New Roman"/>
              </w:rPr>
              <w:t xml:space="preserve">220kV </w:t>
            </w:r>
            <w:r>
              <w:t>兰昌Ⅰ回、</w:t>
            </w:r>
            <w:r>
              <w:rPr>
                <w:rFonts w:ascii="Times New Roman" w:hAnsi="Times New Roman" w:eastAsia="Times New Roman" w:cs="Times New Roman"/>
              </w:rPr>
              <w:t xml:space="preserve">220kV </w:t>
            </w:r>
            <w:r>
              <w:t>兰河线同塔双回监测断面</w:t>
            </w:r>
            <w:r>
              <w:rPr>
                <w:spacing w:val="-1"/>
              </w:rPr>
              <w:t>（</w:t>
            </w:r>
            <w:r>
              <w:rPr>
                <w:rFonts w:ascii="Times New Roman" w:hAnsi="Times New Roman" w:eastAsia="Times New Roman" w:cs="Times New Roman"/>
                <w:spacing w:val="-1"/>
              </w:rPr>
              <w:t>4#~5#</w:t>
            </w:r>
            <w:r>
              <w:rPr>
                <w:spacing w:val="-1"/>
              </w:rPr>
              <w:t>）同塔双回边导线对地投影处</w:t>
            </w:r>
          </w:p>
        </w:tc>
        <w:tc>
          <w:tcPr>
            <w:tcW w:w="1701" w:type="dxa"/>
            <w:gridSpan w:val="2"/>
            <w:vMerge w:val="continue"/>
            <w:tcBorders>
              <w:top w:val="nil"/>
            </w:tcBorders>
            <w:vAlign w:val="top"/>
          </w:tcPr>
          <w:p w14:paraId="2FB3260B">
            <w:pPr>
              <w:rPr>
                <w:rFonts w:ascii="Arial"/>
                <w:sz w:val="21"/>
              </w:rPr>
            </w:pPr>
          </w:p>
        </w:tc>
        <w:tc>
          <w:tcPr>
            <w:tcW w:w="849" w:type="dxa"/>
            <w:vAlign w:val="top"/>
          </w:tcPr>
          <w:p w14:paraId="7345D2FC">
            <w:pPr>
              <w:spacing w:before="251" w:line="234" w:lineRule="auto"/>
              <w:ind w:left="3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890" w:type="dxa"/>
            <w:vAlign w:val="top"/>
          </w:tcPr>
          <w:p w14:paraId="41C4D96B">
            <w:pPr>
              <w:spacing w:before="251" w:line="234" w:lineRule="auto"/>
              <w:ind w:left="34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16" w:type="dxa"/>
            <w:tcBorders>
              <w:top w:val="nil"/>
            </w:tcBorders>
            <w:vAlign w:val="top"/>
          </w:tcPr>
          <w:p w14:paraId="3DB32315">
            <w:pPr>
              <w:rPr>
                <w:rFonts w:ascii="Arial"/>
                <w:sz w:val="21"/>
              </w:rPr>
            </w:pPr>
          </w:p>
        </w:tc>
      </w:tr>
    </w:tbl>
    <w:p w14:paraId="70D1706A">
      <w:pPr>
        <w:rPr>
          <w:rFonts w:ascii="Arial"/>
          <w:sz w:val="21"/>
        </w:rPr>
      </w:pPr>
    </w:p>
    <w:p w14:paraId="0EAD5EA6">
      <w:pPr>
        <w:rPr>
          <w:rFonts w:ascii="Arial" w:hAnsi="Arial" w:eastAsia="Arial" w:cs="Arial"/>
          <w:sz w:val="21"/>
          <w:szCs w:val="21"/>
        </w:rPr>
        <w:sectPr>
          <w:footerReference r:id="rId71" w:type="default"/>
          <w:pgSz w:w="11907" w:h="16841"/>
          <w:pgMar w:top="400" w:right="1408" w:bottom="1126" w:left="1414" w:header="0" w:footer="925" w:gutter="0"/>
          <w:cols w:space="720" w:num="1"/>
        </w:sectPr>
      </w:pPr>
    </w:p>
    <w:p w14:paraId="2F1EFEAA">
      <w:pPr>
        <w:spacing w:before="2"/>
      </w:pPr>
    </w:p>
    <w:p w14:paraId="0C90DFDA">
      <w:pPr>
        <w:spacing w:before="2"/>
      </w:pPr>
    </w:p>
    <w:p w14:paraId="45748A99">
      <w:pPr>
        <w:spacing w:before="1"/>
      </w:pPr>
    </w:p>
    <w:p w14:paraId="45A87501">
      <w:pPr>
        <w:spacing w:before="1"/>
      </w:pPr>
    </w:p>
    <w:p w14:paraId="7A4FC0EB">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3"/>
        <w:gridCol w:w="4841"/>
        <w:gridCol w:w="1701"/>
        <w:gridCol w:w="849"/>
        <w:gridCol w:w="883"/>
        <w:gridCol w:w="120"/>
      </w:tblGrid>
      <w:tr w14:paraId="723FA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trPr>
        <w:tc>
          <w:tcPr>
            <w:tcW w:w="571" w:type="dxa"/>
            <w:vMerge w:val="restart"/>
            <w:tcBorders>
              <w:bottom w:val="nil"/>
            </w:tcBorders>
            <w:vAlign w:val="top"/>
          </w:tcPr>
          <w:p w14:paraId="554D6E63">
            <w:pPr>
              <w:rPr>
                <w:rFonts w:ascii="Arial"/>
                <w:sz w:val="21"/>
              </w:rPr>
            </w:pPr>
          </w:p>
        </w:tc>
        <w:tc>
          <w:tcPr>
            <w:tcW w:w="113" w:type="dxa"/>
            <w:tcBorders>
              <w:bottom w:val="nil"/>
            </w:tcBorders>
            <w:vAlign w:val="top"/>
          </w:tcPr>
          <w:p w14:paraId="2EDF9A31">
            <w:pPr>
              <w:rPr>
                <w:rFonts w:ascii="Arial"/>
                <w:sz w:val="21"/>
              </w:rPr>
            </w:pPr>
          </w:p>
        </w:tc>
        <w:tc>
          <w:tcPr>
            <w:tcW w:w="4841" w:type="dxa"/>
            <w:vAlign w:val="top"/>
          </w:tcPr>
          <w:p w14:paraId="4EDAA2DE">
            <w:pPr>
              <w:pStyle w:val="6"/>
              <w:spacing w:before="70" w:line="221" w:lineRule="auto"/>
              <w:ind w:left="114"/>
            </w:pPr>
            <w:bookmarkStart w:id="4" w:name="bookmark13"/>
            <w:bookmarkEnd w:id="4"/>
            <w:r>
              <w:rPr>
                <w:rFonts w:ascii="Times New Roman" w:hAnsi="Times New Roman" w:eastAsia="Times New Roman" w:cs="Times New Roman"/>
              </w:rPr>
              <w:t xml:space="preserve">220kV </w:t>
            </w:r>
            <w:r>
              <w:t>兰昌Ⅰ回、</w:t>
            </w:r>
            <w:r>
              <w:rPr>
                <w:rFonts w:ascii="Times New Roman" w:hAnsi="Times New Roman" w:eastAsia="Times New Roman" w:cs="Times New Roman"/>
              </w:rPr>
              <w:t xml:space="preserve">220kV </w:t>
            </w:r>
            <w:r>
              <w:t>兰河线同塔双回监测断面</w:t>
            </w:r>
          </w:p>
          <w:p w14:paraId="64A849FE">
            <w:pPr>
              <w:pStyle w:val="6"/>
              <w:spacing w:before="63" w:line="227" w:lineRule="auto"/>
              <w:ind w:left="847"/>
              <w:rPr>
                <w:rFonts w:ascii="Times New Roman" w:hAnsi="Times New Roman" w:eastAsia="Times New Roman" w:cs="Times New Roman"/>
              </w:rPr>
            </w:pPr>
            <w:r>
              <w:rPr>
                <w:spacing w:val="-1"/>
              </w:rPr>
              <w:t>（</w:t>
            </w:r>
            <w:r>
              <w:rPr>
                <w:rFonts w:ascii="Times New Roman" w:hAnsi="Times New Roman" w:eastAsia="Times New Roman" w:cs="Times New Roman"/>
                <w:spacing w:val="-1"/>
              </w:rPr>
              <w:t>4#~5#</w:t>
            </w:r>
            <w:r>
              <w:rPr>
                <w:spacing w:val="-1"/>
              </w:rPr>
              <w:t>）边导线对地投影处外</w:t>
            </w:r>
            <w:r>
              <w:rPr>
                <w:spacing w:val="-40"/>
              </w:rPr>
              <w:t xml:space="preserve"> </w:t>
            </w:r>
            <w:r>
              <w:rPr>
                <w:rFonts w:ascii="Times New Roman" w:hAnsi="Times New Roman" w:eastAsia="Times New Roman" w:cs="Times New Roman"/>
                <w:spacing w:val="-1"/>
              </w:rPr>
              <w:t>5m</w:t>
            </w:r>
          </w:p>
        </w:tc>
        <w:tc>
          <w:tcPr>
            <w:tcW w:w="1701" w:type="dxa"/>
            <w:vMerge w:val="restart"/>
            <w:tcBorders>
              <w:bottom w:val="nil"/>
            </w:tcBorders>
            <w:vAlign w:val="top"/>
          </w:tcPr>
          <w:p w14:paraId="520EA3F4">
            <w:pPr>
              <w:rPr>
                <w:rFonts w:ascii="Arial"/>
                <w:sz w:val="21"/>
              </w:rPr>
            </w:pPr>
          </w:p>
        </w:tc>
        <w:tc>
          <w:tcPr>
            <w:tcW w:w="849" w:type="dxa"/>
            <w:vAlign w:val="top"/>
          </w:tcPr>
          <w:p w14:paraId="255B3B90">
            <w:pPr>
              <w:spacing w:before="261" w:line="236" w:lineRule="auto"/>
              <w:ind w:left="3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w:t>
            </w:r>
          </w:p>
        </w:tc>
        <w:tc>
          <w:tcPr>
            <w:tcW w:w="883" w:type="dxa"/>
            <w:vAlign w:val="top"/>
          </w:tcPr>
          <w:p w14:paraId="70014DF9">
            <w:pPr>
              <w:spacing w:before="261" w:line="234" w:lineRule="auto"/>
              <w:ind w:left="33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20" w:type="dxa"/>
            <w:vMerge w:val="restart"/>
            <w:tcBorders>
              <w:bottom w:val="nil"/>
            </w:tcBorders>
            <w:vAlign w:val="top"/>
          </w:tcPr>
          <w:p w14:paraId="113DBBBE">
            <w:pPr>
              <w:rPr>
                <w:rFonts w:ascii="Arial"/>
                <w:sz w:val="21"/>
              </w:rPr>
            </w:pPr>
          </w:p>
        </w:tc>
      </w:tr>
      <w:tr w14:paraId="5E26C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571" w:type="dxa"/>
            <w:vMerge w:val="continue"/>
            <w:tcBorders>
              <w:top w:val="nil"/>
              <w:bottom w:val="nil"/>
            </w:tcBorders>
            <w:vAlign w:val="top"/>
          </w:tcPr>
          <w:p w14:paraId="0C320820">
            <w:pPr>
              <w:rPr>
                <w:rFonts w:ascii="Arial"/>
                <w:sz w:val="21"/>
              </w:rPr>
            </w:pPr>
          </w:p>
        </w:tc>
        <w:tc>
          <w:tcPr>
            <w:tcW w:w="113" w:type="dxa"/>
            <w:tcBorders>
              <w:top w:val="nil"/>
              <w:bottom w:val="nil"/>
            </w:tcBorders>
            <w:vAlign w:val="top"/>
          </w:tcPr>
          <w:p w14:paraId="25BF69A5">
            <w:pPr>
              <w:rPr>
                <w:rFonts w:ascii="Arial"/>
                <w:sz w:val="21"/>
              </w:rPr>
            </w:pPr>
          </w:p>
        </w:tc>
        <w:tc>
          <w:tcPr>
            <w:tcW w:w="4841" w:type="dxa"/>
            <w:vAlign w:val="top"/>
          </w:tcPr>
          <w:p w14:paraId="6B75225C">
            <w:pPr>
              <w:pStyle w:val="6"/>
              <w:spacing w:before="53" w:line="251" w:lineRule="auto"/>
              <w:ind w:left="796" w:right="112" w:hanging="682"/>
              <w:rPr>
                <w:rFonts w:ascii="Times New Roman" w:hAnsi="Times New Roman" w:eastAsia="Times New Roman" w:cs="Times New Roman"/>
              </w:rPr>
            </w:pPr>
            <w:r>
              <w:rPr>
                <w:rFonts w:ascii="Times New Roman" w:hAnsi="Times New Roman" w:eastAsia="Times New Roman" w:cs="Times New Roman"/>
              </w:rPr>
              <w:t xml:space="preserve">220kV </w:t>
            </w:r>
            <w:r>
              <w:t>兰昌Ⅰ回、</w:t>
            </w:r>
            <w:r>
              <w:rPr>
                <w:rFonts w:ascii="Times New Roman" w:hAnsi="Times New Roman" w:eastAsia="Times New Roman" w:cs="Times New Roman"/>
              </w:rPr>
              <w:t xml:space="preserve">220kV </w:t>
            </w:r>
            <w:r>
              <w:t>兰河线同塔双回监测断面</w:t>
            </w:r>
            <w:r>
              <w:rPr>
                <w:spacing w:val="-2"/>
              </w:rPr>
              <w:t>（</w:t>
            </w:r>
            <w:r>
              <w:rPr>
                <w:rFonts w:ascii="Times New Roman" w:hAnsi="Times New Roman" w:eastAsia="Times New Roman" w:cs="Times New Roman"/>
                <w:spacing w:val="-2"/>
              </w:rPr>
              <w:t>4#~5#</w:t>
            </w:r>
            <w:r>
              <w:rPr>
                <w:spacing w:val="-2"/>
              </w:rPr>
              <w:t>）边导线对地投影处外</w:t>
            </w:r>
            <w:r>
              <w:rPr>
                <w:spacing w:val="-26"/>
              </w:rPr>
              <w:t xml:space="preserve"> </w:t>
            </w:r>
            <w:r>
              <w:rPr>
                <w:rFonts w:ascii="Times New Roman" w:hAnsi="Times New Roman" w:eastAsia="Times New Roman" w:cs="Times New Roman"/>
                <w:spacing w:val="-2"/>
              </w:rPr>
              <w:t>10m</w:t>
            </w:r>
          </w:p>
        </w:tc>
        <w:tc>
          <w:tcPr>
            <w:tcW w:w="1701" w:type="dxa"/>
            <w:vMerge w:val="continue"/>
            <w:tcBorders>
              <w:top w:val="nil"/>
              <w:bottom w:val="nil"/>
            </w:tcBorders>
            <w:vAlign w:val="top"/>
          </w:tcPr>
          <w:p w14:paraId="1919D0A7">
            <w:pPr>
              <w:rPr>
                <w:rFonts w:ascii="Arial"/>
                <w:sz w:val="21"/>
              </w:rPr>
            </w:pPr>
          </w:p>
        </w:tc>
        <w:tc>
          <w:tcPr>
            <w:tcW w:w="849" w:type="dxa"/>
            <w:vAlign w:val="top"/>
          </w:tcPr>
          <w:p w14:paraId="5D6CC435">
            <w:pPr>
              <w:spacing w:before="246" w:line="236" w:lineRule="auto"/>
              <w:ind w:left="3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w:t>
            </w:r>
          </w:p>
        </w:tc>
        <w:tc>
          <w:tcPr>
            <w:tcW w:w="883" w:type="dxa"/>
            <w:vAlign w:val="top"/>
          </w:tcPr>
          <w:p w14:paraId="3291C813">
            <w:pPr>
              <w:spacing w:before="247" w:line="233" w:lineRule="auto"/>
              <w:ind w:left="34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w:t>
            </w:r>
          </w:p>
        </w:tc>
        <w:tc>
          <w:tcPr>
            <w:tcW w:w="120" w:type="dxa"/>
            <w:vMerge w:val="continue"/>
            <w:tcBorders>
              <w:top w:val="nil"/>
              <w:bottom w:val="nil"/>
            </w:tcBorders>
            <w:vAlign w:val="top"/>
          </w:tcPr>
          <w:p w14:paraId="39E6DFBB">
            <w:pPr>
              <w:rPr>
                <w:rFonts w:ascii="Arial"/>
                <w:sz w:val="21"/>
              </w:rPr>
            </w:pPr>
          </w:p>
        </w:tc>
      </w:tr>
      <w:tr w14:paraId="737C33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1" w:type="dxa"/>
            <w:vMerge w:val="continue"/>
            <w:tcBorders>
              <w:top w:val="nil"/>
              <w:bottom w:val="nil"/>
            </w:tcBorders>
            <w:vAlign w:val="top"/>
          </w:tcPr>
          <w:p w14:paraId="6C89FEAC">
            <w:pPr>
              <w:rPr>
                <w:rFonts w:ascii="Arial"/>
                <w:sz w:val="21"/>
              </w:rPr>
            </w:pPr>
          </w:p>
        </w:tc>
        <w:tc>
          <w:tcPr>
            <w:tcW w:w="113" w:type="dxa"/>
            <w:tcBorders>
              <w:top w:val="nil"/>
              <w:bottom w:val="nil"/>
            </w:tcBorders>
            <w:vAlign w:val="top"/>
          </w:tcPr>
          <w:p w14:paraId="7339727B">
            <w:pPr>
              <w:rPr>
                <w:rFonts w:ascii="Arial"/>
                <w:sz w:val="21"/>
              </w:rPr>
            </w:pPr>
          </w:p>
        </w:tc>
        <w:tc>
          <w:tcPr>
            <w:tcW w:w="4841" w:type="dxa"/>
            <w:vAlign w:val="top"/>
          </w:tcPr>
          <w:p w14:paraId="56B23143">
            <w:pPr>
              <w:pStyle w:val="6"/>
              <w:spacing w:before="56" w:line="251" w:lineRule="auto"/>
              <w:ind w:left="796" w:right="112" w:hanging="682"/>
              <w:rPr>
                <w:rFonts w:ascii="Times New Roman" w:hAnsi="Times New Roman" w:eastAsia="Times New Roman" w:cs="Times New Roman"/>
              </w:rPr>
            </w:pPr>
            <w:r>
              <w:rPr>
                <w:rFonts w:ascii="Times New Roman" w:hAnsi="Times New Roman" w:eastAsia="Times New Roman" w:cs="Times New Roman"/>
              </w:rPr>
              <w:t xml:space="preserve">220kV </w:t>
            </w:r>
            <w:r>
              <w:t>兰昌Ⅰ回、</w:t>
            </w:r>
            <w:r>
              <w:rPr>
                <w:rFonts w:ascii="Times New Roman" w:hAnsi="Times New Roman" w:eastAsia="Times New Roman" w:cs="Times New Roman"/>
              </w:rPr>
              <w:t xml:space="preserve">220kV </w:t>
            </w:r>
            <w:r>
              <w:t>兰河线同塔双回监测断面</w:t>
            </w:r>
            <w:r>
              <w:rPr>
                <w:spacing w:val="-2"/>
              </w:rPr>
              <w:t>（</w:t>
            </w:r>
            <w:r>
              <w:rPr>
                <w:rFonts w:ascii="Times New Roman" w:hAnsi="Times New Roman" w:eastAsia="Times New Roman" w:cs="Times New Roman"/>
                <w:spacing w:val="-2"/>
              </w:rPr>
              <w:t>4#~5#</w:t>
            </w:r>
            <w:r>
              <w:rPr>
                <w:spacing w:val="-2"/>
              </w:rPr>
              <w:t>）边导线对地投影处外</w:t>
            </w:r>
            <w:r>
              <w:rPr>
                <w:spacing w:val="-26"/>
              </w:rPr>
              <w:t xml:space="preserve"> </w:t>
            </w:r>
            <w:r>
              <w:rPr>
                <w:rFonts w:ascii="Times New Roman" w:hAnsi="Times New Roman" w:eastAsia="Times New Roman" w:cs="Times New Roman"/>
                <w:spacing w:val="-2"/>
              </w:rPr>
              <w:t>15m</w:t>
            </w:r>
          </w:p>
        </w:tc>
        <w:tc>
          <w:tcPr>
            <w:tcW w:w="1701" w:type="dxa"/>
            <w:vMerge w:val="continue"/>
            <w:tcBorders>
              <w:top w:val="nil"/>
              <w:bottom w:val="nil"/>
            </w:tcBorders>
            <w:vAlign w:val="top"/>
          </w:tcPr>
          <w:p w14:paraId="7E4B814F">
            <w:pPr>
              <w:rPr>
                <w:rFonts w:ascii="Arial"/>
                <w:sz w:val="21"/>
              </w:rPr>
            </w:pPr>
          </w:p>
        </w:tc>
        <w:tc>
          <w:tcPr>
            <w:tcW w:w="849" w:type="dxa"/>
            <w:vAlign w:val="top"/>
          </w:tcPr>
          <w:p w14:paraId="69418FCA">
            <w:pPr>
              <w:spacing w:before="247" w:line="236" w:lineRule="auto"/>
              <w:ind w:left="3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w:t>
            </w:r>
          </w:p>
        </w:tc>
        <w:tc>
          <w:tcPr>
            <w:tcW w:w="883" w:type="dxa"/>
            <w:vAlign w:val="top"/>
          </w:tcPr>
          <w:p w14:paraId="73BF33ED">
            <w:pPr>
              <w:spacing w:before="247" w:line="233" w:lineRule="auto"/>
              <w:ind w:left="34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w:t>
            </w:r>
          </w:p>
        </w:tc>
        <w:tc>
          <w:tcPr>
            <w:tcW w:w="120" w:type="dxa"/>
            <w:vMerge w:val="continue"/>
            <w:tcBorders>
              <w:top w:val="nil"/>
              <w:bottom w:val="nil"/>
            </w:tcBorders>
            <w:vAlign w:val="top"/>
          </w:tcPr>
          <w:p w14:paraId="2E5698D7">
            <w:pPr>
              <w:rPr>
                <w:rFonts w:ascii="Arial"/>
                <w:sz w:val="21"/>
              </w:rPr>
            </w:pPr>
          </w:p>
        </w:tc>
      </w:tr>
      <w:tr w14:paraId="5066E9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571" w:type="dxa"/>
            <w:vMerge w:val="continue"/>
            <w:tcBorders>
              <w:top w:val="nil"/>
              <w:bottom w:val="nil"/>
            </w:tcBorders>
            <w:vAlign w:val="top"/>
          </w:tcPr>
          <w:p w14:paraId="01C85936">
            <w:pPr>
              <w:rPr>
                <w:rFonts w:ascii="Arial"/>
                <w:sz w:val="21"/>
              </w:rPr>
            </w:pPr>
          </w:p>
        </w:tc>
        <w:tc>
          <w:tcPr>
            <w:tcW w:w="113" w:type="dxa"/>
            <w:tcBorders>
              <w:top w:val="nil"/>
              <w:bottom w:val="nil"/>
            </w:tcBorders>
            <w:vAlign w:val="top"/>
          </w:tcPr>
          <w:p w14:paraId="05100577">
            <w:pPr>
              <w:rPr>
                <w:rFonts w:ascii="Arial"/>
                <w:sz w:val="21"/>
              </w:rPr>
            </w:pPr>
          </w:p>
        </w:tc>
        <w:tc>
          <w:tcPr>
            <w:tcW w:w="4841" w:type="dxa"/>
            <w:vAlign w:val="top"/>
          </w:tcPr>
          <w:p w14:paraId="3CF697AF">
            <w:pPr>
              <w:pStyle w:val="6"/>
              <w:spacing w:before="53" w:line="251" w:lineRule="auto"/>
              <w:ind w:left="796" w:right="112" w:hanging="682"/>
              <w:rPr>
                <w:rFonts w:ascii="Times New Roman" w:hAnsi="Times New Roman" w:eastAsia="Times New Roman" w:cs="Times New Roman"/>
              </w:rPr>
            </w:pPr>
            <w:r>
              <w:rPr>
                <w:rFonts w:ascii="Times New Roman" w:hAnsi="Times New Roman" w:eastAsia="Times New Roman" w:cs="Times New Roman"/>
              </w:rPr>
              <w:t xml:space="preserve">220kV </w:t>
            </w:r>
            <w:r>
              <w:t>兰昌Ⅰ回、</w:t>
            </w:r>
            <w:r>
              <w:rPr>
                <w:rFonts w:ascii="Times New Roman" w:hAnsi="Times New Roman" w:eastAsia="Times New Roman" w:cs="Times New Roman"/>
              </w:rPr>
              <w:t xml:space="preserve">220kV </w:t>
            </w:r>
            <w:r>
              <w:t>兰河线同塔双回监测断面</w:t>
            </w:r>
            <w:r>
              <w:rPr>
                <w:spacing w:val="-1"/>
              </w:rPr>
              <w:t>（</w:t>
            </w:r>
            <w:r>
              <w:rPr>
                <w:rFonts w:ascii="Times New Roman" w:hAnsi="Times New Roman" w:eastAsia="Times New Roman" w:cs="Times New Roman"/>
                <w:spacing w:val="-1"/>
              </w:rPr>
              <w:t>4#~5#</w:t>
            </w:r>
            <w:r>
              <w:rPr>
                <w:spacing w:val="-1"/>
              </w:rPr>
              <w:t>）边导线对地投影处外</w:t>
            </w:r>
            <w:r>
              <w:rPr>
                <w:spacing w:val="-45"/>
              </w:rPr>
              <w:t xml:space="preserve"> </w:t>
            </w:r>
            <w:r>
              <w:rPr>
                <w:rFonts w:ascii="Times New Roman" w:hAnsi="Times New Roman" w:eastAsia="Times New Roman" w:cs="Times New Roman"/>
                <w:spacing w:val="-1"/>
              </w:rPr>
              <w:t>20m</w:t>
            </w:r>
          </w:p>
        </w:tc>
        <w:tc>
          <w:tcPr>
            <w:tcW w:w="1701" w:type="dxa"/>
            <w:vMerge w:val="continue"/>
            <w:tcBorders>
              <w:top w:val="nil"/>
              <w:bottom w:val="nil"/>
            </w:tcBorders>
            <w:vAlign w:val="top"/>
          </w:tcPr>
          <w:p w14:paraId="63A77106">
            <w:pPr>
              <w:rPr>
                <w:rFonts w:ascii="Arial"/>
                <w:sz w:val="21"/>
              </w:rPr>
            </w:pPr>
          </w:p>
        </w:tc>
        <w:tc>
          <w:tcPr>
            <w:tcW w:w="849" w:type="dxa"/>
            <w:vAlign w:val="top"/>
          </w:tcPr>
          <w:p w14:paraId="78BB42CF">
            <w:pPr>
              <w:spacing w:before="247" w:line="236" w:lineRule="auto"/>
              <w:ind w:left="3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w:t>
            </w:r>
          </w:p>
        </w:tc>
        <w:tc>
          <w:tcPr>
            <w:tcW w:w="883" w:type="dxa"/>
            <w:vAlign w:val="top"/>
          </w:tcPr>
          <w:p w14:paraId="712FAB2A">
            <w:pPr>
              <w:spacing w:before="248" w:line="233" w:lineRule="auto"/>
              <w:ind w:left="34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w:t>
            </w:r>
          </w:p>
        </w:tc>
        <w:tc>
          <w:tcPr>
            <w:tcW w:w="120" w:type="dxa"/>
            <w:vMerge w:val="continue"/>
            <w:tcBorders>
              <w:top w:val="nil"/>
              <w:bottom w:val="nil"/>
            </w:tcBorders>
            <w:vAlign w:val="top"/>
          </w:tcPr>
          <w:p w14:paraId="5E255DCF">
            <w:pPr>
              <w:rPr>
                <w:rFonts w:ascii="Arial"/>
                <w:sz w:val="21"/>
              </w:rPr>
            </w:pPr>
          </w:p>
        </w:tc>
      </w:tr>
      <w:tr w14:paraId="2081B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1" w:type="dxa"/>
            <w:vMerge w:val="continue"/>
            <w:tcBorders>
              <w:top w:val="nil"/>
              <w:bottom w:val="nil"/>
            </w:tcBorders>
            <w:vAlign w:val="top"/>
          </w:tcPr>
          <w:p w14:paraId="017028FB">
            <w:pPr>
              <w:rPr>
                <w:rFonts w:ascii="Arial"/>
                <w:sz w:val="21"/>
              </w:rPr>
            </w:pPr>
          </w:p>
        </w:tc>
        <w:tc>
          <w:tcPr>
            <w:tcW w:w="113" w:type="dxa"/>
            <w:tcBorders>
              <w:top w:val="nil"/>
              <w:bottom w:val="nil"/>
            </w:tcBorders>
            <w:vAlign w:val="top"/>
          </w:tcPr>
          <w:p w14:paraId="0ED5EA3F">
            <w:pPr>
              <w:rPr>
                <w:rFonts w:ascii="Arial"/>
                <w:sz w:val="21"/>
              </w:rPr>
            </w:pPr>
          </w:p>
        </w:tc>
        <w:tc>
          <w:tcPr>
            <w:tcW w:w="4841" w:type="dxa"/>
            <w:vAlign w:val="top"/>
          </w:tcPr>
          <w:p w14:paraId="2F21F294">
            <w:pPr>
              <w:pStyle w:val="6"/>
              <w:spacing w:before="56" w:line="251" w:lineRule="auto"/>
              <w:ind w:left="796" w:right="112" w:hanging="682"/>
              <w:rPr>
                <w:rFonts w:ascii="Times New Roman" w:hAnsi="Times New Roman" w:eastAsia="Times New Roman" w:cs="Times New Roman"/>
              </w:rPr>
            </w:pPr>
            <w:r>
              <w:rPr>
                <w:rFonts w:ascii="Times New Roman" w:hAnsi="Times New Roman" w:eastAsia="Times New Roman" w:cs="Times New Roman"/>
              </w:rPr>
              <w:t xml:space="preserve">220kV </w:t>
            </w:r>
            <w:r>
              <w:t>兰昌Ⅰ回、</w:t>
            </w:r>
            <w:r>
              <w:rPr>
                <w:rFonts w:ascii="Times New Roman" w:hAnsi="Times New Roman" w:eastAsia="Times New Roman" w:cs="Times New Roman"/>
              </w:rPr>
              <w:t xml:space="preserve">220kV </w:t>
            </w:r>
            <w:r>
              <w:t>兰河线同塔双回监测断面</w:t>
            </w:r>
            <w:r>
              <w:rPr>
                <w:spacing w:val="-1"/>
              </w:rPr>
              <w:t>（</w:t>
            </w:r>
            <w:r>
              <w:rPr>
                <w:rFonts w:ascii="Times New Roman" w:hAnsi="Times New Roman" w:eastAsia="Times New Roman" w:cs="Times New Roman"/>
                <w:spacing w:val="-1"/>
              </w:rPr>
              <w:t>4#~5#</w:t>
            </w:r>
            <w:r>
              <w:rPr>
                <w:spacing w:val="-1"/>
              </w:rPr>
              <w:t>）边导线对地投影处外</w:t>
            </w:r>
            <w:r>
              <w:rPr>
                <w:spacing w:val="-45"/>
              </w:rPr>
              <w:t xml:space="preserve"> </w:t>
            </w:r>
            <w:r>
              <w:rPr>
                <w:rFonts w:ascii="Times New Roman" w:hAnsi="Times New Roman" w:eastAsia="Times New Roman" w:cs="Times New Roman"/>
                <w:spacing w:val="-1"/>
              </w:rPr>
              <w:t>25m</w:t>
            </w:r>
          </w:p>
        </w:tc>
        <w:tc>
          <w:tcPr>
            <w:tcW w:w="1701" w:type="dxa"/>
            <w:vMerge w:val="continue"/>
            <w:tcBorders>
              <w:top w:val="nil"/>
              <w:bottom w:val="nil"/>
            </w:tcBorders>
            <w:vAlign w:val="top"/>
          </w:tcPr>
          <w:p w14:paraId="4E1211E4">
            <w:pPr>
              <w:rPr>
                <w:rFonts w:ascii="Arial"/>
                <w:sz w:val="21"/>
              </w:rPr>
            </w:pPr>
          </w:p>
        </w:tc>
        <w:tc>
          <w:tcPr>
            <w:tcW w:w="849" w:type="dxa"/>
            <w:vAlign w:val="top"/>
          </w:tcPr>
          <w:p w14:paraId="4759AF5A">
            <w:pPr>
              <w:spacing w:before="248" w:line="236" w:lineRule="auto"/>
              <w:ind w:left="3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w:t>
            </w:r>
          </w:p>
        </w:tc>
        <w:tc>
          <w:tcPr>
            <w:tcW w:w="883" w:type="dxa"/>
            <w:vAlign w:val="top"/>
          </w:tcPr>
          <w:p w14:paraId="5A475319">
            <w:pPr>
              <w:spacing w:before="248" w:line="234" w:lineRule="auto"/>
              <w:ind w:left="34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120" w:type="dxa"/>
            <w:vMerge w:val="continue"/>
            <w:tcBorders>
              <w:top w:val="nil"/>
              <w:bottom w:val="nil"/>
            </w:tcBorders>
            <w:vAlign w:val="top"/>
          </w:tcPr>
          <w:p w14:paraId="27B1DBCA">
            <w:pPr>
              <w:rPr>
                <w:rFonts w:ascii="Arial"/>
                <w:sz w:val="21"/>
              </w:rPr>
            </w:pPr>
          </w:p>
        </w:tc>
      </w:tr>
      <w:tr w14:paraId="046BA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71" w:type="dxa"/>
            <w:vMerge w:val="continue"/>
            <w:tcBorders>
              <w:top w:val="nil"/>
              <w:bottom w:val="nil"/>
            </w:tcBorders>
            <w:vAlign w:val="top"/>
          </w:tcPr>
          <w:p w14:paraId="72245E59">
            <w:pPr>
              <w:rPr>
                <w:rFonts w:ascii="Arial"/>
                <w:sz w:val="21"/>
              </w:rPr>
            </w:pPr>
          </w:p>
        </w:tc>
        <w:tc>
          <w:tcPr>
            <w:tcW w:w="113" w:type="dxa"/>
            <w:tcBorders>
              <w:top w:val="nil"/>
              <w:bottom w:val="nil"/>
            </w:tcBorders>
            <w:vAlign w:val="top"/>
          </w:tcPr>
          <w:p w14:paraId="7A042B8D">
            <w:pPr>
              <w:rPr>
                <w:rFonts w:ascii="Arial"/>
                <w:sz w:val="21"/>
              </w:rPr>
            </w:pPr>
          </w:p>
        </w:tc>
        <w:tc>
          <w:tcPr>
            <w:tcW w:w="4841" w:type="dxa"/>
            <w:vAlign w:val="top"/>
          </w:tcPr>
          <w:p w14:paraId="1466D5E2">
            <w:pPr>
              <w:pStyle w:val="6"/>
              <w:spacing w:before="54" w:line="251" w:lineRule="auto"/>
              <w:ind w:left="796" w:right="112" w:hanging="682"/>
              <w:rPr>
                <w:rFonts w:ascii="Times New Roman" w:hAnsi="Times New Roman" w:eastAsia="Times New Roman" w:cs="Times New Roman"/>
              </w:rPr>
            </w:pPr>
            <w:r>
              <w:rPr>
                <w:rFonts w:ascii="Times New Roman" w:hAnsi="Times New Roman" w:eastAsia="Times New Roman" w:cs="Times New Roman"/>
              </w:rPr>
              <w:t xml:space="preserve">220kV </w:t>
            </w:r>
            <w:r>
              <w:t>兰昌Ⅰ回、</w:t>
            </w:r>
            <w:r>
              <w:rPr>
                <w:rFonts w:ascii="Times New Roman" w:hAnsi="Times New Roman" w:eastAsia="Times New Roman" w:cs="Times New Roman"/>
              </w:rPr>
              <w:t xml:space="preserve">220kV </w:t>
            </w:r>
            <w:r>
              <w:t>兰河线同塔双回监测断面</w:t>
            </w:r>
            <w:r>
              <w:rPr>
                <w:spacing w:val="-2"/>
              </w:rPr>
              <w:t>（</w:t>
            </w:r>
            <w:r>
              <w:rPr>
                <w:rFonts w:ascii="Times New Roman" w:hAnsi="Times New Roman" w:eastAsia="Times New Roman" w:cs="Times New Roman"/>
                <w:spacing w:val="-2"/>
              </w:rPr>
              <w:t>4#~5#</w:t>
            </w:r>
            <w:r>
              <w:rPr>
                <w:spacing w:val="-2"/>
              </w:rPr>
              <w:t>）边导线对地投影处外</w:t>
            </w:r>
            <w:r>
              <w:rPr>
                <w:spacing w:val="-26"/>
              </w:rPr>
              <w:t xml:space="preserve"> </w:t>
            </w:r>
            <w:r>
              <w:rPr>
                <w:rFonts w:ascii="Times New Roman" w:hAnsi="Times New Roman" w:eastAsia="Times New Roman" w:cs="Times New Roman"/>
                <w:spacing w:val="-2"/>
              </w:rPr>
              <w:t>30m</w:t>
            </w:r>
          </w:p>
        </w:tc>
        <w:tc>
          <w:tcPr>
            <w:tcW w:w="1701" w:type="dxa"/>
            <w:vMerge w:val="continue"/>
            <w:tcBorders>
              <w:top w:val="nil"/>
              <w:bottom w:val="nil"/>
            </w:tcBorders>
            <w:vAlign w:val="top"/>
          </w:tcPr>
          <w:p w14:paraId="4624F70D">
            <w:pPr>
              <w:rPr>
                <w:rFonts w:ascii="Arial"/>
                <w:sz w:val="21"/>
              </w:rPr>
            </w:pPr>
          </w:p>
        </w:tc>
        <w:tc>
          <w:tcPr>
            <w:tcW w:w="849" w:type="dxa"/>
            <w:vAlign w:val="top"/>
          </w:tcPr>
          <w:p w14:paraId="6D52ECC6">
            <w:pPr>
              <w:spacing w:before="248" w:line="236" w:lineRule="auto"/>
              <w:ind w:left="3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w:t>
            </w:r>
          </w:p>
        </w:tc>
        <w:tc>
          <w:tcPr>
            <w:tcW w:w="883" w:type="dxa"/>
            <w:vAlign w:val="top"/>
          </w:tcPr>
          <w:p w14:paraId="25655D11">
            <w:pPr>
              <w:spacing w:before="248" w:line="234" w:lineRule="auto"/>
              <w:ind w:left="34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120" w:type="dxa"/>
            <w:vMerge w:val="continue"/>
            <w:tcBorders>
              <w:top w:val="nil"/>
              <w:bottom w:val="nil"/>
            </w:tcBorders>
            <w:vAlign w:val="top"/>
          </w:tcPr>
          <w:p w14:paraId="7292CF2B">
            <w:pPr>
              <w:rPr>
                <w:rFonts w:ascii="Arial"/>
                <w:sz w:val="21"/>
              </w:rPr>
            </w:pPr>
          </w:p>
        </w:tc>
      </w:tr>
      <w:tr w14:paraId="1077B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1" w:type="dxa"/>
            <w:vMerge w:val="continue"/>
            <w:tcBorders>
              <w:top w:val="nil"/>
              <w:bottom w:val="nil"/>
            </w:tcBorders>
            <w:vAlign w:val="top"/>
          </w:tcPr>
          <w:p w14:paraId="6D376E5F">
            <w:pPr>
              <w:rPr>
                <w:rFonts w:ascii="Arial"/>
                <w:sz w:val="21"/>
              </w:rPr>
            </w:pPr>
          </w:p>
        </w:tc>
        <w:tc>
          <w:tcPr>
            <w:tcW w:w="113" w:type="dxa"/>
            <w:tcBorders>
              <w:top w:val="nil"/>
              <w:bottom w:val="nil"/>
            </w:tcBorders>
            <w:vAlign w:val="top"/>
          </w:tcPr>
          <w:p w14:paraId="772C8D69">
            <w:pPr>
              <w:rPr>
                <w:rFonts w:ascii="Arial"/>
                <w:sz w:val="21"/>
              </w:rPr>
            </w:pPr>
          </w:p>
        </w:tc>
        <w:tc>
          <w:tcPr>
            <w:tcW w:w="4841" w:type="dxa"/>
            <w:vAlign w:val="top"/>
          </w:tcPr>
          <w:p w14:paraId="2ADE4A3A">
            <w:pPr>
              <w:pStyle w:val="6"/>
              <w:spacing w:before="59" w:line="250" w:lineRule="auto"/>
              <w:ind w:left="796" w:right="112" w:hanging="682"/>
              <w:rPr>
                <w:rFonts w:ascii="Times New Roman" w:hAnsi="Times New Roman" w:eastAsia="Times New Roman" w:cs="Times New Roman"/>
              </w:rPr>
            </w:pPr>
            <w:r>
              <w:rPr>
                <w:rFonts w:ascii="Times New Roman" w:hAnsi="Times New Roman" w:eastAsia="Times New Roman" w:cs="Times New Roman"/>
              </w:rPr>
              <w:t xml:space="preserve">220kV </w:t>
            </w:r>
            <w:r>
              <w:t>兰昌Ⅰ回、</w:t>
            </w:r>
            <w:r>
              <w:rPr>
                <w:rFonts w:ascii="Times New Roman" w:hAnsi="Times New Roman" w:eastAsia="Times New Roman" w:cs="Times New Roman"/>
              </w:rPr>
              <w:t xml:space="preserve">220kV </w:t>
            </w:r>
            <w:r>
              <w:t>兰河线同塔双回监测断面</w:t>
            </w:r>
            <w:r>
              <w:rPr>
                <w:spacing w:val="-2"/>
              </w:rPr>
              <w:t>（</w:t>
            </w:r>
            <w:r>
              <w:rPr>
                <w:rFonts w:ascii="Times New Roman" w:hAnsi="Times New Roman" w:eastAsia="Times New Roman" w:cs="Times New Roman"/>
                <w:spacing w:val="-2"/>
              </w:rPr>
              <w:t>4#~5#</w:t>
            </w:r>
            <w:r>
              <w:rPr>
                <w:spacing w:val="-2"/>
              </w:rPr>
              <w:t>）边导线对地投影处外</w:t>
            </w:r>
            <w:r>
              <w:rPr>
                <w:spacing w:val="-26"/>
              </w:rPr>
              <w:t xml:space="preserve"> </w:t>
            </w:r>
            <w:r>
              <w:rPr>
                <w:rFonts w:ascii="Times New Roman" w:hAnsi="Times New Roman" w:eastAsia="Times New Roman" w:cs="Times New Roman"/>
                <w:spacing w:val="-2"/>
              </w:rPr>
              <w:t>35m</w:t>
            </w:r>
          </w:p>
        </w:tc>
        <w:tc>
          <w:tcPr>
            <w:tcW w:w="1701" w:type="dxa"/>
            <w:vMerge w:val="continue"/>
            <w:tcBorders>
              <w:top w:val="nil"/>
              <w:bottom w:val="nil"/>
            </w:tcBorders>
            <w:vAlign w:val="top"/>
          </w:tcPr>
          <w:p w14:paraId="457F654C">
            <w:pPr>
              <w:rPr>
                <w:rFonts w:ascii="Arial"/>
                <w:sz w:val="21"/>
              </w:rPr>
            </w:pPr>
          </w:p>
        </w:tc>
        <w:tc>
          <w:tcPr>
            <w:tcW w:w="849" w:type="dxa"/>
            <w:vAlign w:val="top"/>
          </w:tcPr>
          <w:p w14:paraId="12880A2F">
            <w:pPr>
              <w:spacing w:before="249" w:line="236" w:lineRule="auto"/>
              <w:ind w:left="3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w:t>
            </w:r>
          </w:p>
        </w:tc>
        <w:tc>
          <w:tcPr>
            <w:tcW w:w="883" w:type="dxa"/>
            <w:vAlign w:val="top"/>
          </w:tcPr>
          <w:p w14:paraId="2582283C">
            <w:pPr>
              <w:spacing w:before="249" w:line="233" w:lineRule="auto"/>
              <w:ind w:left="34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120" w:type="dxa"/>
            <w:vMerge w:val="continue"/>
            <w:tcBorders>
              <w:top w:val="nil"/>
              <w:bottom w:val="nil"/>
            </w:tcBorders>
            <w:vAlign w:val="top"/>
          </w:tcPr>
          <w:p w14:paraId="50E22A8B">
            <w:pPr>
              <w:rPr>
                <w:rFonts w:ascii="Arial"/>
                <w:sz w:val="21"/>
              </w:rPr>
            </w:pPr>
          </w:p>
        </w:tc>
      </w:tr>
      <w:tr w14:paraId="6EAB57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571" w:type="dxa"/>
            <w:vMerge w:val="continue"/>
            <w:tcBorders>
              <w:top w:val="nil"/>
              <w:bottom w:val="nil"/>
            </w:tcBorders>
            <w:vAlign w:val="top"/>
          </w:tcPr>
          <w:p w14:paraId="4E67E883">
            <w:pPr>
              <w:rPr>
                <w:rFonts w:ascii="Arial"/>
                <w:sz w:val="21"/>
              </w:rPr>
            </w:pPr>
          </w:p>
        </w:tc>
        <w:tc>
          <w:tcPr>
            <w:tcW w:w="113" w:type="dxa"/>
            <w:tcBorders>
              <w:top w:val="nil"/>
              <w:bottom w:val="nil"/>
            </w:tcBorders>
            <w:vAlign w:val="top"/>
          </w:tcPr>
          <w:p w14:paraId="07D06F5D">
            <w:pPr>
              <w:rPr>
                <w:rFonts w:ascii="Arial"/>
                <w:sz w:val="21"/>
              </w:rPr>
            </w:pPr>
          </w:p>
        </w:tc>
        <w:tc>
          <w:tcPr>
            <w:tcW w:w="4841" w:type="dxa"/>
            <w:vAlign w:val="top"/>
          </w:tcPr>
          <w:p w14:paraId="638717F3">
            <w:pPr>
              <w:pStyle w:val="6"/>
              <w:spacing w:before="57" w:line="250" w:lineRule="auto"/>
              <w:ind w:left="796" w:right="112" w:hanging="682"/>
              <w:rPr>
                <w:rFonts w:ascii="Times New Roman" w:hAnsi="Times New Roman" w:eastAsia="Times New Roman" w:cs="Times New Roman"/>
              </w:rPr>
            </w:pPr>
            <w:r>
              <w:rPr>
                <w:rFonts w:ascii="Times New Roman" w:hAnsi="Times New Roman" w:eastAsia="Times New Roman" w:cs="Times New Roman"/>
              </w:rPr>
              <w:t xml:space="preserve">220kV </w:t>
            </w:r>
            <w:r>
              <w:t>兰昌Ⅰ回、</w:t>
            </w:r>
            <w:r>
              <w:rPr>
                <w:rFonts w:ascii="Times New Roman" w:hAnsi="Times New Roman" w:eastAsia="Times New Roman" w:cs="Times New Roman"/>
              </w:rPr>
              <w:t xml:space="preserve">220kV </w:t>
            </w:r>
            <w:r>
              <w:t>兰河线同塔双回监测断面</w:t>
            </w:r>
            <w:r>
              <w:rPr>
                <w:spacing w:val="-1"/>
              </w:rPr>
              <w:t>（</w:t>
            </w:r>
            <w:r>
              <w:rPr>
                <w:rFonts w:ascii="Times New Roman" w:hAnsi="Times New Roman" w:eastAsia="Times New Roman" w:cs="Times New Roman"/>
                <w:spacing w:val="-1"/>
              </w:rPr>
              <w:t>4#~5#</w:t>
            </w:r>
            <w:r>
              <w:rPr>
                <w:spacing w:val="-1"/>
              </w:rPr>
              <w:t>）边导线对地投影处外</w:t>
            </w:r>
            <w:r>
              <w:rPr>
                <w:spacing w:val="-45"/>
              </w:rPr>
              <w:t xml:space="preserve"> </w:t>
            </w:r>
            <w:r>
              <w:rPr>
                <w:rFonts w:ascii="Times New Roman" w:hAnsi="Times New Roman" w:eastAsia="Times New Roman" w:cs="Times New Roman"/>
                <w:spacing w:val="-1"/>
              </w:rPr>
              <w:t>40m</w:t>
            </w:r>
          </w:p>
        </w:tc>
        <w:tc>
          <w:tcPr>
            <w:tcW w:w="1701" w:type="dxa"/>
            <w:vMerge w:val="continue"/>
            <w:tcBorders>
              <w:top w:val="nil"/>
              <w:bottom w:val="nil"/>
            </w:tcBorders>
            <w:vAlign w:val="top"/>
          </w:tcPr>
          <w:p w14:paraId="67A8B842">
            <w:pPr>
              <w:rPr>
                <w:rFonts w:ascii="Arial"/>
                <w:sz w:val="21"/>
              </w:rPr>
            </w:pPr>
          </w:p>
        </w:tc>
        <w:tc>
          <w:tcPr>
            <w:tcW w:w="849" w:type="dxa"/>
            <w:vAlign w:val="top"/>
          </w:tcPr>
          <w:p w14:paraId="2D5EDCB5">
            <w:pPr>
              <w:spacing w:before="249" w:line="234" w:lineRule="auto"/>
              <w:ind w:left="3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883" w:type="dxa"/>
            <w:vAlign w:val="top"/>
          </w:tcPr>
          <w:p w14:paraId="6CF0CA70">
            <w:pPr>
              <w:spacing w:before="249" w:line="233" w:lineRule="auto"/>
              <w:ind w:left="34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120" w:type="dxa"/>
            <w:vMerge w:val="continue"/>
            <w:tcBorders>
              <w:top w:val="nil"/>
              <w:bottom w:val="nil"/>
            </w:tcBorders>
            <w:vAlign w:val="top"/>
          </w:tcPr>
          <w:p w14:paraId="2FE0716B">
            <w:pPr>
              <w:rPr>
                <w:rFonts w:ascii="Arial"/>
                <w:sz w:val="21"/>
              </w:rPr>
            </w:pPr>
          </w:p>
        </w:tc>
      </w:tr>
      <w:tr w14:paraId="3A471C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1" w:type="dxa"/>
            <w:vMerge w:val="continue"/>
            <w:tcBorders>
              <w:top w:val="nil"/>
              <w:bottom w:val="nil"/>
            </w:tcBorders>
            <w:vAlign w:val="top"/>
          </w:tcPr>
          <w:p w14:paraId="6B2F3E17">
            <w:pPr>
              <w:rPr>
                <w:rFonts w:ascii="Arial"/>
                <w:sz w:val="21"/>
              </w:rPr>
            </w:pPr>
          </w:p>
        </w:tc>
        <w:tc>
          <w:tcPr>
            <w:tcW w:w="113" w:type="dxa"/>
            <w:tcBorders>
              <w:top w:val="nil"/>
              <w:bottom w:val="nil"/>
            </w:tcBorders>
            <w:vAlign w:val="top"/>
          </w:tcPr>
          <w:p w14:paraId="531E094C">
            <w:pPr>
              <w:rPr>
                <w:rFonts w:ascii="Arial"/>
                <w:sz w:val="21"/>
              </w:rPr>
            </w:pPr>
          </w:p>
        </w:tc>
        <w:tc>
          <w:tcPr>
            <w:tcW w:w="4841" w:type="dxa"/>
            <w:vAlign w:val="top"/>
          </w:tcPr>
          <w:p w14:paraId="43DF9D75">
            <w:pPr>
              <w:pStyle w:val="6"/>
              <w:spacing w:before="59" w:line="250" w:lineRule="auto"/>
              <w:ind w:left="796" w:right="112" w:hanging="682"/>
              <w:rPr>
                <w:rFonts w:ascii="Times New Roman" w:hAnsi="Times New Roman" w:eastAsia="Times New Roman" w:cs="Times New Roman"/>
              </w:rPr>
            </w:pPr>
            <w:r>
              <w:rPr>
                <w:rFonts w:ascii="Times New Roman" w:hAnsi="Times New Roman" w:eastAsia="Times New Roman" w:cs="Times New Roman"/>
              </w:rPr>
              <w:t xml:space="preserve">220kV </w:t>
            </w:r>
            <w:r>
              <w:t>兰昌Ⅰ回、</w:t>
            </w:r>
            <w:r>
              <w:rPr>
                <w:rFonts w:ascii="Times New Roman" w:hAnsi="Times New Roman" w:eastAsia="Times New Roman" w:cs="Times New Roman"/>
              </w:rPr>
              <w:t xml:space="preserve">220kV </w:t>
            </w:r>
            <w:r>
              <w:t>兰河线同塔双回监测断面</w:t>
            </w:r>
            <w:r>
              <w:rPr>
                <w:spacing w:val="-1"/>
              </w:rPr>
              <w:t>（</w:t>
            </w:r>
            <w:r>
              <w:rPr>
                <w:rFonts w:ascii="Times New Roman" w:hAnsi="Times New Roman" w:eastAsia="Times New Roman" w:cs="Times New Roman"/>
                <w:spacing w:val="-1"/>
              </w:rPr>
              <w:t>4#~5#</w:t>
            </w:r>
            <w:r>
              <w:rPr>
                <w:spacing w:val="-1"/>
              </w:rPr>
              <w:t>）边导线对地投影处外</w:t>
            </w:r>
            <w:r>
              <w:rPr>
                <w:spacing w:val="-45"/>
              </w:rPr>
              <w:t xml:space="preserve"> </w:t>
            </w:r>
            <w:r>
              <w:rPr>
                <w:rFonts w:ascii="Times New Roman" w:hAnsi="Times New Roman" w:eastAsia="Times New Roman" w:cs="Times New Roman"/>
                <w:spacing w:val="-1"/>
              </w:rPr>
              <w:t>45m</w:t>
            </w:r>
          </w:p>
        </w:tc>
        <w:tc>
          <w:tcPr>
            <w:tcW w:w="1701" w:type="dxa"/>
            <w:vMerge w:val="continue"/>
            <w:tcBorders>
              <w:top w:val="nil"/>
              <w:bottom w:val="nil"/>
            </w:tcBorders>
            <w:vAlign w:val="top"/>
          </w:tcPr>
          <w:p w14:paraId="6842C300">
            <w:pPr>
              <w:rPr>
                <w:rFonts w:ascii="Arial"/>
                <w:sz w:val="21"/>
              </w:rPr>
            </w:pPr>
          </w:p>
        </w:tc>
        <w:tc>
          <w:tcPr>
            <w:tcW w:w="849" w:type="dxa"/>
            <w:vAlign w:val="top"/>
          </w:tcPr>
          <w:p w14:paraId="461A081F">
            <w:pPr>
              <w:spacing w:before="248" w:line="234" w:lineRule="auto"/>
              <w:ind w:left="3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883" w:type="dxa"/>
            <w:vAlign w:val="top"/>
          </w:tcPr>
          <w:p w14:paraId="2502A76E">
            <w:pPr>
              <w:spacing w:before="249" w:line="233" w:lineRule="auto"/>
              <w:ind w:left="34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120" w:type="dxa"/>
            <w:vMerge w:val="continue"/>
            <w:tcBorders>
              <w:top w:val="nil"/>
              <w:bottom w:val="nil"/>
            </w:tcBorders>
            <w:vAlign w:val="top"/>
          </w:tcPr>
          <w:p w14:paraId="01E4F291">
            <w:pPr>
              <w:rPr>
                <w:rFonts w:ascii="Arial"/>
                <w:sz w:val="21"/>
              </w:rPr>
            </w:pPr>
          </w:p>
        </w:tc>
      </w:tr>
      <w:tr w14:paraId="3E779A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571" w:type="dxa"/>
            <w:vMerge w:val="continue"/>
            <w:tcBorders>
              <w:top w:val="nil"/>
              <w:bottom w:val="nil"/>
            </w:tcBorders>
            <w:vAlign w:val="top"/>
          </w:tcPr>
          <w:p w14:paraId="666C3C7B">
            <w:pPr>
              <w:rPr>
                <w:rFonts w:ascii="Arial"/>
                <w:sz w:val="21"/>
              </w:rPr>
            </w:pPr>
          </w:p>
        </w:tc>
        <w:tc>
          <w:tcPr>
            <w:tcW w:w="113" w:type="dxa"/>
            <w:tcBorders>
              <w:top w:val="nil"/>
              <w:bottom w:val="nil"/>
            </w:tcBorders>
            <w:vAlign w:val="top"/>
          </w:tcPr>
          <w:p w14:paraId="03250CCA">
            <w:pPr>
              <w:rPr>
                <w:rFonts w:ascii="Arial"/>
                <w:sz w:val="21"/>
              </w:rPr>
            </w:pPr>
          </w:p>
        </w:tc>
        <w:tc>
          <w:tcPr>
            <w:tcW w:w="4841" w:type="dxa"/>
            <w:vAlign w:val="top"/>
          </w:tcPr>
          <w:p w14:paraId="2CF88C2B">
            <w:pPr>
              <w:pStyle w:val="6"/>
              <w:spacing w:before="56" w:line="251" w:lineRule="auto"/>
              <w:ind w:left="796" w:right="112" w:hanging="682"/>
              <w:rPr>
                <w:rFonts w:ascii="Times New Roman" w:hAnsi="Times New Roman" w:eastAsia="Times New Roman" w:cs="Times New Roman"/>
              </w:rPr>
            </w:pPr>
            <w:r>
              <w:rPr>
                <w:rFonts w:ascii="Times New Roman" w:hAnsi="Times New Roman" w:eastAsia="Times New Roman" w:cs="Times New Roman"/>
              </w:rPr>
              <w:t xml:space="preserve">220kV </w:t>
            </w:r>
            <w:r>
              <w:t>兰昌Ⅰ回、</w:t>
            </w:r>
            <w:r>
              <w:rPr>
                <w:rFonts w:ascii="Times New Roman" w:hAnsi="Times New Roman" w:eastAsia="Times New Roman" w:cs="Times New Roman"/>
              </w:rPr>
              <w:t xml:space="preserve">220kV </w:t>
            </w:r>
            <w:r>
              <w:t>兰河线同塔双回监测断面</w:t>
            </w:r>
            <w:r>
              <w:rPr>
                <w:spacing w:val="-2"/>
              </w:rPr>
              <w:t>（</w:t>
            </w:r>
            <w:r>
              <w:rPr>
                <w:rFonts w:ascii="Times New Roman" w:hAnsi="Times New Roman" w:eastAsia="Times New Roman" w:cs="Times New Roman"/>
                <w:spacing w:val="-2"/>
              </w:rPr>
              <w:t>4#~5#</w:t>
            </w:r>
            <w:r>
              <w:rPr>
                <w:spacing w:val="-2"/>
              </w:rPr>
              <w:t>）边导线对地投影处外</w:t>
            </w:r>
            <w:r>
              <w:rPr>
                <w:spacing w:val="-26"/>
              </w:rPr>
              <w:t xml:space="preserve"> </w:t>
            </w:r>
            <w:r>
              <w:rPr>
                <w:rFonts w:ascii="Times New Roman" w:hAnsi="Times New Roman" w:eastAsia="Times New Roman" w:cs="Times New Roman"/>
                <w:spacing w:val="-2"/>
              </w:rPr>
              <w:t>50m</w:t>
            </w:r>
          </w:p>
        </w:tc>
        <w:tc>
          <w:tcPr>
            <w:tcW w:w="1701" w:type="dxa"/>
            <w:vMerge w:val="continue"/>
            <w:tcBorders>
              <w:top w:val="nil"/>
            </w:tcBorders>
            <w:vAlign w:val="top"/>
          </w:tcPr>
          <w:p w14:paraId="1232221D">
            <w:pPr>
              <w:rPr>
                <w:rFonts w:ascii="Arial"/>
                <w:sz w:val="21"/>
              </w:rPr>
            </w:pPr>
          </w:p>
        </w:tc>
        <w:tc>
          <w:tcPr>
            <w:tcW w:w="849" w:type="dxa"/>
            <w:vAlign w:val="top"/>
          </w:tcPr>
          <w:p w14:paraId="0B1C8314">
            <w:pPr>
              <w:spacing w:before="249" w:line="234" w:lineRule="auto"/>
              <w:ind w:left="3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883" w:type="dxa"/>
            <w:vAlign w:val="top"/>
          </w:tcPr>
          <w:p w14:paraId="4440FADD">
            <w:pPr>
              <w:spacing w:before="249" w:line="234" w:lineRule="auto"/>
              <w:ind w:left="34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36</w:t>
            </w:r>
          </w:p>
        </w:tc>
        <w:tc>
          <w:tcPr>
            <w:tcW w:w="120" w:type="dxa"/>
            <w:vMerge w:val="continue"/>
            <w:tcBorders>
              <w:top w:val="nil"/>
              <w:bottom w:val="nil"/>
            </w:tcBorders>
            <w:vAlign w:val="top"/>
          </w:tcPr>
          <w:p w14:paraId="0892E2D0">
            <w:pPr>
              <w:rPr>
                <w:rFonts w:ascii="Arial"/>
                <w:sz w:val="21"/>
              </w:rPr>
            </w:pPr>
          </w:p>
        </w:tc>
      </w:tr>
      <w:tr w14:paraId="4FCFD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116" w:hRule="atLeast"/>
        </w:trPr>
        <w:tc>
          <w:tcPr>
            <w:tcW w:w="571" w:type="dxa"/>
            <w:vMerge w:val="continue"/>
            <w:tcBorders>
              <w:top w:val="nil"/>
            </w:tcBorders>
            <w:vAlign w:val="top"/>
          </w:tcPr>
          <w:p w14:paraId="17EB6AB4">
            <w:pPr>
              <w:rPr>
                <w:rFonts w:ascii="Arial"/>
                <w:sz w:val="21"/>
              </w:rPr>
            </w:pPr>
          </w:p>
        </w:tc>
        <w:tc>
          <w:tcPr>
            <w:tcW w:w="8507" w:type="dxa"/>
            <w:gridSpan w:val="6"/>
            <w:vAlign w:val="top"/>
          </w:tcPr>
          <w:p w14:paraId="3D16D74B">
            <w:pPr>
              <w:pStyle w:val="6"/>
              <w:spacing w:before="120" w:line="232" w:lineRule="auto"/>
              <w:ind w:left="586"/>
              <w:rPr>
                <w:sz w:val="24"/>
                <w:szCs w:val="24"/>
              </w:rPr>
            </w:pPr>
            <w:r>
              <w:rPr>
                <w:rFonts w:ascii="Times New Roman" w:hAnsi="Times New Roman" w:eastAsia="Times New Roman" w:cs="Times New Roman"/>
                <w:spacing w:val="-2"/>
                <w:sz w:val="24"/>
                <w:szCs w:val="24"/>
              </w:rPr>
              <w:t>4</w:t>
            </w:r>
            <w:r>
              <w:rPr>
                <w:spacing w:val="-2"/>
                <w:sz w:val="24"/>
                <w:szCs w:val="24"/>
              </w:rPr>
              <w:t>）输电线路声环境影响评价</w:t>
            </w:r>
          </w:p>
          <w:p w14:paraId="5FBF826C">
            <w:pPr>
              <w:pStyle w:val="6"/>
              <w:spacing w:before="171" w:line="365" w:lineRule="auto"/>
              <w:ind w:left="108" w:right="106" w:firstLine="513"/>
              <w:rPr>
                <w:sz w:val="24"/>
                <w:szCs w:val="24"/>
              </w:rPr>
            </w:pPr>
            <w:r>
              <w:rPr>
                <w:spacing w:val="-2"/>
                <w:sz w:val="24"/>
                <w:szCs w:val="24"/>
              </w:rPr>
              <w:t xml:space="preserve">由类比监测结果可知，正常运行状态下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47"/>
                <w:w w:val="101"/>
                <w:sz w:val="24"/>
                <w:szCs w:val="24"/>
              </w:rPr>
              <w:t xml:space="preserve"> </w:t>
            </w:r>
            <w:r>
              <w:rPr>
                <w:spacing w:val="-2"/>
                <w:sz w:val="24"/>
                <w:szCs w:val="24"/>
              </w:rPr>
              <w:t>双回输电线路下的噪声水平</w:t>
            </w:r>
            <w:r>
              <w:rPr>
                <w:spacing w:val="-11"/>
                <w:sz w:val="24"/>
                <w:szCs w:val="24"/>
              </w:rPr>
              <w:t>昼间为</w:t>
            </w:r>
            <w:r>
              <w:rPr>
                <w:spacing w:val="-50"/>
                <w:sz w:val="24"/>
                <w:szCs w:val="24"/>
              </w:rPr>
              <w:t xml:space="preserve"> </w:t>
            </w:r>
            <w:r>
              <w:rPr>
                <w:rFonts w:ascii="Times New Roman" w:hAnsi="Times New Roman" w:eastAsia="Times New Roman" w:cs="Times New Roman"/>
                <w:spacing w:val="-11"/>
                <w:sz w:val="24"/>
                <w:szCs w:val="24"/>
              </w:rPr>
              <w:t>40~43dB</w:t>
            </w:r>
            <w:r>
              <w:rPr>
                <w:spacing w:val="-11"/>
                <w:sz w:val="24"/>
                <w:szCs w:val="24"/>
              </w:rPr>
              <w:t>（</w:t>
            </w:r>
            <w:r>
              <w:rPr>
                <w:rFonts w:ascii="Times New Roman" w:hAnsi="Times New Roman" w:eastAsia="Times New Roman" w:cs="Times New Roman"/>
                <w:spacing w:val="-11"/>
                <w:sz w:val="24"/>
                <w:szCs w:val="24"/>
              </w:rPr>
              <w:t>A</w:t>
            </w:r>
            <w:r>
              <w:rPr>
                <w:spacing w:val="-51"/>
                <w:w w:val="81"/>
                <w:sz w:val="24"/>
                <w:szCs w:val="24"/>
              </w:rPr>
              <w:t>），</w:t>
            </w:r>
            <w:r>
              <w:rPr>
                <w:spacing w:val="-11"/>
                <w:sz w:val="24"/>
                <w:szCs w:val="24"/>
              </w:rPr>
              <w:t>夜间为</w:t>
            </w:r>
            <w:r>
              <w:rPr>
                <w:spacing w:val="-51"/>
                <w:sz w:val="24"/>
                <w:szCs w:val="24"/>
              </w:rPr>
              <w:t xml:space="preserve"> </w:t>
            </w:r>
            <w:r>
              <w:rPr>
                <w:rFonts w:ascii="Times New Roman" w:hAnsi="Times New Roman" w:eastAsia="Times New Roman" w:cs="Times New Roman"/>
                <w:spacing w:val="-11"/>
                <w:sz w:val="24"/>
                <w:szCs w:val="24"/>
              </w:rPr>
              <w:t>36~41dB</w:t>
            </w:r>
            <w:r>
              <w:rPr>
                <w:spacing w:val="-11"/>
                <w:sz w:val="24"/>
                <w:szCs w:val="24"/>
              </w:rPr>
              <w:t>（</w:t>
            </w:r>
            <w:r>
              <w:rPr>
                <w:rFonts w:ascii="Times New Roman" w:hAnsi="Times New Roman" w:eastAsia="Times New Roman" w:cs="Times New Roman"/>
                <w:spacing w:val="-11"/>
                <w:sz w:val="24"/>
                <w:szCs w:val="24"/>
              </w:rPr>
              <w:t>A</w:t>
            </w:r>
            <w:r>
              <w:rPr>
                <w:spacing w:val="-51"/>
                <w:w w:val="81"/>
                <w:sz w:val="24"/>
                <w:szCs w:val="24"/>
              </w:rPr>
              <w:t>），</w:t>
            </w:r>
            <w:r>
              <w:rPr>
                <w:spacing w:val="-11"/>
                <w:sz w:val="24"/>
                <w:szCs w:val="24"/>
              </w:rPr>
              <w:t>均满足《声环境质量标准》（</w:t>
            </w:r>
            <w:r>
              <w:rPr>
                <w:rFonts w:ascii="Times New Roman" w:hAnsi="Times New Roman" w:eastAsia="Times New Roman" w:cs="Times New Roman"/>
                <w:spacing w:val="-11"/>
                <w:sz w:val="24"/>
                <w:szCs w:val="24"/>
              </w:rPr>
              <w:t>GB30</w:t>
            </w:r>
            <w:r>
              <w:rPr>
                <w:rFonts w:ascii="Times New Roman" w:hAnsi="Times New Roman" w:eastAsia="Times New Roman" w:cs="Times New Roman"/>
                <w:spacing w:val="-12"/>
                <w:sz w:val="24"/>
                <w:szCs w:val="24"/>
              </w:rPr>
              <w:t>96-</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2"/>
                <w:sz w:val="24"/>
                <w:szCs w:val="24"/>
              </w:rPr>
              <w:t>2008</w:t>
            </w:r>
            <w:r>
              <w:rPr>
                <w:spacing w:val="-2"/>
                <w:sz w:val="24"/>
                <w:szCs w:val="24"/>
              </w:rPr>
              <w:t xml:space="preserve">）中 </w:t>
            </w:r>
            <w:r>
              <w:rPr>
                <w:rFonts w:ascii="Times New Roman" w:hAnsi="Times New Roman" w:eastAsia="Times New Roman" w:cs="Times New Roman"/>
                <w:spacing w:val="-2"/>
                <w:sz w:val="24"/>
                <w:szCs w:val="24"/>
              </w:rPr>
              <w:t xml:space="preserve">1 </w:t>
            </w:r>
            <w:r>
              <w:rPr>
                <w:spacing w:val="-2"/>
                <w:sz w:val="24"/>
                <w:szCs w:val="24"/>
              </w:rPr>
              <w:t>类标准（昼间：</w:t>
            </w:r>
            <w:r>
              <w:rPr>
                <w:rFonts w:ascii="Times New Roman" w:hAnsi="Times New Roman" w:eastAsia="Times New Roman" w:cs="Times New Roman"/>
                <w:spacing w:val="-2"/>
                <w:sz w:val="24"/>
                <w:szCs w:val="24"/>
              </w:rPr>
              <w:t>55dB</w:t>
            </w:r>
            <w:r>
              <w:rPr>
                <w:spacing w:val="-2"/>
                <w:sz w:val="24"/>
                <w:szCs w:val="24"/>
              </w:rPr>
              <w:t>（</w:t>
            </w:r>
            <w:r>
              <w:rPr>
                <w:rFonts w:ascii="Times New Roman" w:hAnsi="Times New Roman" w:eastAsia="Times New Roman" w:cs="Times New Roman"/>
                <w:spacing w:val="-2"/>
                <w:sz w:val="24"/>
                <w:szCs w:val="24"/>
              </w:rPr>
              <w:t>A</w:t>
            </w:r>
            <w:r>
              <w:rPr>
                <w:spacing w:val="-67"/>
                <w:sz w:val="24"/>
                <w:szCs w:val="24"/>
              </w:rPr>
              <w:t>），</w:t>
            </w:r>
            <w:r>
              <w:rPr>
                <w:spacing w:val="-2"/>
                <w:sz w:val="24"/>
                <w:szCs w:val="24"/>
              </w:rPr>
              <w:t>夜间：</w:t>
            </w:r>
            <w:r>
              <w:rPr>
                <w:rFonts w:ascii="Times New Roman" w:hAnsi="Times New Roman" w:eastAsia="Times New Roman" w:cs="Times New Roman"/>
                <w:spacing w:val="-2"/>
                <w:sz w:val="24"/>
                <w:szCs w:val="24"/>
              </w:rPr>
              <w:t>45dB</w:t>
            </w:r>
            <w:r>
              <w:rPr>
                <w:spacing w:val="-2"/>
                <w:sz w:val="24"/>
                <w:szCs w:val="24"/>
              </w:rPr>
              <w:t>（</w:t>
            </w:r>
            <w:r>
              <w:rPr>
                <w:rFonts w:ascii="Times New Roman" w:hAnsi="Times New Roman" w:eastAsia="Times New Roman" w:cs="Times New Roman"/>
                <w:spacing w:val="-2"/>
                <w:sz w:val="24"/>
                <w:szCs w:val="24"/>
              </w:rPr>
              <w:t>A</w:t>
            </w:r>
            <w:r>
              <w:rPr>
                <w:spacing w:val="-67"/>
                <w:sz w:val="24"/>
                <w:szCs w:val="24"/>
              </w:rPr>
              <w:t>））</w:t>
            </w:r>
            <w:r>
              <w:rPr>
                <w:spacing w:val="-2"/>
                <w:sz w:val="24"/>
                <w:szCs w:val="24"/>
              </w:rPr>
              <w:t>要求。</w:t>
            </w:r>
          </w:p>
          <w:p w14:paraId="61817A67">
            <w:pPr>
              <w:pStyle w:val="6"/>
              <w:spacing w:line="362" w:lineRule="auto"/>
              <w:ind w:left="114" w:right="110" w:firstLine="496"/>
              <w:jc w:val="both"/>
              <w:rPr>
                <w:sz w:val="24"/>
                <w:szCs w:val="24"/>
              </w:rPr>
            </w:pPr>
            <w:r>
              <w:rPr>
                <w:spacing w:val="-2"/>
                <w:sz w:val="24"/>
                <w:szCs w:val="24"/>
              </w:rPr>
              <w:t xml:space="preserve">因此可以预测：本工程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55"/>
                <w:w w:val="101"/>
                <w:sz w:val="24"/>
                <w:szCs w:val="24"/>
              </w:rPr>
              <w:t xml:space="preserve"> </w:t>
            </w:r>
            <w:r>
              <w:rPr>
                <w:spacing w:val="-2"/>
                <w:sz w:val="24"/>
                <w:szCs w:val="24"/>
              </w:rPr>
              <w:t>输电线路建成投运后，线路附近区域的噪声</w:t>
            </w:r>
            <w:r>
              <w:rPr>
                <w:spacing w:val="-6"/>
                <w:sz w:val="24"/>
                <w:szCs w:val="24"/>
              </w:rPr>
              <w:t>水平基本维持现状，并满足《声环境质量标准》（</w:t>
            </w:r>
            <w:r>
              <w:rPr>
                <w:rFonts w:ascii="Times New Roman" w:hAnsi="Times New Roman" w:eastAsia="Times New Roman" w:cs="Times New Roman"/>
                <w:spacing w:val="-6"/>
                <w:sz w:val="24"/>
                <w:szCs w:val="24"/>
              </w:rPr>
              <w:t>GB3096-2008</w:t>
            </w:r>
            <w:r>
              <w:rPr>
                <w:spacing w:val="-6"/>
                <w:sz w:val="24"/>
                <w:szCs w:val="24"/>
              </w:rPr>
              <w:t>）</w:t>
            </w:r>
            <w:r>
              <w:rPr>
                <w:rFonts w:ascii="Times New Roman" w:hAnsi="Times New Roman" w:eastAsia="Times New Roman" w:cs="Times New Roman"/>
                <w:spacing w:val="-6"/>
                <w:sz w:val="24"/>
                <w:szCs w:val="24"/>
              </w:rPr>
              <w:t xml:space="preserve">1 </w:t>
            </w:r>
            <w:r>
              <w:rPr>
                <w:spacing w:val="-6"/>
                <w:sz w:val="24"/>
                <w:szCs w:val="24"/>
              </w:rPr>
              <w:t>类标准限值要</w:t>
            </w:r>
            <w:r>
              <w:rPr>
                <w:spacing w:val="-12"/>
                <w:sz w:val="24"/>
                <w:szCs w:val="24"/>
              </w:rPr>
              <w:t>求。</w:t>
            </w:r>
          </w:p>
          <w:p w14:paraId="3A9FB146">
            <w:pPr>
              <w:pStyle w:val="6"/>
              <w:spacing w:before="8" w:line="234" w:lineRule="auto"/>
              <w:ind w:left="601"/>
              <w:rPr>
                <w:sz w:val="24"/>
                <w:szCs w:val="24"/>
              </w:rPr>
            </w:pPr>
            <w:r>
              <w:rPr>
                <w:b/>
                <w:bCs/>
                <w:spacing w:val="-6"/>
                <w:sz w:val="24"/>
                <w:szCs w:val="24"/>
              </w:rPr>
              <w:t>（</w:t>
            </w:r>
            <w:r>
              <w:rPr>
                <w:rFonts w:ascii="Times New Roman" w:hAnsi="Times New Roman" w:eastAsia="Times New Roman" w:cs="Times New Roman"/>
                <w:b/>
                <w:bCs/>
                <w:spacing w:val="-6"/>
                <w:sz w:val="24"/>
                <w:szCs w:val="24"/>
              </w:rPr>
              <w:t>2</w:t>
            </w:r>
            <w:r>
              <w:rPr>
                <w:b/>
                <w:bCs/>
                <w:spacing w:val="-6"/>
                <w:sz w:val="24"/>
                <w:szCs w:val="24"/>
              </w:rPr>
              <w:t>）间隔扩建</w:t>
            </w:r>
          </w:p>
          <w:p w14:paraId="15BC0FB5">
            <w:pPr>
              <w:pStyle w:val="6"/>
              <w:spacing w:before="167" w:line="365" w:lineRule="auto"/>
              <w:ind w:left="112" w:right="108" w:firstLine="482"/>
              <w:jc w:val="both"/>
              <w:rPr>
                <w:sz w:val="24"/>
                <w:szCs w:val="24"/>
              </w:rPr>
            </w:pPr>
            <w:r>
              <w:rPr>
                <w:rFonts w:ascii="Times New Roman" w:hAnsi="Times New Roman" w:eastAsia="Times New Roman" w:cs="Times New Roman"/>
                <w:spacing w:val="-3"/>
                <w:sz w:val="24"/>
                <w:szCs w:val="24"/>
              </w:rPr>
              <w:t>500kV</w:t>
            </w:r>
            <w:r>
              <w:rPr>
                <w:rFonts w:ascii="Times New Roman" w:hAnsi="Times New Roman" w:eastAsia="Times New Roman" w:cs="Times New Roman"/>
                <w:spacing w:val="17"/>
                <w:w w:val="101"/>
                <w:sz w:val="24"/>
                <w:szCs w:val="24"/>
              </w:rPr>
              <w:t xml:space="preserve"> </w:t>
            </w:r>
            <w:r>
              <w:rPr>
                <w:spacing w:val="-3"/>
                <w:sz w:val="24"/>
                <w:szCs w:val="24"/>
              </w:rPr>
              <w:t>乐业变、</w:t>
            </w:r>
            <w:r>
              <w:rPr>
                <w:rFonts w:ascii="Times New Roman" w:hAnsi="Times New Roman" w:eastAsia="Times New Roman" w:cs="Times New Roman"/>
                <w:spacing w:val="-3"/>
                <w:sz w:val="24"/>
                <w:szCs w:val="24"/>
              </w:rPr>
              <w:t xml:space="preserve">220kV </w:t>
            </w:r>
            <w:r>
              <w:rPr>
                <w:spacing w:val="-3"/>
                <w:sz w:val="24"/>
                <w:szCs w:val="24"/>
              </w:rPr>
              <w:t>迤车变间隔扩建工程不</w:t>
            </w:r>
            <w:r>
              <w:rPr>
                <w:spacing w:val="-4"/>
                <w:sz w:val="24"/>
                <w:szCs w:val="24"/>
              </w:rPr>
              <w:t>新增主变压器、高压电抗器等</w:t>
            </w:r>
            <w:r>
              <w:rPr>
                <w:spacing w:val="-3"/>
                <w:sz w:val="24"/>
                <w:szCs w:val="24"/>
              </w:rPr>
              <w:t>主要声环境污染源，扩建后对环境的影响与</w:t>
            </w:r>
            <w:r>
              <w:rPr>
                <w:spacing w:val="-4"/>
                <w:sz w:val="24"/>
                <w:szCs w:val="24"/>
              </w:rPr>
              <w:t>原声环境的影响基本一致，不会增加新的影响，扩建工程完成后变电站区域声环境水平与变电站前期工程建成后的声</w:t>
            </w:r>
            <w:r>
              <w:rPr>
                <w:spacing w:val="-5"/>
                <w:sz w:val="24"/>
                <w:szCs w:val="24"/>
              </w:rPr>
              <w:t>环境水平相当。现状监测结果表明，</w:t>
            </w:r>
            <w:r>
              <w:rPr>
                <w:spacing w:val="-66"/>
                <w:sz w:val="24"/>
                <w:szCs w:val="24"/>
              </w:rPr>
              <w:t xml:space="preserve"> </w:t>
            </w:r>
            <w:r>
              <w:rPr>
                <w:spacing w:val="-5"/>
                <w:sz w:val="24"/>
                <w:szCs w:val="24"/>
              </w:rPr>
              <w:t>两座变电站厂界区域的声环境水平能够满足《工业企业厂界环境噪声排放标准》（</w:t>
            </w:r>
            <w:r>
              <w:rPr>
                <w:rFonts w:ascii="Times New Roman" w:hAnsi="Times New Roman" w:eastAsia="Times New Roman" w:cs="Times New Roman"/>
                <w:spacing w:val="-5"/>
                <w:sz w:val="24"/>
                <w:szCs w:val="24"/>
              </w:rPr>
              <w:t>GB12348-2008</w:t>
            </w:r>
            <w:r>
              <w:rPr>
                <w:spacing w:val="-5"/>
                <w:sz w:val="24"/>
                <w:szCs w:val="24"/>
              </w:rPr>
              <w:t>）中</w:t>
            </w:r>
            <w:r>
              <w:rPr>
                <w:spacing w:val="-14"/>
                <w:sz w:val="24"/>
                <w:szCs w:val="24"/>
              </w:rPr>
              <w:t xml:space="preserve"> </w:t>
            </w:r>
            <w:r>
              <w:rPr>
                <w:rFonts w:ascii="Times New Roman" w:hAnsi="Times New Roman" w:eastAsia="Times New Roman" w:cs="Times New Roman"/>
                <w:spacing w:val="-5"/>
                <w:sz w:val="24"/>
                <w:szCs w:val="24"/>
              </w:rPr>
              <w:t xml:space="preserve">2 </w:t>
            </w:r>
            <w:r>
              <w:rPr>
                <w:spacing w:val="-5"/>
                <w:sz w:val="24"/>
                <w:szCs w:val="24"/>
              </w:rPr>
              <w:t>类标准限值要求。</w:t>
            </w:r>
          </w:p>
          <w:p w14:paraId="57E00CCD">
            <w:pPr>
              <w:pStyle w:val="6"/>
              <w:spacing w:before="2" w:line="316" w:lineRule="auto"/>
              <w:ind w:left="113" w:right="109" w:firstLine="497"/>
              <w:rPr>
                <w:sz w:val="24"/>
                <w:szCs w:val="24"/>
              </w:rPr>
            </w:pPr>
            <w:r>
              <w:rPr>
                <w:spacing w:val="-4"/>
                <w:sz w:val="24"/>
                <w:szCs w:val="24"/>
              </w:rPr>
              <w:t>因此可以预测，本期间隔扩建完成后，变电站区域声环境</w:t>
            </w:r>
            <w:r>
              <w:rPr>
                <w:spacing w:val="-5"/>
                <w:sz w:val="24"/>
                <w:szCs w:val="24"/>
              </w:rPr>
              <w:t>影响水平能够满足《工业企业厂界环境噪声排放标准》（</w:t>
            </w:r>
            <w:r>
              <w:rPr>
                <w:rFonts w:ascii="Times New Roman" w:hAnsi="Times New Roman" w:eastAsia="Times New Roman" w:cs="Times New Roman"/>
                <w:spacing w:val="-5"/>
                <w:sz w:val="24"/>
                <w:szCs w:val="24"/>
              </w:rPr>
              <w:t>GB12348-2008</w:t>
            </w:r>
            <w:r>
              <w:rPr>
                <w:spacing w:val="-5"/>
                <w:sz w:val="24"/>
                <w:szCs w:val="24"/>
              </w:rPr>
              <w:t>）中</w:t>
            </w:r>
            <w:r>
              <w:rPr>
                <w:spacing w:val="-15"/>
                <w:sz w:val="24"/>
                <w:szCs w:val="24"/>
              </w:rPr>
              <w:t xml:space="preserve"> </w:t>
            </w:r>
            <w:r>
              <w:rPr>
                <w:rFonts w:ascii="Times New Roman" w:hAnsi="Times New Roman" w:eastAsia="Times New Roman" w:cs="Times New Roman"/>
                <w:spacing w:val="-5"/>
                <w:sz w:val="24"/>
                <w:szCs w:val="24"/>
              </w:rPr>
              <w:t xml:space="preserve">2 </w:t>
            </w:r>
            <w:r>
              <w:rPr>
                <w:spacing w:val="-5"/>
                <w:sz w:val="24"/>
                <w:szCs w:val="24"/>
              </w:rPr>
              <w:t>类标准限值要求。</w:t>
            </w:r>
          </w:p>
        </w:tc>
      </w:tr>
    </w:tbl>
    <w:p w14:paraId="45279694">
      <w:pPr>
        <w:rPr>
          <w:rFonts w:ascii="Arial"/>
          <w:sz w:val="21"/>
        </w:rPr>
      </w:pPr>
    </w:p>
    <w:p w14:paraId="4BD32CC7">
      <w:pPr>
        <w:rPr>
          <w:rFonts w:ascii="Arial" w:hAnsi="Arial" w:eastAsia="Arial" w:cs="Arial"/>
          <w:sz w:val="21"/>
          <w:szCs w:val="21"/>
        </w:rPr>
        <w:sectPr>
          <w:footerReference r:id="rId72" w:type="default"/>
          <w:pgSz w:w="11907" w:h="16841"/>
          <w:pgMar w:top="400" w:right="1408" w:bottom="1126" w:left="1414" w:header="0" w:footer="925" w:gutter="0"/>
          <w:cols w:space="720" w:num="1"/>
        </w:sectPr>
      </w:pPr>
    </w:p>
    <w:p w14:paraId="6B6B30B7">
      <w:pPr>
        <w:spacing w:before="2"/>
      </w:pPr>
    </w:p>
    <w:p w14:paraId="028C0B31">
      <w:pPr>
        <w:spacing w:before="2"/>
      </w:pPr>
    </w:p>
    <w:p w14:paraId="16606885">
      <w:pPr>
        <w:spacing w:before="1"/>
      </w:pPr>
    </w:p>
    <w:p w14:paraId="79A14537">
      <w:pPr>
        <w:spacing w:before="1"/>
      </w:pPr>
    </w:p>
    <w:p w14:paraId="04B99CAB">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1F8213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35" w:hRule="atLeast"/>
        </w:trPr>
        <w:tc>
          <w:tcPr>
            <w:tcW w:w="571" w:type="dxa"/>
            <w:vAlign w:val="top"/>
          </w:tcPr>
          <w:p w14:paraId="7A61018C">
            <w:pPr>
              <w:rPr>
                <w:rFonts w:ascii="Arial"/>
                <w:sz w:val="21"/>
              </w:rPr>
            </w:pPr>
          </w:p>
        </w:tc>
        <w:tc>
          <w:tcPr>
            <w:tcW w:w="8507" w:type="dxa"/>
            <w:vAlign w:val="top"/>
          </w:tcPr>
          <w:p w14:paraId="19169C2C">
            <w:pPr>
              <w:pStyle w:val="6"/>
              <w:spacing w:before="125" w:line="234" w:lineRule="auto"/>
              <w:ind w:left="109"/>
              <w:rPr>
                <w:sz w:val="24"/>
                <w:szCs w:val="24"/>
              </w:rPr>
            </w:pPr>
            <w:r>
              <w:rPr>
                <w:rFonts w:ascii="Times New Roman" w:hAnsi="Times New Roman" w:eastAsia="Times New Roman" w:cs="Times New Roman"/>
                <w:b/>
                <w:bCs/>
                <w:spacing w:val="-4"/>
                <w:sz w:val="24"/>
                <w:szCs w:val="24"/>
              </w:rPr>
              <w:t>4</w:t>
            </w:r>
            <w:r>
              <w:rPr>
                <w:b/>
                <w:bCs/>
                <w:spacing w:val="-4"/>
                <w:sz w:val="24"/>
                <w:szCs w:val="24"/>
              </w:rPr>
              <w:t>、运营期电磁环境影响</w:t>
            </w:r>
          </w:p>
          <w:p w14:paraId="11C191B6">
            <w:pPr>
              <w:pStyle w:val="6"/>
              <w:spacing w:before="165" w:line="363" w:lineRule="auto"/>
              <w:ind w:left="112" w:right="108" w:firstLine="480"/>
              <w:jc w:val="both"/>
              <w:rPr>
                <w:sz w:val="24"/>
                <w:szCs w:val="24"/>
              </w:rPr>
            </w:pPr>
            <w:r>
              <w:rPr>
                <w:spacing w:val="-4"/>
                <w:sz w:val="24"/>
                <w:szCs w:val="24"/>
              </w:rPr>
              <w:t>本项目按当前规模建设，且满足设计及本环评提出的导线最低对地距离，则</w:t>
            </w:r>
            <w:r>
              <w:rPr>
                <w:spacing w:val="-3"/>
                <w:sz w:val="24"/>
                <w:szCs w:val="24"/>
              </w:rPr>
              <w:t>项目投运后</w:t>
            </w:r>
            <w:r>
              <w:rPr>
                <w:spacing w:val="-39"/>
                <w:sz w:val="24"/>
                <w:szCs w:val="24"/>
              </w:rPr>
              <w:t xml:space="preserve"> </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3"/>
                <w:sz w:val="24"/>
                <w:szCs w:val="24"/>
              </w:rPr>
              <w:t xml:space="preserve"> </w:t>
            </w:r>
            <w:r>
              <w:rPr>
                <w:spacing w:val="-3"/>
                <w:sz w:val="24"/>
                <w:szCs w:val="24"/>
              </w:rPr>
              <w:t>回输电线路评价范围内，距地面</w:t>
            </w:r>
            <w:r>
              <w:rPr>
                <w:spacing w:val="-32"/>
                <w:sz w:val="24"/>
                <w:szCs w:val="24"/>
              </w:rPr>
              <w:t xml:space="preserve"> </w:t>
            </w:r>
            <w:r>
              <w:rPr>
                <w:rFonts w:ascii="Times New Roman" w:hAnsi="Times New Roman" w:eastAsia="Times New Roman" w:cs="Times New Roman"/>
                <w:spacing w:val="-3"/>
                <w:sz w:val="24"/>
                <w:szCs w:val="24"/>
              </w:rPr>
              <w:t>1.5m</w:t>
            </w:r>
            <w:r>
              <w:rPr>
                <w:rFonts w:ascii="Times New Roman" w:hAnsi="Times New Roman" w:eastAsia="Times New Roman" w:cs="Times New Roman"/>
                <w:spacing w:val="17"/>
                <w:sz w:val="24"/>
                <w:szCs w:val="24"/>
              </w:rPr>
              <w:t xml:space="preserve"> </w:t>
            </w:r>
            <w:r>
              <w:rPr>
                <w:spacing w:val="-3"/>
                <w:sz w:val="24"/>
                <w:szCs w:val="24"/>
              </w:rPr>
              <w:t>高处的工频电场强度、工频</w:t>
            </w:r>
            <w:r>
              <w:rPr>
                <w:spacing w:val="-7"/>
                <w:sz w:val="24"/>
                <w:szCs w:val="24"/>
              </w:rPr>
              <w:t>磁感应强度、均能满足《电磁环境控制限值》（</w:t>
            </w:r>
            <w:r>
              <w:rPr>
                <w:rFonts w:ascii="Times New Roman" w:hAnsi="Times New Roman" w:eastAsia="Times New Roman" w:cs="Times New Roman"/>
                <w:spacing w:val="-7"/>
                <w:sz w:val="24"/>
                <w:szCs w:val="24"/>
              </w:rPr>
              <w:t>GB8702-2014</w:t>
            </w:r>
            <w:r>
              <w:rPr>
                <w:spacing w:val="-7"/>
                <w:sz w:val="24"/>
                <w:szCs w:val="24"/>
              </w:rPr>
              <w:t>）中</w:t>
            </w:r>
            <w:r>
              <w:rPr>
                <w:spacing w:val="-8"/>
                <w:sz w:val="24"/>
                <w:szCs w:val="24"/>
              </w:rPr>
              <w:t>经过居民区电场</w:t>
            </w:r>
            <w:r>
              <w:rPr>
                <w:spacing w:val="-3"/>
                <w:sz w:val="24"/>
                <w:szCs w:val="24"/>
              </w:rPr>
              <w:t>强度≤</w:t>
            </w:r>
            <w:r>
              <w:rPr>
                <w:rFonts w:ascii="Times New Roman" w:hAnsi="Times New Roman" w:eastAsia="Times New Roman" w:cs="Times New Roman"/>
                <w:spacing w:val="-3"/>
                <w:sz w:val="24"/>
                <w:szCs w:val="24"/>
              </w:rPr>
              <w:t xml:space="preserve">4kV/m </w:t>
            </w:r>
            <w:r>
              <w:rPr>
                <w:spacing w:val="-3"/>
                <w:sz w:val="24"/>
                <w:szCs w:val="24"/>
              </w:rPr>
              <w:t>和磁感应强度≤</w:t>
            </w:r>
            <w:r>
              <w:rPr>
                <w:rFonts w:ascii="Times New Roman" w:hAnsi="Times New Roman" w:eastAsia="Times New Roman" w:cs="Times New Roman"/>
                <w:spacing w:val="-3"/>
                <w:sz w:val="24"/>
                <w:szCs w:val="24"/>
              </w:rPr>
              <w:t>100μT</w:t>
            </w:r>
            <w:r>
              <w:rPr>
                <w:rFonts w:ascii="Times New Roman" w:hAnsi="Times New Roman" w:eastAsia="Times New Roman" w:cs="Times New Roman"/>
                <w:spacing w:val="29"/>
                <w:sz w:val="24"/>
                <w:szCs w:val="24"/>
              </w:rPr>
              <w:t xml:space="preserve"> </w:t>
            </w:r>
            <w:r>
              <w:rPr>
                <w:spacing w:val="-3"/>
                <w:sz w:val="24"/>
                <w:szCs w:val="24"/>
              </w:rPr>
              <w:t>的公众曝露控制限</w:t>
            </w:r>
            <w:r>
              <w:rPr>
                <w:spacing w:val="-4"/>
                <w:sz w:val="24"/>
                <w:szCs w:val="24"/>
              </w:rPr>
              <w:t>值要求，经过非居民区满足架空线路下耕地、园地、牧草地、畜禽饲养地、养殖水面、道路等场所处电场</w:t>
            </w:r>
            <w:r>
              <w:rPr>
                <w:spacing w:val="-2"/>
                <w:sz w:val="24"/>
                <w:szCs w:val="24"/>
              </w:rPr>
              <w:t>强度≤</w:t>
            </w:r>
            <w:r>
              <w:rPr>
                <w:rFonts w:ascii="Times New Roman" w:hAnsi="Times New Roman" w:eastAsia="Times New Roman" w:cs="Times New Roman"/>
                <w:spacing w:val="-2"/>
                <w:sz w:val="24"/>
                <w:szCs w:val="24"/>
              </w:rPr>
              <w:t xml:space="preserve">10kV/m </w:t>
            </w:r>
            <w:r>
              <w:rPr>
                <w:spacing w:val="-2"/>
                <w:sz w:val="24"/>
                <w:szCs w:val="24"/>
              </w:rPr>
              <w:t>和磁感应强度≤</w:t>
            </w:r>
            <w:r>
              <w:rPr>
                <w:rFonts w:ascii="Times New Roman" w:hAnsi="Times New Roman" w:eastAsia="Times New Roman" w:cs="Times New Roman"/>
                <w:spacing w:val="-2"/>
                <w:sz w:val="24"/>
                <w:szCs w:val="24"/>
              </w:rPr>
              <w:t>100μT</w:t>
            </w:r>
            <w:r>
              <w:rPr>
                <w:rFonts w:ascii="Times New Roman" w:hAnsi="Times New Roman" w:eastAsia="Times New Roman" w:cs="Times New Roman"/>
                <w:spacing w:val="29"/>
                <w:w w:val="101"/>
                <w:sz w:val="24"/>
                <w:szCs w:val="24"/>
              </w:rPr>
              <w:t xml:space="preserve"> </w:t>
            </w:r>
            <w:r>
              <w:rPr>
                <w:spacing w:val="-3"/>
                <w:sz w:val="24"/>
                <w:szCs w:val="24"/>
              </w:rPr>
              <w:t>的限值要求。</w:t>
            </w:r>
          </w:p>
          <w:p w14:paraId="715B84A4">
            <w:pPr>
              <w:pStyle w:val="6"/>
              <w:spacing w:before="17" w:line="363" w:lineRule="auto"/>
              <w:ind w:left="113" w:right="109" w:firstLine="479"/>
              <w:jc w:val="both"/>
              <w:rPr>
                <w:sz w:val="24"/>
                <w:szCs w:val="24"/>
              </w:rPr>
            </w:pPr>
            <w:r>
              <w:rPr>
                <w:spacing w:val="-4"/>
                <w:sz w:val="24"/>
                <w:szCs w:val="24"/>
              </w:rPr>
              <w:t>扩建间隔不改变原变电站主体规模，不新增电磁源，扩建工程完成后变电站</w:t>
            </w:r>
            <w:r>
              <w:rPr>
                <w:spacing w:val="3"/>
                <w:sz w:val="24"/>
                <w:szCs w:val="24"/>
              </w:rPr>
              <w:t>区域电磁环境水平与变电站前期工程建成后的电磁环境水平相当。且能够满足</w:t>
            </w:r>
            <w:r>
              <w:rPr>
                <w:spacing w:val="-7"/>
                <w:sz w:val="24"/>
                <w:szCs w:val="24"/>
              </w:rPr>
              <w:t>《电磁环境控制限值》（</w:t>
            </w:r>
            <w:r>
              <w:rPr>
                <w:rFonts w:ascii="Times New Roman" w:hAnsi="Times New Roman" w:eastAsia="Times New Roman" w:cs="Times New Roman"/>
                <w:spacing w:val="-7"/>
                <w:sz w:val="24"/>
                <w:szCs w:val="24"/>
              </w:rPr>
              <w:t>GB8702-2014</w:t>
            </w:r>
            <w:r>
              <w:rPr>
                <w:spacing w:val="-7"/>
                <w:sz w:val="24"/>
                <w:szCs w:val="24"/>
              </w:rPr>
              <w:t>）中电场强度≤</w:t>
            </w:r>
            <w:r>
              <w:rPr>
                <w:rFonts w:ascii="Times New Roman" w:hAnsi="Times New Roman" w:eastAsia="Times New Roman" w:cs="Times New Roman"/>
                <w:spacing w:val="-8"/>
                <w:sz w:val="24"/>
                <w:szCs w:val="24"/>
              </w:rPr>
              <w:t>4kVm</w:t>
            </w:r>
            <w:r>
              <w:rPr>
                <w:spacing w:val="-8"/>
                <w:sz w:val="24"/>
                <w:szCs w:val="24"/>
              </w:rPr>
              <w:t>、磁感应强度≤</w:t>
            </w:r>
            <w:r>
              <w:rPr>
                <w:rFonts w:ascii="Times New Roman" w:hAnsi="Times New Roman" w:eastAsia="Times New Roman" w:cs="Times New Roman"/>
                <w:spacing w:val="-8"/>
                <w:sz w:val="24"/>
                <w:szCs w:val="24"/>
              </w:rPr>
              <w:t>100μT</w:t>
            </w:r>
            <w:r>
              <w:rPr>
                <w:spacing w:val="-7"/>
                <w:sz w:val="24"/>
                <w:szCs w:val="24"/>
              </w:rPr>
              <w:t>的限值要求。</w:t>
            </w:r>
          </w:p>
          <w:p w14:paraId="5A95B4CD">
            <w:pPr>
              <w:pStyle w:val="6"/>
              <w:spacing w:before="5" w:line="355" w:lineRule="auto"/>
              <w:ind w:left="124" w:right="118" w:firstLine="467"/>
              <w:rPr>
                <w:sz w:val="24"/>
                <w:szCs w:val="24"/>
              </w:rPr>
            </w:pPr>
            <w:r>
              <w:rPr>
                <w:spacing w:val="-7"/>
                <w:sz w:val="24"/>
                <w:szCs w:val="24"/>
              </w:rPr>
              <w:t>根据《环境影响评价技术导则</w:t>
            </w:r>
            <w:r>
              <w:rPr>
                <w:spacing w:val="32"/>
                <w:sz w:val="24"/>
                <w:szCs w:val="24"/>
              </w:rPr>
              <w:t xml:space="preserve"> </w:t>
            </w:r>
            <w:r>
              <w:rPr>
                <w:spacing w:val="-7"/>
                <w:sz w:val="24"/>
                <w:szCs w:val="24"/>
              </w:rPr>
              <w:t>输变电》（</w:t>
            </w:r>
            <w:r>
              <w:rPr>
                <w:rFonts w:ascii="Times New Roman" w:hAnsi="Times New Roman" w:eastAsia="Times New Roman" w:cs="Times New Roman"/>
                <w:spacing w:val="-7"/>
                <w:sz w:val="24"/>
                <w:szCs w:val="24"/>
              </w:rPr>
              <w:t>HJ24-2020</w:t>
            </w:r>
            <w:r>
              <w:rPr>
                <w:spacing w:val="-61"/>
                <w:w w:val="97"/>
                <w:sz w:val="24"/>
                <w:szCs w:val="24"/>
              </w:rPr>
              <w:t>），</w:t>
            </w:r>
            <w:r>
              <w:rPr>
                <w:spacing w:val="-7"/>
                <w:sz w:val="24"/>
                <w:szCs w:val="24"/>
              </w:rPr>
              <w:t>本工程的电磁环境影</w:t>
            </w:r>
            <w:r>
              <w:rPr>
                <w:spacing w:val="-1"/>
                <w:sz w:val="24"/>
                <w:szCs w:val="24"/>
              </w:rPr>
              <w:t>响应设专题评价。具体的电磁环境影响分析详见项目电磁环境影响专题评价。</w:t>
            </w:r>
          </w:p>
          <w:p w14:paraId="61572F91">
            <w:pPr>
              <w:pStyle w:val="6"/>
              <w:spacing w:before="26" w:line="233" w:lineRule="auto"/>
              <w:ind w:left="111"/>
              <w:rPr>
                <w:sz w:val="24"/>
                <w:szCs w:val="24"/>
              </w:rPr>
            </w:pPr>
            <w:r>
              <w:rPr>
                <w:rFonts w:ascii="Times New Roman" w:hAnsi="Times New Roman" w:eastAsia="Times New Roman" w:cs="Times New Roman"/>
                <w:b/>
                <w:bCs/>
                <w:spacing w:val="-3"/>
                <w:sz w:val="24"/>
                <w:szCs w:val="24"/>
              </w:rPr>
              <w:t>5</w:t>
            </w:r>
            <w:r>
              <w:rPr>
                <w:b/>
                <w:bCs/>
                <w:spacing w:val="-3"/>
                <w:sz w:val="24"/>
                <w:szCs w:val="24"/>
              </w:rPr>
              <w:t>、运营期地表水环境影响</w:t>
            </w:r>
          </w:p>
          <w:p w14:paraId="7122EE0A">
            <w:pPr>
              <w:pStyle w:val="6"/>
              <w:spacing w:before="169" w:line="365" w:lineRule="auto"/>
              <w:ind w:left="111" w:right="108" w:firstLine="481"/>
              <w:rPr>
                <w:sz w:val="24"/>
                <w:szCs w:val="24"/>
              </w:rPr>
            </w:pPr>
            <w:r>
              <w:rPr>
                <w:spacing w:val="-4"/>
                <w:sz w:val="24"/>
                <w:szCs w:val="24"/>
              </w:rPr>
              <w:t>本项目投运后，输电线路及扩建间隔无废污水产生，不会对沿线地表水环境</w:t>
            </w:r>
            <w:r>
              <w:rPr>
                <w:spacing w:val="-7"/>
                <w:sz w:val="24"/>
                <w:szCs w:val="24"/>
              </w:rPr>
              <w:t>造成影响。</w:t>
            </w:r>
          </w:p>
          <w:p w14:paraId="7CDA03EF">
            <w:pPr>
              <w:pStyle w:val="6"/>
              <w:spacing w:line="234" w:lineRule="auto"/>
              <w:ind w:left="111"/>
              <w:rPr>
                <w:sz w:val="24"/>
                <w:szCs w:val="24"/>
              </w:rPr>
            </w:pPr>
            <w:r>
              <w:rPr>
                <w:rFonts w:ascii="Times New Roman" w:hAnsi="Times New Roman" w:eastAsia="Times New Roman" w:cs="Times New Roman"/>
                <w:b/>
                <w:bCs/>
                <w:spacing w:val="-4"/>
                <w:sz w:val="24"/>
                <w:szCs w:val="24"/>
              </w:rPr>
              <w:t>6</w:t>
            </w:r>
            <w:r>
              <w:rPr>
                <w:b/>
                <w:bCs/>
                <w:spacing w:val="-4"/>
                <w:sz w:val="24"/>
                <w:szCs w:val="24"/>
              </w:rPr>
              <w:t>、运营期大气环境影响</w:t>
            </w:r>
          </w:p>
          <w:p w14:paraId="15D9173A">
            <w:pPr>
              <w:pStyle w:val="6"/>
              <w:spacing w:before="171" w:line="219" w:lineRule="auto"/>
              <w:ind w:left="591"/>
              <w:rPr>
                <w:sz w:val="24"/>
                <w:szCs w:val="24"/>
              </w:rPr>
            </w:pPr>
            <w:r>
              <w:rPr>
                <w:spacing w:val="-2"/>
                <w:sz w:val="24"/>
                <w:szCs w:val="24"/>
              </w:rPr>
              <w:t>输电线路及间隔运营后无废气产生，不会对大气环境产生影响。</w:t>
            </w:r>
          </w:p>
          <w:p w14:paraId="25999BA8">
            <w:pPr>
              <w:pStyle w:val="6"/>
              <w:spacing w:before="188" w:line="234" w:lineRule="auto"/>
              <w:ind w:left="111"/>
              <w:rPr>
                <w:sz w:val="24"/>
                <w:szCs w:val="24"/>
              </w:rPr>
            </w:pPr>
            <w:r>
              <w:rPr>
                <w:rFonts w:ascii="Times New Roman" w:hAnsi="Times New Roman" w:eastAsia="Times New Roman" w:cs="Times New Roman"/>
                <w:b/>
                <w:bCs/>
                <w:spacing w:val="-4"/>
                <w:sz w:val="24"/>
                <w:szCs w:val="24"/>
              </w:rPr>
              <w:t>7</w:t>
            </w:r>
            <w:r>
              <w:rPr>
                <w:b/>
                <w:bCs/>
                <w:spacing w:val="-4"/>
                <w:sz w:val="24"/>
                <w:szCs w:val="24"/>
              </w:rPr>
              <w:t>、运营期固体废物影响</w:t>
            </w:r>
          </w:p>
          <w:p w14:paraId="0872ECD5">
            <w:pPr>
              <w:pStyle w:val="6"/>
              <w:spacing w:before="171" w:line="332" w:lineRule="auto"/>
              <w:ind w:left="114" w:right="42" w:firstLine="479"/>
              <w:jc w:val="both"/>
              <w:rPr>
                <w:sz w:val="24"/>
                <w:szCs w:val="24"/>
              </w:rPr>
            </w:pPr>
            <w:r>
              <w:rPr>
                <w:spacing w:val="-4"/>
                <w:sz w:val="24"/>
                <w:szCs w:val="24"/>
              </w:rPr>
              <w:t>本项目输电线路运行期间，设备维修和更换会产生废弃的导线、螺丝钉等废</w:t>
            </w:r>
            <w:r>
              <w:rPr>
                <w:spacing w:val="-10"/>
                <w:sz w:val="24"/>
                <w:szCs w:val="24"/>
              </w:rPr>
              <w:t>旧材料及设备，回收利用，对环境影响不大。间隔扩建工程，</w:t>
            </w:r>
            <w:r>
              <w:rPr>
                <w:spacing w:val="-57"/>
                <w:sz w:val="24"/>
                <w:szCs w:val="24"/>
              </w:rPr>
              <w:t xml:space="preserve"> </w:t>
            </w:r>
            <w:r>
              <w:rPr>
                <w:spacing w:val="-10"/>
                <w:sz w:val="24"/>
                <w:szCs w:val="24"/>
              </w:rPr>
              <w:t>不涉及新增蓄电池，</w:t>
            </w:r>
            <w:r>
              <w:rPr>
                <w:spacing w:val="-7"/>
                <w:sz w:val="24"/>
                <w:szCs w:val="24"/>
              </w:rPr>
              <w:t>无新增影响。</w:t>
            </w:r>
          </w:p>
        </w:tc>
      </w:tr>
      <w:tr w14:paraId="576F0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55" w:hRule="atLeast"/>
        </w:trPr>
        <w:tc>
          <w:tcPr>
            <w:tcW w:w="571" w:type="dxa"/>
            <w:vAlign w:val="top"/>
          </w:tcPr>
          <w:p w14:paraId="29980400">
            <w:pPr>
              <w:spacing w:line="465" w:lineRule="auto"/>
              <w:rPr>
                <w:rFonts w:ascii="Arial"/>
                <w:sz w:val="21"/>
              </w:rPr>
            </w:pPr>
          </w:p>
          <w:p w14:paraId="53A4C66D">
            <w:pPr>
              <w:pStyle w:val="6"/>
              <w:spacing w:before="68" w:line="278" w:lineRule="auto"/>
              <w:ind w:left="79" w:right="71"/>
              <w:jc w:val="both"/>
            </w:pPr>
            <w:r>
              <w:rPr>
                <w:spacing w:val="-3"/>
              </w:rPr>
              <w:t>选址选线环境合理性分</w:t>
            </w:r>
            <w:r>
              <w:rPr>
                <w:spacing w:val="36"/>
                <w:w w:val="130"/>
              </w:rPr>
              <w:t>析</w:t>
            </w:r>
          </w:p>
        </w:tc>
        <w:tc>
          <w:tcPr>
            <w:tcW w:w="8507" w:type="dxa"/>
            <w:vAlign w:val="top"/>
          </w:tcPr>
          <w:p w14:paraId="14CC7503">
            <w:pPr>
              <w:pStyle w:val="6"/>
              <w:spacing w:before="124" w:line="233" w:lineRule="auto"/>
              <w:ind w:left="118"/>
              <w:rPr>
                <w:sz w:val="24"/>
                <w:szCs w:val="24"/>
              </w:rPr>
            </w:pPr>
            <w:r>
              <w:rPr>
                <w:rFonts w:ascii="Times New Roman" w:hAnsi="Times New Roman" w:eastAsia="Times New Roman" w:cs="Times New Roman"/>
                <w:b/>
                <w:bCs/>
                <w:spacing w:val="-6"/>
                <w:sz w:val="24"/>
                <w:szCs w:val="24"/>
              </w:rPr>
              <w:t>1</w:t>
            </w:r>
            <w:r>
              <w:rPr>
                <w:b/>
                <w:bCs/>
                <w:spacing w:val="-6"/>
                <w:sz w:val="24"/>
                <w:szCs w:val="24"/>
              </w:rPr>
              <w:t>、环境敏感区</w:t>
            </w:r>
          </w:p>
          <w:p w14:paraId="09DB3787">
            <w:pPr>
              <w:pStyle w:val="6"/>
              <w:spacing w:before="168" w:line="346" w:lineRule="auto"/>
              <w:ind w:left="111" w:right="114" w:firstLine="480"/>
              <w:rPr>
                <w:sz w:val="24"/>
                <w:szCs w:val="24"/>
              </w:rPr>
            </w:pPr>
            <w:r>
              <w:rPr>
                <w:spacing w:val="-3"/>
                <w:sz w:val="24"/>
                <w:szCs w:val="24"/>
              </w:rPr>
              <w:t>根据《建设项目环境影响评价分类管理名录》（</w:t>
            </w:r>
            <w:r>
              <w:rPr>
                <w:rFonts w:ascii="Times New Roman" w:hAnsi="Times New Roman" w:eastAsia="Times New Roman" w:cs="Times New Roman"/>
                <w:spacing w:val="-3"/>
                <w:sz w:val="24"/>
                <w:szCs w:val="24"/>
              </w:rPr>
              <w:t>2021</w:t>
            </w:r>
            <w:r>
              <w:rPr>
                <w:spacing w:val="-3"/>
                <w:sz w:val="24"/>
                <w:szCs w:val="24"/>
              </w:rPr>
              <w:t>版</w:t>
            </w:r>
            <w:r>
              <w:rPr>
                <w:spacing w:val="-13"/>
                <w:sz w:val="24"/>
                <w:szCs w:val="24"/>
              </w:rPr>
              <w:t>），</w:t>
            </w:r>
            <w:r>
              <w:rPr>
                <w:spacing w:val="-3"/>
                <w:sz w:val="24"/>
                <w:szCs w:val="24"/>
              </w:rPr>
              <w:t>五十五、核</w:t>
            </w:r>
            <w:r>
              <w:rPr>
                <w:spacing w:val="-4"/>
                <w:sz w:val="24"/>
                <w:szCs w:val="24"/>
              </w:rPr>
              <w:t>与辐</w:t>
            </w:r>
            <w:r>
              <w:rPr>
                <w:sz w:val="24"/>
                <w:szCs w:val="24"/>
              </w:rPr>
              <w:t>射—</w:t>
            </w:r>
            <w:r>
              <w:rPr>
                <w:rFonts w:ascii="Times New Roman" w:hAnsi="Times New Roman" w:eastAsia="Times New Roman" w:cs="Times New Roman"/>
                <w:sz w:val="24"/>
                <w:szCs w:val="24"/>
              </w:rPr>
              <w:t>161</w:t>
            </w:r>
            <w:r>
              <w:rPr>
                <w:sz w:val="24"/>
                <w:szCs w:val="24"/>
              </w:rPr>
              <w:t>输变电工程，其对应的环境敏感区是指下列区域：“（一）</w:t>
            </w:r>
            <w:r>
              <w:rPr>
                <w:spacing w:val="-1"/>
                <w:sz w:val="24"/>
                <w:szCs w:val="24"/>
              </w:rPr>
              <w:t>国家公园、</w:t>
            </w:r>
            <w:r>
              <w:rPr>
                <w:spacing w:val="-4"/>
                <w:sz w:val="24"/>
                <w:szCs w:val="24"/>
              </w:rPr>
              <w:t>自然保护区、风景名胜区、世界文化和自然遗产地、海洋特别保护区、饮用水水源保护区</w:t>
            </w:r>
            <w:r>
              <w:rPr>
                <w:spacing w:val="3"/>
                <w:sz w:val="24"/>
                <w:szCs w:val="24"/>
              </w:rPr>
              <w:t>；（</w:t>
            </w:r>
            <w:r>
              <w:rPr>
                <w:spacing w:val="-4"/>
                <w:sz w:val="24"/>
                <w:szCs w:val="24"/>
              </w:rPr>
              <w:t>三）中的以居住、医疗卫生、文化教育、科研、行政办公等为主要</w:t>
            </w:r>
            <w:r>
              <w:rPr>
                <w:spacing w:val="15"/>
                <w:sz w:val="24"/>
                <w:szCs w:val="24"/>
              </w:rPr>
              <w:t>功能的区域。”</w:t>
            </w:r>
          </w:p>
        </w:tc>
      </w:tr>
    </w:tbl>
    <w:p w14:paraId="65D563FF">
      <w:pPr>
        <w:rPr>
          <w:rFonts w:ascii="Arial"/>
          <w:sz w:val="21"/>
        </w:rPr>
      </w:pPr>
    </w:p>
    <w:p w14:paraId="658D73EF">
      <w:pPr>
        <w:rPr>
          <w:rFonts w:ascii="Arial" w:hAnsi="Arial" w:eastAsia="Arial" w:cs="Arial"/>
          <w:sz w:val="21"/>
          <w:szCs w:val="21"/>
        </w:rPr>
        <w:sectPr>
          <w:footerReference r:id="rId73" w:type="default"/>
          <w:pgSz w:w="11907" w:h="16841"/>
          <w:pgMar w:top="400" w:right="1408" w:bottom="1126" w:left="1414" w:header="0" w:footer="925" w:gutter="0"/>
          <w:cols w:space="720" w:num="1"/>
        </w:sectPr>
      </w:pPr>
    </w:p>
    <w:p w14:paraId="0BCE9A38">
      <w:pPr>
        <w:spacing w:before="2"/>
      </w:pPr>
    </w:p>
    <w:p w14:paraId="604CDCB9">
      <w:pPr>
        <w:spacing w:before="2"/>
      </w:pPr>
    </w:p>
    <w:p w14:paraId="1981C9D6">
      <w:pPr>
        <w:spacing w:before="1"/>
      </w:pPr>
    </w:p>
    <w:p w14:paraId="79EEE546">
      <w:pPr>
        <w:spacing w:before="1"/>
      </w:pPr>
    </w:p>
    <w:p w14:paraId="1C0B60FD">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4E296B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2DDF9F9D">
            <w:pPr>
              <w:rPr>
                <w:rFonts w:ascii="Arial"/>
                <w:sz w:val="21"/>
              </w:rPr>
            </w:pPr>
          </w:p>
        </w:tc>
        <w:tc>
          <w:tcPr>
            <w:tcW w:w="8507" w:type="dxa"/>
            <w:vAlign w:val="top"/>
          </w:tcPr>
          <w:p w14:paraId="34FDA979">
            <w:pPr>
              <w:pStyle w:val="6"/>
              <w:spacing w:before="126" w:line="364" w:lineRule="auto"/>
              <w:ind w:left="112" w:right="43" w:firstLine="480"/>
              <w:jc w:val="both"/>
              <w:rPr>
                <w:sz w:val="24"/>
                <w:szCs w:val="24"/>
              </w:rPr>
            </w:pPr>
            <w:r>
              <w:rPr>
                <w:spacing w:val="-9"/>
                <w:sz w:val="24"/>
                <w:szCs w:val="24"/>
              </w:rPr>
              <w:t>根据会泽县自然资源局、林草局、生态环境局对本工程路径的查询情况说明，</w:t>
            </w:r>
            <w:r>
              <w:rPr>
                <w:spacing w:val="-7"/>
                <w:sz w:val="24"/>
                <w:szCs w:val="24"/>
              </w:rPr>
              <w:t>本工程不涉及国家公园、自然保护区、 风景名胜区、饮用水水源保护区、世界文</w:t>
            </w:r>
            <w:r>
              <w:rPr>
                <w:spacing w:val="-2"/>
                <w:sz w:val="24"/>
                <w:szCs w:val="24"/>
              </w:rPr>
              <w:t>化和自然遗产地。工程穿越生态保护红线长度共计为</w:t>
            </w:r>
            <w:r>
              <w:rPr>
                <w:rFonts w:ascii="Times New Roman" w:hAnsi="Times New Roman" w:eastAsia="Times New Roman" w:cs="Times New Roman"/>
                <w:spacing w:val="-2"/>
                <w:sz w:val="24"/>
                <w:szCs w:val="24"/>
              </w:rPr>
              <w:t>4257m</w:t>
            </w:r>
            <w:r>
              <w:rPr>
                <w:spacing w:val="-2"/>
                <w:sz w:val="24"/>
                <w:szCs w:val="24"/>
              </w:rPr>
              <w:t>，生态保护红线内立</w:t>
            </w:r>
            <w:r>
              <w:rPr>
                <w:spacing w:val="-6"/>
                <w:sz w:val="24"/>
                <w:szCs w:val="24"/>
              </w:rPr>
              <w:t>塔</w:t>
            </w:r>
            <w:r>
              <w:rPr>
                <w:rFonts w:ascii="Times New Roman" w:hAnsi="Times New Roman" w:eastAsia="Times New Roman" w:cs="Times New Roman"/>
                <w:spacing w:val="-6"/>
                <w:sz w:val="24"/>
                <w:szCs w:val="24"/>
              </w:rPr>
              <w:t>13</w:t>
            </w:r>
            <w:r>
              <w:rPr>
                <w:spacing w:val="-6"/>
                <w:sz w:val="24"/>
                <w:szCs w:val="24"/>
              </w:rPr>
              <w:t>基。</w:t>
            </w:r>
          </w:p>
          <w:p w14:paraId="292A209F">
            <w:pPr>
              <w:pStyle w:val="6"/>
              <w:spacing w:line="234" w:lineRule="auto"/>
              <w:ind w:left="108"/>
              <w:rPr>
                <w:sz w:val="24"/>
                <w:szCs w:val="24"/>
              </w:rPr>
            </w:pPr>
            <w:r>
              <w:rPr>
                <w:rFonts w:ascii="Times New Roman" w:hAnsi="Times New Roman" w:eastAsia="Times New Roman" w:cs="Times New Roman"/>
                <w:b/>
                <w:bCs/>
                <w:spacing w:val="-5"/>
                <w:sz w:val="24"/>
                <w:szCs w:val="24"/>
              </w:rPr>
              <w:t>2</w:t>
            </w:r>
            <w:r>
              <w:rPr>
                <w:rFonts w:ascii="Times New Roman" w:hAnsi="Times New Roman" w:eastAsia="Times New Roman" w:cs="Times New Roman"/>
                <w:b/>
                <w:bCs/>
                <w:spacing w:val="-29"/>
                <w:sz w:val="24"/>
                <w:szCs w:val="24"/>
              </w:rPr>
              <w:t xml:space="preserve"> </w:t>
            </w:r>
            <w:r>
              <w:rPr>
                <w:b/>
                <w:bCs/>
                <w:spacing w:val="-5"/>
                <w:sz w:val="24"/>
                <w:szCs w:val="24"/>
              </w:rPr>
              <w:t>、选线环境合理性分析</w:t>
            </w:r>
          </w:p>
          <w:p w14:paraId="65A5FF7E">
            <w:pPr>
              <w:pStyle w:val="6"/>
              <w:spacing w:before="172" w:line="364" w:lineRule="auto"/>
              <w:ind w:left="112" w:right="108" w:firstLine="480"/>
              <w:jc w:val="both"/>
              <w:rPr>
                <w:sz w:val="24"/>
                <w:szCs w:val="24"/>
              </w:rPr>
            </w:pPr>
            <w:r>
              <w:rPr>
                <w:spacing w:val="-4"/>
                <w:sz w:val="24"/>
                <w:szCs w:val="24"/>
              </w:rPr>
              <w:t>本工程线路沿线的敏感因素主要为：生态保护红线、居民点。线路采用高塔</w:t>
            </w:r>
            <w:r>
              <w:rPr>
                <w:spacing w:val="-3"/>
                <w:sz w:val="24"/>
                <w:szCs w:val="24"/>
              </w:rPr>
              <w:t>跨越方式架设，以减少对生态环境的影响，本</w:t>
            </w:r>
            <w:r>
              <w:rPr>
                <w:spacing w:val="-4"/>
                <w:sz w:val="24"/>
                <w:szCs w:val="24"/>
              </w:rPr>
              <w:t>工程推荐方案在有条件的情况下对敏感因素进行了避让。</w:t>
            </w:r>
          </w:p>
          <w:p w14:paraId="73E4037F">
            <w:pPr>
              <w:pStyle w:val="6"/>
              <w:spacing w:before="5" w:line="364" w:lineRule="auto"/>
              <w:ind w:left="112" w:right="51" w:firstLine="480"/>
              <w:jc w:val="both"/>
              <w:rPr>
                <w:sz w:val="24"/>
                <w:szCs w:val="24"/>
              </w:rPr>
            </w:pPr>
            <w:r>
              <w:rPr>
                <w:spacing w:val="-7"/>
                <w:sz w:val="24"/>
                <w:szCs w:val="24"/>
              </w:rPr>
              <w:t>根据路径方案说明，受区域地形、村庄集镇、现有电力线路的制</w:t>
            </w:r>
            <w:r>
              <w:rPr>
                <w:spacing w:val="-8"/>
                <w:sz w:val="24"/>
                <w:szCs w:val="24"/>
              </w:rPr>
              <w:t>约， 为项目</w:t>
            </w:r>
            <w:r>
              <w:rPr>
                <w:spacing w:val="-3"/>
                <w:sz w:val="24"/>
                <w:szCs w:val="24"/>
              </w:rPr>
              <w:t>的安全施工、减少林木砍伐、建成后运行的</w:t>
            </w:r>
            <w:r>
              <w:rPr>
                <w:spacing w:val="-4"/>
                <w:sz w:val="24"/>
                <w:szCs w:val="24"/>
              </w:rPr>
              <w:t>安全可靠性，项目推荐路径不可避免</w:t>
            </w:r>
            <w:r>
              <w:rPr>
                <w:spacing w:val="-2"/>
                <w:sz w:val="24"/>
                <w:szCs w:val="24"/>
              </w:rPr>
              <w:t>地穿越并占用了生态保护红线。但线路的塔基数量少、占地少、林木砍伐量小，</w:t>
            </w:r>
            <w:r>
              <w:rPr>
                <w:spacing w:val="-3"/>
                <w:sz w:val="24"/>
                <w:szCs w:val="24"/>
              </w:rPr>
              <w:t>其造成的生态扰动程度也较低，且路径方案</w:t>
            </w:r>
            <w:r>
              <w:rPr>
                <w:spacing w:val="-4"/>
                <w:sz w:val="24"/>
                <w:szCs w:val="24"/>
              </w:rPr>
              <w:t>尽量避让了沿线的居民点，故从环境</w:t>
            </w:r>
            <w:r>
              <w:rPr>
                <w:spacing w:val="-3"/>
                <w:sz w:val="24"/>
                <w:szCs w:val="24"/>
              </w:rPr>
              <w:t>合理的角度，本环评认可设计中的路径方案。</w:t>
            </w:r>
          </w:p>
          <w:p w14:paraId="39314BF2">
            <w:pPr>
              <w:pStyle w:val="6"/>
              <w:spacing w:before="3" w:line="364" w:lineRule="auto"/>
              <w:ind w:left="114" w:right="109" w:firstLine="480"/>
              <w:jc w:val="both"/>
              <w:rPr>
                <w:sz w:val="24"/>
                <w:szCs w:val="24"/>
              </w:rPr>
            </w:pPr>
            <w:r>
              <w:rPr>
                <w:spacing w:val="-4"/>
                <w:sz w:val="24"/>
                <w:szCs w:val="24"/>
              </w:rPr>
              <w:t>综上所述，考虑政府各职能部门的要求，电网整体规划，线路路径拟选原则以及现场的地形地貌情况，设计线路塔基已避让生态保护红线区域，但由于线路路径受多重因素限制，线路路径已为最优且唯一，线路路径无法避让生态保护红</w:t>
            </w:r>
            <w:r>
              <w:rPr>
                <w:spacing w:val="-12"/>
                <w:sz w:val="24"/>
                <w:szCs w:val="24"/>
              </w:rPr>
              <w:t>线。</w:t>
            </w:r>
          </w:p>
          <w:p w14:paraId="4937AE0D">
            <w:pPr>
              <w:pStyle w:val="6"/>
              <w:spacing w:before="1" w:line="234" w:lineRule="auto"/>
              <w:ind w:left="106"/>
              <w:rPr>
                <w:sz w:val="24"/>
                <w:szCs w:val="24"/>
              </w:rPr>
            </w:pPr>
            <w:r>
              <w:rPr>
                <w:rFonts w:ascii="Times New Roman" w:hAnsi="Times New Roman" w:eastAsia="Times New Roman" w:cs="Times New Roman"/>
                <w:b/>
                <w:bCs/>
                <w:spacing w:val="-6"/>
                <w:sz w:val="24"/>
                <w:szCs w:val="24"/>
              </w:rPr>
              <w:t>3</w:t>
            </w:r>
            <w:r>
              <w:rPr>
                <w:b/>
                <w:bCs/>
                <w:spacing w:val="-6"/>
                <w:sz w:val="24"/>
                <w:szCs w:val="24"/>
              </w:rPr>
              <w:t>、结论</w:t>
            </w:r>
          </w:p>
          <w:p w14:paraId="7FF9B2A9">
            <w:pPr>
              <w:pStyle w:val="6"/>
              <w:spacing w:before="164" w:line="365" w:lineRule="auto"/>
              <w:ind w:left="111" w:right="23" w:firstLine="481"/>
              <w:jc w:val="both"/>
              <w:rPr>
                <w:sz w:val="24"/>
                <w:szCs w:val="24"/>
              </w:rPr>
            </w:pPr>
            <w:r>
              <w:rPr>
                <w:spacing w:val="-8"/>
                <w:sz w:val="24"/>
                <w:szCs w:val="24"/>
              </w:rPr>
              <w:t>本项目不涉及国家公园、自然保护区、风景名胜区、世界文化和自然</w:t>
            </w:r>
            <w:r>
              <w:rPr>
                <w:spacing w:val="-9"/>
                <w:sz w:val="24"/>
                <w:szCs w:val="24"/>
              </w:rPr>
              <w:t>遗产地、</w:t>
            </w:r>
            <w:r>
              <w:rPr>
                <w:spacing w:val="-4"/>
                <w:sz w:val="24"/>
                <w:szCs w:val="24"/>
              </w:rPr>
              <w:t>饮用水水源保护区等环境敏感区，统筹考虑了城镇规划、工业园区、加油站、加气站、工矿企业、水利、电力、交通、通信、军事光缆、沿线矿产资源压覆（包</w:t>
            </w:r>
            <w:r>
              <w:rPr>
                <w:spacing w:val="-7"/>
                <w:sz w:val="24"/>
                <w:szCs w:val="24"/>
              </w:rPr>
              <w:t>括探矿权、采矿权） 等各种设施，进行了最大程度的优化，尽量避让了生态保护</w:t>
            </w:r>
            <w:r>
              <w:rPr>
                <w:spacing w:val="-3"/>
                <w:sz w:val="24"/>
                <w:szCs w:val="24"/>
              </w:rPr>
              <w:t>红线，结合地理位置及沿线地形、地貌、交</w:t>
            </w:r>
            <w:r>
              <w:rPr>
                <w:spacing w:val="-4"/>
                <w:sz w:val="24"/>
                <w:szCs w:val="24"/>
              </w:rPr>
              <w:t>叉跨越等因素，线路无法完全避让生</w:t>
            </w:r>
            <w:r>
              <w:rPr>
                <w:spacing w:val="-3"/>
                <w:sz w:val="24"/>
                <w:szCs w:val="24"/>
              </w:rPr>
              <w:t>态保护红线，设计单位对路径方案进行了唯一性</w:t>
            </w:r>
            <w:r>
              <w:rPr>
                <w:spacing w:val="-4"/>
                <w:sz w:val="24"/>
                <w:szCs w:val="24"/>
              </w:rPr>
              <w:t>论证，本报告提出一系列保护措施以减轻对其产生影响。根据现场调查，穿越生态保护红线区域植被一般，施工</w:t>
            </w:r>
            <w:r>
              <w:rPr>
                <w:spacing w:val="-2"/>
                <w:sz w:val="24"/>
                <w:szCs w:val="24"/>
              </w:rPr>
              <w:t>时采用高塔跨越，无人机放线，避免了线路下方的林木砍伐。</w:t>
            </w:r>
          </w:p>
          <w:p w14:paraId="1C7DEE4E">
            <w:pPr>
              <w:pStyle w:val="6"/>
              <w:spacing w:before="2" w:line="317" w:lineRule="auto"/>
              <w:ind w:left="138" w:right="110" w:firstLine="455"/>
              <w:rPr>
                <w:sz w:val="24"/>
                <w:szCs w:val="24"/>
              </w:rPr>
            </w:pPr>
            <w:r>
              <w:rPr>
                <w:spacing w:val="-4"/>
                <w:sz w:val="24"/>
                <w:szCs w:val="24"/>
              </w:rPr>
              <w:t>路径方案已尽最大限度减少树木砍伐及原始生态破坏。本工程线路路径走向已取得了工程所在地会泽县人民政府及各部门对线路路径原则同意的意见，</w:t>
            </w:r>
            <w:r>
              <w:rPr>
                <w:spacing w:val="-5"/>
                <w:sz w:val="24"/>
                <w:szCs w:val="24"/>
              </w:rPr>
              <w:t>建设</w:t>
            </w:r>
          </w:p>
        </w:tc>
      </w:tr>
    </w:tbl>
    <w:p w14:paraId="524E4069">
      <w:pPr>
        <w:rPr>
          <w:rFonts w:ascii="Arial"/>
          <w:sz w:val="21"/>
        </w:rPr>
      </w:pPr>
    </w:p>
    <w:p w14:paraId="0C395A98">
      <w:pPr>
        <w:rPr>
          <w:rFonts w:ascii="Arial" w:hAnsi="Arial" w:eastAsia="Arial" w:cs="Arial"/>
          <w:sz w:val="21"/>
          <w:szCs w:val="21"/>
        </w:rPr>
        <w:sectPr>
          <w:footerReference r:id="rId74" w:type="default"/>
          <w:pgSz w:w="11907" w:h="16841"/>
          <w:pgMar w:top="400" w:right="1408" w:bottom="1126" w:left="1414" w:header="0" w:footer="925" w:gutter="0"/>
          <w:cols w:space="720" w:num="1"/>
        </w:sectPr>
      </w:pPr>
    </w:p>
    <w:p w14:paraId="6F8E9C88">
      <w:pPr>
        <w:spacing w:before="2"/>
      </w:pPr>
    </w:p>
    <w:p w14:paraId="7A49843C">
      <w:pPr>
        <w:spacing w:before="2"/>
      </w:pPr>
    </w:p>
    <w:p w14:paraId="7C70C5B9">
      <w:pPr>
        <w:spacing w:before="1"/>
      </w:pPr>
    </w:p>
    <w:p w14:paraId="61B35077">
      <w:pPr>
        <w:spacing w:before="1"/>
      </w:pPr>
    </w:p>
    <w:p w14:paraId="79884F38">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3C18D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400F417A">
            <w:pPr>
              <w:rPr>
                <w:rFonts w:ascii="Arial"/>
                <w:sz w:val="21"/>
              </w:rPr>
            </w:pPr>
          </w:p>
        </w:tc>
        <w:tc>
          <w:tcPr>
            <w:tcW w:w="8507" w:type="dxa"/>
            <w:vAlign w:val="top"/>
          </w:tcPr>
          <w:p w14:paraId="4E1572B4">
            <w:pPr>
              <w:pStyle w:val="6"/>
              <w:spacing w:before="126" w:line="364" w:lineRule="auto"/>
              <w:ind w:left="114" w:right="24"/>
              <w:jc w:val="both"/>
              <w:rPr>
                <w:sz w:val="24"/>
                <w:szCs w:val="24"/>
              </w:rPr>
            </w:pPr>
            <w:r>
              <w:rPr>
                <w:spacing w:val="-4"/>
                <w:sz w:val="24"/>
                <w:szCs w:val="24"/>
              </w:rPr>
              <w:t>单位需按照国家、省州相关政策做好用地、用林报批后方可动工建设。临时工程牵张场、跨越场由于受路径走向及施工工艺限制，选址范围很小，但应在有限范围内尽量减少占地面积，尽量避免占用林分较好的林地，并在施工结束后及时进</w:t>
            </w:r>
            <w:r>
              <w:rPr>
                <w:spacing w:val="-8"/>
                <w:sz w:val="24"/>
                <w:szCs w:val="24"/>
              </w:rPr>
              <w:t>行植被恢复，禁止占用生态环境敏感区，在采取相应的措施后临时工程选址合理。</w:t>
            </w:r>
          </w:p>
          <w:p w14:paraId="6DF54571">
            <w:pPr>
              <w:pStyle w:val="6"/>
              <w:spacing w:before="2" w:line="367" w:lineRule="auto"/>
              <w:ind w:left="115" w:right="108" w:firstLine="480"/>
              <w:rPr>
                <w:sz w:val="24"/>
                <w:szCs w:val="24"/>
              </w:rPr>
            </w:pPr>
            <w:r>
              <w:rPr>
                <w:spacing w:val="-4"/>
                <w:sz w:val="24"/>
                <w:szCs w:val="24"/>
              </w:rPr>
              <w:t>综上，项目符合相关法律法规的要求，无重大环境制约性因素，工程选址选</w:t>
            </w:r>
            <w:r>
              <w:rPr>
                <w:spacing w:val="-7"/>
                <w:sz w:val="24"/>
                <w:szCs w:val="24"/>
              </w:rPr>
              <w:t>线方案可行。</w:t>
            </w:r>
          </w:p>
        </w:tc>
      </w:tr>
    </w:tbl>
    <w:p w14:paraId="01540CB7">
      <w:pPr>
        <w:rPr>
          <w:rFonts w:ascii="Arial"/>
          <w:sz w:val="21"/>
        </w:rPr>
      </w:pPr>
    </w:p>
    <w:p w14:paraId="12483EF2">
      <w:pPr>
        <w:rPr>
          <w:rFonts w:ascii="Arial" w:hAnsi="Arial" w:eastAsia="Arial" w:cs="Arial"/>
          <w:sz w:val="21"/>
          <w:szCs w:val="21"/>
        </w:rPr>
        <w:sectPr>
          <w:footerReference r:id="rId75" w:type="default"/>
          <w:pgSz w:w="11907" w:h="16841"/>
          <w:pgMar w:top="400" w:right="1408" w:bottom="1126" w:left="1414" w:header="0" w:footer="925" w:gutter="0"/>
          <w:cols w:space="720" w:num="1"/>
        </w:sectPr>
      </w:pPr>
    </w:p>
    <w:p w14:paraId="25FE801E">
      <w:pPr>
        <w:spacing w:line="255" w:lineRule="auto"/>
        <w:rPr>
          <w:rFonts w:ascii="Arial"/>
          <w:sz w:val="21"/>
        </w:rPr>
      </w:pPr>
    </w:p>
    <w:p w14:paraId="2201F4A6">
      <w:pPr>
        <w:spacing w:line="255" w:lineRule="auto"/>
        <w:rPr>
          <w:rFonts w:ascii="Arial"/>
          <w:sz w:val="21"/>
        </w:rPr>
      </w:pPr>
    </w:p>
    <w:p w14:paraId="3EE6C878">
      <w:pPr>
        <w:spacing w:line="255" w:lineRule="auto"/>
        <w:rPr>
          <w:rFonts w:ascii="Arial"/>
          <w:sz w:val="21"/>
        </w:rPr>
      </w:pPr>
    </w:p>
    <w:p w14:paraId="0112F563">
      <w:pPr>
        <w:spacing w:line="255" w:lineRule="auto"/>
        <w:rPr>
          <w:rFonts w:ascii="Arial"/>
          <w:sz w:val="21"/>
        </w:rPr>
      </w:pPr>
    </w:p>
    <w:p w14:paraId="7620F2C0">
      <w:pPr>
        <w:spacing w:line="256" w:lineRule="auto"/>
        <w:rPr>
          <w:rFonts w:ascii="Arial"/>
          <w:sz w:val="21"/>
        </w:rPr>
      </w:pPr>
    </w:p>
    <w:p w14:paraId="5E61A2E6">
      <w:pPr>
        <w:pStyle w:val="2"/>
        <w:spacing w:before="98" w:line="219" w:lineRule="auto"/>
        <w:ind w:left="2761"/>
        <w:rPr>
          <w:sz w:val="30"/>
          <w:szCs w:val="30"/>
        </w:rPr>
      </w:pPr>
      <w:r>
        <w:rPr>
          <w:spacing w:val="-2"/>
          <w:sz w:val="30"/>
          <w:szCs w:val="30"/>
        </w:rPr>
        <w:t>五、主要生态环境保护措施</w:t>
      </w:r>
    </w:p>
    <w:p w14:paraId="06B601FE">
      <w:pPr>
        <w:spacing w:line="110" w:lineRule="exact"/>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4C3CFB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07" w:hRule="atLeast"/>
        </w:trPr>
        <w:tc>
          <w:tcPr>
            <w:tcW w:w="571" w:type="dxa"/>
            <w:vAlign w:val="top"/>
          </w:tcPr>
          <w:p w14:paraId="490FCD99">
            <w:pPr>
              <w:spacing w:line="245" w:lineRule="auto"/>
              <w:rPr>
                <w:rFonts w:ascii="Arial"/>
                <w:sz w:val="21"/>
              </w:rPr>
            </w:pPr>
          </w:p>
          <w:p w14:paraId="1D54AA93">
            <w:pPr>
              <w:spacing w:line="245" w:lineRule="auto"/>
              <w:rPr>
                <w:rFonts w:ascii="Arial"/>
                <w:sz w:val="21"/>
              </w:rPr>
            </w:pPr>
          </w:p>
          <w:p w14:paraId="281B3917">
            <w:pPr>
              <w:spacing w:line="245" w:lineRule="auto"/>
              <w:rPr>
                <w:rFonts w:ascii="Arial"/>
                <w:sz w:val="21"/>
              </w:rPr>
            </w:pPr>
          </w:p>
          <w:p w14:paraId="7B980384">
            <w:pPr>
              <w:spacing w:line="245" w:lineRule="auto"/>
              <w:rPr>
                <w:rFonts w:ascii="Arial"/>
                <w:sz w:val="21"/>
              </w:rPr>
            </w:pPr>
          </w:p>
          <w:p w14:paraId="2C605B90">
            <w:pPr>
              <w:spacing w:line="245" w:lineRule="auto"/>
              <w:rPr>
                <w:rFonts w:ascii="Arial"/>
                <w:sz w:val="21"/>
              </w:rPr>
            </w:pPr>
          </w:p>
          <w:p w14:paraId="27905995">
            <w:pPr>
              <w:spacing w:line="245" w:lineRule="auto"/>
              <w:rPr>
                <w:rFonts w:ascii="Arial"/>
                <w:sz w:val="21"/>
              </w:rPr>
            </w:pPr>
          </w:p>
          <w:p w14:paraId="5419988C">
            <w:pPr>
              <w:spacing w:line="246" w:lineRule="auto"/>
              <w:rPr>
                <w:rFonts w:ascii="Arial"/>
                <w:sz w:val="21"/>
              </w:rPr>
            </w:pPr>
          </w:p>
          <w:p w14:paraId="0490F146">
            <w:pPr>
              <w:spacing w:line="246" w:lineRule="auto"/>
              <w:rPr>
                <w:rFonts w:ascii="Arial"/>
                <w:sz w:val="21"/>
              </w:rPr>
            </w:pPr>
          </w:p>
          <w:p w14:paraId="048F921B">
            <w:pPr>
              <w:spacing w:line="246" w:lineRule="auto"/>
              <w:rPr>
                <w:rFonts w:ascii="Arial"/>
                <w:sz w:val="21"/>
              </w:rPr>
            </w:pPr>
          </w:p>
          <w:p w14:paraId="1FBDE364">
            <w:pPr>
              <w:spacing w:line="246" w:lineRule="auto"/>
              <w:rPr>
                <w:rFonts w:ascii="Arial"/>
                <w:sz w:val="21"/>
              </w:rPr>
            </w:pPr>
          </w:p>
          <w:p w14:paraId="0E218323">
            <w:pPr>
              <w:spacing w:line="246" w:lineRule="auto"/>
              <w:rPr>
                <w:rFonts w:ascii="Arial"/>
                <w:sz w:val="21"/>
              </w:rPr>
            </w:pPr>
          </w:p>
          <w:p w14:paraId="5A26DA80">
            <w:pPr>
              <w:spacing w:line="246" w:lineRule="auto"/>
              <w:rPr>
                <w:rFonts w:ascii="Arial"/>
                <w:sz w:val="21"/>
              </w:rPr>
            </w:pPr>
          </w:p>
          <w:p w14:paraId="4FBF9EFF">
            <w:pPr>
              <w:spacing w:line="246" w:lineRule="auto"/>
              <w:rPr>
                <w:rFonts w:ascii="Arial"/>
                <w:sz w:val="21"/>
              </w:rPr>
            </w:pPr>
          </w:p>
          <w:p w14:paraId="0F6E0A57">
            <w:pPr>
              <w:spacing w:line="246" w:lineRule="auto"/>
              <w:rPr>
                <w:rFonts w:ascii="Arial"/>
                <w:sz w:val="21"/>
              </w:rPr>
            </w:pPr>
          </w:p>
          <w:p w14:paraId="65E1EE17">
            <w:pPr>
              <w:spacing w:line="246" w:lineRule="auto"/>
              <w:rPr>
                <w:rFonts w:ascii="Arial"/>
                <w:sz w:val="21"/>
              </w:rPr>
            </w:pPr>
          </w:p>
          <w:p w14:paraId="61ABBC22">
            <w:pPr>
              <w:spacing w:line="246" w:lineRule="auto"/>
              <w:rPr>
                <w:rFonts w:ascii="Arial"/>
                <w:sz w:val="21"/>
              </w:rPr>
            </w:pPr>
          </w:p>
          <w:p w14:paraId="458753FB">
            <w:pPr>
              <w:spacing w:line="246" w:lineRule="auto"/>
              <w:rPr>
                <w:rFonts w:ascii="Arial"/>
                <w:sz w:val="21"/>
              </w:rPr>
            </w:pPr>
          </w:p>
          <w:p w14:paraId="541CCC83">
            <w:pPr>
              <w:spacing w:line="246" w:lineRule="auto"/>
              <w:rPr>
                <w:rFonts w:ascii="Arial"/>
                <w:sz w:val="21"/>
              </w:rPr>
            </w:pPr>
          </w:p>
          <w:p w14:paraId="0B293823">
            <w:pPr>
              <w:spacing w:line="246" w:lineRule="auto"/>
              <w:rPr>
                <w:rFonts w:ascii="Arial"/>
                <w:sz w:val="21"/>
              </w:rPr>
            </w:pPr>
          </w:p>
          <w:p w14:paraId="07667166">
            <w:pPr>
              <w:spacing w:line="246" w:lineRule="auto"/>
              <w:rPr>
                <w:rFonts w:ascii="Arial"/>
                <w:sz w:val="21"/>
              </w:rPr>
            </w:pPr>
          </w:p>
          <w:p w14:paraId="29E2E03E">
            <w:pPr>
              <w:spacing w:line="246" w:lineRule="auto"/>
              <w:rPr>
                <w:rFonts w:ascii="Arial"/>
                <w:sz w:val="21"/>
              </w:rPr>
            </w:pPr>
          </w:p>
          <w:p w14:paraId="4923E0F8">
            <w:pPr>
              <w:spacing w:line="246" w:lineRule="auto"/>
              <w:rPr>
                <w:rFonts w:ascii="Arial"/>
                <w:sz w:val="21"/>
              </w:rPr>
            </w:pPr>
          </w:p>
          <w:p w14:paraId="219716B1">
            <w:pPr>
              <w:pStyle w:val="6"/>
              <w:spacing w:before="69" w:line="279" w:lineRule="auto"/>
              <w:ind w:left="59" w:right="71"/>
              <w:jc w:val="both"/>
            </w:pPr>
            <w:r>
              <w:rPr>
                <w:spacing w:val="7"/>
              </w:rPr>
              <w:t>施工</w:t>
            </w:r>
            <w:r>
              <w:rPr>
                <w:spacing w:val="6"/>
              </w:rPr>
              <w:t>期生态环境保护措</w:t>
            </w:r>
            <w:r>
              <w:rPr>
                <w:spacing w:val="28"/>
                <w:w w:val="138"/>
              </w:rPr>
              <w:t>施</w:t>
            </w:r>
          </w:p>
        </w:tc>
        <w:tc>
          <w:tcPr>
            <w:tcW w:w="8507" w:type="dxa"/>
            <w:vAlign w:val="top"/>
          </w:tcPr>
          <w:p w14:paraId="519D118B">
            <w:pPr>
              <w:pStyle w:val="6"/>
              <w:spacing w:before="122" w:line="234" w:lineRule="auto"/>
              <w:ind w:left="118"/>
              <w:rPr>
                <w:sz w:val="24"/>
                <w:szCs w:val="24"/>
              </w:rPr>
            </w:pPr>
            <w:r>
              <w:rPr>
                <w:rFonts w:ascii="Times New Roman" w:hAnsi="Times New Roman" w:eastAsia="Times New Roman" w:cs="Times New Roman"/>
                <w:b/>
                <w:bCs/>
                <w:spacing w:val="-4"/>
                <w:sz w:val="24"/>
                <w:szCs w:val="24"/>
              </w:rPr>
              <w:t>1</w:t>
            </w:r>
            <w:r>
              <w:rPr>
                <w:b/>
                <w:bCs/>
                <w:spacing w:val="-4"/>
                <w:sz w:val="24"/>
                <w:szCs w:val="24"/>
              </w:rPr>
              <w:t>、施工期生态环境保护措施</w:t>
            </w:r>
          </w:p>
          <w:p w14:paraId="2BEFAECA">
            <w:pPr>
              <w:pStyle w:val="6"/>
              <w:spacing w:before="167" w:line="363" w:lineRule="auto"/>
              <w:ind w:left="112" w:right="111" w:firstLine="486"/>
              <w:rPr>
                <w:sz w:val="24"/>
                <w:szCs w:val="24"/>
              </w:rPr>
            </w:pPr>
            <w:r>
              <w:rPr>
                <w:sz w:val="24"/>
                <w:szCs w:val="24"/>
              </w:rPr>
              <w:t>（</w:t>
            </w:r>
            <w:r>
              <w:rPr>
                <w:rFonts w:ascii="Times New Roman" w:hAnsi="Times New Roman" w:eastAsia="Times New Roman" w:cs="Times New Roman"/>
                <w:sz w:val="24"/>
                <w:szCs w:val="24"/>
              </w:rPr>
              <w:t>1</w:t>
            </w:r>
            <w:r>
              <w:rPr>
                <w:sz w:val="24"/>
                <w:szCs w:val="24"/>
              </w:rPr>
              <w:t>）工程路径在下一设计阶段综合考虑沿线生态</w:t>
            </w:r>
            <w:r>
              <w:rPr>
                <w:spacing w:val="-1"/>
                <w:sz w:val="24"/>
                <w:szCs w:val="24"/>
              </w:rPr>
              <w:t>敏感区的分布，尽量避让</w:t>
            </w:r>
            <w:r>
              <w:rPr>
                <w:spacing w:val="-4"/>
                <w:sz w:val="24"/>
                <w:szCs w:val="24"/>
              </w:rPr>
              <w:t>敏感区及林分较好的区域，优化杆塔设计，尽量减少对林地的永久占用。林地分</w:t>
            </w:r>
            <w:r>
              <w:rPr>
                <w:spacing w:val="-2"/>
                <w:sz w:val="24"/>
                <w:szCs w:val="24"/>
              </w:rPr>
              <w:t>布相对集中处，塔基基础布点时应尽量利用山头的自然地势高跨林区。</w:t>
            </w:r>
          </w:p>
          <w:p w14:paraId="1DB4BA84">
            <w:pPr>
              <w:pStyle w:val="6"/>
              <w:spacing w:before="9" w:line="363" w:lineRule="auto"/>
              <w:ind w:left="111" w:right="110" w:firstLine="487"/>
              <w:rPr>
                <w:sz w:val="24"/>
                <w:szCs w:val="24"/>
              </w:rPr>
            </w:pPr>
            <w:r>
              <w:rPr>
                <w:sz w:val="24"/>
                <w:szCs w:val="24"/>
              </w:rPr>
              <w:t>（</w:t>
            </w:r>
            <w:r>
              <w:rPr>
                <w:rFonts w:ascii="Times New Roman" w:hAnsi="Times New Roman" w:eastAsia="Times New Roman" w:cs="Times New Roman"/>
                <w:sz w:val="24"/>
                <w:szCs w:val="24"/>
              </w:rPr>
              <w:t>2</w:t>
            </w:r>
            <w:r>
              <w:rPr>
                <w:sz w:val="24"/>
                <w:szCs w:val="24"/>
              </w:rPr>
              <w:t>）施工前加强现场踏勘，优化施工场地范</w:t>
            </w:r>
            <w:r>
              <w:rPr>
                <w:spacing w:val="-1"/>
                <w:sz w:val="24"/>
                <w:szCs w:val="24"/>
              </w:rPr>
              <w:t>围、牵张场、材料场等布局，</w:t>
            </w:r>
            <w:r>
              <w:rPr>
                <w:spacing w:val="-3"/>
                <w:sz w:val="24"/>
                <w:szCs w:val="24"/>
              </w:rPr>
              <w:t>优化施工便道设计，充分利用现有道路，减</w:t>
            </w:r>
            <w:r>
              <w:rPr>
                <w:spacing w:val="-4"/>
                <w:sz w:val="24"/>
                <w:szCs w:val="24"/>
              </w:rPr>
              <w:t>少新建施工临时便道，合理规划施工</w:t>
            </w:r>
            <w:r>
              <w:rPr>
                <w:spacing w:val="-1"/>
                <w:sz w:val="24"/>
                <w:szCs w:val="24"/>
              </w:rPr>
              <w:t>便道，合理划定施工范围和人员、车辆的行走路</w:t>
            </w:r>
            <w:r>
              <w:rPr>
                <w:spacing w:val="-2"/>
                <w:sz w:val="24"/>
                <w:szCs w:val="24"/>
              </w:rPr>
              <w:t>线，避开生态敏感区域。</w:t>
            </w:r>
          </w:p>
          <w:p w14:paraId="36EF02EA">
            <w:pPr>
              <w:pStyle w:val="6"/>
              <w:spacing w:before="7" w:line="364" w:lineRule="auto"/>
              <w:ind w:left="111" w:right="33" w:firstLine="487"/>
              <w:rPr>
                <w:sz w:val="24"/>
                <w:szCs w:val="24"/>
              </w:rPr>
            </w:pPr>
            <w:r>
              <w:rPr>
                <w:sz w:val="24"/>
                <w:szCs w:val="24"/>
              </w:rPr>
              <w:t>（</w:t>
            </w:r>
            <w:r>
              <w:rPr>
                <w:rFonts w:ascii="Times New Roman" w:hAnsi="Times New Roman" w:eastAsia="Times New Roman" w:cs="Times New Roman"/>
                <w:sz w:val="24"/>
                <w:szCs w:val="24"/>
              </w:rPr>
              <w:t>3</w:t>
            </w:r>
            <w:r>
              <w:rPr>
                <w:sz w:val="24"/>
                <w:szCs w:val="24"/>
              </w:rPr>
              <w:t>）杆塔尽量选用根开小的塔型，在保证线路运</w:t>
            </w:r>
            <w:r>
              <w:rPr>
                <w:spacing w:val="-1"/>
                <w:sz w:val="24"/>
                <w:szCs w:val="24"/>
              </w:rPr>
              <w:t>行安全的前提下，适当增加档距，减少杆塔数量。经过陡坡山地时采用全方位高低</w:t>
            </w:r>
            <w:r>
              <w:rPr>
                <w:spacing w:val="-2"/>
                <w:sz w:val="24"/>
                <w:szCs w:val="24"/>
              </w:rPr>
              <w:t>腿铁塔、改良型基础、</w:t>
            </w:r>
            <w:r>
              <w:rPr>
                <w:spacing w:val="-3"/>
                <w:sz w:val="24"/>
                <w:szCs w:val="24"/>
              </w:rPr>
              <w:t>紧凑型设计，尽量少占土地、减少土石方开</w:t>
            </w:r>
            <w:r>
              <w:rPr>
                <w:spacing w:val="-4"/>
                <w:sz w:val="24"/>
                <w:szCs w:val="24"/>
              </w:rPr>
              <w:t>挖量。杆塔和基础型式选型时应尽量</w:t>
            </w:r>
            <w:r>
              <w:rPr>
                <w:spacing w:val="-1"/>
                <w:sz w:val="24"/>
                <w:szCs w:val="24"/>
              </w:rPr>
              <w:t>采用掏挖式基础，减少施工扰动强度；杆塔定位</w:t>
            </w:r>
            <w:r>
              <w:rPr>
                <w:spacing w:val="-2"/>
                <w:sz w:val="24"/>
                <w:szCs w:val="24"/>
              </w:rPr>
              <w:t>尽量选择在植被稀疏处。</w:t>
            </w:r>
          </w:p>
          <w:p w14:paraId="0108A54F">
            <w:pPr>
              <w:pStyle w:val="6"/>
              <w:spacing w:before="1" w:line="363" w:lineRule="auto"/>
              <w:ind w:left="111" w:right="109" w:firstLine="487"/>
              <w:rPr>
                <w:sz w:val="24"/>
                <w:szCs w:val="24"/>
              </w:rPr>
            </w:pPr>
            <w:r>
              <w:rPr>
                <w:sz w:val="24"/>
                <w:szCs w:val="24"/>
              </w:rPr>
              <w:t>（</w:t>
            </w:r>
            <w:r>
              <w:rPr>
                <w:rFonts w:ascii="Times New Roman" w:hAnsi="Times New Roman" w:eastAsia="Times New Roman" w:cs="Times New Roman"/>
                <w:sz w:val="24"/>
                <w:szCs w:val="24"/>
              </w:rPr>
              <w:t>4</w:t>
            </w:r>
            <w:r>
              <w:rPr>
                <w:sz w:val="24"/>
                <w:szCs w:val="24"/>
              </w:rPr>
              <w:t>）严格按照施工红线进行施工，尽量避免对林</w:t>
            </w:r>
            <w:r>
              <w:rPr>
                <w:spacing w:val="-1"/>
                <w:sz w:val="24"/>
                <w:szCs w:val="24"/>
              </w:rPr>
              <w:t>地造成破坏。施工人员活</w:t>
            </w:r>
            <w:r>
              <w:rPr>
                <w:spacing w:val="-3"/>
                <w:sz w:val="24"/>
                <w:szCs w:val="24"/>
              </w:rPr>
              <w:t>动及材料运输，严格按照划定的施工范围实施</w:t>
            </w:r>
            <w:r>
              <w:rPr>
                <w:spacing w:val="-4"/>
                <w:sz w:val="24"/>
                <w:szCs w:val="24"/>
              </w:rPr>
              <w:t>，避免对施工范围之外区域的植被</w:t>
            </w:r>
            <w:r>
              <w:rPr>
                <w:spacing w:val="-5"/>
                <w:sz w:val="24"/>
                <w:szCs w:val="24"/>
              </w:rPr>
              <w:t>造成碾压和破坏。</w:t>
            </w:r>
          </w:p>
          <w:p w14:paraId="1569B4DA">
            <w:pPr>
              <w:pStyle w:val="6"/>
              <w:spacing w:before="7" w:line="363" w:lineRule="auto"/>
              <w:ind w:left="114" w:right="109" w:firstLine="484"/>
              <w:rPr>
                <w:sz w:val="24"/>
                <w:szCs w:val="24"/>
              </w:rPr>
            </w:pPr>
            <w:r>
              <w:rPr>
                <w:sz w:val="24"/>
                <w:szCs w:val="24"/>
              </w:rPr>
              <w:t>（</w:t>
            </w:r>
            <w:r>
              <w:rPr>
                <w:rFonts w:ascii="Times New Roman" w:hAnsi="Times New Roman" w:eastAsia="Times New Roman" w:cs="Times New Roman"/>
                <w:sz w:val="24"/>
                <w:szCs w:val="24"/>
              </w:rPr>
              <w:t>5</w:t>
            </w:r>
            <w:r>
              <w:rPr>
                <w:sz w:val="24"/>
                <w:szCs w:val="24"/>
              </w:rPr>
              <w:t>）做好施工废水的处理工作，不能随意排放至</w:t>
            </w:r>
            <w:r>
              <w:rPr>
                <w:spacing w:val="-1"/>
                <w:sz w:val="24"/>
                <w:szCs w:val="24"/>
              </w:rPr>
              <w:t>水体中，禁止将施工废水</w:t>
            </w:r>
            <w:r>
              <w:rPr>
                <w:spacing w:val="-5"/>
                <w:sz w:val="24"/>
                <w:szCs w:val="24"/>
              </w:rPr>
              <w:t>直接排入水体。施工材料的堆放也要远离水源，</w:t>
            </w:r>
            <w:r>
              <w:rPr>
                <w:spacing w:val="-68"/>
                <w:sz w:val="24"/>
                <w:szCs w:val="24"/>
              </w:rPr>
              <w:t xml:space="preserve"> </w:t>
            </w:r>
            <w:r>
              <w:rPr>
                <w:spacing w:val="-5"/>
                <w:sz w:val="24"/>
                <w:szCs w:val="24"/>
              </w:rPr>
              <w:t>粉状材料运输时也要注意不能被</w:t>
            </w:r>
            <w:r>
              <w:rPr>
                <w:spacing w:val="-2"/>
                <w:sz w:val="24"/>
                <w:szCs w:val="24"/>
              </w:rPr>
              <w:t>雨水或风吹至水体中，以免对动植物生境造成污染。</w:t>
            </w:r>
          </w:p>
          <w:p w14:paraId="2D8C84D4">
            <w:pPr>
              <w:pStyle w:val="6"/>
              <w:spacing w:before="4" w:line="363" w:lineRule="auto"/>
              <w:ind w:left="117" w:right="110" w:firstLine="481"/>
              <w:rPr>
                <w:sz w:val="24"/>
                <w:szCs w:val="24"/>
              </w:rPr>
            </w:pPr>
            <w:r>
              <w:rPr>
                <w:sz w:val="24"/>
                <w:szCs w:val="24"/>
              </w:rPr>
              <w:t>（</w:t>
            </w:r>
            <w:r>
              <w:rPr>
                <w:rFonts w:ascii="Times New Roman" w:hAnsi="Times New Roman" w:eastAsia="Times New Roman" w:cs="Times New Roman"/>
                <w:sz w:val="24"/>
                <w:szCs w:val="24"/>
              </w:rPr>
              <w:t>6</w:t>
            </w:r>
            <w:r>
              <w:rPr>
                <w:sz w:val="24"/>
                <w:szCs w:val="24"/>
              </w:rPr>
              <w:t>）施工前对工程占用区域可利用的表土进行剥</w:t>
            </w:r>
            <w:r>
              <w:rPr>
                <w:spacing w:val="-1"/>
                <w:sz w:val="24"/>
                <w:szCs w:val="24"/>
              </w:rPr>
              <w:t>离，单独堆存，确保有效</w:t>
            </w:r>
            <w:r>
              <w:rPr>
                <w:spacing w:val="-4"/>
                <w:sz w:val="24"/>
                <w:szCs w:val="24"/>
              </w:rPr>
              <w:t>回用，采取措施加强表土堆存防护及管理。坡度较大的区域，施工时及时在坡脚</w:t>
            </w:r>
            <w:r>
              <w:rPr>
                <w:spacing w:val="-2"/>
                <w:sz w:val="24"/>
                <w:szCs w:val="24"/>
              </w:rPr>
              <w:t>处设置挡土墙挡护或坡面种植草本植物等防护措施加以防护。</w:t>
            </w:r>
          </w:p>
          <w:p w14:paraId="1815E9B0">
            <w:pPr>
              <w:pStyle w:val="6"/>
              <w:spacing w:before="10" w:line="364" w:lineRule="auto"/>
              <w:ind w:left="112" w:right="33" w:firstLine="486"/>
              <w:rPr>
                <w:sz w:val="24"/>
                <w:szCs w:val="24"/>
              </w:rPr>
            </w:pPr>
            <w:r>
              <w:rPr>
                <w:sz w:val="24"/>
                <w:szCs w:val="24"/>
              </w:rPr>
              <w:t>（</w:t>
            </w:r>
            <w:r>
              <w:rPr>
                <w:rFonts w:ascii="Times New Roman" w:hAnsi="Times New Roman" w:eastAsia="Times New Roman" w:cs="Times New Roman"/>
                <w:sz w:val="24"/>
                <w:szCs w:val="24"/>
              </w:rPr>
              <w:t>7</w:t>
            </w:r>
            <w:r>
              <w:rPr>
                <w:sz w:val="24"/>
                <w:szCs w:val="24"/>
              </w:rPr>
              <w:t>）施工过程中，采取绿色施工工艺，减少地表</w:t>
            </w:r>
            <w:r>
              <w:rPr>
                <w:spacing w:val="-1"/>
                <w:sz w:val="24"/>
                <w:szCs w:val="24"/>
              </w:rPr>
              <w:t>开挖，合理设计高陡边坡支挡、加固措施，减少对脆弱生态的扰动。材料运输过</w:t>
            </w:r>
            <w:r>
              <w:rPr>
                <w:spacing w:val="-2"/>
                <w:sz w:val="24"/>
                <w:szCs w:val="24"/>
              </w:rPr>
              <w:t>程中可能导致少量砂石、</w:t>
            </w:r>
            <w:r>
              <w:rPr>
                <w:spacing w:val="-3"/>
                <w:sz w:val="24"/>
                <w:szCs w:val="24"/>
              </w:rPr>
              <w:t>水泥洒落，施工场地也会产生部分建筑垃圾</w:t>
            </w:r>
            <w:r>
              <w:rPr>
                <w:spacing w:val="-4"/>
                <w:sz w:val="24"/>
                <w:szCs w:val="24"/>
              </w:rPr>
              <w:t>，因此在工程完工后应及时清除各种</w:t>
            </w:r>
            <w:r>
              <w:rPr>
                <w:spacing w:val="-5"/>
                <w:sz w:val="24"/>
                <w:szCs w:val="24"/>
              </w:rPr>
              <w:t>残留的建筑垃圾。</w:t>
            </w:r>
          </w:p>
          <w:p w14:paraId="681A3D28">
            <w:pPr>
              <w:pStyle w:val="6"/>
              <w:spacing w:before="1" w:line="333" w:lineRule="auto"/>
              <w:ind w:left="112" w:right="109" w:firstLine="486"/>
              <w:rPr>
                <w:sz w:val="24"/>
                <w:szCs w:val="24"/>
              </w:rPr>
            </w:pPr>
            <w:r>
              <w:rPr>
                <w:sz w:val="24"/>
                <w:szCs w:val="24"/>
              </w:rPr>
              <w:t>（</w:t>
            </w:r>
            <w:r>
              <w:rPr>
                <w:rFonts w:ascii="Times New Roman" w:hAnsi="Times New Roman" w:eastAsia="Times New Roman" w:cs="Times New Roman"/>
                <w:sz w:val="24"/>
                <w:szCs w:val="24"/>
              </w:rPr>
              <w:t>8</w:t>
            </w:r>
            <w:r>
              <w:rPr>
                <w:sz w:val="24"/>
                <w:szCs w:val="24"/>
              </w:rPr>
              <w:t>）加强施工人员对野生动物和生态环境的保护</w:t>
            </w:r>
            <w:r>
              <w:rPr>
                <w:spacing w:val="-1"/>
                <w:sz w:val="24"/>
                <w:szCs w:val="24"/>
              </w:rPr>
              <w:t>意识，禁止猎杀兽类、鸟</w:t>
            </w:r>
            <w:r>
              <w:rPr>
                <w:spacing w:val="-3"/>
                <w:sz w:val="24"/>
                <w:szCs w:val="24"/>
              </w:rPr>
              <w:t>类和捕蛇捉蛙，施工过程中遇到鸟、蛇等动</w:t>
            </w:r>
            <w:r>
              <w:rPr>
                <w:spacing w:val="-4"/>
                <w:sz w:val="24"/>
                <w:szCs w:val="24"/>
              </w:rPr>
              <w:t>物的卵应妥善移置到附近类似的环境</w:t>
            </w:r>
            <w:r>
              <w:rPr>
                <w:spacing w:val="-2"/>
                <w:sz w:val="24"/>
                <w:szCs w:val="24"/>
              </w:rPr>
              <w:t>中。标明施工活动区，严令禁止到非施工区域活动。</w:t>
            </w:r>
          </w:p>
        </w:tc>
      </w:tr>
    </w:tbl>
    <w:p w14:paraId="72E82876">
      <w:pPr>
        <w:rPr>
          <w:rFonts w:ascii="Arial"/>
          <w:sz w:val="21"/>
        </w:rPr>
      </w:pPr>
    </w:p>
    <w:p w14:paraId="1FE4480B">
      <w:pPr>
        <w:rPr>
          <w:rFonts w:ascii="Arial" w:hAnsi="Arial" w:eastAsia="Arial" w:cs="Arial"/>
          <w:sz w:val="21"/>
          <w:szCs w:val="21"/>
        </w:rPr>
        <w:sectPr>
          <w:footerReference r:id="rId76" w:type="default"/>
          <w:pgSz w:w="11907" w:h="16841"/>
          <w:pgMar w:top="400" w:right="1408" w:bottom="1126" w:left="1414" w:header="0" w:footer="925" w:gutter="0"/>
          <w:cols w:space="720" w:num="1"/>
        </w:sectPr>
      </w:pPr>
    </w:p>
    <w:p w14:paraId="7F781FA7">
      <w:pPr>
        <w:spacing w:before="2"/>
      </w:pPr>
    </w:p>
    <w:p w14:paraId="605C9407">
      <w:pPr>
        <w:spacing w:before="2"/>
      </w:pPr>
    </w:p>
    <w:p w14:paraId="26E847BD">
      <w:pPr>
        <w:spacing w:before="1"/>
      </w:pPr>
    </w:p>
    <w:p w14:paraId="6DE65A0D">
      <w:pPr>
        <w:spacing w:before="1"/>
      </w:pPr>
    </w:p>
    <w:p w14:paraId="17D515C4">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79379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11AA344E">
            <w:pPr>
              <w:rPr>
                <w:rFonts w:ascii="Arial"/>
                <w:sz w:val="21"/>
              </w:rPr>
            </w:pPr>
          </w:p>
        </w:tc>
        <w:tc>
          <w:tcPr>
            <w:tcW w:w="8507" w:type="dxa"/>
            <w:vAlign w:val="top"/>
          </w:tcPr>
          <w:p w14:paraId="35AB2F2E">
            <w:pPr>
              <w:pStyle w:val="6"/>
              <w:spacing w:before="125" w:line="364" w:lineRule="auto"/>
              <w:ind w:left="115" w:right="109" w:firstLine="483"/>
              <w:rPr>
                <w:sz w:val="24"/>
                <w:szCs w:val="24"/>
              </w:rPr>
            </w:pPr>
            <w:r>
              <w:rPr>
                <w:sz w:val="24"/>
                <w:szCs w:val="24"/>
              </w:rPr>
              <w:t>（</w:t>
            </w:r>
            <w:r>
              <w:rPr>
                <w:rFonts w:ascii="Times New Roman" w:hAnsi="Times New Roman" w:eastAsia="Times New Roman" w:cs="Times New Roman"/>
                <w:sz w:val="24"/>
                <w:szCs w:val="24"/>
              </w:rPr>
              <w:t>9</w:t>
            </w:r>
            <w:r>
              <w:rPr>
                <w:sz w:val="24"/>
                <w:szCs w:val="24"/>
              </w:rPr>
              <w:t>）鸟类和兽类大多是晨昏外出觅食，正午休息</w:t>
            </w:r>
            <w:r>
              <w:rPr>
                <w:spacing w:val="-1"/>
                <w:sz w:val="24"/>
                <w:szCs w:val="24"/>
              </w:rPr>
              <w:t>。施工设备选取噪声较低</w:t>
            </w:r>
            <w:r>
              <w:rPr>
                <w:spacing w:val="-4"/>
                <w:sz w:val="24"/>
                <w:szCs w:val="24"/>
              </w:rPr>
              <w:t>的型号，并合理安排强噪声施工行为的时间，不在晨昏和正午进行噪声较大的施工活动。尽量减少施工噪声对野生动物的干扰。夜间是部分林中兽类、鸟类觅食</w:t>
            </w:r>
            <w:r>
              <w:rPr>
                <w:spacing w:val="-2"/>
                <w:sz w:val="24"/>
                <w:szCs w:val="24"/>
              </w:rPr>
              <w:t>活动时间，它们对噪声、振动和光线比较敏感，施工活动不在夜间进行。</w:t>
            </w:r>
          </w:p>
          <w:p w14:paraId="6068D681">
            <w:pPr>
              <w:pStyle w:val="6"/>
              <w:spacing w:before="1" w:line="363" w:lineRule="auto"/>
              <w:ind w:left="113" w:right="109" w:firstLine="485"/>
              <w:rPr>
                <w:sz w:val="24"/>
                <w:szCs w:val="24"/>
              </w:rPr>
            </w:pPr>
            <w:r>
              <w:rPr>
                <w:spacing w:val="-4"/>
                <w:sz w:val="24"/>
                <w:szCs w:val="24"/>
              </w:rPr>
              <w:t>（</w:t>
            </w:r>
            <w:r>
              <w:rPr>
                <w:rFonts w:ascii="Times New Roman" w:hAnsi="Times New Roman" w:eastAsia="Times New Roman" w:cs="Times New Roman"/>
                <w:spacing w:val="-4"/>
                <w:sz w:val="24"/>
                <w:szCs w:val="24"/>
              </w:rPr>
              <w:t>10</w:t>
            </w:r>
            <w:r>
              <w:rPr>
                <w:spacing w:val="-4"/>
                <w:sz w:val="24"/>
                <w:szCs w:val="24"/>
              </w:rPr>
              <w:t>）可利用工程建设的机会，尤其是对塔基开挖区域等存在的鬼针草等外来入侵植物，可采取连根铲除的方式进行破坏。同时采用本土物种进行植被恢复</w:t>
            </w:r>
            <w:r>
              <w:rPr>
                <w:spacing w:val="-7"/>
                <w:sz w:val="24"/>
                <w:szCs w:val="24"/>
              </w:rPr>
              <w:t>和边坡绿化。</w:t>
            </w:r>
          </w:p>
          <w:p w14:paraId="0E42E02A">
            <w:pPr>
              <w:pStyle w:val="6"/>
              <w:spacing w:before="6" w:line="363" w:lineRule="auto"/>
              <w:ind w:left="112" w:right="109" w:firstLine="486"/>
              <w:rPr>
                <w:sz w:val="24"/>
                <w:szCs w:val="24"/>
              </w:rPr>
            </w:pPr>
            <w:r>
              <w:rPr>
                <w:spacing w:val="-4"/>
                <w:sz w:val="24"/>
                <w:szCs w:val="24"/>
              </w:rPr>
              <w:t>（</w:t>
            </w:r>
            <w:r>
              <w:rPr>
                <w:rFonts w:ascii="Times New Roman" w:hAnsi="Times New Roman" w:eastAsia="Times New Roman" w:cs="Times New Roman"/>
                <w:spacing w:val="-4"/>
                <w:sz w:val="24"/>
                <w:szCs w:val="24"/>
              </w:rPr>
              <w:t>11</w:t>
            </w:r>
            <w:r>
              <w:rPr>
                <w:spacing w:val="-4"/>
                <w:sz w:val="24"/>
                <w:szCs w:val="24"/>
              </w:rPr>
              <w:t>）评价区分布有大面积的云南松林，次生性较强，乔木层物种单一，群</w:t>
            </w:r>
            <w:r>
              <w:rPr>
                <w:spacing w:val="-6"/>
                <w:sz w:val="24"/>
                <w:szCs w:val="24"/>
              </w:rPr>
              <w:t>落结构不太稳定，对森林病虫害的抵抗能力较弱。因此，</w:t>
            </w:r>
            <w:r>
              <w:rPr>
                <w:spacing w:val="-32"/>
                <w:sz w:val="24"/>
                <w:szCs w:val="24"/>
              </w:rPr>
              <w:t xml:space="preserve"> </w:t>
            </w:r>
            <w:r>
              <w:rPr>
                <w:spacing w:val="-6"/>
                <w:sz w:val="24"/>
                <w:szCs w:val="24"/>
              </w:rPr>
              <w:t>本项目永久占用这些林</w:t>
            </w:r>
            <w:r>
              <w:rPr>
                <w:spacing w:val="-2"/>
                <w:sz w:val="24"/>
                <w:szCs w:val="24"/>
              </w:rPr>
              <w:t>地面积时，砍伐的树木物种应妥善处理，避免病虫害传播。</w:t>
            </w:r>
          </w:p>
          <w:p w14:paraId="5F6BBDAF">
            <w:pPr>
              <w:pStyle w:val="6"/>
              <w:spacing w:before="4" w:line="365" w:lineRule="auto"/>
              <w:ind w:left="110" w:right="110" w:firstLine="488"/>
              <w:rPr>
                <w:sz w:val="24"/>
                <w:szCs w:val="24"/>
              </w:rPr>
            </w:pPr>
            <w:r>
              <w:rPr>
                <w:spacing w:val="-4"/>
                <w:sz w:val="24"/>
                <w:szCs w:val="24"/>
              </w:rPr>
              <w:t>（</w:t>
            </w:r>
            <w:r>
              <w:rPr>
                <w:rFonts w:ascii="Times New Roman" w:hAnsi="Times New Roman" w:eastAsia="Times New Roman" w:cs="Times New Roman"/>
                <w:spacing w:val="-4"/>
                <w:sz w:val="24"/>
                <w:szCs w:val="24"/>
              </w:rPr>
              <w:t>12</w:t>
            </w:r>
            <w:r>
              <w:rPr>
                <w:spacing w:val="-4"/>
                <w:sz w:val="24"/>
                <w:szCs w:val="24"/>
              </w:rPr>
              <w:t>）在施工前对施工人员进行重点保护植物相关知识的培训，增强施工人</w:t>
            </w:r>
            <w:r>
              <w:rPr>
                <w:spacing w:val="3"/>
                <w:sz w:val="24"/>
                <w:szCs w:val="24"/>
              </w:rPr>
              <w:t>员的保护意识及鉴别能力，或者聘请专业人员对塔基施工范围内的植物进行调</w:t>
            </w:r>
            <w:r>
              <w:rPr>
                <w:spacing w:val="-3"/>
                <w:sz w:val="24"/>
                <w:szCs w:val="24"/>
              </w:rPr>
              <w:t>查，一旦施工中发现重点保护植物，应立即上</w:t>
            </w:r>
            <w:r>
              <w:rPr>
                <w:spacing w:val="-4"/>
                <w:sz w:val="24"/>
                <w:szCs w:val="24"/>
              </w:rPr>
              <w:t>报林业主管部门，并优先考虑予以</w:t>
            </w:r>
            <w:r>
              <w:rPr>
                <w:spacing w:val="-3"/>
                <w:sz w:val="24"/>
                <w:szCs w:val="24"/>
              </w:rPr>
              <w:t>避让，对确实不能避让的，需请专业技术人员</w:t>
            </w:r>
            <w:r>
              <w:rPr>
                <w:spacing w:val="-4"/>
                <w:sz w:val="24"/>
                <w:szCs w:val="24"/>
              </w:rPr>
              <w:t>对其进行移植，移栽时遵循就近移</w:t>
            </w:r>
            <w:r>
              <w:rPr>
                <w:spacing w:val="-2"/>
                <w:sz w:val="24"/>
                <w:szCs w:val="24"/>
              </w:rPr>
              <w:t>栽，并安排相关专业人员负责养护，保证成活。</w:t>
            </w:r>
          </w:p>
          <w:p w14:paraId="6E83E153">
            <w:pPr>
              <w:pStyle w:val="6"/>
              <w:spacing w:before="2" w:line="364" w:lineRule="auto"/>
              <w:ind w:left="118" w:right="24" w:firstLine="485"/>
              <w:rPr>
                <w:sz w:val="24"/>
                <w:szCs w:val="24"/>
              </w:rPr>
            </w:pPr>
            <w:r>
              <w:rPr>
                <w:spacing w:val="3"/>
                <w:sz w:val="24"/>
                <w:szCs w:val="24"/>
              </w:rPr>
              <w:t>虽然现场调查和访问调查都没有发现重点野生保护动物，但动物活动性较</w:t>
            </w:r>
            <w:r>
              <w:rPr>
                <w:spacing w:val="-8"/>
                <w:sz w:val="24"/>
                <w:szCs w:val="24"/>
              </w:rPr>
              <w:t>强，在施工期一旦发现，应立即避让，减少工程建设对其栖息活动产生直接影响。</w:t>
            </w:r>
          </w:p>
          <w:p w14:paraId="69B4D411">
            <w:pPr>
              <w:pStyle w:val="6"/>
              <w:spacing w:line="355" w:lineRule="auto"/>
              <w:ind w:left="113" w:right="42" w:firstLine="485"/>
              <w:rPr>
                <w:sz w:val="24"/>
                <w:szCs w:val="24"/>
              </w:rPr>
            </w:pPr>
            <w:r>
              <w:rPr>
                <w:spacing w:val="-9"/>
                <w:sz w:val="24"/>
                <w:szCs w:val="24"/>
              </w:rPr>
              <w:t>（</w:t>
            </w:r>
            <w:r>
              <w:rPr>
                <w:rFonts w:ascii="Times New Roman" w:hAnsi="Times New Roman" w:eastAsia="Times New Roman" w:cs="Times New Roman"/>
                <w:spacing w:val="-9"/>
                <w:sz w:val="24"/>
                <w:szCs w:val="24"/>
              </w:rPr>
              <w:t>13</w:t>
            </w:r>
            <w:r>
              <w:rPr>
                <w:spacing w:val="-9"/>
                <w:sz w:val="24"/>
                <w:szCs w:val="24"/>
              </w:rPr>
              <w:t>）在植被修复过程中，必须尽量保护施工占地区域原有体系的生态环境，</w:t>
            </w:r>
            <w:r>
              <w:rPr>
                <w:spacing w:val="-2"/>
                <w:sz w:val="24"/>
                <w:szCs w:val="24"/>
              </w:rPr>
              <w:t>尽量发展以针叶林、灌草丛植被为主体的陆生生态系统。</w:t>
            </w:r>
          </w:p>
          <w:p w14:paraId="0D482187">
            <w:pPr>
              <w:pStyle w:val="6"/>
              <w:spacing w:before="23" w:line="364" w:lineRule="auto"/>
              <w:ind w:left="111" w:right="109" w:firstLine="487"/>
              <w:rPr>
                <w:sz w:val="24"/>
                <w:szCs w:val="24"/>
              </w:rPr>
            </w:pPr>
            <w:r>
              <w:rPr>
                <w:spacing w:val="-4"/>
                <w:sz w:val="24"/>
                <w:szCs w:val="24"/>
              </w:rPr>
              <w:t>（</w:t>
            </w:r>
            <w:r>
              <w:rPr>
                <w:rFonts w:ascii="Times New Roman" w:hAnsi="Times New Roman" w:eastAsia="Times New Roman" w:cs="Times New Roman"/>
                <w:spacing w:val="-4"/>
                <w:sz w:val="24"/>
                <w:szCs w:val="24"/>
              </w:rPr>
              <w:t>14</w:t>
            </w:r>
            <w:r>
              <w:rPr>
                <w:spacing w:val="-4"/>
                <w:sz w:val="24"/>
                <w:szCs w:val="24"/>
              </w:rPr>
              <w:t>）植被修复措施不仅考虑植被覆盖率，而且需要在利用当地原有物种的情况下，尽量使物种多样化，避免单一。在保证物种多样性的前提下，防止外来</w:t>
            </w:r>
            <w:r>
              <w:rPr>
                <w:spacing w:val="-5"/>
                <w:sz w:val="24"/>
                <w:szCs w:val="24"/>
              </w:rPr>
              <w:t>入侵种的扩散。在原生境下有分布外来物种的情况，</w:t>
            </w:r>
            <w:r>
              <w:rPr>
                <w:spacing w:val="-53"/>
                <w:sz w:val="24"/>
                <w:szCs w:val="24"/>
              </w:rPr>
              <w:t xml:space="preserve"> </w:t>
            </w:r>
            <w:r>
              <w:rPr>
                <w:spacing w:val="-6"/>
                <w:sz w:val="24"/>
                <w:szCs w:val="24"/>
              </w:rPr>
              <w:t>需对已有的外来物种进行铲</w:t>
            </w:r>
            <w:r>
              <w:rPr>
                <w:spacing w:val="-1"/>
                <w:sz w:val="24"/>
                <w:szCs w:val="24"/>
              </w:rPr>
              <w:t>除，并针对其入侵机制对土壤等生境进行改</w:t>
            </w:r>
            <w:r>
              <w:rPr>
                <w:spacing w:val="-2"/>
                <w:sz w:val="24"/>
                <w:szCs w:val="24"/>
              </w:rPr>
              <w:t>良，保证植被修复的效率。</w:t>
            </w:r>
          </w:p>
          <w:p w14:paraId="691954CC">
            <w:pPr>
              <w:pStyle w:val="6"/>
              <w:spacing w:before="4" w:line="346" w:lineRule="auto"/>
              <w:ind w:left="112" w:right="109" w:firstLine="486"/>
              <w:rPr>
                <w:sz w:val="24"/>
                <w:szCs w:val="24"/>
              </w:rPr>
            </w:pPr>
            <w:r>
              <w:rPr>
                <w:spacing w:val="-6"/>
                <w:sz w:val="24"/>
                <w:szCs w:val="24"/>
              </w:rPr>
              <w:t>（</w:t>
            </w:r>
            <w:r>
              <w:rPr>
                <w:rFonts w:ascii="Times New Roman" w:hAnsi="Times New Roman" w:eastAsia="Times New Roman" w:cs="Times New Roman"/>
                <w:spacing w:val="-6"/>
                <w:sz w:val="24"/>
                <w:szCs w:val="24"/>
              </w:rPr>
              <w:t>15</w:t>
            </w:r>
            <w:r>
              <w:rPr>
                <w:spacing w:val="-6"/>
                <w:sz w:val="24"/>
                <w:szCs w:val="24"/>
              </w:rPr>
              <w:t>）对施工道路区、施工场地等临时占地</w:t>
            </w:r>
            <w:r>
              <w:rPr>
                <w:spacing w:val="-7"/>
                <w:sz w:val="24"/>
                <w:szCs w:val="24"/>
              </w:rPr>
              <w:t>的植被恢复时，</w:t>
            </w:r>
            <w:r>
              <w:rPr>
                <w:spacing w:val="-30"/>
                <w:sz w:val="24"/>
                <w:szCs w:val="24"/>
              </w:rPr>
              <w:t xml:space="preserve"> </w:t>
            </w:r>
            <w:r>
              <w:rPr>
                <w:spacing w:val="-7"/>
                <w:sz w:val="24"/>
                <w:szCs w:val="24"/>
              </w:rPr>
              <w:t>应先将施工前掘</w:t>
            </w:r>
            <w:r>
              <w:rPr>
                <w:spacing w:val="-3"/>
                <w:sz w:val="24"/>
                <w:szCs w:val="24"/>
              </w:rPr>
              <w:t>取的地表土进行铺放，保证这些区域土壤结</w:t>
            </w:r>
            <w:r>
              <w:rPr>
                <w:spacing w:val="-4"/>
                <w:sz w:val="24"/>
                <w:szCs w:val="24"/>
              </w:rPr>
              <w:t>构的恢复，从而保障植被恢复措施的</w:t>
            </w:r>
            <w:r>
              <w:rPr>
                <w:spacing w:val="-7"/>
                <w:sz w:val="24"/>
                <w:szCs w:val="24"/>
              </w:rPr>
              <w:t>有利进行。根据不同恢复区的特点及植物现状， 实行不同的恢复方案；在“适地适树、适地适草”的原则下，选取当地优良乡土草、树种进行植被恢复， 保证绿</w:t>
            </w:r>
            <w:r>
              <w:rPr>
                <w:spacing w:val="-5"/>
                <w:sz w:val="24"/>
                <w:szCs w:val="24"/>
              </w:rPr>
              <w:t>化栽植的成活率。</w:t>
            </w:r>
          </w:p>
        </w:tc>
      </w:tr>
    </w:tbl>
    <w:p w14:paraId="4F37D02A">
      <w:pPr>
        <w:rPr>
          <w:rFonts w:ascii="Arial"/>
          <w:sz w:val="21"/>
        </w:rPr>
      </w:pPr>
    </w:p>
    <w:p w14:paraId="719F6FD9">
      <w:pPr>
        <w:rPr>
          <w:rFonts w:ascii="Arial" w:hAnsi="Arial" w:eastAsia="Arial" w:cs="Arial"/>
          <w:sz w:val="21"/>
          <w:szCs w:val="21"/>
        </w:rPr>
        <w:sectPr>
          <w:footerReference r:id="rId77" w:type="default"/>
          <w:pgSz w:w="11907" w:h="16841"/>
          <w:pgMar w:top="400" w:right="1408" w:bottom="1126" w:left="1414" w:header="0" w:footer="925" w:gutter="0"/>
          <w:cols w:space="720" w:num="1"/>
        </w:sectPr>
      </w:pPr>
    </w:p>
    <w:p w14:paraId="57C08084">
      <w:pPr>
        <w:spacing w:before="2"/>
      </w:pPr>
    </w:p>
    <w:p w14:paraId="057B77BC">
      <w:pPr>
        <w:spacing w:before="2"/>
      </w:pPr>
    </w:p>
    <w:p w14:paraId="530C92C6">
      <w:pPr>
        <w:spacing w:before="1"/>
      </w:pPr>
    </w:p>
    <w:p w14:paraId="0DD64EC2">
      <w:pPr>
        <w:spacing w:before="1"/>
      </w:pPr>
    </w:p>
    <w:p w14:paraId="1A9158FC">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304E91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3285" w:hRule="atLeast"/>
        </w:trPr>
        <w:tc>
          <w:tcPr>
            <w:tcW w:w="571" w:type="dxa"/>
            <w:vAlign w:val="top"/>
          </w:tcPr>
          <w:p w14:paraId="20C00CFD">
            <w:pPr>
              <w:rPr>
                <w:rFonts w:ascii="Arial"/>
                <w:sz w:val="21"/>
              </w:rPr>
            </w:pPr>
          </w:p>
        </w:tc>
        <w:tc>
          <w:tcPr>
            <w:tcW w:w="8507" w:type="dxa"/>
            <w:vAlign w:val="top"/>
          </w:tcPr>
          <w:p w14:paraId="2E65B5F2">
            <w:pPr>
              <w:pStyle w:val="6"/>
              <w:spacing w:before="125" w:line="362" w:lineRule="auto"/>
              <w:ind w:left="113" w:right="109" w:firstLine="485"/>
              <w:jc w:val="both"/>
              <w:rPr>
                <w:sz w:val="24"/>
                <w:szCs w:val="24"/>
              </w:rPr>
            </w:pPr>
            <w:r>
              <w:rPr>
                <w:spacing w:val="-4"/>
                <w:sz w:val="24"/>
                <w:szCs w:val="24"/>
              </w:rPr>
              <w:t>（</w:t>
            </w:r>
            <w:r>
              <w:rPr>
                <w:rFonts w:ascii="Times New Roman" w:hAnsi="Times New Roman" w:eastAsia="Times New Roman" w:cs="Times New Roman"/>
                <w:spacing w:val="-4"/>
                <w:sz w:val="24"/>
                <w:szCs w:val="24"/>
              </w:rPr>
              <w:t>16</w:t>
            </w:r>
            <w:r>
              <w:rPr>
                <w:spacing w:val="-4"/>
                <w:sz w:val="24"/>
                <w:szCs w:val="24"/>
              </w:rPr>
              <w:t>）依托本工程建设单位作为补偿主体，对于被占用的林地，应按照有关规定，办理采伐手续并进行补偿，使本工程建设及运行对生态环境产生的不利环</w:t>
            </w:r>
            <w:r>
              <w:rPr>
                <w:spacing w:val="-5"/>
                <w:sz w:val="24"/>
                <w:szCs w:val="24"/>
              </w:rPr>
              <w:t>境影响尽快得到恢复。</w:t>
            </w:r>
          </w:p>
          <w:p w14:paraId="0FB964B0">
            <w:pPr>
              <w:pStyle w:val="6"/>
              <w:spacing w:before="9" w:line="220" w:lineRule="auto"/>
              <w:ind w:left="596"/>
              <w:rPr>
                <w:sz w:val="24"/>
                <w:szCs w:val="24"/>
              </w:rPr>
            </w:pPr>
            <w:r>
              <w:rPr>
                <w:b/>
                <w:bCs/>
                <w:spacing w:val="-7"/>
                <w:sz w:val="24"/>
                <w:szCs w:val="24"/>
              </w:rPr>
              <w:t>生态保护红线保护措施：</w:t>
            </w:r>
          </w:p>
          <w:p w14:paraId="6BDEFC4F">
            <w:pPr>
              <w:pStyle w:val="6"/>
              <w:spacing w:before="185" w:line="363" w:lineRule="auto"/>
              <w:ind w:left="113" w:right="109" w:firstLine="485"/>
              <w:rPr>
                <w:sz w:val="24"/>
                <w:szCs w:val="24"/>
              </w:rPr>
            </w:pPr>
            <w:r>
              <w:rPr>
                <w:sz w:val="24"/>
                <w:szCs w:val="24"/>
              </w:rPr>
              <w:t>（</w:t>
            </w:r>
            <w:r>
              <w:rPr>
                <w:rFonts w:ascii="Times New Roman" w:hAnsi="Times New Roman" w:eastAsia="Times New Roman" w:cs="Times New Roman"/>
                <w:sz w:val="24"/>
                <w:szCs w:val="24"/>
              </w:rPr>
              <w:t>1</w:t>
            </w:r>
            <w:r>
              <w:rPr>
                <w:sz w:val="24"/>
                <w:szCs w:val="24"/>
              </w:rPr>
              <w:t>）在下一步设计中，建议进一步局部优化塔基</w:t>
            </w:r>
            <w:r>
              <w:rPr>
                <w:spacing w:val="-1"/>
                <w:sz w:val="24"/>
                <w:szCs w:val="24"/>
              </w:rPr>
              <w:t>位置，通过塔基局部调整</w:t>
            </w:r>
            <w:r>
              <w:rPr>
                <w:spacing w:val="-4"/>
                <w:sz w:val="24"/>
                <w:szCs w:val="24"/>
              </w:rPr>
              <w:t>尽量少占用生态保护红线。严格按照划定的施工范围施工，不得随意扩大，设置警戒线、警示牌等措施。</w:t>
            </w:r>
          </w:p>
          <w:p w14:paraId="5A82B672">
            <w:pPr>
              <w:pStyle w:val="6"/>
              <w:spacing w:before="9" w:line="363" w:lineRule="auto"/>
              <w:ind w:left="112" w:right="109" w:firstLine="486"/>
              <w:rPr>
                <w:sz w:val="24"/>
                <w:szCs w:val="24"/>
              </w:rPr>
            </w:pPr>
            <w:r>
              <w:rPr>
                <w:sz w:val="24"/>
                <w:szCs w:val="24"/>
              </w:rPr>
              <w:t>（</w:t>
            </w:r>
            <w:r>
              <w:rPr>
                <w:rFonts w:ascii="Times New Roman" w:hAnsi="Times New Roman" w:eastAsia="Times New Roman" w:cs="Times New Roman"/>
                <w:sz w:val="24"/>
                <w:szCs w:val="24"/>
              </w:rPr>
              <w:t>2</w:t>
            </w:r>
            <w:r>
              <w:rPr>
                <w:sz w:val="24"/>
                <w:szCs w:val="24"/>
              </w:rPr>
              <w:t>）最大限度地适应地形变化的需要，塔基因地</w:t>
            </w:r>
            <w:r>
              <w:rPr>
                <w:spacing w:val="-1"/>
                <w:sz w:val="24"/>
                <w:szCs w:val="24"/>
              </w:rPr>
              <w:t>制宜采取全方位长短腿配</w:t>
            </w:r>
            <w:r>
              <w:rPr>
                <w:spacing w:val="-3"/>
                <w:sz w:val="24"/>
                <w:szCs w:val="24"/>
              </w:rPr>
              <w:t>高低基础避免大开挖，保持原有的自然地形</w:t>
            </w:r>
            <w:r>
              <w:rPr>
                <w:spacing w:val="-4"/>
                <w:sz w:val="24"/>
                <w:szCs w:val="24"/>
              </w:rPr>
              <w:t>，尽量减少占地和土石方量，保护生</w:t>
            </w:r>
            <w:r>
              <w:rPr>
                <w:spacing w:val="-9"/>
                <w:sz w:val="24"/>
                <w:szCs w:val="24"/>
              </w:rPr>
              <w:t>态环境。</w:t>
            </w:r>
          </w:p>
          <w:p w14:paraId="1F698871">
            <w:pPr>
              <w:pStyle w:val="6"/>
              <w:spacing w:before="3" w:line="357" w:lineRule="auto"/>
              <w:ind w:left="114" w:right="122" w:firstLine="484"/>
              <w:rPr>
                <w:sz w:val="24"/>
                <w:szCs w:val="24"/>
              </w:rPr>
            </w:pPr>
            <w:r>
              <w:rPr>
                <w:spacing w:val="-1"/>
                <w:sz w:val="24"/>
                <w:szCs w:val="24"/>
              </w:rPr>
              <w:t>（</w:t>
            </w:r>
            <w:r>
              <w:rPr>
                <w:rFonts w:ascii="Times New Roman" w:hAnsi="Times New Roman" w:eastAsia="Times New Roman" w:cs="Times New Roman"/>
                <w:spacing w:val="-1"/>
                <w:sz w:val="24"/>
                <w:szCs w:val="24"/>
              </w:rPr>
              <w:t>3</w:t>
            </w:r>
            <w:r>
              <w:rPr>
                <w:spacing w:val="-1"/>
                <w:sz w:val="24"/>
                <w:szCs w:val="24"/>
              </w:rPr>
              <w:t>）在线路跨越生态保护红线处优先采用环境友好型的飞艇、动力伞或无</w:t>
            </w:r>
            <w:r>
              <w:rPr>
                <w:spacing w:val="-2"/>
                <w:sz w:val="24"/>
                <w:szCs w:val="24"/>
              </w:rPr>
              <w:t>人机等放线施工工艺，减少地表扰动和植被破坏范围。</w:t>
            </w:r>
          </w:p>
          <w:p w14:paraId="41EA9879">
            <w:pPr>
              <w:pStyle w:val="6"/>
              <w:spacing w:before="19" w:line="363" w:lineRule="auto"/>
              <w:ind w:left="113" w:right="42" w:firstLine="485"/>
              <w:rPr>
                <w:sz w:val="24"/>
                <w:szCs w:val="24"/>
              </w:rPr>
            </w:pPr>
            <w:r>
              <w:rPr>
                <w:spacing w:val="-7"/>
                <w:sz w:val="24"/>
                <w:szCs w:val="24"/>
              </w:rPr>
              <w:t>（</w:t>
            </w:r>
            <w:r>
              <w:rPr>
                <w:rFonts w:ascii="Times New Roman" w:hAnsi="Times New Roman" w:eastAsia="Times New Roman" w:cs="Times New Roman"/>
                <w:spacing w:val="-7"/>
                <w:sz w:val="24"/>
                <w:szCs w:val="24"/>
              </w:rPr>
              <w:t>4</w:t>
            </w:r>
            <w:r>
              <w:rPr>
                <w:spacing w:val="-7"/>
                <w:sz w:val="24"/>
                <w:szCs w:val="24"/>
              </w:rPr>
              <w:t>）禁止在生态保护红线内设置“三场”，禁止在生</w:t>
            </w:r>
            <w:r>
              <w:rPr>
                <w:spacing w:val="-8"/>
                <w:sz w:val="24"/>
                <w:szCs w:val="24"/>
              </w:rPr>
              <w:t>态保护红线范围内堆放建筑垃圾和生活垃圾，禁止在生态保护红线内设置牵张场、材料</w:t>
            </w:r>
            <w:r>
              <w:rPr>
                <w:spacing w:val="-9"/>
                <w:sz w:val="24"/>
                <w:szCs w:val="24"/>
              </w:rPr>
              <w:t>堆场等临时占地，</w:t>
            </w:r>
            <w:r>
              <w:rPr>
                <w:spacing w:val="-2"/>
                <w:sz w:val="24"/>
                <w:szCs w:val="24"/>
              </w:rPr>
              <w:t>本工程输电线路在生态红线范围内不设置取土场和弃土场。</w:t>
            </w:r>
          </w:p>
          <w:p w14:paraId="1AA6A1DD">
            <w:pPr>
              <w:pStyle w:val="6"/>
              <w:spacing w:before="8" w:line="363" w:lineRule="auto"/>
              <w:ind w:left="112" w:right="110" w:firstLine="486"/>
              <w:rPr>
                <w:sz w:val="24"/>
                <w:szCs w:val="24"/>
              </w:rPr>
            </w:pPr>
            <w:r>
              <w:rPr>
                <w:sz w:val="24"/>
                <w:szCs w:val="24"/>
              </w:rPr>
              <w:t>（</w:t>
            </w:r>
            <w:r>
              <w:rPr>
                <w:rFonts w:ascii="Times New Roman" w:hAnsi="Times New Roman" w:eastAsia="Times New Roman" w:cs="Times New Roman"/>
                <w:sz w:val="24"/>
                <w:szCs w:val="24"/>
              </w:rPr>
              <w:t>5</w:t>
            </w:r>
            <w:r>
              <w:rPr>
                <w:sz w:val="24"/>
                <w:szCs w:val="24"/>
              </w:rPr>
              <w:t>）临时施工道路尽可能利用保护区内已有乡村</w:t>
            </w:r>
            <w:r>
              <w:rPr>
                <w:spacing w:val="-1"/>
                <w:sz w:val="24"/>
                <w:szCs w:val="24"/>
              </w:rPr>
              <w:t>公路、机耕路、林区小路</w:t>
            </w:r>
            <w:r>
              <w:rPr>
                <w:spacing w:val="-4"/>
                <w:sz w:val="24"/>
                <w:szCs w:val="24"/>
              </w:rPr>
              <w:t>等现有道路；局部交通条件较差的山丘区，尽可能通过索道、人力或畜力将施工</w:t>
            </w:r>
            <w:r>
              <w:rPr>
                <w:spacing w:val="-2"/>
                <w:sz w:val="24"/>
                <w:szCs w:val="24"/>
              </w:rPr>
              <w:t>材料运至塔基附近，生态保护红线内禁止开挖施工道路。</w:t>
            </w:r>
          </w:p>
          <w:p w14:paraId="674660E0">
            <w:pPr>
              <w:pStyle w:val="6"/>
              <w:spacing w:before="7" w:line="357" w:lineRule="auto"/>
              <w:ind w:left="114" w:right="124" w:firstLine="484"/>
              <w:rPr>
                <w:sz w:val="24"/>
                <w:szCs w:val="24"/>
              </w:rPr>
            </w:pPr>
            <w:r>
              <w:rPr>
                <w:spacing w:val="-1"/>
                <w:sz w:val="24"/>
                <w:szCs w:val="24"/>
              </w:rPr>
              <w:t>（</w:t>
            </w:r>
            <w:r>
              <w:rPr>
                <w:rFonts w:ascii="Times New Roman" w:hAnsi="Times New Roman" w:eastAsia="Times New Roman" w:cs="Times New Roman"/>
                <w:spacing w:val="-1"/>
                <w:sz w:val="24"/>
                <w:szCs w:val="24"/>
              </w:rPr>
              <w:t>6</w:t>
            </w:r>
            <w:r>
              <w:rPr>
                <w:spacing w:val="-1"/>
                <w:sz w:val="24"/>
                <w:szCs w:val="24"/>
              </w:rPr>
              <w:t>）基础开挖土方先临时集中堆放在塔基施工场地范围内，待基础浇筑完</w:t>
            </w:r>
            <w:r>
              <w:rPr>
                <w:spacing w:val="-2"/>
                <w:sz w:val="24"/>
                <w:szCs w:val="24"/>
              </w:rPr>
              <w:t>成后全部在塔基永久占地范围内回填、夯实、平整，就地利用，不外弃。</w:t>
            </w:r>
          </w:p>
          <w:p w14:paraId="0D6B2507">
            <w:pPr>
              <w:pStyle w:val="6"/>
              <w:spacing w:before="19" w:line="363" w:lineRule="auto"/>
              <w:ind w:left="113" w:right="109" w:firstLine="485"/>
              <w:rPr>
                <w:sz w:val="24"/>
                <w:szCs w:val="24"/>
              </w:rPr>
            </w:pPr>
            <w:r>
              <w:rPr>
                <w:sz w:val="24"/>
                <w:szCs w:val="24"/>
              </w:rPr>
              <w:t>（</w:t>
            </w:r>
            <w:r>
              <w:rPr>
                <w:rFonts w:ascii="Times New Roman" w:hAnsi="Times New Roman" w:eastAsia="Times New Roman" w:cs="Times New Roman"/>
                <w:sz w:val="24"/>
                <w:szCs w:val="24"/>
              </w:rPr>
              <w:t>7</w:t>
            </w:r>
            <w:r>
              <w:rPr>
                <w:sz w:val="24"/>
                <w:szCs w:val="24"/>
              </w:rPr>
              <w:t>）加强对施工人员的教育和管理，使他们了解</w:t>
            </w:r>
            <w:r>
              <w:rPr>
                <w:spacing w:val="-1"/>
                <w:sz w:val="24"/>
                <w:szCs w:val="24"/>
              </w:rPr>
              <w:t>生态保护红线的重要意义</w:t>
            </w:r>
            <w:r>
              <w:rPr>
                <w:spacing w:val="-4"/>
                <w:sz w:val="24"/>
                <w:szCs w:val="24"/>
              </w:rPr>
              <w:t>和生态保护红线的边界，并在施工过程中注意保护生态环境，严禁捕猎、捕食野</w:t>
            </w:r>
            <w:r>
              <w:rPr>
                <w:spacing w:val="-3"/>
                <w:sz w:val="24"/>
                <w:szCs w:val="24"/>
              </w:rPr>
              <w:t>生动物和随意砍伐、踩踏植被。</w:t>
            </w:r>
          </w:p>
          <w:p w14:paraId="5D95C278">
            <w:pPr>
              <w:pStyle w:val="6"/>
              <w:spacing w:before="8" w:line="364" w:lineRule="auto"/>
              <w:ind w:left="111" w:right="111" w:firstLine="487"/>
              <w:rPr>
                <w:sz w:val="24"/>
                <w:szCs w:val="24"/>
              </w:rPr>
            </w:pPr>
            <w:r>
              <w:rPr>
                <w:spacing w:val="-1"/>
                <w:sz w:val="24"/>
                <w:szCs w:val="24"/>
              </w:rPr>
              <w:t>（</w:t>
            </w:r>
            <w:r>
              <w:rPr>
                <w:rFonts w:ascii="Times New Roman" w:hAnsi="Times New Roman" w:eastAsia="Times New Roman" w:cs="Times New Roman"/>
                <w:spacing w:val="-1"/>
                <w:sz w:val="24"/>
                <w:szCs w:val="24"/>
              </w:rPr>
              <w:t>8</w:t>
            </w:r>
            <w:r>
              <w:rPr>
                <w:spacing w:val="-1"/>
                <w:sz w:val="24"/>
                <w:szCs w:val="24"/>
              </w:rPr>
              <w:t>）施工结束后开展土地整治，进行植被和迹地恢复。施工结束后，尽快</w:t>
            </w:r>
            <w:r>
              <w:rPr>
                <w:spacing w:val="-4"/>
                <w:sz w:val="24"/>
                <w:szCs w:val="24"/>
              </w:rPr>
              <w:t>对塔基施工区附近采取种植乔灌草或撒播草籽的方式进行植被恢复，所选用的树种和草种以当地的乡土植被为宜，恢复临时占地区域原有生态环境和土地利用功</w:t>
            </w:r>
            <w:r>
              <w:rPr>
                <w:spacing w:val="-1"/>
                <w:sz w:val="24"/>
                <w:szCs w:val="24"/>
              </w:rPr>
              <w:t>能，并加强后期养护和维护。</w:t>
            </w:r>
          </w:p>
          <w:p w14:paraId="285B634F">
            <w:pPr>
              <w:pStyle w:val="6"/>
              <w:spacing w:before="4" w:line="234" w:lineRule="auto"/>
              <w:ind w:left="108"/>
              <w:rPr>
                <w:sz w:val="24"/>
                <w:szCs w:val="24"/>
              </w:rPr>
            </w:pPr>
            <w:r>
              <w:rPr>
                <w:rFonts w:ascii="Times New Roman" w:hAnsi="Times New Roman" w:eastAsia="Times New Roman" w:cs="Times New Roman"/>
                <w:b/>
                <w:bCs/>
                <w:spacing w:val="-3"/>
                <w:sz w:val="24"/>
                <w:szCs w:val="24"/>
              </w:rPr>
              <w:t>2</w:t>
            </w:r>
            <w:r>
              <w:rPr>
                <w:b/>
                <w:bCs/>
                <w:spacing w:val="-3"/>
                <w:sz w:val="24"/>
                <w:szCs w:val="24"/>
              </w:rPr>
              <w:t>、施工期大气环境保护措施</w:t>
            </w:r>
          </w:p>
        </w:tc>
      </w:tr>
    </w:tbl>
    <w:p w14:paraId="4D82403C">
      <w:pPr>
        <w:rPr>
          <w:rFonts w:ascii="Arial"/>
          <w:sz w:val="21"/>
        </w:rPr>
      </w:pPr>
    </w:p>
    <w:p w14:paraId="088AB62A">
      <w:pPr>
        <w:rPr>
          <w:rFonts w:ascii="Arial" w:hAnsi="Arial" w:eastAsia="Arial" w:cs="Arial"/>
          <w:sz w:val="21"/>
          <w:szCs w:val="21"/>
        </w:rPr>
        <w:sectPr>
          <w:footerReference r:id="rId78" w:type="default"/>
          <w:pgSz w:w="11907" w:h="16841"/>
          <w:pgMar w:top="400" w:right="1408" w:bottom="1126" w:left="1414" w:header="0" w:footer="925" w:gutter="0"/>
          <w:cols w:space="720" w:num="1"/>
        </w:sectPr>
      </w:pPr>
    </w:p>
    <w:p w14:paraId="14E4D15D">
      <w:pPr>
        <w:spacing w:before="2"/>
      </w:pPr>
    </w:p>
    <w:p w14:paraId="29E15A6C">
      <w:pPr>
        <w:spacing w:before="2"/>
      </w:pPr>
    </w:p>
    <w:p w14:paraId="17FD8D3A">
      <w:pPr>
        <w:spacing w:before="1"/>
      </w:pPr>
    </w:p>
    <w:p w14:paraId="0EC60641">
      <w:pPr>
        <w:spacing w:before="1"/>
      </w:pPr>
    </w:p>
    <w:p w14:paraId="6406B744">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67116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47E3140A">
            <w:pPr>
              <w:rPr>
                <w:rFonts w:ascii="Arial"/>
                <w:sz w:val="21"/>
              </w:rPr>
            </w:pPr>
          </w:p>
        </w:tc>
        <w:tc>
          <w:tcPr>
            <w:tcW w:w="8507" w:type="dxa"/>
            <w:vAlign w:val="top"/>
          </w:tcPr>
          <w:p w14:paraId="6F802E86">
            <w:pPr>
              <w:pStyle w:val="6"/>
              <w:spacing w:before="125" w:line="355" w:lineRule="auto"/>
              <w:ind w:left="118" w:right="109" w:firstLine="480"/>
              <w:rPr>
                <w:sz w:val="24"/>
                <w:szCs w:val="24"/>
              </w:rPr>
            </w:pPr>
            <w:r>
              <w:rPr>
                <w:sz w:val="24"/>
                <w:szCs w:val="24"/>
              </w:rPr>
              <w:t>（</w:t>
            </w:r>
            <w:r>
              <w:rPr>
                <w:rFonts w:ascii="Times New Roman" w:hAnsi="Times New Roman" w:eastAsia="Times New Roman" w:cs="Times New Roman"/>
                <w:sz w:val="24"/>
                <w:szCs w:val="24"/>
              </w:rPr>
              <w:t>1</w:t>
            </w:r>
            <w:r>
              <w:rPr>
                <w:sz w:val="24"/>
                <w:szCs w:val="24"/>
              </w:rPr>
              <w:t>）加强施工期扬尘的防治，定时洒水降尘，防止扬尘</w:t>
            </w:r>
            <w:r>
              <w:rPr>
                <w:spacing w:val="-1"/>
                <w:sz w:val="24"/>
                <w:szCs w:val="24"/>
              </w:rPr>
              <w:t>污染周围环境，遇到干旱和大风天气时增加洒水降尘次数或暂停施工。</w:t>
            </w:r>
          </w:p>
          <w:p w14:paraId="4C638D2E">
            <w:pPr>
              <w:pStyle w:val="6"/>
              <w:spacing w:before="23" w:line="357" w:lineRule="auto"/>
              <w:ind w:left="112" w:right="121" w:firstLine="486"/>
              <w:rPr>
                <w:sz w:val="24"/>
                <w:szCs w:val="24"/>
              </w:rPr>
            </w:pPr>
            <w:r>
              <w:rPr>
                <w:spacing w:val="-1"/>
                <w:sz w:val="24"/>
                <w:szCs w:val="24"/>
              </w:rPr>
              <w:t>（</w:t>
            </w:r>
            <w:r>
              <w:rPr>
                <w:rFonts w:ascii="Times New Roman" w:hAnsi="Times New Roman" w:eastAsia="Times New Roman" w:cs="Times New Roman"/>
                <w:spacing w:val="-1"/>
                <w:sz w:val="24"/>
                <w:szCs w:val="24"/>
              </w:rPr>
              <w:t>2</w:t>
            </w:r>
            <w:r>
              <w:rPr>
                <w:spacing w:val="-1"/>
                <w:sz w:val="24"/>
                <w:szCs w:val="24"/>
              </w:rPr>
              <w:t>）料堆及基础处开挖临时堆放的土石方采用篷布覆盖防治扬尘，对裸露</w:t>
            </w:r>
            <w:r>
              <w:rPr>
                <w:spacing w:val="-2"/>
                <w:sz w:val="24"/>
                <w:szCs w:val="24"/>
              </w:rPr>
              <w:t>地面进行覆盖。</w:t>
            </w:r>
          </w:p>
          <w:p w14:paraId="0AA0642B">
            <w:pPr>
              <w:pStyle w:val="6"/>
              <w:spacing w:before="18" w:line="233" w:lineRule="auto"/>
              <w:ind w:left="598"/>
              <w:rPr>
                <w:sz w:val="24"/>
                <w:szCs w:val="24"/>
              </w:rPr>
            </w:pPr>
            <w:r>
              <w:rPr>
                <w:spacing w:val="-2"/>
                <w:sz w:val="24"/>
                <w:szCs w:val="24"/>
              </w:rPr>
              <w:t>（</w:t>
            </w:r>
            <w:r>
              <w:rPr>
                <w:rFonts w:ascii="Times New Roman" w:hAnsi="Times New Roman" w:eastAsia="Times New Roman" w:cs="Times New Roman"/>
                <w:spacing w:val="-2"/>
                <w:sz w:val="24"/>
                <w:szCs w:val="24"/>
              </w:rPr>
              <w:t>3</w:t>
            </w:r>
            <w:r>
              <w:rPr>
                <w:spacing w:val="-2"/>
                <w:sz w:val="24"/>
                <w:szCs w:val="24"/>
              </w:rPr>
              <w:t>）建筑材料运输车辆加盖帆布，采取密</w:t>
            </w:r>
            <w:r>
              <w:rPr>
                <w:spacing w:val="-3"/>
                <w:sz w:val="24"/>
                <w:szCs w:val="24"/>
              </w:rPr>
              <w:t>封运输。</w:t>
            </w:r>
          </w:p>
          <w:p w14:paraId="24DC0C13">
            <w:pPr>
              <w:pStyle w:val="6"/>
              <w:spacing w:before="171" w:line="356" w:lineRule="auto"/>
              <w:ind w:left="115" w:right="125" w:firstLine="483"/>
              <w:rPr>
                <w:sz w:val="24"/>
                <w:szCs w:val="24"/>
              </w:rPr>
            </w:pPr>
            <w:r>
              <w:rPr>
                <w:spacing w:val="-1"/>
                <w:sz w:val="24"/>
                <w:szCs w:val="24"/>
              </w:rPr>
              <w:t>（</w:t>
            </w:r>
            <w:r>
              <w:rPr>
                <w:rFonts w:ascii="Times New Roman" w:hAnsi="Times New Roman" w:eastAsia="Times New Roman" w:cs="Times New Roman"/>
                <w:spacing w:val="-1"/>
                <w:sz w:val="24"/>
                <w:szCs w:val="24"/>
              </w:rPr>
              <w:t>4</w:t>
            </w:r>
            <w:r>
              <w:rPr>
                <w:spacing w:val="-1"/>
                <w:sz w:val="24"/>
                <w:szCs w:val="24"/>
              </w:rPr>
              <w:t>）加强对机械、车辆的维修保养，禁止以柴油为燃料的施工机械超负荷</w:t>
            </w:r>
            <w:r>
              <w:rPr>
                <w:spacing w:val="-4"/>
                <w:sz w:val="24"/>
                <w:szCs w:val="24"/>
              </w:rPr>
              <w:t>工作，减少废气的排放。</w:t>
            </w:r>
          </w:p>
          <w:p w14:paraId="4B6EB27F">
            <w:pPr>
              <w:pStyle w:val="6"/>
              <w:spacing w:before="22" w:line="233" w:lineRule="auto"/>
              <w:ind w:left="598"/>
              <w:rPr>
                <w:sz w:val="24"/>
                <w:szCs w:val="24"/>
              </w:rPr>
            </w:pPr>
            <w:r>
              <w:rPr>
                <w:spacing w:val="-2"/>
                <w:sz w:val="24"/>
                <w:szCs w:val="24"/>
              </w:rPr>
              <w:t>（</w:t>
            </w:r>
            <w:r>
              <w:rPr>
                <w:rFonts w:ascii="Times New Roman" w:hAnsi="Times New Roman" w:eastAsia="Times New Roman" w:cs="Times New Roman"/>
                <w:spacing w:val="-2"/>
                <w:sz w:val="24"/>
                <w:szCs w:val="24"/>
              </w:rPr>
              <w:t>5</w:t>
            </w:r>
            <w:r>
              <w:rPr>
                <w:spacing w:val="-2"/>
                <w:sz w:val="24"/>
                <w:szCs w:val="24"/>
              </w:rPr>
              <w:t>）施工现场禁止将包装物、可燃垃圾等固体废弃物就地焚烧。</w:t>
            </w:r>
          </w:p>
          <w:p w14:paraId="11787F72">
            <w:pPr>
              <w:pStyle w:val="6"/>
              <w:spacing w:before="172" w:line="233" w:lineRule="auto"/>
              <w:ind w:left="598"/>
              <w:rPr>
                <w:sz w:val="24"/>
                <w:szCs w:val="24"/>
              </w:rPr>
            </w:pPr>
            <w:r>
              <w:rPr>
                <w:spacing w:val="-2"/>
                <w:sz w:val="24"/>
                <w:szCs w:val="24"/>
              </w:rPr>
              <w:t>（</w:t>
            </w:r>
            <w:r>
              <w:rPr>
                <w:rFonts w:ascii="Times New Roman" w:hAnsi="Times New Roman" w:eastAsia="Times New Roman" w:cs="Times New Roman"/>
                <w:spacing w:val="-2"/>
                <w:sz w:val="24"/>
                <w:szCs w:val="24"/>
              </w:rPr>
              <w:t>6</w:t>
            </w:r>
            <w:r>
              <w:rPr>
                <w:spacing w:val="-2"/>
                <w:sz w:val="24"/>
                <w:szCs w:val="24"/>
              </w:rPr>
              <w:t>）明确专人负责扬尘污染防治的具体管理工作，并在施工现场公示。</w:t>
            </w:r>
          </w:p>
          <w:p w14:paraId="4CEC6182">
            <w:pPr>
              <w:pStyle w:val="6"/>
              <w:spacing w:before="172" w:line="233" w:lineRule="auto"/>
              <w:ind w:left="106"/>
              <w:rPr>
                <w:sz w:val="24"/>
                <w:szCs w:val="24"/>
              </w:rPr>
            </w:pPr>
            <w:r>
              <w:rPr>
                <w:rFonts w:ascii="Times New Roman" w:hAnsi="Times New Roman" w:eastAsia="Times New Roman" w:cs="Times New Roman"/>
                <w:b/>
                <w:bCs/>
                <w:spacing w:val="-2"/>
                <w:sz w:val="24"/>
                <w:szCs w:val="24"/>
              </w:rPr>
              <w:t>3</w:t>
            </w:r>
            <w:r>
              <w:rPr>
                <w:b/>
                <w:bCs/>
                <w:spacing w:val="-2"/>
                <w:sz w:val="24"/>
                <w:szCs w:val="24"/>
              </w:rPr>
              <w:t>、施工期水环境保护措施</w:t>
            </w:r>
          </w:p>
          <w:p w14:paraId="12EA9B87">
            <w:pPr>
              <w:pStyle w:val="6"/>
              <w:spacing w:before="170" w:line="357" w:lineRule="auto"/>
              <w:ind w:left="132" w:right="124" w:firstLine="466"/>
              <w:rPr>
                <w:sz w:val="24"/>
                <w:szCs w:val="24"/>
              </w:rPr>
            </w:pPr>
            <w:r>
              <w:rPr>
                <w:spacing w:val="-1"/>
                <w:sz w:val="24"/>
                <w:szCs w:val="24"/>
              </w:rPr>
              <w:t>（</w:t>
            </w:r>
            <w:r>
              <w:rPr>
                <w:rFonts w:ascii="Times New Roman" w:hAnsi="Times New Roman" w:eastAsia="Times New Roman" w:cs="Times New Roman"/>
                <w:spacing w:val="-1"/>
                <w:sz w:val="24"/>
                <w:szCs w:val="24"/>
              </w:rPr>
              <w:t>1</w:t>
            </w:r>
            <w:r>
              <w:rPr>
                <w:spacing w:val="-1"/>
                <w:sz w:val="24"/>
                <w:szCs w:val="24"/>
              </w:rPr>
              <w:t>）间隔扩建工程施工废水经沉淀池处理后回用，生活污水利用站内原有</w:t>
            </w:r>
            <w:r>
              <w:rPr>
                <w:spacing w:val="-6"/>
                <w:sz w:val="24"/>
                <w:szCs w:val="24"/>
              </w:rPr>
              <w:t>的污水处理装置处理。</w:t>
            </w:r>
          </w:p>
          <w:p w14:paraId="2B13E128">
            <w:pPr>
              <w:pStyle w:val="6"/>
              <w:spacing w:before="20" w:line="357" w:lineRule="auto"/>
              <w:ind w:left="116" w:right="165" w:firstLine="482"/>
              <w:rPr>
                <w:sz w:val="24"/>
                <w:szCs w:val="24"/>
              </w:rPr>
            </w:pPr>
            <w:r>
              <w:rPr>
                <w:spacing w:val="-2"/>
                <w:sz w:val="24"/>
                <w:szCs w:val="24"/>
              </w:rPr>
              <w:t>（</w:t>
            </w:r>
            <w:r>
              <w:rPr>
                <w:rFonts w:ascii="Times New Roman" w:hAnsi="Times New Roman" w:eastAsia="Times New Roman" w:cs="Times New Roman"/>
                <w:spacing w:val="-2"/>
                <w:sz w:val="24"/>
                <w:szCs w:val="24"/>
              </w:rPr>
              <w:t>2</w:t>
            </w:r>
            <w:r>
              <w:rPr>
                <w:spacing w:val="-2"/>
                <w:sz w:val="24"/>
                <w:szCs w:val="24"/>
              </w:rPr>
              <w:t>）输电线路施工废水产生量较小，就近回用于施工作业和洒水降尘等，</w:t>
            </w:r>
            <w:r>
              <w:rPr>
                <w:spacing w:val="-10"/>
                <w:sz w:val="24"/>
                <w:szCs w:val="24"/>
              </w:rPr>
              <w:t>不外排。</w:t>
            </w:r>
          </w:p>
          <w:p w14:paraId="5A50365D">
            <w:pPr>
              <w:pStyle w:val="6"/>
              <w:spacing w:before="19" w:line="358" w:lineRule="auto"/>
              <w:ind w:left="116" w:right="120" w:firstLine="482"/>
              <w:rPr>
                <w:sz w:val="24"/>
                <w:szCs w:val="24"/>
              </w:rPr>
            </w:pPr>
            <w:r>
              <w:rPr>
                <w:spacing w:val="-1"/>
                <w:sz w:val="24"/>
                <w:szCs w:val="24"/>
              </w:rPr>
              <w:t>（</w:t>
            </w:r>
            <w:r>
              <w:rPr>
                <w:rFonts w:ascii="Times New Roman" w:hAnsi="Times New Roman" w:eastAsia="Times New Roman" w:cs="Times New Roman"/>
                <w:spacing w:val="-1"/>
                <w:sz w:val="24"/>
                <w:szCs w:val="24"/>
              </w:rPr>
              <w:t>3</w:t>
            </w:r>
            <w:r>
              <w:rPr>
                <w:spacing w:val="-1"/>
                <w:sz w:val="24"/>
                <w:szCs w:val="24"/>
              </w:rPr>
              <w:t>）施工人员施工期间食宿自行处置，生活污水依托各自居民点污水处理</w:t>
            </w:r>
            <w:r>
              <w:rPr>
                <w:spacing w:val="-8"/>
                <w:sz w:val="24"/>
                <w:szCs w:val="24"/>
              </w:rPr>
              <w:t>设施处置。</w:t>
            </w:r>
          </w:p>
          <w:p w14:paraId="7AE02800">
            <w:pPr>
              <w:pStyle w:val="6"/>
              <w:spacing w:before="16" w:line="363" w:lineRule="auto"/>
              <w:ind w:left="112" w:right="33" w:firstLine="486"/>
              <w:rPr>
                <w:sz w:val="24"/>
                <w:szCs w:val="24"/>
              </w:rPr>
            </w:pPr>
            <w:r>
              <w:rPr>
                <w:sz w:val="24"/>
                <w:szCs w:val="24"/>
              </w:rPr>
              <w:t>（</w:t>
            </w:r>
            <w:r>
              <w:rPr>
                <w:rFonts w:ascii="Times New Roman" w:hAnsi="Times New Roman" w:eastAsia="Times New Roman" w:cs="Times New Roman"/>
                <w:sz w:val="24"/>
                <w:szCs w:val="24"/>
              </w:rPr>
              <w:t>4</w:t>
            </w:r>
            <w:r>
              <w:rPr>
                <w:sz w:val="24"/>
                <w:szCs w:val="24"/>
              </w:rPr>
              <w:t>）采取一档跨越河流，不在水中立塔。禁止向</w:t>
            </w:r>
            <w:r>
              <w:rPr>
                <w:spacing w:val="-1"/>
                <w:sz w:val="24"/>
                <w:szCs w:val="24"/>
              </w:rPr>
              <w:t>水体排放油类，禁止向水</w:t>
            </w:r>
            <w:r>
              <w:rPr>
                <w:spacing w:val="-7"/>
                <w:sz w:val="24"/>
                <w:szCs w:val="24"/>
              </w:rPr>
              <w:t>体排放、倾倒废水、垃圾等。邻近河流的塔基施工时， 施工人员不得在靠近水域</w:t>
            </w:r>
            <w:r>
              <w:rPr>
                <w:spacing w:val="-1"/>
                <w:sz w:val="24"/>
                <w:szCs w:val="24"/>
              </w:rPr>
              <w:t>附近搭建临时施工生活设施，严禁施工废水、生活污水</w:t>
            </w:r>
            <w:r>
              <w:rPr>
                <w:spacing w:val="-2"/>
                <w:sz w:val="24"/>
                <w:szCs w:val="24"/>
              </w:rPr>
              <w:t>、生活垃圾等排入水体。</w:t>
            </w:r>
          </w:p>
          <w:p w14:paraId="6C4E73CD">
            <w:pPr>
              <w:pStyle w:val="6"/>
              <w:spacing w:before="9" w:line="234" w:lineRule="auto"/>
              <w:ind w:left="109"/>
              <w:rPr>
                <w:sz w:val="24"/>
                <w:szCs w:val="24"/>
              </w:rPr>
            </w:pPr>
            <w:r>
              <w:rPr>
                <w:rFonts w:ascii="Times New Roman" w:hAnsi="Times New Roman" w:eastAsia="Times New Roman" w:cs="Times New Roman"/>
                <w:b/>
                <w:bCs/>
                <w:spacing w:val="-3"/>
                <w:sz w:val="24"/>
                <w:szCs w:val="24"/>
              </w:rPr>
              <w:t>4</w:t>
            </w:r>
            <w:r>
              <w:rPr>
                <w:b/>
                <w:bCs/>
                <w:spacing w:val="-3"/>
                <w:sz w:val="24"/>
                <w:szCs w:val="24"/>
              </w:rPr>
              <w:t>、施工期声环境保护措施</w:t>
            </w:r>
          </w:p>
          <w:p w14:paraId="294CA930">
            <w:pPr>
              <w:pStyle w:val="6"/>
              <w:spacing w:before="170" w:line="357" w:lineRule="auto"/>
              <w:ind w:left="113" w:right="125" w:firstLine="485"/>
              <w:rPr>
                <w:sz w:val="24"/>
                <w:szCs w:val="24"/>
              </w:rPr>
            </w:pPr>
            <w:r>
              <w:rPr>
                <w:spacing w:val="-1"/>
                <w:sz w:val="24"/>
                <w:szCs w:val="24"/>
              </w:rPr>
              <w:t>（</w:t>
            </w:r>
            <w:r>
              <w:rPr>
                <w:rFonts w:ascii="Times New Roman" w:hAnsi="Times New Roman" w:eastAsia="Times New Roman" w:cs="Times New Roman"/>
                <w:spacing w:val="-1"/>
                <w:sz w:val="24"/>
                <w:szCs w:val="24"/>
              </w:rPr>
              <w:t>1</w:t>
            </w:r>
            <w:r>
              <w:rPr>
                <w:spacing w:val="-1"/>
                <w:sz w:val="24"/>
                <w:szCs w:val="24"/>
              </w:rPr>
              <w:t>）采用低噪声设备，加强施工机械的维修、养护，避免设备因部件损坏</w:t>
            </w:r>
            <w:r>
              <w:rPr>
                <w:spacing w:val="-4"/>
                <w:sz w:val="24"/>
                <w:szCs w:val="24"/>
              </w:rPr>
              <w:t>而加大其工作时的声压级。</w:t>
            </w:r>
          </w:p>
          <w:p w14:paraId="14DAB67F">
            <w:pPr>
              <w:pStyle w:val="6"/>
              <w:spacing w:before="19" w:line="363" w:lineRule="auto"/>
              <w:ind w:left="111" w:right="109" w:firstLine="487"/>
              <w:rPr>
                <w:sz w:val="24"/>
                <w:szCs w:val="24"/>
              </w:rPr>
            </w:pPr>
            <w:r>
              <w:rPr>
                <w:sz w:val="24"/>
                <w:szCs w:val="24"/>
              </w:rPr>
              <w:t>（</w:t>
            </w:r>
            <w:r>
              <w:rPr>
                <w:rFonts w:ascii="Times New Roman" w:hAnsi="Times New Roman" w:eastAsia="Times New Roman" w:cs="Times New Roman"/>
                <w:sz w:val="24"/>
                <w:szCs w:val="24"/>
              </w:rPr>
              <w:t>2</w:t>
            </w:r>
            <w:r>
              <w:rPr>
                <w:sz w:val="24"/>
                <w:szCs w:val="24"/>
              </w:rPr>
              <w:t>）施工单位文明施工，加强施工期的环境管理</w:t>
            </w:r>
            <w:r>
              <w:rPr>
                <w:spacing w:val="-1"/>
                <w:sz w:val="24"/>
                <w:szCs w:val="24"/>
              </w:rPr>
              <w:t>；施工车辆经过居民区时</w:t>
            </w:r>
            <w:r>
              <w:rPr>
                <w:spacing w:val="-3"/>
                <w:sz w:val="24"/>
                <w:szCs w:val="24"/>
              </w:rPr>
              <w:t>减缓行驶速度，减少鸣笛；施工单位应采用噪</w:t>
            </w:r>
            <w:r>
              <w:rPr>
                <w:spacing w:val="-4"/>
                <w:sz w:val="24"/>
                <w:szCs w:val="24"/>
              </w:rPr>
              <w:t>声水平满足国家相应标准的施工机</w:t>
            </w:r>
            <w:r>
              <w:rPr>
                <w:spacing w:val="-9"/>
                <w:sz w:val="24"/>
                <w:szCs w:val="24"/>
              </w:rPr>
              <w:t>械设备。</w:t>
            </w:r>
          </w:p>
          <w:p w14:paraId="01E988DD">
            <w:pPr>
              <w:pStyle w:val="6"/>
              <w:spacing w:before="8" w:line="355" w:lineRule="auto"/>
              <w:ind w:left="116" w:right="122" w:firstLine="482"/>
              <w:rPr>
                <w:sz w:val="24"/>
                <w:szCs w:val="24"/>
              </w:rPr>
            </w:pPr>
            <w:r>
              <w:rPr>
                <w:spacing w:val="-1"/>
                <w:sz w:val="24"/>
                <w:szCs w:val="24"/>
              </w:rPr>
              <w:t>（</w:t>
            </w:r>
            <w:r>
              <w:rPr>
                <w:rFonts w:ascii="Times New Roman" w:hAnsi="Times New Roman" w:eastAsia="Times New Roman" w:cs="Times New Roman"/>
                <w:spacing w:val="-1"/>
                <w:sz w:val="24"/>
                <w:szCs w:val="24"/>
              </w:rPr>
              <w:t>3</w:t>
            </w:r>
            <w:r>
              <w:rPr>
                <w:spacing w:val="-1"/>
                <w:sz w:val="24"/>
                <w:szCs w:val="24"/>
              </w:rPr>
              <w:t>）利用噪声强度随距离增加而衰减的特性，将较强的噪声源尽量设在远</w:t>
            </w:r>
            <w:r>
              <w:rPr>
                <w:spacing w:val="-2"/>
                <w:sz w:val="24"/>
                <w:szCs w:val="24"/>
              </w:rPr>
              <w:t>离居住区的地方，距居民区较近的施工点采取临时拦挡措施。</w:t>
            </w:r>
          </w:p>
          <w:p w14:paraId="27FAC918">
            <w:pPr>
              <w:pStyle w:val="6"/>
              <w:spacing w:before="25" w:line="233" w:lineRule="auto"/>
              <w:ind w:left="598"/>
              <w:rPr>
                <w:sz w:val="24"/>
                <w:szCs w:val="24"/>
              </w:rPr>
            </w:pPr>
            <w:r>
              <w:rPr>
                <w:spacing w:val="-2"/>
                <w:sz w:val="24"/>
                <w:szCs w:val="24"/>
              </w:rPr>
              <w:t>（</w:t>
            </w:r>
            <w:r>
              <w:rPr>
                <w:rFonts w:ascii="Times New Roman" w:hAnsi="Times New Roman" w:eastAsia="Times New Roman" w:cs="Times New Roman"/>
                <w:spacing w:val="-2"/>
                <w:sz w:val="24"/>
                <w:szCs w:val="24"/>
              </w:rPr>
              <w:t>4</w:t>
            </w:r>
            <w:r>
              <w:rPr>
                <w:spacing w:val="-2"/>
                <w:sz w:val="24"/>
                <w:szCs w:val="24"/>
              </w:rPr>
              <w:t>）施工工地应加强环境管理，合理安排运输</w:t>
            </w:r>
            <w:r>
              <w:rPr>
                <w:spacing w:val="-3"/>
                <w:sz w:val="24"/>
                <w:szCs w:val="24"/>
              </w:rPr>
              <w:t>路线。</w:t>
            </w:r>
          </w:p>
        </w:tc>
      </w:tr>
    </w:tbl>
    <w:p w14:paraId="399C31E9">
      <w:pPr>
        <w:rPr>
          <w:rFonts w:ascii="Arial"/>
          <w:sz w:val="21"/>
        </w:rPr>
      </w:pPr>
    </w:p>
    <w:p w14:paraId="093371AD">
      <w:pPr>
        <w:rPr>
          <w:rFonts w:ascii="Arial" w:hAnsi="Arial" w:eastAsia="Arial" w:cs="Arial"/>
          <w:sz w:val="21"/>
          <w:szCs w:val="21"/>
        </w:rPr>
        <w:sectPr>
          <w:footerReference r:id="rId79" w:type="default"/>
          <w:pgSz w:w="11907" w:h="16841"/>
          <w:pgMar w:top="400" w:right="1408" w:bottom="1126" w:left="1414" w:header="0" w:footer="925" w:gutter="0"/>
          <w:cols w:space="720" w:num="1"/>
        </w:sectPr>
      </w:pPr>
    </w:p>
    <w:p w14:paraId="0C094157">
      <w:pPr>
        <w:spacing w:before="2"/>
      </w:pPr>
    </w:p>
    <w:p w14:paraId="5D34EDD4">
      <w:pPr>
        <w:spacing w:before="2"/>
      </w:pPr>
    </w:p>
    <w:p w14:paraId="3EA2B829">
      <w:pPr>
        <w:spacing w:before="1"/>
      </w:pPr>
    </w:p>
    <w:p w14:paraId="19CD79D3">
      <w:pPr>
        <w:spacing w:before="1"/>
      </w:pPr>
    </w:p>
    <w:p w14:paraId="5685A288">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4040BB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40" w:hRule="atLeast"/>
        </w:trPr>
        <w:tc>
          <w:tcPr>
            <w:tcW w:w="571" w:type="dxa"/>
            <w:vAlign w:val="top"/>
          </w:tcPr>
          <w:p w14:paraId="1383AE0A">
            <w:pPr>
              <w:rPr>
                <w:rFonts w:ascii="Arial"/>
                <w:sz w:val="21"/>
              </w:rPr>
            </w:pPr>
          </w:p>
        </w:tc>
        <w:tc>
          <w:tcPr>
            <w:tcW w:w="8507" w:type="dxa"/>
            <w:vAlign w:val="top"/>
          </w:tcPr>
          <w:p w14:paraId="29AFF67D">
            <w:pPr>
              <w:pStyle w:val="6"/>
              <w:spacing w:before="126" w:line="355" w:lineRule="auto"/>
              <w:ind w:left="115" w:right="123" w:firstLine="483"/>
              <w:rPr>
                <w:sz w:val="24"/>
                <w:szCs w:val="24"/>
              </w:rPr>
            </w:pPr>
            <w:r>
              <w:rPr>
                <w:spacing w:val="-1"/>
                <w:sz w:val="24"/>
                <w:szCs w:val="24"/>
              </w:rPr>
              <w:t>（</w:t>
            </w:r>
            <w:r>
              <w:rPr>
                <w:rFonts w:ascii="Times New Roman" w:hAnsi="Times New Roman" w:eastAsia="Times New Roman" w:cs="Times New Roman"/>
                <w:spacing w:val="-1"/>
                <w:sz w:val="24"/>
                <w:szCs w:val="24"/>
              </w:rPr>
              <w:t>5</w:t>
            </w:r>
            <w:r>
              <w:rPr>
                <w:spacing w:val="-1"/>
                <w:sz w:val="24"/>
                <w:szCs w:val="24"/>
              </w:rPr>
              <w:t>）输电线路禁止夜间进行施工，但抢修、抢险作业和因生产工艺上要求或者特殊需要必须连续作业的除外。</w:t>
            </w:r>
          </w:p>
          <w:p w14:paraId="53C6DA02">
            <w:pPr>
              <w:pStyle w:val="6"/>
              <w:spacing w:before="19" w:line="365" w:lineRule="auto"/>
              <w:ind w:left="113" w:right="109" w:firstLine="485"/>
              <w:rPr>
                <w:sz w:val="24"/>
                <w:szCs w:val="24"/>
              </w:rPr>
            </w:pPr>
            <w:r>
              <w:rPr>
                <w:sz w:val="24"/>
                <w:szCs w:val="24"/>
              </w:rPr>
              <w:t>（</w:t>
            </w:r>
            <w:r>
              <w:rPr>
                <w:rFonts w:ascii="Times New Roman" w:hAnsi="Times New Roman" w:eastAsia="Times New Roman" w:cs="Times New Roman"/>
                <w:sz w:val="24"/>
                <w:szCs w:val="24"/>
              </w:rPr>
              <w:t>6</w:t>
            </w:r>
            <w:r>
              <w:rPr>
                <w:sz w:val="24"/>
                <w:szCs w:val="24"/>
              </w:rPr>
              <w:t>）优化施工方案，合理安排工期，依法限制夜</w:t>
            </w:r>
            <w:r>
              <w:rPr>
                <w:spacing w:val="-1"/>
                <w:sz w:val="24"/>
                <w:szCs w:val="24"/>
              </w:rPr>
              <w:t>间施工，如果因工艺特殊</w:t>
            </w:r>
            <w:r>
              <w:rPr>
                <w:spacing w:val="-4"/>
                <w:sz w:val="24"/>
                <w:szCs w:val="24"/>
              </w:rPr>
              <w:t>情况要求，需在夜间施工而产生环境噪声污染时，应按《中华人民共和国噪声污染防治法》（中华人民共和国主席令第一〇四号）的规定办理相关证明文件并对外进行公示公告：因特殊需要必须连续施工作业的，应当取得地方人民政府住房</w:t>
            </w:r>
            <w:r>
              <w:rPr>
                <w:spacing w:val="-5"/>
                <w:sz w:val="24"/>
                <w:szCs w:val="24"/>
              </w:rPr>
              <w:t>和城乡建设、生态环境主管部门或者地方人民政府指定的部门的</w:t>
            </w:r>
            <w:r>
              <w:rPr>
                <w:spacing w:val="-6"/>
                <w:sz w:val="24"/>
                <w:szCs w:val="24"/>
              </w:rPr>
              <w:t>证明，</w:t>
            </w:r>
            <w:r>
              <w:rPr>
                <w:spacing w:val="-60"/>
                <w:sz w:val="24"/>
                <w:szCs w:val="24"/>
              </w:rPr>
              <w:t xml:space="preserve"> </w:t>
            </w:r>
            <w:r>
              <w:rPr>
                <w:spacing w:val="-6"/>
                <w:sz w:val="24"/>
                <w:szCs w:val="24"/>
              </w:rPr>
              <w:t>并在施工</w:t>
            </w:r>
            <w:r>
              <w:rPr>
                <w:spacing w:val="-2"/>
                <w:sz w:val="24"/>
                <w:szCs w:val="24"/>
              </w:rPr>
              <w:t>现场显著位置公示或者以其他方式公告附近居民。</w:t>
            </w:r>
          </w:p>
          <w:p w14:paraId="4E53ADA7">
            <w:pPr>
              <w:pStyle w:val="6"/>
              <w:spacing w:line="234" w:lineRule="auto"/>
              <w:ind w:left="111"/>
              <w:rPr>
                <w:sz w:val="24"/>
                <w:szCs w:val="24"/>
              </w:rPr>
            </w:pPr>
            <w:r>
              <w:rPr>
                <w:rFonts w:ascii="Times New Roman" w:hAnsi="Times New Roman" w:eastAsia="Times New Roman" w:cs="Times New Roman"/>
                <w:b/>
                <w:bCs/>
                <w:spacing w:val="-2"/>
                <w:sz w:val="24"/>
                <w:szCs w:val="24"/>
              </w:rPr>
              <w:t>5</w:t>
            </w:r>
            <w:r>
              <w:rPr>
                <w:b/>
                <w:bCs/>
                <w:spacing w:val="-2"/>
                <w:sz w:val="24"/>
                <w:szCs w:val="24"/>
              </w:rPr>
              <w:t>、施工期固体废物防治措施</w:t>
            </w:r>
          </w:p>
          <w:p w14:paraId="0BCEB359">
            <w:pPr>
              <w:pStyle w:val="6"/>
              <w:spacing w:before="171" w:line="360" w:lineRule="auto"/>
              <w:ind w:left="115" w:right="122" w:firstLine="483"/>
              <w:rPr>
                <w:sz w:val="24"/>
                <w:szCs w:val="24"/>
              </w:rPr>
            </w:pPr>
            <w:r>
              <w:rPr>
                <w:spacing w:val="-1"/>
                <w:sz w:val="24"/>
                <w:szCs w:val="24"/>
              </w:rPr>
              <w:t>（</w:t>
            </w:r>
            <w:r>
              <w:rPr>
                <w:rFonts w:ascii="Times New Roman" w:hAnsi="Times New Roman" w:eastAsia="Times New Roman" w:cs="Times New Roman"/>
                <w:spacing w:val="-1"/>
                <w:sz w:val="24"/>
                <w:szCs w:val="24"/>
              </w:rPr>
              <w:t>1</w:t>
            </w:r>
            <w:r>
              <w:rPr>
                <w:spacing w:val="-1"/>
                <w:sz w:val="24"/>
                <w:szCs w:val="24"/>
              </w:rPr>
              <w:t>）间隔扩建工程开挖土石方全部回填，施工期固废利用站内设施收集处</w:t>
            </w:r>
            <w:r>
              <w:rPr>
                <w:spacing w:val="-12"/>
                <w:sz w:val="24"/>
                <w:szCs w:val="24"/>
              </w:rPr>
              <w:t>理。</w:t>
            </w:r>
          </w:p>
          <w:p w14:paraId="6E99EF3E">
            <w:pPr>
              <w:pStyle w:val="6"/>
              <w:spacing w:before="10" w:line="355" w:lineRule="auto"/>
              <w:ind w:left="114" w:right="110" w:firstLine="484"/>
              <w:rPr>
                <w:sz w:val="24"/>
                <w:szCs w:val="24"/>
              </w:rPr>
            </w:pPr>
            <w:r>
              <w:rPr>
                <w:sz w:val="24"/>
                <w:szCs w:val="24"/>
              </w:rPr>
              <w:t>（</w:t>
            </w:r>
            <w:r>
              <w:rPr>
                <w:rFonts w:ascii="Times New Roman" w:hAnsi="Times New Roman" w:eastAsia="Times New Roman" w:cs="Times New Roman"/>
                <w:sz w:val="24"/>
                <w:szCs w:val="24"/>
              </w:rPr>
              <w:t>2</w:t>
            </w:r>
            <w:r>
              <w:rPr>
                <w:sz w:val="24"/>
                <w:szCs w:val="24"/>
              </w:rPr>
              <w:t>）建筑垃圾分类集中堆存、回收利用，不能回收利</w:t>
            </w:r>
            <w:r>
              <w:rPr>
                <w:spacing w:val="-1"/>
                <w:sz w:val="24"/>
                <w:szCs w:val="24"/>
              </w:rPr>
              <w:t>用的集中收集后清运</w:t>
            </w:r>
            <w:r>
              <w:rPr>
                <w:spacing w:val="-3"/>
                <w:sz w:val="24"/>
                <w:szCs w:val="24"/>
              </w:rPr>
              <w:t>至当地政府指定的堆放场所处置。</w:t>
            </w:r>
          </w:p>
          <w:p w14:paraId="472AAEE6">
            <w:pPr>
              <w:pStyle w:val="6"/>
              <w:spacing w:before="25" w:line="355" w:lineRule="auto"/>
              <w:ind w:left="112" w:right="111" w:firstLine="486"/>
              <w:rPr>
                <w:sz w:val="24"/>
                <w:szCs w:val="24"/>
              </w:rPr>
            </w:pPr>
            <w:r>
              <w:rPr>
                <w:sz w:val="24"/>
                <w:szCs w:val="24"/>
              </w:rPr>
              <w:t>（</w:t>
            </w:r>
            <w:r>
              <w:rPr>
                <w:rFonts w:ascii="Times New Roman" w:hAnsi="Times New Roman" w:eastAsia="Times New Roman" w:cs="Times New Roman"/>
                <w:sz w:val="24"/>
                <w:szCs w:val="24"/>
              </w:rPr>
              <w:t>3</w:t>
            </w:r>
            <w:r>
              <w:rPr>
                <w:sz w:val="24"/>
                <w:szCs w:val="24"/>
              </w:rPr>
              <w:t>）施工人员生活垃圾依托租用村镇居民房屋现有</w:t>
            </w:r>
            <w:r>
              <w:rPr>
                <w:spacing w:val="-1"/>
                <w:sz w:val="24"/>
                <w:szCs w:val="24"/>
              </w:rPr>
              <w:t>卫生设施处置；施工场</w:t>
            </w:r>
            <w:r>
              <w:rPr>
                <w:spacing w:val="-2"/>
                <w:sz w:val="24"/>
                <w:szCs w:val="24"/>
              </w:rPr>
              <w:t>地内产生的零星生活垃圾收集后带回居住村镇一起处置。</w:t>
            </w:r>
          </w:p>
          <w:p w14:paraId="7BD754BB">
            <w:pPr>
              <w:pStyle w:val="6"/>
              <w:spacing w:before="26" w:line="332" w:lineRule="auto"/>
              <w:ind w:left="111" w:right="109" w:firstLine="487"/>
              <w:rPr>
                <w:sz w:val="24"/>
                <w:szCs w:val="24"/>
              </w:rPr>
            </w:pPr>
            <w:r>
              <w:rPr>
                <w:sz w:val="24"/>
                <w:szCs w:val="24"/>
              </w:rPr>
              <w:t>（</w:t>
            </w:r>
            <w:r>
              <w:rPr>
                <w:rFonts w:ascii="Times New Roman" w:hAnsi="Times New Roman" w:eastAsia="Times New Roman" w:cs="Times New Roman"/>
                <w:sz w:val="24"/>
                <w:szCs w:val="24"/>
              </w:rPr>
              <w:t>4</w:t>
            </w:r>
            <w:r>
              <w:rPr>
                <w:sz w:val="24"/>
                <w:szCs w:val="24"/>
              </w:rPr>
              <w:t>）架空线路基础开挖产生土方就地回填压实、</w:t>
            </w:r>
            <w:r>
              <w:rPr>
                <w:spacing w:val="-1"/>
                <w:sz w:val="24"/>
                <w:szCs w:val="24"/>
              </w:rPr>
              <w:t>综合利用；塔基施工剥离</w:t>
            </w:r>
            <w:r>
              <w:rPr>
                <w:spacing w:val="-3"/>
                <w:sz w:val="24"/>
                <w:szCs w:val="24"/>
              </w:rPr>
              <w:t>表土按规范要求集中堆放，施工完毕后用于</w:t>
            </w:r>
            <w:r>
              <w:rPr>
                <w:spacing w:val="-4"/>
                <w:sz w:val="24"/>
                <w:szCs w:val="24"/>
              </w:rPr>
              <w:t>复垦或植被恢复；在农田施工时，施</w:t>
            </w:r>
            <w:r>
              <w:rPr>
                <w:spacing w:val="-1"/>
                <w:sz w:val="24"/>
                <w:szCs w:val="24"/>
              </w:rPr>
              <w:t>工临时占地采取隔离保护措施，施工结束后应将混凝土余</w:t>
            </w:r>
            <w:r>
              <w:rPr>
                <w:spacing w:val="-2"/>
                <w:sz w:val="24"/>
                <w:szCs w:val="24"/>
              </w:rPr>
              <w:t>料和残渣及时清除。</w:t>
            </w:r>
          </w:p>
        </w:tc>
      </w:tr>
      <w:tr w14:paraId="5713E3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50" w:hRule="atLeast"/>
        </w:trPr>
        <w:tc>
          <w:tcPr>
            <w:tcW w:w="571" w:type="dxa"/>
            <w:vAlign w:val="top"/>
          </w:tcPr>
          <w:p w14:paraId="6BEF4E3C">
            <w:pPr>
              <w:spacing w:line="280" w:lineRule="auto"/>
              <w:rPr>
                <w:rFonts w:ascii="Arial"/>
                <w:sz w:val="21"/>
              </w:rPr>
            </w:pPr>
          </w:p>
          <w:p w14:paraId="76FD0B5B">
            <w:pPr>
              <w:spacing w:line="280" w:lineRule="auto"/>
              <w:rPr>
                <w:rFonts w:ascii="Arial"/>
                <w:sz w:val="21"/>
              </w:rPr>
            </w:pPr>
          </w:p>
          <w:p w14:paraId="1A6D4553">
            <w:pPr>
              <w:spacing w:line="280" w:lineRule="auto"/>
              <w:rPr>
                <w:rFonts w:ascii="Arial"/>
                <w:sz w:val="21"/>
              </w:rPr>
            </w:pPr>
          </w:p>
          <w:p w14:paraId="39DA26A4">
            <w:pPr>
              <w:spacing w:line="281" w:lineRule="auto"/>
              <w:rPr>
                <w:rFonts w:ascii="Arial"/>
                <w:sz w:val="21"/>
              </w:rPr>
            </w:pPr>
          </w:p>
          <w:p w14:paraId="026A41F8">
            <w:pPr>
              <w:spacing w:line="281" w:lineRule="auto"/>
              <w:rPr>
                <w:rFonts w:ascii="Arial"/>
                <w:sz w:val="21"/>
              </w:rPr>
            </w:pPr>
          </w:p>
          <w:p w14:paraId="2CA787CA">
            <w:pPr>
              <w:pStyle w:val="6"/>
              <w:spacing w:before="68" w:line="279" w:lineRule="auto"/>
              <w:ind w:left="60" w:right="71"/>
              <w:jc w:val="both"/>
            </w:pPr>
            <w:r>
              <w:rPr>
                <w:spacing w:val="6"/>
              </w:rPr>
              <w:t>运营期生态环境保护措</w:t>
            </w:r>
            <w:r>
              <w:rPr>
                <w:spacing w:val="28"/>
                <w:w w:val="138"/>
              </w:rPr>
              <w:t>施</w:t>
            </w:r>
          </w:p>
        </w:tc>
        <w:tc>
          <w:tcPr>
            <w:tcW w:w="8507" w:type="dxa"/>
            <w:vAlign w:val="top"/>
          </w:tcPr>
          <w:p w14:paraId="49C54C63">
            <w:pPr>
              <w:pStyle w:val="6"/>
              <w:spacing w:before="122" w:line="234" w:lineRule="auto"/>
              <w:ind w:left="118"/>
              <w:rPr>
                <w:sz w:val="24"/>
                <w:szCs w:val="24"/>
              </w:rPr>
            </w:pPr>
            <w:r>
              <w:rPr>
                <w:rFonts w:ascii="Times New Roman" w:hAnsi="Times New Roman" w:eastAsia="Times New Roman" w:cs="Times New Roman"/>
                <w:b/>
                <w:bCs/>
                <w:spacing w:val="-6"/>
                <w:sz w:val="24"/>
                <w:szCs w:val="24"/>
              </w:rPr>
              <w:t>1</w:t>
            </w:r>
            <w:r>
              <w:rPr>
                <w:rFonts w:ascii="Times New Roman" w:hAnsi="Times New Roman" w:eastAsia="Times New Roman" w:cs="Times New Roman"/>
                <w:b/>
                <w:bCs/>
                <w:spacing w:val="-30"/>
                <w:sz w:val="24"/>
                <w:szCs w:val="24"/>
              </w:rPr>
              <w:t xml:space="preserve"> </w:t>
            </w:r>
            <w:r>
              <w:rPr>
                <w:b/>
                <w:bCs/>
                <w:spacing w:val="-6"/>
                <w:sz w:val="24"/>
                <w:szCs w:val="24"/>
              </w:rPr>
              <w:t>、生态环境保护措施</w:t>
            </w:r>
          </w:p>
          <w:p w14:paraId="01F759FE">
            <w:pPr>
              <w:pStyle w:val="6"/>
              <w:spacing w:before="168" w:line="365" w:lineRule="auto"/>
              <w:ind w:left="112" w:right="109" w:firstLine="483"/>
              <w:jc w:val="both"/>
              <w:rPr>
                <w:sz w:val="24"/>
                <w:szCs w:val="24"/>
              </w:rPr>
            </w:pPr>
            <w:r>
              <w:rPr>
                <w:spacing w:val="-4"/>
                <w:sz w:val="24"/>
                <w:szCs w:val="24"/>
              </w:rPr>
              <w:t>项目运行期对线路和塔基进行定期巡查和检修，应对运行维护人员进行生态</w:t>
            </w:r>
            <w:r>
              <w:rPr>
                <w:spacing w:val="-3"/>
                <w:sz w:val="24"/>
                <w:szCs w:val="24"/>
              </w:rPr>
              <w:t>环境保护宣传和教育，尤其是野生动植物保</w:t>
            </w:r>
            <w:r>
              <w:rPr>
                <w:spacing w:val="-4"/>
                <w:sz w:val="24"/>
                <w:szCs w:val="24"/>
              </w:rPr>
              <w:t>护相关知识的培训，增强环境保护意</w:t>
            </w:r>
            <w:r>
              <w:rPr>
                <w:sz w:val="24"/>
                <w:szCs w:val="24"/>
              </w:rPr>
              <w:t>识，禁止维护人员引入外来物种，不对周边的动植</w:t>
            </w:r>
            <w:r>
              <w:rPr>
                <w:spacing w:val="-1"/>
                <w:sz w:val="24"/>
                <w:szCs w:val="24"/>
              </w:rPr>
              <w:t>物及生态环境进行破坏。</w:t>
            </w:r>
          </w:p>
          <w:p w14:paraId="64A0C8C6">
            <w:pPr>
              <w:pStyle w:val="6"/>
              <w:spacing w:line="234" w:lineRule="auto"/>
              <w:ind w:left="108"/>
              <w:rPr>
                <w:sz w:val="24"/>
                <w:szCs w:val="24"/>
              </w:rPr>
            </w:pPr>
            <w:r>
              <w:rPr>
                <w:rFonts w:ascii="Times New Roman" w:hAnsi="Times New Roman" w:eastAsia="Times New Roman" w:cs="Times New Roman"/>
                <w:b/>
                <w:bCs/>
                <w:spacing w:val="-3"/>
                <w:sz w:val="24"/>
                <w:szCs w:val="24"/>
              </w:rPr>
              <w:t>2</w:t>
            </w:r>
            <w:r>
              <w:rPr>
                <w:b/>
                <w:bCs/>
                <w:spacing w:val="-3"/>
                <w:sz w:val="24"/>
                <w:szCs w:val="24"/>
              </w:rPr>
              <w:t>、噪声防治措施</w:t>
            </w:r>
          </w:p>
          <w:p w14:paraId="44AD7989">
            <w:pPr>
              <w:pStyle w:val="6"/>
              <w:spacing w:before="168" w:line="365" w:lineRule="auto"/>
              <w:ind w:left="124" w:right="109" w:firstLine="467"/>
              <w:jc w:val="both"/>
              <w:rPr>
                <w:sz w:val="24"/>
                <w:szCs w:val="24"/>
              </w:rPr>
            </w:pPr>
            <w:r>
              <w:rPr>
                <w:spacing w:val="3"/>
                <w:sz w:val="24"/>
                <w:szCs w:val="24"/>
              </w:rPr>
              <w:t>拟建项目输电线路在运营后无明显噪声产生，基本不会对沿线环境产生影</w:t>
            </w:r>
            <w:r>
              <w:rPr>
                <w:spacing w:val="-4"/>
                <w:sz w:val="24"/>
                <w:szCs w:val="24"/>
              </w:rPr>
              <w:t>响，无需采取专门的噪声防治措施，但需加强线路日常管理和维护，使线路保持</w:t>
            </w:r>
            <w:r>
              <w:rPr>
                <w:spacing w:val="-7"/>
                <w:sz w:val="24"/>
                <w:szCs w:val="24"/>
              </w:rPr>
              <w:t>良好的运行状态。</w:t>
            </w:r>
          </w:p>
          <w:p w14:paraId="44203C37">
            <w:pPr>
              <w:pStyle w:val="6"/>
              <w:spacing w:line="317" w:lineRule="auto"/>
              <w:ind w:left="113" w:right="111" w:firstLine="480"/>
              <w:rPr>
                <w:sz w:val="24"/>
                <w:szCs w:val="24"/>
              </w:rPr>
            </w:pPr>
            <w:r>
              <w:rPr>
                <w:spacing w:val="-7"/>
                <w:sz w:val="24"/>
                <w:szCs w:val="24"/>
              </w:rPr>
              <w:t>开展厂界噪声、线路声环境、保护目标声环境监测， 确保达</w:t>
            </w:r>
            <w:r>
              <w:rPr>
                <w:spacing w:val="-8"/>
                <w:sz w:val="24"/>
                <w:szCs w:val="24"/>
              </w:rPr>
              <w:t>标；若监测不达</w:t>
            </w:r>
            <w:r>
              <w:rPr>
                <w:spacing w:val="-2"/>
                <w:sz w:val="24"/>
                <w:szCs w:val="24"/>
              </w:rPr>
              <w:t>标，须进行治理，确保厂界噪声、线路声环境、保护目标声环境达标。</w:t>
            </w:r>
          </w:p>
        </w:tc>
      </w:tr>
    </w:tbl>
    <w:p w14:paraId="54A0394D">
      <w:pPr>
        <w:rPr>
          <w:rFonts w:ascii="Arial"/>
          <w:sz w:val="21"/>
        </w:rPr>
      </w:pPr>
    </w:p>
    <w:p w14:paraId="2ECB30D6">
      <w:pPr>
        <w:rPr>
          <w:rFonts w:ascii="Arial" w:hAnsi="Arial" w:eastAsia="Arial" w:cs="Arial"/>
          <w:sz w:val="21"/>
          <w:szCs w:val="21"/>
        </w:rPr>
        <w:sectPr>
          <w:footerReference r:id="rId80" w:type="default"/>
          <w:pgSz w:w="11907" w:h="16841"/>
          <w:pgMar w:top="400" w:right="1408" w:bottom="1126" w:left="1414" w:header="0" w:footer="925" w:gutter="0"/>
          <w:cols w:space="720" w:num="1"/>
        </w:sectPr>
      </w:pPr>
    </w:p>
    <w:p w14:paraId="3F9033C4">
      <w:pPr>
        <w:spacing w:before="2"/>
      </w:pPr>
    </w:p>
    <w:p w14:paraId="338847E0">
      <w:pPr>
        <w:spacing w:before="2"/>
      </w:pPr>
    </w:p>
    <w:p w14:paraId="69172BD8">
      <w:pPr>
        <w:spacing w:before="1"/>
      </w:pPr>
    </w:p>
    <w:p w14:paraId="0C22A14A">
      <w:pPr>
        <w:spacing w:before="1"/>
      </w:pPr>
    </w:p>
    <w:p w14:paraId="57E2C1AC">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209E7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31" w:hRule="atLeast"/>
        </w:trPr>
        <w:tc>
          <w:tcPr>
            <w:tcW w:w="571" w:type="dxa"/>
            <w:vAlign w:val="top"/>
          </w:tcPr>
          <w:p w14:paraId="6B55B21F">
            <w:pPr>
              <w:rPr>
                <w:rFonts w:ascii="Arial"/>
                <w:sz w:val="21"/>
              </w:rPr>
            </w:pPr>
          </w:p>
        </w:tc>
        <w:tc>
          <w:tcPr>
            <w:tcW w:w="8507" w:type="dxa"/>
            <w:vAlign w:val="top"/>
          </w:tcPr>
          <w:p w14:paraId="03446EBB">
            <w:pPr>
              <w:pStyle w:val="6"/>
              <w:spacing w:before="125" w:line="234" w:lineRule="auto"/>
              <w:ind w:left="106"/>
              <w:rPr>
                <w:sz w:val="24"/>
                <w:szCs w:val="24"/>
              </w:rPr>
            </w:pPr>
            <w:bookmarkStart w:id="5" w:name="bookmark14"/>
            <w:bookmarkEnd w:id="5"/>
            <w:r>
              <w:rPr>
                <w:rFonts w:ascii="Times New Roman" w:hAnsi="Times New Roman" w:eastAsia="Times New Roman" w:cs="Times New Roman"/>
                <w:b/>
                <w:bCs/>
                <w:spacing w:val="-2"/>
                <w:sz w:val="24"/>
                <w:szCs w:val="24"/>
              </w:rPr>
              <w:t>3</w:t>
            </w:r>
            <w:r>
              <w:rPr>
                <w:b/>
                <w:bCs/>
                <w:spacing w:val="-2"/>
                <w:sz w:val="24"/>
                <w:szCs w:val="24"/>
              </w:rPr>
              <w:t>、电磁环境达标控制措施</w:t>
            </w:r>
          </w:p>
          <w:p w14:paraId="700A0714">
            <w:pPr>
              <w:pStyle w:val="6"/>
              <w:spacing w:before="168" w:line="234"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）设计施工阶段措施</w:t>
            </w:r>
          </w:p>
          <w:p w14:paraId="405DDB1D">
            <w:pPr>
              <w:pStyle w:val="6"/>
              <w:spacing w:before="169" w:line="357" w:lineRule="auto"/>
              <w:ind w:left="112" w:right="110" w:firstLine="498"/>
              <w:rPr>
                <w:sz w:val="24"/>
                <w:szCs w:val="24"/>
              </w:rPr>
            </w:pPr>
            <w:r>
              <w:rPr>
                <w:rFonts w:ascii="Times New Roman" w:hAnsi="Times New Roman" w:eastAsia="Times New Roman" w:cs="Times New Roman"/>
                <w:spacing w:val="-1"/>
                <w:sz w:val="24"/>
                <w:szCs w:val="24"/>
              </w:rPr>
              <w:t>1</w:t>
            </w:r>
            <w:r>
              <w:rPr>
                <w:spacing w:val="-1"/>
                <w:sz w:val="24"/>
                <w:szCs w:val="24"/>
              </w:rPr>
              <w:t>）进一步优化线路路径，对沿线居民点进行合理避让，经过居民区选择电磁环境影响较小的塔型。</w:t>
            </w:r>
          </w:p>
          <w:p w14:paraId="39053E8A">
            <w:pPr>
              <w:pStyle w:val="6"/>
              <w:spacing w:before="18" w:line="357" w:lineRule="auto"/>
              <w:ind w:left="112" w:right="111" w:firstLine="475"/>
              <w:rPr>
                <w:sz w:val="24"/>
                <w:szCs w:val="24"/>
              </w:rPr>
            </w:pPr>
            <w:r>
              <w:rPr>
                <w:rFonts w:ascii="Times New Roman" w:hAnsi="Times New Roman" w:eastAsia="Times New Roman" w:cs="Times New Roman"/>
                <w:sz w:val="24"/>
                <w:szCs w:val="24"/>
              </w:rPr>
              <w:t>2</w:t>
            </w:r>
            <w:r>
              <w:rPr>
                <w:sz w:val="24"/>
                <w:szCs w:val="24"/>
              </w:rPr>
              <w:t>）尽量优化导线的相序排列方式及杆塔型式，合理选择导线直径及导线分裂数，并提高线路的加工工艺，降低线路周围</w:t>
            </w:r>
            <w:r>
              <w:rPr>
                <w:spacing w:val="-1"/>
                <w:sz w:val="24"/>
                <w:szCs w:val="24"/>
              </w:rPr>
              <w:t>的工频电磁场强度。</w:t>
            </w:r>
          </w:p>
          <w:p w14:paraId="7D431359">
            <w:pPr>
              <w:pStyle w:val="6"/>
              <w:spacing w:before="18" w:line="365" w:lineRule="auto"/>
              <w:ind w:left="114" w:right="107" w:firstLine="478"/>
              <w:rPr>
                <w:sz w:val="24"/>
                <w:szCs w:val="24"/>
              </w:rPr>
            </w:pPr>
            <w:r>
              <w:rPr>
                <w:rFonts w:ascii="Times New Roman" w:hAnsi="Times New Roman" w:eastAsia="Times New Roman" w:cs="Times New Roman"/>
                <w:spacing w:val="-3"/>
                <w:sz w:val="24"/>
                <w:szCs w:val="24"/>
              </w:rPr>
              <w:t>3</w:t>
            </w:r>
            <w:r>
              <w:rPr>
                <w:spacing w:val="-3"/>
                <w:sz w:val="24"/>
                <w:szCs w:val="24"/>
              </w:rPr>
              <w:t>）本项目经过居民区，采用导线抬升措施控制电磁环境影响，使</w:t>
            </w:r>
            <w:r>
              <w:rPr>
                <w:spacing w:val="-32"/>
                <w:sz w:val="24"/>
                <w:szCs w:val="24"/>
              </w:rPr>
              <w:t xml:space="preserve">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1"/>
                <w:sz w:val="24"/>
                <w:szCs w:val="24"/>
              </w:rPr>
              <w:t xml:space="preserve"> </w:t>
            </w:r>
            <w:r>
              <w:rPr>
                <w:spacing w:val="-3"/>
                <w:sz w:val="24"/>
                <w:szCs w:val="24"/>
              </w:rPr>
              <w:t>回线路</w:t>
            </w:r>
            <w:r>
              <w:rPr>
                <w:spacing w:val="-4"/>
                <w:sz w:val="24"/>
                <w:szCs w:val="24"/>
              </w:rPr>
              <w:t>单回三角排列段导线最低对地距离不小于</w:t>
            </w:r>
            <w:r>
              <w:rPr>
                <w:spacing w:val="-36"/>
                <w:sz w:val="24"/>
                <w:szCs w:val="24"/>
              </w:rPr>
              <w:t xml:space="preserve"> </w:t>
            </w:r>
            <w:r>
              <w:rPr>
                <w:rFonts w:ascii="Times New Roman" w:hAnsi="Times New Roman" w:eastAsia="Times New Roman" w:cs="Times New Roman"/>
                <w:spacing w:val="-4"/>
                <w:sz w:val="24"/>
                <w:szCs w:val="24"/>
              </w:rPr>
              <w:t>9.5m</w:t>
            </w:r>
            <w:r>
              <w:rPr>
                <w:spacing w:val="-4"/>
                <w:sz w:val="24"/>
                <w:szCs w:val="24"/>
              </w:rPr>
              <w:t>，</w:t>
            </w:r>
            <w:r>
              <w:rPr>
                <w:rFonts w:ascii="Times New Roman" w:hAnsi="Times New Roman" w:eastAsia="Times New Roman" w:cs="Times New Roman"/>
                <w:spacing w:val="-4"/>
                <w:sz w:val="24"/>
                <w:szCs w:val="24"/>
              </w:rPr>
              <w:t>DE</w:t>
            </w:r>
            <w:r>
              <w:rPr>
                <w:rFonts w:ascii="Times New Roman" w:hAnsi="Times New Roman" w:eastAsia="Times New Roman" w:cs="Times New Roman"/>
                <w:spacing w:val="33"/>
                <w:sz w:val="24"/>
                <w:szCs w:val="24"/>
              </w:rPr>
              <w:t xml:space="preserve"> </w:t>
            </w:r>
            <w:r>
              <w:rPr>
                <w:spacing w:val="-4"/>
                <w:sz w:val="24"/>
                <w:szCs w:val="24"/>
              </w:rPr>
              <w:t>回线路单回三角排列段导线</w:t>
            </w:r>
            <w:r>
              <w:rPr>
                <w:spacing w:val="-5"/>
                <w:sz w:val="24"/>
                <w:szCs w:val="24"/>
              </w:rPr>
              <w:t>最低对地距离不小于</w:t>
            </w:r>
            <w:r>
              <w:rPr>
                <w:spacing w:val="-45"/>
                <w:sz w:val="24"/>
                <w:szCs w:val="24"/>
              </w:rPr>
              <w:t xml:space="preserve"> </w:t>
            </w:r>
            <w:r>
              <w:rPr>
                <w:rFonts w:ascii="Times New Roman" w:hAnsi="Times New Roman" w:eastAsia="Times New Roman" w:cs="Times New Roman"/>
                <w:spacing w:val="-5"/>
                <w:sz w:val="24"/>
                <w:szCs w:val="24"/>
              </w:rPr>
              <w:t>8m</w:t>
            </w:r>
            <w:r>
              <w:rPr>
                <w:spacing w:val="-5"/>
                <w:sz w:val="24"/>
                <w:szCs w:val="24"/>
              </w:rPr>
              <w:t>，</w:t>
            </w:r>
            <w:r>
              <w:rPr>
                <w:rFonts w:ascii="Times New Roman" w:hAnsi="Times New Roman" w:eastAsia="Times New Roman" w:cs="Times New Roman"/>
                <w:spacing w:val="-5"/>
                <w:sz w:val="24"/>
                <w:szCs w:val="24"/>
              </w:rPr>
              <w:t>DE</w:t>
            </w:r>
            <w:r>
              <w:rPr>
                <w:rFonts w:ascii="Times New Roman" w:hAnsi="Times New Roman" w:eastAsia="Times New Roman" w:cs="Times New Roman"/>
                <w:spacing w:val="33"/>
                <w:sz w:val="24"/>
                <w:szCs w:val="24"/>
              </w:rPr>
              <w:t xml:space="preserve"> </w:t>
            </w:r>
            <w:r>
              <w:rPr>
                <w:spacing w:val="-5"/>
                <w:sz w:val="24"/>
                <w:szCs w:val="24"/>
              </w:rPr>
              <w:t>回线路双回</w:t>
            </w:r>
            <w:r>
              <w:rPr>
                <w:spacing w:val="-6"/>
                <w:sz w:val="24"/>
                <w:szCs w:val="24"/>
              </w:rPr>
              <w:t>垂直段（单边挂线）导线最低对地距离</w:t>
            </w:r>
            <w:r>
              <w:rPr>
                <w:spacing w:val="-3"/>
                <w:sz w:val="24"/>
                <w:szCs w:val="24"/>
              </w:rPr>
              <w:t>不小于</w:t>
            </w:r>
            <w:r>
              <w:rPr>
                <w:spacing w:val="-38"/>
                <w:sz w:val="24"/>
                <w:szCs w:val="24"/>
              </w:rPr>
              <w:t xml:space="preserve"> </w:t>
            </w:r>
            <w:r>
              <w:rPr>
                <w:rFonts w:ascii="Times New Roman" w:hAnsi="Times New Roman" w:eastAsia="Times New Roman" w:cs="Times New Roman"/>
                <w:spacing w:val="-3"/>
                <w:sz w:val="24"/>
                <w:szCs w:val="24"/>
              </w:rPr>
              <w:t>7.5m</w:t>
            </w:r>
            <w:r>
              <w:rPr>
                <w:spacing w:val="-3"/>
                <w:sz w:val="24"/>
                <w:szCs w:val="24"/>
              </w:rPr>
              <w:t>，以保证居民区电磁场强度达标。</w:t>
            </w:r>
          </w:p>
          <w:p w14:paraId="49E64E62">
            <w:pPr>
              <w:pStyle w:val="6"/>
              <w:spacing w:line="234"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）运行期措施</w:t>
            </w:r>
          </w:p>
          <w:p w14:paraId="6F17D9EC">
            <w:pPr>
              <w:pStyle w:val="6"/>
              <w:spacing w:before="172" w:line="355" w:lineRule="auto"/>
              <w:ind w:left="116" w:right="140" w:firstLine="494"/>
              <w:rPr>
                <w:sz w:val="24"/>
                <w:szCs w:val="24"/>
              </w:rPr>
            </w:pPr>
            <w:r>
              <w:rPr>
                <w:rFonts w:ascii="Times New Roman" w:hAnsi="Times New Roman" w:eastAsia="Times New Roman" w:cs="Times New Roman"/>
                <w:spacing w:val="-2"/>
                <w:sz w:val="24"/>
                <w:szCs w:val="24"/>
              </w:rPr>
              <w:t>1</w:t>
            </w:r>
            <w:r>
              <w:rPr>
                <w:spacing w:val="-2"/>
                <w:sz w:val="24"/>
                <w:szCs w:val="24"/>
              </w:rPr>
              <w:t>）运行期对输电线路和塔基进行定期巡查和检修，保障正常运行，防止由</w:t>
            </w:r>
            <w:r>
              <w:rPr>
                <w:spacing w:val="-3"/>
                <w:sz w:val="24"/>
                <w:szCs w:val="24"/>
              </w:rPr>
              <w:t>于运行故障产生的电磁环境影响。</w:t>
            </w:r>
          </w:p>
          <w:p w14:paraId="226B84C2">
            <w:pPr>
              <w:pStyle w:val="6"/>
              <w:spacing w:before="25" w:line="363" w:lineRule="auto"/>
              <w:ind w:left="112" w:right="109" w:firstLine="475"/>
              <w:rPr>
                <w:sz w:val="24"/>
                <w:szCs w:val="24"/>
              </w:rPr>
            </w:pPr>
            <w:r>
              <w:rPr>
                <w:rFonts w:ascii="Times New Roman" w:hAnsi="Times New Roman" w:eastAsia="Times New Roman" w:cs="Times New Roman"/>
                <w:sz w:val="24"/>
                <w:szCs w:val="24"/>
              </w:rPr>
              <w:t>2</w:t>
            </w:r>
            <w:r>
              <w:rPr>
                <w:sz w:val="24"/>
                <w:szCs w:val="24"/>
              </w:rPr>
              <w:t>）在电力设施重点保护区设立相应的警示标志，并做好警示宣传工作，醒</w:t>
            </w:r>
            <w:r>
              <w:rPr>
                <w:spacing w:val="-3"/>
                <w:sz w:val="24"/>
                <w:szCs w:val="24"/>
              </w:rPr>
              <w:t>目位置设置安全警示图文标志，标明严禁攀</w:t>
            </w:r>
            <w:r>
              <w:rPr>
                <w:spacing w:val="-4"/>
                <w:sz w:val="24"/>
                <w:szCs w:val="24"/>
              </w:rPr>
              <w:t>登、线下高位操作应有防护措施等安</w:t>
            </w:r>
            <w:r>
              <w:rPr>
                <w:spacing w:val="-2"/>
                <w:sz w:val="24"/>
                <w:szCs w:val="24"/>
              </w:rPr>
              <w:t>全注意事项。</w:t>
            </w:r>
          </w:p>
          <w:p w14:paraId="33D71BDB">
            <w:pPr>
              <w:pStyle w:val="6"/>
              <w:spacing w:before="6" w:line="358" w:lineRule="auto"/>
              <w:ind w:left="118" w:right="1" w:firstLine="474"/>
              <w:rPr>
                <w:sz w:val="24"/>
                <w:szCs w:val="24"/>
              </w:rPr>
            </w:pPr>
            <w:r>
              <w:rPr>
                <w:rFonts w:ascii="Times New Roman" w:hAnsi="Times New Roman" w:eastAsia="Times New Roman" w:cs="Times New Roman"/>
                <w:spacing w:val="-4"/>
                <w:sz w:val="24"/>
                <w:szCs w:val="24"/>
              </w:rPr>
              <w:t>3</w:t>
            </w:r>
            <w:r>
              <w:rPr>
                <w:spacing w:val="-4"/>
                <w:sz w:val="24"/>
                <w:szCs w:val="24"/>
              </w:rPr>
              <w:t>）开展电磁环境监测，确保工频电场、工频磁场满足《电磁环境控制限值》</w:t>
            </w:r>
            <w:r>
              <w:rPr>
                <w:spacing w:val="2"/>
                <w:sz w:val="24"/>
                <w:szCs w:val="24"/>
              </w:rPr>
              <w:t xml:space="preserve"> </w:t>
            </w:r>
            <w:r>
              <w:rPr>
                <w:spacing w:val="-1"/>
                <w:sz w:val="24"/>
                <w:szCs w:val="24"/>
              </w:rPr>
              <w:t>（</w:t>
            </w:r>
            <w:r>
              <w:rPr>
                <w:rFonts w:ascii="Times New Roman" w:hAnsi="Times New Roman" w:eastAsia="Times New Roman" w:cs="Times New Roman"/>
                <w:spacing w:val="-1"/>
                <w:sz w:val="24"/>
                <w:szCs w:val="24"/>
              </w:rPr>
              <w:t>GB8702-2014</w:t>
            </w:r>
            <w:r>
              <w:rPr>
                <w:spacing w:val="-1"/>
                <w:sz w:val="24"/>
                <w:szCs w:val="24"/>
              </w:rPr>
              <w:t>）标准限值的要求</w:t>
            </w:r>
            <w:r>
              <w:rPr>
                <w:spacing w:val="-2"/>
                <w:sz w:val="24"/>
                <w:szCs w:val="24"/>
              </w:rPr>
              <w:t>；开展电磁环境影响的环境保护宣传工作，使</w:t>
            </w:r>
            <w:r>
              <w:rPr>
                <w:spacing w:val="-3"/>
                <w:sz w:val="24"/>
                <w:szCs w:val="24"/>
              </w:rPr>
              <w:t>公众科学认识工频电磁场的环境影响。</w:t>
            </w:r>
          </w:p>
          <w:p w14:paraId="5B4280D4">
            <w:pPr>
              <w:pStyle w:val="6"/>
              <w:spacing w:before="26" w:line="233" w:lineRule="auto"/>
              <w:ind w:left="109"/>
              <w:rPr>
                <w:sz w:val="24"/>
                <w:szCs w:val="24"/>
              </w:rPr>
            </w:pPr>
            <w:r>
              <w:rPr>
                <w:rFonts w:ascii="Times New Roman" w:hAnsi="Times New Roman" w:eastAsia="Times New Roman" w:cs="Times New Roman"/>
                <w:b/>
                <w:bCs/>
                <w:spacing w:val="-3"/>
                <w:sz w:val="24"/>
                <w:szCs w:val="24"/>
              </w:rPr>
              <w:t>4</w:t>
            </w:r>
            <w:r>
              <w:rPr>
                <w:b/>
                <w:bCs/>
                <w:spacing w:val="-3"/>
                <w:sz w:val="24"/>
                <w:szCs w:val="24"/>
              </w:rPr>
              <w:t>、水环境保护措施</w:t>
            </w:r>
          </w:p>
          <w:p w14:paraId="02E9C6BF">
            <w:pPr>
              <w:pStyle w:val="6"/>
              <w:spacing w:before="169" w:line="365" w:lineRule="auto"/>
              <w:ind w:left="112" w:right="52" w:firstLine="483"/>
              <w:rPr>
                <w:sz w:val="24"/>
                <w:szCs w:val="24"/>
              </w:rPr>
            </w:pPr>
            <w:r>
              <w:rPr>
                <w:spacing w:val="-2"/>
                <w:sz w:val="24"/>
                <w:szCs w:val="24"/>
              </w:rPr>
              <w:t>维护人员定期对线路和塔基进行巡查和检修时，禁止随意丢弃固体废弃</w:t>
            </w:r>
            <w:r>
              <w:rPr>
                <w:spacing w:val="-3"/>
                <w:sz w:val="24"/>
                <w:szCs w:val="24"/>
              </w:rPr>
              <w:t>物，</w:t>
            </w:r>
            <w:r>
              <w:rPr>
                <w:sz w:val="24"/>
                <w:szCs w:val="24"/>
              </w:rPr>
              <w:t>应全部集中收集带回营地妥善处置，防止对沿</w:t>
            </w:r>
            <w:r>
              <w:rPr>
                <w:spacing w:val="-1"/>
                <w:sz w:val="24"/>
                <w:szCs w:val="24"/>
              </w:rPr>
              <w:t>线地表水环境产生影响。</w:t>
            </w:r>
          </w:p>
          <w:p w14:paraId="7C5B8699">
            <w:pPr>
              <w:pStyle w:val="6"/>
              <w:spacing w:line="234" w:lineRule="auto"/>
              <w:ind w:left="111"/>
              <w:rPr>
                <w:sz w:val="24"/>
                <w:szCs w:val="24"/>
              </w:rPr>
            </w:pPr>
            <w:r>
              <w:rPr>
                <w:rFonts w:ascii="Times New Roman" w:hAnsi="Times New Roman" w:eastAsia="Times New Roman" w:cs="Times New Roman"/>
                <w:b/>
                <w:bCs/>
                <w:spacing w:val="-3"/>
                <w:sz w:val="24"/>
                <w:szCs w:val="24"/>
              </w:rPr>
              <w:t>5</w:t>
            </w:r>
            <w:r>
              <w:rPr>
                <w:b/>
                <w:bCs/>
                <w:spacing w:val="-3"/>
                <w:sz w:val="24"/>
                <w:szCs w:val="24"/>
              </w:rPr>
              <w:t>、固体废物环境保护措施</w:t>
            </w:r>
          </w:p>
          <w:p w14:paraId="478B1C45">
            <w:pPr>
              <w:pStyle w:val="6"/>
              <w:spacing w:before="170" w:line="332" w:lineRule="auto"/>
              <w:ind w:left="114" w:right="109" w:firstLine="478"/>
              <w:jc w:val="both"/>
              <w:rPr>
                <w:sz w:val="24"/>
                <w:szCs w:val="24"/>
              </w:rPr>
            </w:pPr>
            <w:r>
              <w:rPr>
                <w:spacing w:val="-5"/>
                <w:sz w:val="24"/>
                <w:szCs w:val="24"/>
              </w:rPr>
              <w:t>运行维护中产生的废弃材料、生活垃圾等废物不得随</w:t>
            </w:r>
            <w:r>
              <w:rPr>
                <w:spacing w:val="-6"/>
                <w:sz w:val="24"/>
                <w:szCs w:val="24"/>
              </w:rPr>
              <w:t>意丢弃，</w:t>
            </w:r>
            <w:r>
              <w:rPr>
                <w:spacing w:val="-66"/>
                <w:sz w:val="24"/>
                <w:szCs w:val="24"/>
              </w:rPr>
              <w:t xml:space="preserve"> </w:t>
            </w:r>
            <w:r>
              <w:rPr>
                <w:spacing w:val="-6"/>
                <w:sz w:val="24"/>
                <w:szCs w:val="24"/>
              </w:rPr>
              <w:t>应带回营地妥</w:t>
            </w:r>
            <w:r>
              <w:rPr>
                <w:spacing w:val="-4"/>
                <w:sz w:val="24"/>
                <w:szCs w:val="24"/>
              </w:rPr>
              <w:t>善处理。输电线路维护和更换会产生废弃的导线、螺丝钉等废旧材料及设备，集</w:t>
            </w:r>
            <w:r>
              <w:rPr>
                <w:spacing w:val="-5"/>
                <w:sz w:val="24"/>
                <w:szCs w:val="24"/>
              </w:rPr>
              <w:t>中收集后回收利用。</w:t>
            </w:r>
          </w:p>
        </w:tc>
      </w:tr>
      <w:tr w14:paraId="6FE5D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9" w:hRule="atLeast"/>
        </w:trPr>
        <w:tc>
          <w:tcPr>
            <w:tcW w:w="571" w:type="dxa"/>
            <w:vAlign w:val="top"/>
          </w:tcPr>
          <w:p w14:paraId="7EBFB132">
            <w:pPr>
              <w:spacing w:line="304" w:lineRule="auto"/>
              <w:rPr>
                <w:rFonts w:ascii="Arial"/>
                <w:sz w:val="21"/>
              </w:rPr>
            </w:pPr>
          </w:p>
          <w:p w14:paraId="408529ED">
            <w:pPr>
              <w:pStyle w:val="6"/>
              <w:spacing w:before="69" w:line="221" w:lineRule="auto"/>
              <w:ind w:left="80"/>
            </w:pPr>
            <w:r>
              <w:rPr>
                <w:spacing w:val="-2"/>
              </w:rPr>
              <w:t>其他</w:t>
            </w:r>
          </w:p>
        </w:tc>
        <w:tc>
          <w:tcPr>
            <w:tcW w:w="8507" w:type="dxa"/>
            <w:vAlign w:val="top"/>
          </w:tcPr>
          <w:p w14:paraId="375CE9C6">
            <w:pPr>
              <w:pStyle w:val="6"/>
              <w:spacing w:before="124" w:line="233" w:lineRule="auto"/>
              <w:ind w:left="118"/>
              <w:rPr>
                <w:sz w:val="24"/>
                <w:szCs w:val="24"/>
              </w:rPr>
            </w:pPr>
            <w:r>
              <w:rPr>
                <w:rFonts w:ascii="Times New Roman" w:hAnsi="Times New Roman" w:eastAsia="Times New Roman" w:cs="Times New Roman"/>
                <w:b/>
                <w:bCs/>
                <w:spacing w:val="-5"/>
                <w:sz w:val="24"/>
                <w:szCs w:val="24"/>
              </w:rPr>
              <w:t>1</w:t>
            </w:r>
            <w:r>
              <w:rPr>
                <w:b/>
                <w:bCs/>
                <w:spacing w:val="-5"/>
                <w:sz w:val="24"/>
                <w:szCs w:val="24"/>
              </w:rPr>
              <w:t>、环境管理</w:t>
            </w:r>
          </w:p>
          <w:p w14:paraId="0472865D">
            <w:pPr>
              <w:pStyle w:val="6"/>
              <w:spacing w:before="168" w:line="220" w:lineRule="auto"/>
              <w:ind w:left="595"/>
              <w:rPr>
                <w:sz w:val="24"/>
                <w:szCs w:val="24"/>
              </w:rPr>
            </w:pPr>
            <w:r>
              <w:rPr>
                <w:spacing w:val="3"/>
                <w:sz w:val="24"/>
                <w:szCs w:val="24"/>
              </w:rPr>
              <w:t>建设单位在项目开工建设前应当对工程最终设计方案与环评方案进行梳理</w:t>
            </w:r>
          </w:p>
        </w:tc>
      </w:tr>
    </w:tbl>
    <w:p w14:paraId="6A6CA17E">
      <w:pPr>
        <w:rPr>
          <w:rFonts w:ascii="Arial"/>
          <w:sz w:val="21"/>
        </w:rPr>
      </w:pPr>
    </w:p>
    <w:p w14:paraId="5E0ED084">
      <w:pPr>
        <w:rPr>
          <w:rFonts w:ascii="Arial" w:hAnsi="Arial" w:eastAsia="Arial" w:cs="Arial"/>
          <w:sz w:val="21"/>
          <w:szCs w:val="21"/>
        </w:rPr>
        <w:sectPr>
          <w:footerReference r:id="rId81" w:type="default"/>
          <w:pgSz w:w="11907" w:h="16841"/>
          <w:pgMar w:top="400" w:right="1408" w:bottom="1126" w:left="1414" w:header="0" w:footer="925" w:gutter="0"/>
          <w:cols w:space="720" w:num="1"/>
        </w:sectPr>
      </w:pPr>
    </w:p>
    <w:p w14:paraId="19D29285">
      <w:pPr>
        <w:spacing w:before="2"/>
      </w:pPr>
    </w:p>
    <w:p w14:paraId="4C8F305E">
      <w:pPr>
        <w:spacing w:before="2"/>
      </w:pPr>
    </w:p>
    <w:p w14:paraId="718169D9">
      <w:pPr>
        <w:spacing w:before="1"/>
      </w:pPr>
    </w:p>
    <w:p w14:paraId="1F8131DE">
      <w:pPr>
        <w:spacing w:before="1"/>
      </w:pPr>
    </w:p>
    <w:p w14:paraId="7A4089B7">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6E9C4E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285" w:hRule="atLeast"/>
        </w:trPr>
        <w:tc>
          <w:tcPr>
            <w:tcW w:w="571" w:type="dxa"/>
            <w:vAlign w:val="top"/>
          </w:tcPr>
          <w:p w14:paraId="43738C89">
            <w:pPr>
              <w:rPr>
                <w:rFonts w:ascii="Arial"/>
                <w:sz w:val="21"/>
              </w:rPr>
            </w:pPr>
          </w:p>
        </w:tc>
        <w:tc>
          <w:tcPr>
            <w:tcW w:w="8507" w:type="dxa"/>
            <w:vAlign w:val="top"/>
          </w:tcPr>
          <w:p w14:paraId="631E7EB8">
            <w:pPr>
              <w:pStyle w:val="6"/>
              <w:spacing w:before="126" w:line="364" w:lineRule="auto"/>
              <w:ind w:left="111" w:right="109"/>
              <w:jc w:val="both"/>
              <w:rPr>
                <w:sz w:val="24"/>
                <w:szCs w:val="24"/>
              </w:rPr>
            </w:pPr>
            <w:r>
              <w:rPr>
                <w:spacing w:val="-3"/>
                <w:sz w:val="24"/>
                <w:szCs w:val="24"/>
              </w:rPr>
              <w:t>对比，构成重大变动的应当对变动内容进行环</w:t>
            </w:r>
            <w:r>
              <w:rPr>
                <w:spacing w:val="-4"/>
                <w:sz w:val="24"/>
                <w:szCs w:val="24"/>
              </w:rPr>
              <w:t>境影响评价并重新报批，一般变动</w:t>
            </w:r>
            <w:r>
              <w:rPr>
                <w:spacing w:val="-5"/>
                <w:sz w:val="24"/>
                <w:szCs w:val="24"/>
              </w:rPr>
              <w:t>只需备案。项目建设过程中如发生重大变动，</w:t>
            </w:r>
            <w:r>
              <w:rPr>
                <w:spacing w:val="-66"/>
                <w:sz w:val="24"/>
                <w:szCs w:val="24"/>
              </w:rPr>
              <w:t xml:space="preserve"> </w:t>
            </w:r>
            <w:r>
              <w:rPr>
                <w:spacing w:val="-5"/>
                <w:sz w:val="24"/>
                <w:szCs w:val="24"/>
              </w:rPr>
              <w:t>应当对实施前对变动内容进行环境</w:t>
            </w:r>
            <w:r>
              <w:rPr>
                <w:spacing w:val="-4"/>
                <w:sz w:val="24"/>
                <w:szCs w:val="24"/>
              </w:rPr>
              <w:t>影响评价并重新报批。</w:t>
            </w:r>
          </w:p>
          <w:p w14:paraId="2112F11F">
            <w:pPr>
              <w:pStyle w:val="6"/>
              <w:spacing w:line="232" w:lineRule="auto"/>
              <w:ind w:left="601"/>
              <w:rPr>
                <w:sz w:val="24"/>
                <w:szCs w:val="24"/>
              </w:rPr>
            </w:pPr>
            <w:r>
              <w:rPr>
                <w:b/>
                <w:bCs/>
                <w:spacing w:val="-5"/>
                <w:sz w:val="24"/>
                <w:szCs w:val="24"/>
              </w:rPr>
              <w:t>（</w:t>
            </w:r>
            <w:r>
              <w:rPr>
                <w:rFonts w:ascii="Times New Roman" w:hAnsi="Times New Roman" w:eastAsia="Times New Roman" w:cs="Times New Roman"/>
                <w:b/>
                <w:bCs/>
                <w:spacing w:val="-5"/>
                <w:sz w:val="24"/>
                <w:szCs w:val="24"/>
              </w:rPr>
              <w:t>1</w:t>
            </w:r>
            <w:r>
              <w:rPr>
                <w:b/>
                <w:bCs/>
                <w:spacing w:val="-5"/>
                <w:sz w:val="24"/>
                <w:szCs w:val="24"/>
              </w:rPr>
              <w:t>）环境管理机构</w:t>
            </w:r>
          </w:p>
          <w:p w14:paraId="2809DD62">
            <w:pPr>
              <w:pStyle w:val="6"/>
              <w:spacing w:before="169" w:line="365" w:lineRule="auto"/>
              <w:ind w:left="112" w:right="111" w:firstLine="479"/>
              <w:rPr>
                <w:sz w:val="24"/>
                <w:szCs w:val="24"/>
              </w:rPr>
            </w:pPr>
            <w:r>
              <w:rPr>
                <w:spacing w:val="-4"/>
                <w:sz w:val="24"/>
                <w:szCs w:val="24"/>
              </w:rPr>
              <w:t>输变电工程一般不单独设立环境监测站。建设单位或运行单位在管理机构内</w:t>
            </w:r>
            <w:r>
              <w:rPr>
                <w:spacing w:val="-2"/>
                <w:sz w:val="24"/>
                <w:szCs w:val="24"/>
              </w:rPr>
              <w:t>配备必要的专职或兼职人员，负责环境保护管理工作。</w:t>
            </w:r>
          </w:p>
          <w:p w14:paraId="452BC383">
            <w:pPr>
              <w:pStyle w:val="6"/>
              <w:spacing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）施工期环境管理</w:t>
            </w:r>
          </w:p>
          <w:p w14:paraId="1DCA4E8E">
            <w:pPr>
              <w:pStyle w:val="6"/>
              <w:spacing w:before="169" w:line="365" w:lineRule="auto"/>
              <w:ind w:left="111" w:right="33" w:firstLine="483"/>
              <w:jc w:val="both"/>
              <w:rPr>
                <w:sz w:val="24"/>
                <w:szCs w:val="24"/>
              </w:rPr>
            </w:pPr>
            <w:r>
              <w:rPr>
                <w:spacing w:val="-4"/>
                <w:sz w:val="24"/>
                <w:szCs w:val="24"/>
              </w:rPr>
              <w:t>鉴于建设期环境管理工作的重要性，同时根据国家的有关要求，本工程的施</w:t>
            </w:r>
            <w:r>
              <w:rPr>
                <w:spacing w:val="-5"/>
                <w:sz w:val="24"/>
                <w:szCs w:val="24"/>
              </w:rPr>
              <w:t>工将采取招投标制。施工招标中应对投标单位提出建设期间的环保要</w:t>
            </w:r>
            <w:r>
              <w:rPr>
                <w:spacing w:val="-6"/>
                <w:sz w:val="24"/>
                <w:szCs w:val="24"/>
              </w:rPr>
              <w:t>求，</w:t>
            </w:r>
            <w:r>
              <w:rPr>
                <w:spacing w:val="-60"/>
                <w:sz w:val="24"/>
                <w:szCs w:val="24"/>
              </w:rPr>
              <w:t xml:space="preserve"> </w:t>
            </w:r>
            <w:r>
              <w:rPr>
                <w:spacing w:val="-6"/>
                <w:sz w:val="24"/>
                <w:szCs w:val="24"/>
              </w:rPr>
              <w:t>并应对</w:t>
            </w:r>
            <w:r>
              <w:rPr>
                <w:spacing w:val="-4"/>
                <w:sz w:val="24"/>
                <w:szCs w:val="24"/>
              </w:rPr>
              <w:t>监理单位提出环境保护人员资质要求。在施工设计文件中详细说明建设期应注意</w:t>
            </w:r>
            <w:r>
              <w:rPr>
                <w:spacing w:val="-1"/>
                <w:sz w:val="24"/>
                <w:szCs w:val="24"/>
              </w:rPr>
              <w:t>的环保问题，严格要求施工单位按设计文件施工，特别是</w:t>
            </w:r>
            <w:r>
              <w:rPr>
                <w:spacing w:val="-2"/>
                <w:sz w:val="24"/>
                <w:szCs w:val="24"/>
              </w:rPr>
              <w:t>按环保设计要求施工。</w:t>
            </w:r>
            <w:r>
              <w:rPr>
                <w:spacing w:val="-4"/>
                <w:sz w:val="24"/>
                <w:szCs w:val="24"/>
              </w:rPr>
              <w:t>环境监理人员对施工中的每一道工序都应严格检查是否满足环保要求，并不定期</w:t>
            </w:r>
            <w:r>
              <w:rPr>
                <w:spacing w:val="-2"/>
                <w:sz w:val="24"/>
                <w:szCs w:val="24"/>
              </w:rPr>
              <w:t>对施工点进行抽查形式的监督检查，建设期环境管理的职责和任务如下：</w:t>
            </w:r>
          </w:p>
          <w:p w14:paraId="534EA9B6">
            <w:pPr>
              <w:pStyle w:val="6"/>
              <w:spacing w:before="1" w:line="217" w:lineRule="auto"/>
              <w:ind w:right="32"/>
              <w:jc w:val="right"/>
              <w:rPr>
                <w:sz w:val="24"/>
                <w:szCs w:val="24"/>
              </w:rPr>
            </w:pPr>
            <w:r>
              <w:rPr>
                <w:spacing w:val="-1"/>
                <w:sz w:val="24"/>
                <w:szCs w:val="24"/>
              </w:rPr>
              <w:t>①贯彻执行国家、地方的各项环境保护方针、政策</w:t>
            </w:r>
            <w:r>
              <w:rPr>
                <w:spacing w:val="-2"/>
                <w:sz w:val="24"/>
                <w:szCs w:val="24"/>
              </w:rPr>
              <w:t>、法规和各项规章制度。</w:t>
            </w:r>
          </w:p>
          <w:p w14:paraId="32F2117C">
            <w:pPr>
              <w:pStyle w:val="6"/>
              <w:spacing w:before="189" w:line="365" w:lineRule="auto"/>
              <w:ind w:left="111" w:right="110" w:firstLine="479"/>
              <w:rPr>
                <w:sz w:val="24"/>
                <w:szCs w:val="24"/>
              </w:rPr>
            </w:pPr>
            <w:r>
              <w:rPr>
                <w:spacing w:val="-4"/>
                <w:sz w:val="24"/>
                <w:szCs w:val="24"/>
              </w:rPr>
              <w:t>②制定本工程施工中的环境保护计划，负责工程施工过程中各项环境保护措</w:t>
            </w:r>
            <w:r>
              <w:rPr>
                <w:spacing w:val="-5"/>
                <w:sz w:val="24"/>
                <w:szCs w:val="24"/>
              </w:rPr>
              <w:t>施实施的日常管理。</w:t>
            </w:r>
          </w:p>
          <w:p w14:paraId="3BDD8AB3">
            <w:pPr>
              <w:pStyle w:val="6"/>
              <w:spacing w:before="1" w:line="217" w:lineRule="auto"/>
              <w:ind w:right="24"/>
              <w:jc w:val="right"/>
              <w:rPr>
                <w:sz w:val="24"/>
                <w:szCs w:val="24"/>
              </w:rPr>
            </w:pPr>
            <w:r>
              <w:rPr>
                <w:spacing w:val="-8"/>
                <w:sz w:val="24"/>
                <w:szCs w:val="24"/>
              </w:rPr>
              <w:t>③收集、整理、推广和实施工程建设中各项环境保护的先进工作经验和</w:t>
            </w:r>
            <w:r>
              <w:rPr>
                <w:spacing w:val="-9"/>
                <w:sz w:val="24"/>
                <w:szCs w:val="24"/>
              </w:rPr>
              <w:t>技术。</w:t>
            </w:r>
          </w:p>
          <w:p w14:paraId="6263B9F1">
            <w:pPr>
              <w:pStyle w:val="6"/>
              <w:spacing w:before="191" w:line="365" w:lineRule="auto"/>
              <w:ind w:left="113" w:right="52" w:firstLine="477"/>
              <w:rPr>
                <w:sz w:val="24"/>
                <w:szCs w:val="24"/>
              </w:rPr>
            </w:pPr>
            <w:r>
              <w:rPr>
                <w:spacing w:val="-2"/>
                <w:sz w:val="24"/>
                <w:szCs w:val="24"/>
              </w:rPr>
              <w:t>④组织和开展对施工人员进行施工活动中应遵循的环保法规、知识的培训，</w:t>
            </w:r>
            <w:r>
              <w:rPr>
                <w:spacing w:val="-3"/>
                <w:sz w:val="24"/>
                <w:szCs w:val="24"/>
              </w:rPr>
              <w:t>提高全体员工文明施工的认识。</w:t>
            </w:r>
          </w:p>
          <w:p w14:paraId="0FA6A40C">
            <w:pPr>
              <w:pStyle w:val="6"/>
              <w:spacing w:before="2" w:line="364" w:lineRule="auto"/>
              <w:ind w:left="135" w:right="109" w:firstLine="455"/>
              <w:rPr>
                <w:sz w:val="24"/>
                <w:szCs w:val="24"/>
              </w:rPr>
            </w:pPr>
            <w:r>
              <w:rPr>
                <w:spacing w:val="-4"/>
                <w:sz w:val="24"/>
                <w:szCs w:val="24"/>
              </w:rPr>
              <w:t>⑤在施工计划中应适当计划设备运输道路，以避免影响当地居民生活，施工中应考虑保护生态环境，合理组织施工。</w:t>
            </w:r>
          </w:p>
          <w:p w14:paraId="3CAE4F81">
            <w:pPr>
              <w:pStyle w:val="6"/>
              <w:spacing w:line="217" w:lineRule="auto"/>
              <w:ind w:left="590"/>
              <w:rPr>
                <w:sz w:val="24"/>
                <w:szCs w:val="24"/>
              </w:rPr>
            </w:pPr>
            <w:r>
              <w:rPr>
                <w:spacing w:val="-2"/>
                <w:sz w:val="24"/>
                <w:szCs w:val="24"/>
              </w:rPr>
              <w:t>⑥做好施工中各种环境问题的收集、记录、建档和处理工作。</w:t>
            </w:r>
          </w:p>
          <w:p w14:paraId="5A53195C">
            <w:pPr>
              <w:pStyle w:val="6"/>
              <w:spacing w:before="190" w:line="365" w:lineRule="auto"/>
              <w:ind w:left="111" w:right="109" w:firstLine="479"/>
              <w:rPr>
                <w:sz w:val="24"/>
                <w:szCs w:val="24"/>
              </w:rPr>
            </w:pPr>
            <w:r>
              <w:rPr>
                <w:spacing w:val="-4"/>
                <w:sz w:val="24"/>
                <w:szCs w:val="24"/>
              </w:rPr>
              <w:t>⑦监督施工单位，使设计、施工过程的各项环境保护措施与主体工程同步实</w:t>
            </w:r>
            <w:r>
              <w:rPr>
                <w:spacing w:val="-11"/>
                <w:sz w:val="24"/>
                <w:szCs w:val="24"/>
              </w:rPr>
              <w:t>施。</w:t>
            </w:r>
          </w:p>
          <w:p w14:paraId="3DCE586F">
            <w:pPr>
              <w:pStyle w:val="6"/>
              <w:spacing w:before="1" w:line="233" w:lineRule="auto"/>
              <w:ind w:left="601"/>
              <w:rPr>
                <w:sz w:val="24"/>
                <w:szCs w:val="24"/>
              </w:rPr>
            </w:pPr>
            <w:r>
              <w:rPr>
                <w:b/>
                <w:bCs/>
                <w:spacing w:val="-3"/>
                <w:sz w:val="24"/>
                <w:szCs w:val="24"/>
              </w:rPr>
              <w:t>（</w:t>
            </w:r>
            <w:r>
              <w:rPr>
                <w:rFonts w:ascii="Times New Roman" w:hAnsi="Times New Roman" w:eastAsia="Times New Roman" w:cs="Times New Roman"/>
                <w:b/>
                <w:bCs/>
                <w:spacing w:val="-3"/>
                <w:sz w:val="24"/>
                <w:szCs w:val="24"/>
              </w:rPr>
              <w:t>3</w:t>
            </w:r>
            <w:r>
              <w:rPr>
                <w:b/>
                <w:bCs/>
                <w:spacing w:val="-3"/>
                <w:sz w:val="24"/>
                <w:szCs w:val="24"/>
              </w:rPr>
              <w:t>）运行期环境管理</w:t>
            </w:r>
          </w:p>
          <w:p w14:paraId="38975D68">
            <w:pPr>
              <w:pStyle w:val="6"/>
              <w:spacing w:before="172" w:line="333" w:lineRule="auto"/>
              <w:ind w:left="111" w:right="107" w:firstLine="481"/>
              <w:jc w:val="both"/>
              <w:rPr>
                <w:sz w:val="24"/>
                <w:szCs w:val="24"/>
              </w:rPr>
            </w:pPr>
            <w:r>
              <w:rPr>
                <w:spacing w:val="-4"/>
                <w:sz w:val="24"/>
                <w:szCs w:val="24"/>
              </w:rPr>
              <w:t>本工程在运行期宜使用原有环境管理部门。环保管理人员应在各自的岗位责</w:t>
            </w:r>
            <w:r>
              <w:rPr>
                <w:spacing w:val="-6"/>
                <w:sz w:val="24"/>
                <w:szCs w:val="24"/>
              </w:rPr>
              <w:t>任制中明确所负的环保责任。监督国家法规、条例的贯彻执行情况，</w:t>
            </w:r>
            <w:r>
              <w:rPr>
                <w:spacing w:val="-26"/>
                <w:sz w:val="24"/>
                <w:szCs w:val="24"/>
              </w:rPr>
              <w:t xml:space="preserve"> </w:t>
            </w:r>
            <w:r>
              <w:rPr>
                <w:spacing w:val="-6"/>
                <w:sz w:val="24"/>
                <w:szCs w:val="24"/>
              </w:rPr>
              <w:t>制定</w:t>
            </w:r>
            <w:r>
              <w:rPr>
                <w:spacing w:val="-7"/>
                <w:sz w:val="24"/>
                <w:szCs w:val="24"/>
              </w:rPr>
              <w:t>和贯彻</w:t>
            </w:r>
            <w:r>
              <w:rPr>
                <w:spacing w:val="-3"/>
                <w:sz w:val="24"/>
                <w:szCs w:val="24"/>
              </w:rPr>
              <w:t>环保管理制度，监控本工程主要污染源，对</w:t>
            </w:r>
            <w:r>
              <w:rPr>
                <w:spacing w:val="-4"/>
                <w:sz w:val="24"/>
                <w:szCs w:val="24"/>
              </w:rPr>
              <w:t>各部门、操作岗位进行环境保护监督</w:t>
            </w:r>
          </w:p>
        </w:tc>
      </w:tr>
    </w:tbl>
    <w:p w14:paraId="37084889">
      <w:pPr>
        <w:rPr>
          <w:rFonts w:ascii="Arial"/>
          <w:sz w:val="21"/>
        </w:rPr>
      </w:pPr>
    </w:p>
    <w:p w14:paraId="20062C5F">
      <w:pPr>
        <w:rPr>
          <w:rFonts w:ascii="Arial" w:hAnsi="Arial" w:eastAsia="Arial" w:cs="Arial"/>
          <w:sz w:val="21"/>
          <w:szCs w:val="21"/>
        </w:rPr>
        <w:sectPr>
          <w:footerReference r:id="rId82" w:type="default"/>
          <w:pgSz w:w="11907" w:h="16841"/>
          <w:pgMar w:top="400" w:right="1408" w:bottom="1126" w:left="1414" w:header="0" w:footer="925" w:gutter="0"/>
          <w:cols w:space="720" w:num="1"/>
        </w:sectPr>
      </w:pPr>
    </w:p>
    <w:p w14:paraId="3E33CAC8">
      <w:pPr>
        <w:spacing w:before="2"/>
      </w:pPr>
    </w:p>
    <w:p w14:paraId="5F5E84DE">
      <w:pPr>
        <w:spacing w:before="2"/>
      </w:pPr>
    </w:p>
    <w:p w14:paraId="39F4C237">
      <w:pPr>
        <w:spacing w:before="1"/>
      </w:pPr>
    </w:p>
    <w:p w14:paraId="03216627">
      <w:pPr>
        <w:spacing w:before="1"/>
      </w:pPr>
    </w:p>
    <w:p w14:paraId="311628A6">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117"/>
        <w:gridCol w:w="787"/>
        <w:gridCol w:w="938"/>
        <w:gridCol w:w="4110"/>
        <w:gridCol w:w="1276"/>
        <w:gridCol w:w="1157"/>
        <w:gridCol w:w="122"/>
      </w:tblGrid>
      <w:tr w14:paraId="0AD697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27" w:hRule="atLeast"/>
        </w:trPr>
        <w:tc>
          <w:tcPr>
            <w:tcW w:w="571" w:type="dxa"/>
            <w:vMerge w:val="restart"/>
            <w:tcBorders>
              <w:bottom w:val="nil"/>
            </w:tcBorders>
            <w:vAlign w:val="top"/>
          </w:tcPr>
          <w:p w14:paraId="488EBD21">
            <w:pPr>
              <w:rPr>
                <w:rFonts w:ascii="Arial"/>
                <w:sz w:val="21"/>
              </w:rPr>
            </w:pPr>
          </w:p>
        </w:tc>
        <w:tc>
          <w:tcPr>
            <w:tcW w:w="8507" w:type="dxa"/>
            <w:gridSpan w:val="7"/>
            <w:vAlign w:val="top"/>
          </w:tcPr>
          <w:p w14:paraId="5975AED3">
            <w:pPr>
              <w:pStyle w:val="6"/>
              <w:spacing w:before="124" w:line="220" w:lineRule="auto"/>
              <w:ind w:left="113"/>
              <w:rPr>
                <w:sz w:val="24"/>
                <w:szCs w:val="24"/>
              </w:rPr>
            </w:pPr>
            <w:r>
              <w:rPr>
                <w:spacing w:val="-5"/>
                <w:sz w:val="24"/>
                <w:szCs w:val="24"/>
              </w:rPr>
              <w:t>和考核。环境管理的职能为：</w:t>
            </w:r>
          </w:p>
          <w:p w14:paraId="1FBA0BDF">
            <w:pPr>
              <w:pStyle w:val="6"/>
              <w:spacing w:before="187" w:line="217" w:lineRule="auto"/>
              <w:ind w:left="591"/>
              <w:rPr>
                <w:sz w:val="24"/>
                <w:szCs w:val="24"/>
              </w:rPr>
            </w:pPr>
            <w:r>
              <w:rPr>
                <w:spacing w:val="-3"/>
                <w:sz w:val="24"/>
                <w:szCs w:val="24"/>
              </w:rPr>
              <w:t>①制定和实施各项环境管理计划。</w:t>
            </w:r>
          </w:p>
          <w:p w14:paraId="5DC39022">
            <w:pPr>
              <w:pStyle w:val="6"/>
              <w:spacing w:before="190" w:line="217" w:lineRule="auto"/>
              <w:ind w:left="590"/>
              <w:rPr>
                <w:sz w:val="24"/>
                <w:szCs w:val="24"/>
              </w:rPr>
            </w:pPr>
            <w:r>
              <w:rPr>
                <w:spacing w:val="-2"/>
                <w:sz w:val="24"/>
                <w:szCs w:val="24"/>
              </w:rPr>
              <w:t>②建立工频电场、工频磁场、噪声监测、生态环境现状数据档案。</w:t>
            </w:r>
          </w:p>
          <w:p w14:paraId="3079B110">
            <w:pPr>
              <w:pStyle w:val="6"/>
              <w:spacing w:before="193" w:line="217" w:lineRule="auto"/>
              <w:ind w:left="590"/>
              <w:rPr>
                <w:sz w:val="24"/>
                <w:szCs w:val="24"/>
              </w:rPr>
            </w:pPr>
            <w:r>
              <w:rPr>
                <w:spacing w:val="-2"/>
                <w:sz w:val="24"/>
                <w:szCs w:val="24"/>
              </w:rPr>
              <w:t>③掌握项目所在地周围的环境特征，做好记录、建档工作。</w:t>
            </w:r>
          </w:p>
          <w:p w14:paraId="60B6C787">
            <w:pPr>
              <w:pStyle w:val="6"/>
              <w:spacing w:before="189" w:line="365" w:lineRule="auto"/>
              <w:ind w:left="116" w:right="107" w:firstLine="474"/>
              <w:rPr>
                <w:sz w:val="24"/>
                <w:szCs w:val="24"/>
              </w:rPr>
            </w:pPr>
            <w:r>
              <w:rPr>
                <w:spacing w:val="-4"/>
                <w:sz w:val="24"/>
                <w:szCs w:val="24"/>
              </w:rPr>
              <w:t>④检查污染防治设施运行情况，及时处理出现的问题，保证治理设施正常运</w:t>
            </w:r>
            <w:r>
              <w:rPr>
                <w:spacing w:val="-12"/>
                <w:sz w:val="24"/>
                <w:szCs w:val="24"/>
              </w:rPr>
              <w:t>行。</w:t>
            </w:r>
          </w:p>
          <w:p w14:paraId="31C7E97B">
            <w:pPr>
              <w:pStyle w:val="6"/>
              <w:spacing w:before="1" w:line="217" w:lineRule="auto"/>
              <w:ind w:left="590"/>
              <w:rPr>
                <w:sz w:val="24"/>
                <w:szCs w:val="24"/>
              </w:rPr>
            </w:pPr>
            <w:r>
              <w:rPr>
                <w:spacing w:val="-2"/>
                <w:sz w:val="24"/>
                <w:szCs w:val="24"/>
              </w:rPr>
              <w:t>⑤协调配合上级环保主管部门所进行的环境调查，生态调查等活动。</w:t>
            </w:r>
          </w:p>
          <w:p w14:paraId="6FB286AE">
            <w:pPr>
              <w:pStyle w:val="6"/>
              <w:spacing w:before="193" w:line="217" w:lineRule="auto"/>
              <w:ind w:left="590"/>
              <w:rPr>
                <w:sz w:val="24"/>
                <w:szCs w:val="24"/>
              </w:rPr>
            </w:pPr>
            <w:r>
              <w:rPr>
                <w:spacing w:val="-1"/>
                <w:sz w:val="24"/>
                <w:szCs w:val="24"/>
              </w:rPr>
              <w:t>⑥加强日常巡查工作，处理好与项目周边民房等声</w:t>
            </w:r>
            <w:r>
              <w:rPr>
                <w:spacing w:val="-2"/>
                <w:sz w:val="24"/>
                <w:szCs w:val="24"/>
              </w:rPr>
              <w:t>环境保护目标的关系。</w:t>
            </w:r>
          </w:p>
          <w:p w14:paraId="5EC5E757">
            <w:pPr>
              <w:pStyle w:val="6"/>
              <w:spacing w:before="191" w:line="217" w:lineRule="auto"/>
              <w:ind w:left="590"/>
              <w:rPr>
                <w:sz w:val="24"/>
                <w:szCs w:val="24"/>
              </w:rPr>
            </w:pPr>
            <w:r>
              <w:rPr>
                <w:spacing w:val="-2"/>
                <w:sz w:val="24"/>
                <w:szCs w:val="24"/>
              </w:rPr>
              <w:t>⑦加强宣传教育工作，减少误会及投诉等事件。</w:t>
            </w:r>
          </w:p>
          <w:p w14:paraId="7F6E937A">
            <w:pPr>
              <w:pStyle w:val="6"/>
              <w:spacing w:before="192" w:line="365" w:lineRule="auto"/>
              <w:ind w:left="113" w:right="111" w:firstLine="477"/>
              <w:rPr>
                <w:sz w:val="24"/>
                <w:szCs w:val="24"/>
              </w:rPr>
            </w:pPr>
            <w:r>
              <w:rPr>
                <w:spacing w:val="-4"/>
                <w:sz w:val="24"/>
                <w:szCs w:val="24"/>
              </w:rPr>
              <w:t>⑧制定环境保护管理制度，按规定时限，依法开展竣工环境保护自主验收工</w:t>
            </w:r>
            <w:r>
              <w:rPr>
                <w:spacing w:val="-12"/>
                <w:sz w:val="24"/>
                <w:szCs w:val="24"/>
              </w:rPr>
              <w:t>作。</w:t>
            </w:r>
          </w:p>
          <w:p w14:paraId="1D7F3EC4">
            <w:pPr>
              <w:pStyle w:val="6"/>
              <w:spacing w:line="234" w:lineRule="auto"/>
              <w:ind w:left="108"/>
              <w:rPr>
                <w:sz w:val="24"/>
                <w:szCs w:val="24"/>
              </w:rPr>
            </w:pPr>
            <w:r>
              <w:rPr>
                <w:rFonts w:ascii="Times New Roman" w:hAnsi="Times New Roman" w:eastAsia="Times New Roman" w:cs="Times New Roman"/>
                <w:b/>
                <w:bCs/>
                <w:spacing w:val="-7"/>
                <w:sz w:val="24"/>
                <w:szCs w:val="24"/>
              </w:rPr>
              <w:t>2</w:t>
            </w:r>
            <w:r>
              <w:rPr>
                <w:rFonts w:ascii="Times New Roman" w:hAnsi="Times New Roman" w:eastAsia="Times New Roman" w:cs="Times New Roman"/>
                <w:b/>
                <w:bCs/>
                <w:spacing w:val="-33"/>
                <w:sz w:val="24"/>
                <w:szCs w:val="24"/>
              </w:rPr>
              <w:t xml:space="preserve"> </w:t>
            </w:r>
            <w:r>
              <w:rPr>
                <w:b/>
                <w:bCs/>
                <w:spacing w:val="-7"/>
                <w:sz w:val="24"/>
                <w:szCs w:val="24"/>
              </w:rPr>
              <w:t>、环境监测</w:t>
            </w:r>
          </w:p>
          <w:p w14:paraId="5FCC6E23">
            <w:pPr>
              <w:pStyle w:val="6"/>
              <w:spacing w:before="169"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1</w:t>
            </w:r>
            <w:r>
              <w:rPr>
                <w:b/>
                <w:bCs/>
                <w:spacing w:val="-4"/>
                <w:sz w:val="24"/>
                <w:szCs w:val="24"/>
              </w:rPr>
              <w:t>）环境监测任务</w:t>
            </w:r>
          </w:p>
          <w:p w14:paraId="7970D8AC">
            <w:pPr>
              <w:pStyle w:val="6"/>
              <w:spacing w:before="172" w:line="217" w:lineRule="auto"/>
              <w:ind w:left="591"/>
              <w:rPr>
                <w:sz w:val="24"/>
                <w:szCs w:val="24"/>
              </w:rPr>
            </w:pPr>
            <w:r>
              <w:rPr>
                <w:spacing w:val="-1"/>
                <w:sz w:val="24"/>
                <w:szCs w:val="24"/>
              </w:rPr>
              <w:t>①制定监测计划，监测工程施工期和运行期环</w:t>
            </w:r>
            <w:r>
              <w:rPr>
                <w:spacing w:val="-2"/>
                <w:sz w:val="24"/>
                <w:szCs w:val="24"/>
              </w:rPr>
              <w:t>境要素及评价因子的变化。</w:t>
            </w:r>
          </w:p>
          <w:p w14:paraId="7060A769">
            <w:pPr>
              <w:pStyle w:val="6"/>
              <w:spacing w:before="191" w:line="217" w:lineRule="auto"/>
              <w:ind w:left="590"/>
              <w:rPr>
                <w:sz w:val="24"/>
                <w:szCs w:val="24"/>
              </w:rPr>
            </w:pPr>
            <w:r>
              <w:rPr>
                <w:spacing w:val="-3"/>
                <w:sz w:val="24"/>
                <w:szCs w:val="24"/>
              </w:rPr>
              <w:t>②对工程突发的环境事件进行跟踪监测调查。</w:t>
            </w:r>
          </w:p>
          <w:p w14:paraId="140624C9">
            <w:pPr>
              <w:pStyle w:val="6"/>
              <w:spacing w:before="192"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2</w:t>
            </w:r>
            <w:r>
              <w:rPr>
                <w:b/>
                <w:bCs/>
                <w:spacing w:val="-4"/>
                <w:sz w:val="24"/>
                <w:szCs w:val="24"/>
              </w:rPr>
              <w:t>）监测点位布设</w:t>
            </w:r>
          </w:p>
          <w:p w14:paraId="63E2383C">
            <w:pPr>
              <w:pStyle w:val="6"/>
              <w:spacing w:before="170" w:line="365" w:lineRule="auto"/>
              <w:ind w:left="118" w:right="117" w:firstLine="474"/>
              <w:rPr>
                <w:sz w:val="24"/>
                <w:szCs w:val="24"/>
              </w:rPr>
            </w:pPr>
            <w:r>
              <w:rPr>
                <w:spacing w:val="14"/>
                <w:sz w:val="24"/>
                <w:szCs w:val="24"/>
              </w:rPr>
              <w:t>监测点位布设应符合《建设项目竣工环境保护验收技术规范</w:t>
            </w:r>
            <w:r>
              <w:rPr>
                <w:spacing w:val="49"/>
                <w:sz w:val="24"/>
                <w:szCs w:val="24"/>
              </w:rPr>
              <w:t xml:space="preserve"> </w:t>
            </w:r>
            <w:r>
              <w:rPr>
                <w:spacing w:val="14"/>
                <w:sz w:val="24"/>
                <w:szCs w:val="24"/>
              </w:rPr>
              <w:t>输变电》</w:t>
            </w:r>
            <w:r>
              <w:rPr>
                <w:sz w:val="24"/>
                <w:szCs w:val="24"/>
              </w:rPr>
              <w:t xml:space="preserve"> </w:t>
            </w:r>
            <w:r>
              <w:rPr>
                <w:spacing w:val="-1"/>
                <w:sz w:val="24"/>
                <w:szCs w:val="24"/>
              </w:rPr>
              <w:t>（</w:t>
            </w:r>
            <w:r>
              <w:rPr>
                <w:rFonts w:ascii="Times New Roman" w:hAnsi="Times New Roman" w:eastAsia="Times New Roman" w:cs="Times New Roman"/>
                <w:spacing w:val="-1"/>
                <w:sz w:val="24"/>
                <w:szCs w:val="24"/>
              </w:rPr>
              <w:t>HJ705-2020</w:t>
            </w:r>
            <w:r>
              <w:rPr>
                <w:spacing w:val="-1"/>
                <w:sz w:val="24"/>
                <w:szCs w:val="24"/>
              </w:rPr>
              <w:t>）的要求，具体可参考本次环评</w:t>
            </w:r>
            <w:r>
              <w:rPr>
                <w:spacing w:val="-2"/>
                <w:sz w:val="24"/>
                <w:szCs w:val="24"/>
              </w:rPr>
              <w:t>筛选的典型环境敏感点。</w:t>
            </w:r>
          </w:p>
          <w:p w14:paraId="73C57460">
            <w:pPr>
              <w:pStyle w:val="6"/>
              <w:spacing w:line="233" w:lineRule="auto"/>
              <w:ind w:left="601"/>
              <w:rPr>
                <w:sz w:val="24"/>
                <w:szCs w:val="24"/>
              </w:rPr>
            </w:pPr>
            <w:r>
              <w:rPr>
                <w:b/>
                <w:bCs/>
                <w:spacing w:val="-3"/>
                <w:sz w:val="24"/>
                <w:szCs w:val="24"/>
              </w:rPr>
              <w:t>（</w:t>
            </w:r>
            <w:r>
              <w:rPr>
                <w:rFonts w:ascii="Times New Roman" w:hAnsi="Times New Roman" w:eastAsia="Times New Roman" w:cs="Times New Roman"/>
                <w:b/>
                <w:bCs/>
                <w:spacing w:val="-3"/>
                <w:sz w:val="24"/>
                <w:szCs w:val="24"/>
              </w:rPr>
              <w:t>3</w:t>
            </w:r>
            <w:r>
              <w:rPr>
                <w:b/>
                <w:bCs/>
                <w:spacing w:val="-3"/>
                <w:sz w:val="24"/>
                <w:szCs w:val="24"/>
              </w:rPr>
              <w:t>）监测因子及频次</w:t>
            </w:r>
          </w:p>
          <w:p w14:paraId="356C4D37">
            <w:pPr>
              <w:pStyle w:val="6"/>
              <w:spacing w:before="174" w:line="352" w:lineRule="auto"/>
              <w:ind w:left="112" w:right="42" w:firstLine="480"/>
              <w:jc w:val="both"/>
              <w:rPr>
                <w:sz w:val="24"/>
                <w:szCs w:val="24"/>
              </w:rPr>
            </w:pPr>
            <w:r>
              <w:rPr>
                <w:spacing w:val="-9"/>
                <w:sz w:val="24"/>
                <w:szCs w:val="24"/>
              </w:rPr>
              <w:t>本项目工程量小、施工期短，施工期间噪声、扬尘等对周边居民点影响轻微，</w:t>
            </w:r>
            <w:r>
              <w:rPr>
                <w:spacing w:val="-4"/>
                <w:sz w:val="24"/>
                <w:szCs w:val="24"/>
              </w:rPr>
              <w:t>运营后无废水、废气产生，固废能妥善处置，设备噪声对周围环境影响较小，故</w:t>
            </w:r>
            <w:r>
              <w:rPr>
                <w:spacing w:val="-3"/>
                <w:sz w:val="24"/>
                <w:szCs w:val="24"/>
              </w:rPr>
              <w:t>本次评价不制订施工期环境监测计划，仅制订运</w:t>
            </w:r>
            <w:r>
              <w:rPr>
                <w:spacing w:val="-4"/>
                <w:sz w:val="24"/>
                <w:szCs w:val="24"/>
              </w:rPr>
              <w:t>营期噪声、电磁监测计划，详见</w:t>
            </w:r>
            <w:r>
              <w:rPr>
                <w:spacing w:val="-10"/>
                <w:sz w:val="24"/>
                <w:szCs w:val="24"/>
              </w:rPr>
              <w:t>下表。</w:t>
            </w:r>
          </w:p>
          <w:p w14:paraId="1F14B082">
            <w:pPr>
              <w:pStyle w:val="6"/>
              <w:spacing w:before="1" w:line="222" w:lineRule="auto"/>
              <w:ind w:left="2823"/>
            </w:pPr>
            <w:r>
              <w:rPr>
                <w:b/>
                <w:bCs/>
                <w:spacing w:val="-2"/>
              </w:rPr>
              <w:t>表</w:t>
            </w:r>
            <w:r>
              <w:rPr>
                <w:spacing w:val="-38"/>
              </w:rPr>
              <w:t xml:space="preserve"> </w:t>
            </w:r>
            <w:r>
              <w:rPr>
                <w:rFonts w:ascii="Times New Roman" w:hAnsi="Times New Roman" w:eastAsia="Times New Roman" w:cs="Times New Roman"/>
                <w:b/>
                <w:bCs/>
                <w:spacing w:val="-2"/>
              </w:rPr>
              <w:t xml:space="preserve">5-1    </w:t>
            </w:r>
            <w:r>
              <w:rPr>
                <w:b/>
                <w:bCs/>
                <w:spacing w:val="-2"/>
              </w:rPr>
              <w:t>运营期环境监测计划表</w:t>
            </w:r>
          </w:p>
        </w:tc>
      </w:tr>
      <w:tr w14:paraId="5D7632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571" w:type="dxa"/>
            <w:vMerge w:val="continue"/>
            <w:tcBorders>
              <w:top w:val="nil"/>
              <w:bottom w:val="nil"/>
            </w:tcBorders>
            <w:vAlign w:val="top"/>
          </w:tcPr>
          <w:p w14:paraId="279F7361">
            <w:pPr>
              <w:rPr>
                <w:rFonts w:ascii="Arial"/>
                <w:sz w:val="21"/>
              </w:rPr>
            </w:pPr>
          </w:p>
        </w:tc>
        <w:tc>
          <w:tcPr>
            <w:tcW w:w="117" w:type="dxa"/>
            <w:tcBorders>
              <w:top w:val="nil"/>
              <w:bottom w:val="nil"/>
            </w:tcBorders>
            <w:vAlign w:val="top"/>
          </w:tcPr>
          <w:p w14:paraId="4F599D75">
            <w:pPr>
              <w:rPr>
                <w:rFonts w:ascii="Arial"/>
                <w:sz w:val="21"/>
              </w:rPr>
            </w:pPr>
          </w:p>
        </w:tc>
        <w:tc>
          <w:tcPr>
            <w:tcW w:w="787" w:type="dxa"/>
            <w:vAlign w:val="top"/>
          </w:tcPr>
          <w:p w14:paraId="770A6341">
            <w:pPr>
              <w:pStyle w:val="6"/>
              <w:spacing w:before="57" w:line="222" w:lineRule="auto"/>
              <w:ind w:left="187"/>
            </w:pPr>
            <w:r>
              <w:rPr>
                <w:b/>
                <w:bCs/>
                <w:spacing w:val="-4"/>
              </w:rPr>
              <w:t>监测</w:t>
            </w:r>
          </w:p>
          <w:p w14:paraId="6FEC1DB2">
            <w:pPr>
              <w:pStyle w:val="6"/>
              <w:spacing w:before="61" w:line="221" w:lineRule="auto"/>
              <w:ind w:left="185"/>
            </w:pPr>
            <w:r>
              <w:rPr>
                <w:b/>
                <w:bCs/>
                <w:spacing w:val="-4"/>
              </w:rPr>
              <w:t>对象</w:t>
            </w:r>
          </w:p>
        </w:tc>
        <w:tc>
          <w:tcPr>
            <w:tcW w:w="938" w:type="dxa"/>
            <w:vAlign w:val="top"/>
          </w:tcPr>
          <w:p w14:paraId="1EA962BC">
            <w:pPr>
              <w:pStyle w:val="6"/>
              <w:spacing w:before="58" w:line="249" w:lineRule="auto"/>
              <w:ind w:left="367" w:right="152" w:hanging="211"/>
            </w:pPr>
            <w:r>
              <w:rPr>
                <w:b/>
                <w:bCs/>
                <w:spacing w:val="-5"/>
              </w:rPr>
              <w:t>监测因</w:t>
            </w:r>
            <w:r>
              <w:rPr>
                <w:b/>
                <w:bCs/>
                <w:spacing w:val="-3"/>
              </w:rPr>
              <w:t>子</w:t>
            </w:r>
          </w:p>
        </w:tc>
        <w:tc>
          <w:tcPr>
            <w:tcW w:w="4110" w:type="dxa"/>
            <w:vAlign w:val="top"/>
          </w:tcPr>
          <w:p w14:paraId="38F5EE89">
            <w:pPr>
              <w:pStyle w:val="6"/>
              <w:spacing w:before="216" w:line="222" w:lineRule="auto"/>
              <w:ind w:left="1640"/>
            </w:pPr>
            <w:r>
              <w:rPr>
                <w:b/>
                <w:bCs/>
                <w:spacing w:val="-4"/>
              </w:rPr>
              <w:t>监测点位</w:t>
            </w:r>
          </w:p>
        </w:tc>
        <w:tc>
          <w:tcPr>
            <w:tcW w:w="1276" w:type="dxa"/>
            <w:vAlign w:val="top"/>
          </w:tcPr>
          <w:p w14:paraId="24AF5AFC">
            <w:pPr>
              <w:pStyle w:val="6"/>
              <w:spacing w:before="215" w:line="221" w:lineRule="auto"/>
              <w:ind w:left="224"/>
            </w:pPr>
            <w:r>
              <w:rPr>
                <w:b/>
                <w:bCs/>
                <w:spacing w:val="-4"/>
              </w:rPr>
              <w:t>监测频次</w:t>
            </w:r>
          </w:p>
        </w:tc>
        <w:tc>
          <w:tcPr>
            <w:tcW w:w="1157" w:type="dxa"/>
            <w:vAlign w:val="top"/>
          </w:tcPr>
          <w:p w14:paraId="442731BC">
            <w:pPr>
              <w:pStyle w:val="6"/>
              <w:spacing w:before="216" w:line="222" w:lineRule="auto"/>
              <w:ind w:left="165"/>
            </w:pPr>
            <w:r>
              <w:rPr>
                <w:b/>
                <w:bCs/>
                <w:spacing w:val="-4"/>
              </w:rPr>
              <w:t>监测方法</w:t>
            </w:r>
          </w:p>
        </w:tc>
        <w:tc>
          <w:tcPr>
            <w:tcW w:w="122" w:type="dxa"/>
            <w:tcBorders>
              <w:top w:val="nil"/>
              <w:bottom w:val="nil"/>
            </w:tcBorders>
            <w:vAlign w:val="top"/>
          </w:tcPr>
          <w:p w14:paraId="764511F9">
            <w:pPr>
              <w:rPr>
                <w:rFonts w:ascii="Arial"/>
                <w:sz w:val="21"/>
              </w:rPr>
            </w:pPr>
          </w:p>
        </w:tc>
      </w:tr>
      <w:tr w14:paraId="64F305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0" w:hRule="atLeast"/>
        </w:trPr>
        <w:tc>
          <w:tcPr>
            <w:tcW w:w="571" w:type="dxa"/>
            <w:vMerge w:val="continue"/>
            <w:tcBorders>
              <w:top w:val="nil"/>
              <w:bottom w:val="nil"/>
            </w:tcBorders>
            <w:vAlign w:val="top"/>
          </w:tcPr>
          <w:p w14:paraId="0C289EAF">
            <w:pPr>
              <w:rPr>
                <w:rFonts w:ascii="Arial"/>
                <w:sz w:val="21"/>
              </w:rPr>
            </w:pPr>
          </w:p>
        </w:tc>
        <w:tc>
          <w:tcPr>
            <w:tcW w:w="117" w:type="dxa"/>
            <w:tcBorders>
              <w:top w:val="nil"/>
              <w:bottom w:val="nil"/>
            </w:tcBorders>
            <w:vAlign w:val="top"/>
          </w:tcPr>
          <w:p w14:paraId="1B738D98">
            <w:pPr>
              <w:rPr>
                <w:rFonts w:ascii="Arial"/>
                <w:sz w:val="21"/>
              </w:rPr>
            </w:pPr>
          </w:p>
        </w:tc>
        <w:tc>
          <w:tcPr>
            <w:tcW w:w="787" w:type="dxa"/>
            <w:vMerge w:val="restart"/>
            <w:tcBorders>
              <w:bottom w:val="nil"/>
            </w:tcBorders>
            <w:vAlign w:val="top"/>
          </w:tcPr>
          <w:p w14:paraId="1897EF56">
            <w:pPr>
              <w:spacing w:line="467" w:lineRule="auto"/>
              <w:rPr>
                <w:rFonts w:ascii="Arial"/>
                <w:sz w:val="21"/>
              </w:rPr>
            </w:pPr>
          </w:p>
          <w:p w14:paraId="4A241313">
            <w:pPr>
              <w:pStyle w:val="6"/>
              <w:spacing w:before="68" w:line="281" w:lineRule="auto"/>
              <w:ind w:left="188" w:right="181"/>
            </w:pPr>
            <w:r>
              <w:rPr>
                <w:spacing w:val="-5"/>
              </w:rPr>
              <w:t>线路工程</w:t>
            </w:r>
          </w:p>
        </w:tc>
        <w:tc>
          <w:tcPr>
            <w:tcW w:w="938" w:type="dxa"/>
            <w:vAlign w:val="top"/>
          </w:tcPr>
          <w:p w14:paraId="6981617C">
            <w:pPr>
              <w:pStyle w:val="6"/>
              <w:spacing w:before="59" w:line="221" w:lineRule="auto"/>
              <w:ind w:left="182"/>
            </w:pPr>
            <w:r>
              <w:rPr>
                <w:spacing w:val="-7"/>
              </w:rPr>
              <w:t>电场强</w:t>
            </w:r>
          </w:p>
          <w:p w14:paraId="1B371BDA">
            <w:pPr>
              <w:pStyle w:val="6"/>
              <w:spacing w:before="65" w:line="221" w:lineRule="auto"/>
              <w:ind w:left="156"/>
            </w:pPr>
            <w:r>
              <w:rPr>
                <w:spacing w:val="-1"/>
              </w:rPr>
              <w:t>度、磁</w:t>
            </w:r>
          </w:p>
          <w:p w14:paraId="335CDDB6">
            <w:pPr>
              <w:pStyle w:val="6"/>
              <w:spacing w:before="65" w:line="245" w:lineRule="auto"/>
              <w:ind w:left="365" w:right="149" w:hanging="207"/>
            </w:pPr>
            <w:r>
              <w:rPr>
                <w:spacing w:val="-2"/>
              </w:rPr>
              <w:t>感应强</w:t>
            </w:r>
            <w:r>
              <w:t>度</w:t>
            </w:r>
          </w:p>
        </w:tc>
        <w:tc>
          <w:tcPr>
            <w:tcW w:w="4110" w:type="dxa"/>
            <w:vAlign w:val="top"/>
          </w:tcPr>
          <w:p w14:paraId="1C387676">
            <w:pPr>
              <w:pStyle w:val="6"/>
              <w:spacing w:before="217" w:line="232" w:lineRule="auto"/>
              <w:ind w:left="112"/>
            </w:pPr>
            <w:r>
              <w:rPr>
                <w:spacing w:val="-2"/>
              </w:rPr>
              <w:t>①边导线</w:t>
            </w:r>
            <w:r>
              <w:rPr>
                <w:spacing w:val="-42"/>
              </w:rPr>
              <w:t xml:space="preserve"> </w:t>
            </w:r>
            <w:r>
              <w:rPr>
                <w:rFonts w:ascii="Times New Roman" w:hAnsi="Times New Roman" w:eastAsia="Times New Roman" w:cs="Times New Roman"/>
                <w:spacing w:val="-2"/>
              </w:rPr>
              <w:t xml:space="preserve">40m </w:t>
            </w:r>
            <w:r>
              <w:rPr>
                <w:spacing w:val="-2"/>
              </w:rPr>
              <w:t>范围内的环境保护目标处；</w:t>
            </w:r>
          </w:p>
          <w:p w14:paraId="4CE2D1E0">
            <w:pPr>
              <w:pStyle w:val="6"/>
              <w:spacing w:before="52" w:line="218" w:lineRule="auto"/>
              <w:ind w:left="111"/>
            </w:pPr>
            <w:r>
              <w:rPr>
                <w:spacing w:val="-6"/>
              </w:rPr>
              <w:t>②线路断面监测：每种架设形式的线路各设</w:t>
            </w:r>
          </w:p>
          <w:p w14:paraId="39A194CF">
            <w:pPr>
              <w:pStyle w:val="6"/>
              <w:spacing w:before="66" w:line="234" w:lineRule="auto"/>
              <w:ind w:left="129"/>
            </w:pPr>
            <w:r>
              <w:rPr>
                <w:rFonts w:ascii="Times New Roman" w:hAnsi="Times New Roman" w:eastAsia="Times New Roman" w:cs="Times New Roman"/>
                <w:spacing w:val="-6"/>
              </w:rPr>
              <w:t>1</w:t>
            </w:r>
            <w:r>
              <w:rPr>
                <w:rFonts w:ascii="Times New Roman" w:hAnsi="Times New Roman" w:eastAsia="Times New Roman" w:cs="Times New Roman"/>
                <w:spacing w:val="16"/>
              </w:rPr>
              <w:t xml:space="preserve"> </w:t>
            </w:r>
            <w:r>
              <w:rPr>
                <w:spacing w:val="-6"/>
              </w:rPr>
              <w:t>处断面进行监测。</w:t>
            </w:r>
          </w:p>
        </w:tc>
        <w:tc>
          <w:tcPr>
            <w:tcW w:w="1276" w:type="dxa"/>
            <w:vMerge w:val="restart"/>
            <w:tcBorders>
              <w:bottom w:val="nil"/>
            </w:tcBorders>
            <w:vAlign w:val="top"/>
          </w:tcPr>
          <w:p w14:paraId="607DD88A">
            <w:pPr>
              <w:pStyle w:val="6"/>
              <w:spacing w:before="63" w:line="221" w:lineRule="auto"/>
              <w:ind w:left="123"/>
            </w:pPr>
            <w:r>
              <w:rPr>
                <w:spacing w:val="-2"/>
              </w:rPr>
              <w:t>项目建成后</w:t>
            </w:r>
          </w:p>
          <w:p w14:paraId="084291FC">
            <w:pPr>
              <w:pStyle w:val="6"/>
              <w:spacing w:before="64" w:line="221" w:lineRule="auto"/>
              <w:ind w:left="125"/>
            </w:pPr>
            <w:r>
              <w:rPr>
                <w:spacing w:val="-2"/>
              </w:rPr>
              <w:t>结合竣工环</w:t>
            </w:r>
          </w:p>
          <w:p w14:paraId="578F63F7">
            <w:pPr>
              <w:pStyle w:val="6"/>
              <w:spacing w:before="65" w:line="221" w:lineRule="auto"/>
              <w:ind w:left="121"/>
            </w:pPr>
            <w:r>
              <w:rPr>
                <w:spacing w:val="-2"/>
              </w:rPr>
              <w:t>保验收监测</w:t>
            </w:r>
          </w:p>
          <w:p w14:paraId="54884781">
            <w:pPr>
              <w:pStyle w:val="6"/>
              <w:spacing w:before="63" w:line="221" w:lineRule="auto"/>
              <w:ind w:left="123"/>
            </w:pPr>
            <w:r>
              <w:rPr>
                <w:spacing w:val="-1"/>
              </w:rPr>
              <w:t>一次，后期</w:t>
            </w:r>
          </w:p>
          <w:p w14:paraId="2778F853">
            <w:pPr>
              <w:pStyle w:val="6"/>
              <w:spacing w:before="66" w:line="221" w:lineRule="auto"/>
              <w:ind w:left="120"/>
            </w:pPr>
            <w:r>
              <w:rPr>
                <w:spacing w:val="-1"/>
              </w:rPr>
              <w:t>针对工程变</w:t>
            </w:r>
          </w:p>
        </w:tc>
        <w:tc>
          <w:tcPr>
            <w:tcW w:w="1157" w:type="dxa"/>
            <w:vMerge w:val="restart"/>
            <w:tcBorders>
              <w:bottom w:val="nil"/>
            </w:tcBorders>
            <w:vAlign w:val="top"/>
          </w:tcPr>
          <w:p w14:paraId="5FDE48A7">
            <w:pPr>
              <w:pStyle w:val="6"/>
              <w:spacing w:before="63" w:line="221" w:lineRule="auto"/>
              <w:ind w:left="168"/>
            </w:pPr>
            <w:r>
              <w:rPr>
                <w:spacing w:val="-2"/>
              </w:rPr>
              <w:t>按国家标</w:t>
            </w:r>
          </w:p>
          <w:p w14:paraId="5E19F9F6">
            <w:pPr>
              <w:pStyle w:val="6"/>
              <w:spacing w:before="66" w:line="221" w:lineRule="auto"/>
              <w:ind w:left="168"/>
            </w:pPr>
            <w:r>
              <w:rPr>
                <w:spacing w:val="-2"/>
              </w:rPr>
              <w:t>准进行监</w:t>
            </w:r>
          </w:p>
          <w:p w14:paraId="06FDA13F">
            <w:pPr>
              <w:pStyle w:val="6"/>
              <w:spacing w:before="64" w:line="221" w:lineRule="auto"/>
              <w:ind w:left="167"/>
            </w:pPr>
            <w:r>
              <w:rPr>
                <w:spacing w:val="-2"/>
              </w:rPr>
              <w:t>测，参考</w:t>
            </w:r>
          </w:p>
          <w:p w14:paraId="659AB34D">
            <w:pPr>
              <w:pStyle w:val="6"/>
              <w:spacing w:before="63" w:line="219" w:lineRule="auto"/>
              <w:ind w:left="129"/>
            </w:pPr>
            <w:r>
              <w:rPr>
                <w:spacing w:val="-1"/>
              </w:rPr>
              <w:t>表三</w:t>
            </w:r>
            <w:r>
              <w:rPr>
                <w:rFonts w:ascii="Times New Roman" w:hAnsi="Times New Roman" w:eastAsia="Times New Roman" w:cs="Times New Roman"/>
                <w:spacing w:val="-1"/>
              </w:rPr>
              <w:t>-</w:t>
            </w:r>
            <w:r>
              <w:rPr>
                <w:spacing w:val="-1"/>
              </w:rPr>
              <w:t>评价</w:t>
            </w:r>
          </w:p>
          <w:p w14:paraId="724BDE69">
            <w:pPr>
              <w:pStyle w:val="6"/>
              <w:spacing w:before="67" w:line="221" w:lineRule="auto"/>
              <w:ind w:left="376"/>
            </w:pPr>
            <w:r>
              <w:rPr>
                <w:spacing w:val="-2"/>
              </w:rPr>
              <w:t>标准</w:t>
            </w:r>
          </w:p>
        </w:tc>
        <w:tc>
          <w:tcPr>
            <w:tcW w:w="122" w:type="dxa"/>
            <w:tcBorders>
              <w:top w:val="nil"/>
              <w:bottom w:val="nil"/>
            </w:tcBorders>
            <w:vAlign w:val="top"/>
          </w:tcPr>
          <w:p w14:paraId="587A6C14">
            <w:pPr>
              <w:rPr>
                <w:rFonts w:ascii="Arial"/>
                <w:sz w:val="21"/>
              </w:rPr>
            </w:pPr>
          </w:p>
        </w:tc>
      </w:tr>
      <w:tr w14:paraId="5AE816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571" w:type="dxa"/>
            <w:vMerge w:val="continue"/>
            <w:tcBorders>
              <w:top w:val="nil"/>
            </w:tcBorders>
            <w:vAlign w:val="top"/>
          </w:tcPr>
          <w:p w14:paraId="52026913">
            <w:pPr>
              <w:rPr>
                <w:rFonts w:ascii="Arial"/>
                <w:sz w:val="21"/>
              </w:rPr>
            </w:pPr>
          </w:p>
        </w:tc>
        <w:tc>
          <w:tcPr>
            <w:tcW w:w="117" w:type="dxa"/>
            <w:tcBorders>
              <w:top w:val="nil"/>
            </w:tcBorders>
            <w:vAlign w:val="top"/>
          </w:tcPr>
          <w:p w14:paraId="7E199577">
            <w:pPr>
              <w:rPr>
                <w:rFonts w:ascii="Arial"/>
                <w:sz w:val="21"/>
              </w:rPr>
            </w:pPr>
          </w:p>
        </w:tc>
        <w:tc>
          <w:tcPr>
            <w:tcW w:w="787" w:type="dxa"/>
            <w:vMerge w:val="continue"/>
            <w:tcBorders>
              <w:top w:val="nil"/>
            </w:tcBorders>
            <w:vAlign w:val="top"/>
          </w:tcPr>
          <w:p w14:paraId="2B6784FC">
            <w:pPr>
              <w:rPr>
                <w:rFonts w:ascii="Arial"/>
                <w:sz w:val="21"/>
              </w:rPr>
            </w:pPr>
          </w:p>
        </w:tc>
        <w:tc>
          <w:tcPr>
            <w:tcW w:w="938" w:type="dxa"/>
            <w:vAlign w:val="top"/>
          </w:tcPr>
          <w:p w14:paraId="1E2BF5F7">
            <w:pPr>
              <w:pStyle w:val="6"/>
              <w:spacing w:before="68" w:line="221" w:lineRule="auto"/>
              <w:ind w:left="273"/>
            </w:pPr>
            <w:r>
              <w:rPr>
                <w:spacing w:val="-4"/>
              </w:rPr>
              <w:t>噪声</w:t>
            </w:r>
          </w:p>
        </w:tc>
        <w:tc>
          <w:tcPr>
            <w:tcW w:w="4110" w:type="dxa"/>
            <w:vAlign w:val="top"/>
          </w:tcPr>
          <w:p w14:paraId="56EDF058">
            <w:pPr>
              <w:pStyle w:val="6"/>
              <w:spacing w:before="68" w:line="234" w:lineRule="auto"/>
              <w:ind w:left="112"/>
            </w:pPr>
            <w:r>
              <w:rPr>
                <w:spacing w:val="-1"/>
              </w:rPr>
              <w:t>边导线</w:t>
            </w:r>
            <w:r>
              <w:rPr>
                <w:spacing w:val="-39"/>
              </w:rPr>
              <w:t xml:space="preserve"> </w:t>
            </w:r>
            <w:r>
              <w:rPr>
                <w:rFonts w:ascii="Times New Roman" w:hAnsi="Times New Roman" w:eastAsia="Times New Roman" w:cs="Times New Roman"/>
                <w:spacing w:val="-1"/>
              </w:rPr>
              <w:t xml:space="preserve">40m </w:t>
            </w:r>
            <w:r>
              <w:rPr>
                <w:spacing w:val="-1"/>
              </w:rPr>
              <w:t>范围内的环境保护目标处</w:t>
            </w:r>
          </w:p>
        </w:tc>
        <w:tc>
          <w:tcPr>
            <w:tcW w:w="1276" w:type="dxa"/>
            <w:vMerge w:val="continue"/>
            <w:tcBorders>
              <w:top w:val="nil"/>
            </w:tcBorders>
            <w:vAlign w:val="top"/>
          </w:tcPr>
          <w:p w14:paraId="2E7E2881">
            <w:pPr>
              <w:rPr>
                <w:rFonts w:ascii="Arial"/>
                <w:sz w:val="21"/>
              </w:rPr>
            </w:pPr>
          </w:p>
        </w:tc>
        <w:tc>
          <w:tcPr>
            <w:tcW w:w="1157" w:type="dxa"/>
            <w:vMerge w:val="continue"/>
            <w:tcBorders>
              <w:top w:val="nil"/>
            </w:tcBorders>
            <w:vAlign w:val="top"/>
          </w:tcPr>
          <w:p w14:paraId="2FACE8DC">
            <w:pPr>
              <w:rPr>
                <w:rFonts w:ascii="Arial"/>
                <w:sz w:val="21"/>
              </w:rPr>
            </w:pPr>
          </w:p>
        </w:tc>
        <w:tc>
          <w:tcPr>
            <w:tcW w:w="122" w:type="dxa"/>
            <w:tcBorders>
              <w:top w:val="nil"/>
            </w:tcBorders>
            <w:vAlign w:val="top"/>
          </w:tcPr>
          <w:p w14:paraId="524E26F2">
            <w:pPr>
              <w:rPr>
                <w:rFonts w:ascii="Arial"/>
                <w:sz w:val="21"/>
              </w:rPr>
            </w:pPr>
          </w:p>
        </w:tc>
      </w:tr>
    </w:tbl>
    <w:p w14:paraId="4BCB67F8">
      <w:pPr>
        <w:rPr>
          <w:rFonts w:ascii="Arial"/>
          <w:sz w:val="21"/>
        </w:rPr>
      </w:pPr>
    </w:p>
    <w:p w14:paraId="1A623B58">
      <w:pPr>
        <w:rPr>
          <w:rFonts w:ascii="Arial" w:hAnsi="Arial" w:eastAsia="Arial" w:cs="Arial"/>
          <w:sz w:val="21"/>
          <w:szCs w:val="21"/>
        </w:rPr>
        <w:sectPr>
          <w:footerReference r:id="rId83" w:type="default"/>
          <w:pgSz w:w="11907" w:h="16841"/>
          <w:pgMar w:top="400" w:right="1408" w:bottom="1126" w:left="1414" w:header="0" w:footer="925" w:gutter="0"/>
          <w:cols w:space="720" w:num="1"/>
        </w:sectPr>
      </w:pPr>
    </w:p>
    <w:p w14:paraId="292F6EEB">
      <w:pPr>
        <w:spacing w:before="2"/>
      </w:pPr>
    </w:p>
    <w:p w14:paraId="219C7358">
      <w:pPr>
        <w:spacing w:before="2"/>
      </w:pPr>
    </w:p>
    <w:p w14:paraId="22DAFD36">
      <w:pPr>
        <w:spacing w:before="1"/>
      </w:pPr>
    </w:p>
    <w:p w14:paraId="15252CC9">
      <w:pPr>
        <w:spacing w:before="1"/>
      </w:pPr>
    </w:p>
    <w:p w14:paraId="22A697E4">
      <w:pPr>
        <w:spacing w:before="1"/>
      </w:pPr>
    </w:p>
    <w:tbl>
      <w:tblPr>
        <w:tblStyle w:val="5"/>
        <w:tblW w:w="907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71"/>
        <w:gridCol w:w="8507"/>
      </w:tblGrid>
      <w:tr w14:paraId="22EB7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411" w:hRule="atLeast"/>
        </w:trPr>
        <w:tc>
          <w:tcPr>
            <w:tcW w:w="571" w:type="dxa"/>
            <w:vAlign w:val="top"/>
          </w:tcPr>
          <w:p w14:paraId="4E783509">
            <w:pPr>
              <w:rPr>
                <w:rFonts w:ascii="Arial"/>
                <w:sz w:val="21"/>
              </w:rPr>
            </w:pPr>
          </w:p>
        </w:tc>
        <w:tc>
          <w:tcPr>
            <w:tcW w:w="8507" w:type="dxa"/>
            <w:vAlign w:val="top"/>
          </w:tcPr>
          <w:p w14:paraId="7DDD2940">
            <w:pPr>
              <w:spacing w:line="73" w:lineRule="auto"/>
              <w:rPr>
                <w:rFonts w:ascii="Arial"/>
                <w:sz w:val="2"/>
              </w:rPr>
            </w:pPr>
          </w:p>
          <w:tbl>
            <w:tblPr>
              <w:tblStyle w:val="5"/>
              <w:tblW w:w="8277" w:type="dxa"/>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2"/>
              <w:gridCol w:w="938"/>
              <w:gridCol w:w="4110"/>
              <w:gridCol w:w="1276"/>
              <w:gridCol w:w="1161"/>
            </w:tblGrid>
            <w:tr w14:paraId="29957F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8" w:hRule="atLeast"/>
              </w:trPr>
              <w:tc>
                <w:tcPr>
                  <w:tcW w:w="792" w:type="dxa"/>
                  <w:vMerge w:val="restart"/>
                  <w:tcBorders>
                    <w:bottom w:val="nil"/>
                  </w:tcBorders>
                  <w:vAlign w:val="top"/>
                </w:tcPr>
                <w:p w14:paraId="558A485F">
                  <w:pPr>
                    <w:spacing w:line="464" w:lineRule="auto"/>
                    <w:rPr>
                      <w:rFonts w:ascii="Arial"/>
                      <w:sz w:val="21"/>
                    </w:rPr>
                  </w:pPr>
                </w:p>
                <w:p w14:paraId="589EC3A0">
                  <w:pPr>
                    <w:pStyle w:val="6"/>
                    <w:spacing w:before="69" w:line="281" w:lineRule="auto"/>
                    <w:ind w:left="190" w:right="182" w:firstLine="16"/>
                  </w:pPr>
                  <w:r>
                    <w:rPr>
                      <w:spacing w:val="-12"/>
                    </w:rPr>
                    <w:t>间隔</w:t>
                  </w:r>
                  <w:r>
                    <w:rPr>
                      <w:spacing w:val="-3"/>
                    </w:rPr>
                    <w:t>扩建</w:t>
                  </w:r>
                </w:p>
              </w:tc>
              <w:tc>
                <w:tcPr>
                  <w:tcW w:w="938" w:type="dxa"/>
                  <w:vAlign w:val="top"/>
                </w:tcPr>
                <w:p w14:paraId="22710BFB">
                  <w:pPr>
                    <w:pStyle w:val="6"/>
                    <w:spacing w:before="59" w:line="221" w:lineRule="auto"/>
                    <w:ind w:left="181"/>
                  </w:pPr>
                  <w:r>
                    <w:rPr>
                      <w:spacing w:val="-7"/>
                    </w:rPr>
                    <w:t>电场强</w:t>
                  </w:r>
                </w:p>
                <w:p w14:paraId="385A9E19">
                  <w:pPr>
                    <w:pStyle w:val="6"/>
                    <w:spacing w:before="63" w:line="221" w:lineRule="auto"/>
                    <w:ind w:left="155"/>
                  </w:pPr>
                  <w:r>
                    <w:rPr>
                      <w:spacing w:val="-1"/>
                    </w:rPr>
                    <w:t>度、磁</w:t>
                  </w:r>
                </w:p>
                <w:p w14:paraId="24698BE2">
                  <w:pPr>
                    <w:pStyle w:val="6"/>
                    <w:spacing w:before="64" w:line="250" w:lineRule="auto"/>
                    <w:ind w:left="364" w:right="150" w:hanging="207"/>
                  </w:pPr>
                  <w:r>
                    <w:rPr>
                      <w:spacing w:val="-2"/>
                    </w:rPr>
                    <w:t>感应强</w:t>
                  </w:r>
                  <w:r>
                    <w:t>度</w:t>
                  </w:r>
                </w:p>
              </w:tc>
              <w:tc>
                <w:tcPr>
                  <w:tcW w:w="4110" w:type="dxa"/>
                  <w:vMerge w:val="restart"/>
                  <w:tcBorders>
                    <w:bottom w:val="nil"/>
                  </w:tcBorders>
                  <w:vAlign w:val="top"/>
                </w:tcPr>
                <w:p w14:paraId="79F0B7EE">
                  <w:pPr>
                    <w:spacing w:line="311" w:lineRule="auto"/>
                    <w:rPr>
                      <w:rFonts w:ascii="Arial"/>
                      <w:sz w:val="21"/>
                    </w:rPr>
                  </w:pPr>
                </w:p>
                <w:p w14:paraId="2C4B6FD6">
                  <w:pPr>
                    <w:spacing w:line="311" w:lineRule="auto"/>
                    <w:rPr>
                      <w:rFonts w:ascii="Arial"/>
                      <w:sz w:val="21"/>
                    </w:rPr>
                  </w:pPr>
                </w:p>
                <w:p w14:paraId="499C1A5E">
                  <w:pPr>
                    <w:pStyle w:val="6"/>
                    <w:spacing w:before="68" w:line="221" w:lineRule="auto"/>
                    <w:ind w:left="113"/>
                  </w:pPr>
                  <w:r>
                    <w:rPr>
                      <w:spacing w:val="-1"/>
                    </w:rPr>
                    <w:t>按变电站原环评及批复的要求执行</w:t>
                  </w:r>
                </w:p>
              </w:tc>
              <w:tc>
                <w:tcPr>
                  <w:tcW w:w="1276" w:type="dxa"/>
                  <w:vMerge w:val="restart"/>
                  <w:tcBorders>
                    <w:bottom w:val="nil"/>
                  </w:tcBorders>
                  <w:vAlign w:val="top"/>
                </w:tcPr>
                <w:p w14:paraId="3080CE2E">
                  <w:pPr>
                    <w:pStyle w:val="6"/>
                    <w:spacing w:before="58" w:line="279" w:lineRule="auto"/>
                    <w:ind w:left="120" w:right="106"/>
                  </w:pPr>
                  <w:r>
                    <w:rPr>
                      <w:spacing w:val="-2"/>
                    </w:rPr>
                    <w:t>化或投诉情况进行监测</w:t>
                  </w:r>
                </w:p>
              </w:tc>
              <w:tc>
                <w:tcPr>
                  <w:tcW w:w="1161" w:type="dxa"/>
                  <w:vMerge w:val="restart"/>
                  <w:tcBorders>
                    <w:bottom w:val="nil"/>
                  </w:tcBorders>
                  <w:vAlign w:val="top"/>
                </w:tcPr>
                <w:p w14:paraId="13BCDBC6">
                  <w:pPr>
                    <w:rPr>
                      <w:rFonts w:ascii="Arial"/>
                      <w:sz w:val="21"/>
                    </w:rPr>
                  </w:pPr>
                </w:p>
              </w:tc>
            </w:tr>
            <w:tr w14:paraId="5AC5C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792" w:type="dxa"/>
                  <w:vMerge w:val="continue"/>
                  <w:tcBorders>
                    <w:top w:val="nil"/>
                  </w:tcBorders>
                  <w:vAlign w:val="top"/>
                </w:tcPr>
                <w:p w14:paraId="51ABF7C4">
                  <w:pPr>
                    <w:rPr>
                      <w:rFonts w:ascii="Arial"/>
                      <w:sz w:val="21"/>
                    </w:rPr>
                  </w:pPr>
                </w:p>
              </w:tc>
              <w:tc>
                <w:tcPr>
                  <w:tcW w:w="938" w:type="dxa"/>
                  <w:vAlign w:val="top"/>
                </w:tcPr>
                <w:p w14:paraId="70D4499A">
                  <w:pPr>
                    <w:pStyle w:val="6"/>
                    <w:spacing w:before="58" w:line="221" w:lineRule="auto"/>
                    <w:ind w:left="272"/>
                  </w:pPr>
                  <w:r>
                    <w:rPr>
                      <w:spacing w:val="-4"/>
                    </w:rPr>
                    <w:t>噪声</w:t>
                  </w:r>
                </w:p>
              </w:tc>
              <w:tc>
                <w:tcPr>
                  <w:tcW w:w="4110" w:type="dxa"/>
                  <w:vMerge w:val="continue"/>
                  <w:tcBorders>
                    <w:top w:val="nil"/>
                  </w:tcBorders>
                  <w:vAlign w:val="top"/>
                </w:tcPr>
                <w:p w14:paraId="2A8E8644">
                  <w:pPr>
                    <w:rPr>
                      <w:rFonts w:ascii="Arial"/>
                      <w:sz w:val="21"/>
                    </w:rPr>
                  </w:pPr>
                </w:p>
              </w:tc>
              <w:tc>
                <w:tcPr>
                  <w:tcW w:w="1276" w:type="dxa"/>
                  <w:vMerge w:val="continue"/>
                  <w:tcBorders>
                    <w:top w:val="nil"/>
                  </w:tcBorders>
                  <w:vAlign w:val="top"/>
                </w:tcPr>
                <w:p w14:paraId="58B84E32">
                  <w:pPr>
                    <w:rPr>
                      <w:rFonts w:ascii="Arial"/>
                      <w:sz w:val="21"/>
                    </w:rPr>
                  </w:pPr>
                </w:p>
              </w:tc>
              <w:tc>
                <w:tcPr>
                  <w:tcW w:w="1161" w:type="dxa"/>
                  <w:vMerge w:val="continue"/>
                  <w:tcBorders>
                    <w:top w:val="nil"/>
                  </w:tcBorders>
                  <w:vAlign w:val="top"/>
                </w:tcPr>
                <w:p w14:paraId="38B4CD08">
                  <w:pPr>
                    <w:rPr>
                      <w:rFonts w:ascii="Arial"/>
                      <w:sz w:val="21"/>
                    </w:rPr>
                  </w:pPr>
                </w:p>
              </w:tc>
            </w:tr>
          </w:tbl>
          <w:p w14:paraId="6DAE1004">
            <w:pPr>
              <w:pStyle w:val="6"/>
              <w:spacing w:before="118" w:line="233" w:lineRule="auto"/>
              <w:ind w:left="601"/>
              <w:rPr>
                <w:sz w:val="24"/>
                <w:szCs w:val="24"/>
              </w:rPr>
            </w:pPr>
            <w:r>
              <w:rPr>
                <w:b/>
                <w:bCs/>
                <w:spacing w:val="-4"/>
                <w:sz w:val="24"/>
                <w:szCs w:val="24"/>
              </w:rPr>
              <w:t>（</w:t>
            </w:r>
            <w:r>
              <w:rPr>
                <w:rFonts w:ascii="Times New Roman" w:hAnsi="Times New Roman" w:eastAsia="Times New Roman" w:cs="Times New Roman"/>
                <w:b/>
                <w:bCs/>
                <w:spacing w:val="-4"/>
                <w:sz w:val="24"/>
                <w:szCs w:val="24"/>
              </w:rPr>
              <w:t>4</w:t>
            </w:r>
            <w:r>
              <w:rPr>
                <w:b/>
                <w:bCs/>
                <w:spacing w:val="-4"/>
                <w:sz w:val="24"/>
                <w:szCs w:val="24"/>
              </w:rPr>
              <w:t>）监测技术要求</w:t>
            </w:r>
          </w:p>
          <w:p w14:paraId="7A5DB1E3">
            <w:pPr>
              <w:pStyle w:val="6"/>
              <w:spacing w:before="172" w:line="217" w:lineRule="auto"/>
              <w:ind w:left="591"/>
              <w:rPr>
                <w:sz w:val="24"/>
                <w:szCs w:val="24"/>
              </w:rPr>
            </w:pPr>
            <w:r>
              <w:rPr>
                <w:spacing w:val="-3"/>
                <w:sz w:val="24"/>
                <w:szCs w:val="24"/>
              </w:rPr>
              <w:t>①监测范围应与工程影响区域相符。</w:t>
            </w:r>
          </w:p>
          <w:p w14:paraId="0A1E7B6B">
            <w:pPr>
              <w:pStyle w:val="6"/>
              <w:spacing w:before="189" w:line="365" w:lineRule="auto"/>
              <w:ind w:left="112" w:right="109" w:firstLine="478"/>
              <w:rPr>
                <w:sz w:val="24"/>
                <w:szCs w:val="24"/>
              </w:rPr>
            </w:pPr>
            <w:r>
              <w:rPr>
                <w:spacing w:val="-4"/>
                <w:sz w:val="24"/>
                <w:szCs w:val="24"/>
              </w:rPr>
              <w:t>②监测位置与频次应根据监测数据的代表性、生态环境质量的特征、变化和</w:t>
            </w:r>
            <w:r>
              <w:rPr>
                <w:spacing w:val="-2"/>
                <w:sz w:val="24"/>
                <w:szCs w:val="24"/>
              </w:rPr>
              <w:t>环境影响评价、工程竣工环境保护验收的要求确定。</w:t>
            </w:r>
          </w:p>
          <w:p w14:paraId="720F40CD">
            <w:pPr>
              <w:pStyle w:val="6"/>
              <w:spacing w:before="1" w:line="364" w:lineRule="auto"/>
              <w:ind w:left="113" w:right="118" w:firstLine="477"/>
              <w:rPr>
                <w:sz w:val="24"/>
                <w:szCs w:val="24"/>
              </w:rPr>
            </w:pPr>
            <w:r>
              <w:rPr>
                <w:spacing w:val="3"/>
                <w:sz w:val="24"/>
                <w:szCs w:val="24"/>
              </w:rPr>
              <w:t>③监测方法与技术要求应符合国家现行的有关环境监测技术规范和环境监</w:t>
            </w:r>
            <w:r>
              <w:rPr>
                <w:spacing w:val="-5"/>
                <w:sz w:val="24"/>
                <w:szCs w:val="24"/>
              </w:rPr>
              <w:t>测标准分析方法。</w:t>
            </w:r>
          </w:p>
          <w:p w14:paraId="0DF831E9">
            <w:pPr>
              <w:pStyle w:val="6"/>
              <w:spacing w:line="217" w:lineRule="auto"/>
              <w:ind w:left="590"/>
              <w:rPr>
                <w:sz w:val="24"/>
                <w:szCs w:val="24"/>
              </w:rPr>
            </w:pPr>
            <w:r>
              <w:rPr>
                <w:spacing w:val="-1"/>
                <w:sz w:val="24"/>
                <w:szCs w:val="24"/>
              </w:rPr>
              <w:t>④监测成果应在原始数据基础上进行审查、校核</w:t>
            </w:r>
            <w:r>
              <w:rPr>
                <w:spacing w:val="-2"/>
                <w:sz w:val="24"/>
                <w:szCs w:val="24"/>
              </w:rPr>
              <w:t>、综合分析后整理编印。</w:t>
            </w:r>
          </w:p>
          <w:p w14:paraId="4A21D83B">
            <w:pPr>
              <w:pStyle w:val="6"/>
              <w:spacing w:before="193" w:line="217" w:lineRule="auto"/>
              <w:ind w:left="590"/>
              <w:rPr>
                <w:sz w:val="24"/>
                <w:szCs w:val="24"/>
              </w:rPr>
            </w:pPr>
            <w:r>
              <w:rPr>
                <w:spacing w:val="-3"/>
                <w:sz w:val="24"/>
                <w:szCs w:val="24"/>
              </w:rPr>
              <w:t>⑤应对监测提出质量保证要求。</w:t>
            </w:r>
          </w:p>
        </w:tc>
      </w:tr>
      <w:tr w14:paraId="1DA2D9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9" w:hRule="atLeast"/>
        </w:trPr>
        <w:tc>
          <w:tcPr>
            <w:tcW w:w="571" w:type="dxa"/>
            <w:vAlign w:val="top"/>
          </w:tcPr>
          <w:p w14:paraId="0D207507">
            <w:pPr>
              <w:spacing w:line="244" w:lineRule="auto"/>
              <w:rPr>
                <w:rFonts w:ascii="Arial"/>
                <w:sz w:val="21"/>
              </w:rPr>
            </w:pPr>
          </w:p>
          <w:p w14:paraId="4CCFBCE8">
            <w:pPr>
              <w:spacing w:line="244" w:lineRule="auto"/>
              <w:rPr>
                <w:rFonts w:ascii="Arial"/>
                <w:sz w:val="21"/>
              </w:rPr>
            </w:pPr>
          </w:p>
          <w:p w14:paraId="17A451C2">
            <w:pPr>
              <w:spacing w:line="244" w:lineRule="auto"/>
              <w:rPr>
                <w:rFonts w:ascii="Arial"/>
                <w:sz w:val="21"/>
              </w:rPr>
            </w:pPr>
          </w:p>
          <w:p w14:paraId="24223325">
            <w:pPr>
              <w:spacing w:line="244" w:lineRule="auto"/>
              <w:rPr>
                <w:rFonts w:ascii="Arial"/>
                <w:sz w:val="21"/>
              </w:rPr>
            </w:pPr>
          </w:p>
          <w:p w14:paraId="7D7DF77A">
            <w:pPr>
              <w:spacing w:line="244" w:lineRule="auto"/>
              <w:rPr>
                <w:rFonts w:ascii="Arial"/>
                <w:sz w:val="21"/>
              </w:rPr>
            </w:pPr>
          </w:p>
          <w:p w14:paraId="21663021">
            <w:pPr>
              <w:spacing w:line="244" w:lineRule="auto"/>
              <w:rPr>
                <w:rFonts w:ascii="Arial"/>
                <w:sz w:val="21"/>
              </w:rPr>
            </w:pPr>
          </w:p>
          <w:p w14:paraId="52BE579E">
            <w:pPr>
              <w:spacing w:line="245" w:lineRule="auto"/>
              <w:rPr>
                <w:rFonts w:ascii="Arial"/>
                <w:sz w:val="21"/>
              </w:rPr>
            </w:pPr>
          </w:p>
          <w:p w14:paraId="360AD26B">
            <w:pPr>
              <w:spacing w:line="245" w:lineRule="auto"/>
              <w:rPr>
                <w:rFonts w:ascii="Arial"/>
                <w:sz w:val="21"/>
              </w:rPr>
            </w:pPr>
          </w:p>
          <w:p w14:paraId="12F0EB28">
            <w:pPr>
              <w:spacing w:line="245" w:lineRule="auto"/>
              <w:rPr>
                <w:rFonts w:ascii="Arial"/>
                <w:sz w:val="21"/>
              </w:rPr>
            </w:pPr>
          </w:p>
          <w:p w14:paraId="6D668B12">
            <w:pPr>
              <w:spacing w:line="245" w:lineRule="auto"/>
              <w:rPr>
                <w:rFonts w:ascii="Arial"/>
                <w:sz w:val="21"/>
              </w:rPr>
            </w:pPr>
          </w:p>
          <w:p w14:paraId="665268DE">
            <w:pPr>
              <w:spacing w:line="245" w:lineRule="auto"/>
              <w:rPr>
                <w:rFonts w:ascii="Arial"/>
                <w:sz w:val="21"/>
              </w:rPr>
            </w:pPr>
          </w:p>
          <w:p w14:paraId="32E2E269">
            <w:pPr>
              <w:spacing w:line="245" w:lineRule="auto"/>
              <w:rPr>
                <w:rFonts w:ascii="Arial"/>
                <w:sz w:val="21"/>
              </w:rPr>
            </w:pPr>
          </w:p>
          <w:p w14:paraId="6978750B">
            <w:pPr>
              <w:spacing w:line="245" w:lineRule="auto"/>
              <w:rPr>
                <w:rFonts w:ascii="Arial"/>
                <w:sz w:val="21"/>
              </w:rPr>
            </w:pPr>
          </w:p>
          <w:p w14:paraId="4B8580DE">
            <w:pPr>
              <w:spacing w:line="245" w:lineRule="auto"/>
              <w:rPr>
                <w:rFonts w:ascii="Arial"/>
                <w:sz w:val="21"/>
              </w:rPr>
            </w:pPr>
          </w:p>
          <w:p w14:paraId="68DBEA2A">
            <w:pPr>
              <w:spacing w:line="245" w:lineRule="auto"/>
              <w:rPr>
                <w:rFonts w:ascii="Arial"/>
                <w:sz w:val="21"/>
              </w:rPr>
            </w:pPr>
          </w:p>
          <w:p w14:paraId="15C8EADA">
            <w:pPr>
              <w:pStyle w:val="6"/>
              <w:spacing w:before="69" w:line="279" w:lineRule="auto"/>
              <w:ind w:left="82" w:right="71" w:hanging="2"/>
            </w:pPr>
            <w:r>
              <w:rPr>
                <w:spacing w:val="-3"/>
              </w:rPr>
              <w:t>环保</w:t>
            </w:r>
            <w:r>
              <w:rPr>
                <w:spacing w:val="-5"/>
              </w:rPr>
              <w:t>投资</w:t>
            </w:r>
          </w:p>
        </w:tc>
        <w:tc>
          <w:tcPr>
            <w:tcW w:w="8507" w:type="dxa"/>
            <w:vAlign w:val="top"/>
          </w:tcPr>
          <w:p w14:paraId="4A1E5828">
            <w:pPr>
              <w:pStyle w:val="6"/>
              <w:spacing w:before="119" w:line="340" w:lineRule="auto"/>
              <w:ind w:left="132" w:right="297" w:firstLine="461"/>
              <w:rPr>
                <w:sz w:val="24"/>
                <w:szCs w:val="24"/>
              </w:rPr>
            </w:pPr>
            <w:r>
              <w:rPr>
                <w:spacing w:val="-2"/>
                <w:sz w:val="24"/>
                <w:szCs w:val="24"/>
              </w:rPr>
              <w:t>本项目总投资为</w:t>
            </w:r>
            <w:r>
              <w:rPr>
                <w:spacing w:val="-42"/>
                <w:sz w:val="24"/>
                <w:szCs w:val="24"/>
              </w:rPr>
              <w:t xml:space="preserve"> </w:t>
            </w:r>
            <w:r>
              <w:rPr>
                <w:rFonts w:ascii="Times New Roman" w:hAnsi="Times New Roman" w:eastAsia="Times New Roman" w:cs="Times New Roman"/>
                <w:spacing w:val="-2"/>
                <w:sz w:val="24"/>
                <w:szCs w:val="24"/>
              </w:rPr>
              <w:t>4853</w:t>
            </w:r>
            <w:r>
              <w:rPr>
                <w:rFonts w:ascii="Times New Roman" w:hAnsi="Times New Roman" w:eastAsia="Times New Roman" w:cs="Times New Roman"/>
                <w:spacing w:val="15"/>
                <w:w w:val="101"/>
                <w:sz w:val="24"/>
                <w:szCs w:val="24"/>
              </w:rPr>
              <w:t xml:space="preserve"> </w:t>
            </w:r>
            <w:r>
              <w:rPr>
                <w:spacing w:val="-2"/>
                <w:sz w:val="24"/>
                <w:szCs w:val="24"/>
              </w:rPr>
              <w:t>万元，其中环保投资共计</w:t>
            </w:r>
            <w:r>
              <w:rPr>
                <w:spacing w:val="-50"/>
                <w:sz w:val="24"/>
                <w:szCs w:val="24"/>
              </w:rPr>
              <w:t xml:space="preserve"> </w:t>
            </w:r>
            <w:r>
              <w:rPr>
                <w:rFonts w:ascii="Times New Roman" w:hAnsi="Times New Roman" w:eastAsia="Times New Roman" w:cs="Times New Roman"/>
                <w:spacing w:val="-2"/>
                <w:sz w:val="24"/>
                <w:szCs w:val="24"/>
              </w:rPr>
              <w:t>60.9</w:t>
            </w:r>
            <w:r>
              <w:rPr>
                <w:rFonts w:ascii="Times New Roman" w:hAnsi="Times New Roman" w:eastAsia="Times New Roman" w:cs="Times New Roman"/>
                <w:spacing w:val="16"/>
                <w:w w:val="101"/>
                <w:sz w:val="24"/>
                <w:szCs w:val="24"/>
              </w:rPr>
              <w:t xml:space="preserve"> </w:t>
            </w:r>
            <w:r>
              <w:rPr>
                <w:spacing w:val="-2"/>
                <w:sz w:val="24"/>
                <w:szCs w:val="24"/>
              </w:rPr>
              <w:t>万元，占工程总投资</w:t>
            </w:r>
            <w:r>
              <w:rPr>
                <w:spacing w:val="-4"/>
                <w:sz w:val="24"/>
                <w:szCs w:val="24"/>
              </w:rPr>
              <w:t>的</w:t>
            </w:r>
            <w:r>
              <w:rPr>
                <w:spacing w:val="-27"/>
                <w:sz w:val="24"/>
                <w:szCs w:val="24"/>
              </w:rPr>
              <w:t xml:space="preserve"> </w:t>
            </w:r>
            <w:r>
              <w:rPr>
                <w:rFonts w:ascii="Times New Roman" w:hAnsi="Times New Roman" w:eastAsia="Times New Roman" w:cs="Times New Roman"/>
                <w:spacing w:val="-4"/>
                <w:sz w:val="24"/>
                <w:szCs w:val="24"/>
              </w:rPr>
              <w:t>1.25%</w:t>
            </w:r>
            <w:r>
              <w:rPr>
                <w:spacing w:val="-4"/>
                <w:sz w:val="24"/>
                <w:szCs w:val="24"/>
              </w:rPr>
              <w:t>。本项目环保投资情况见表</w:t>
            </w:r>
            <w:r>
              <w:rPr>
                <w:spacing w:val="-36"/>
                <w:sz w:val="24"/>
                <w:szCs w:val="24"/>
              </w:rPr>
              <w:t xml:space="preserve"> </w:t>
            </w:r>
            <w:r>
              <w:rPr>
                <w:rFonts w:ascii="Times New Roman" w:hAnsi="Times New Roman" w:eastAsia="Times New Roman" w:cs="Times New Roman"/>
                <w:spacing w:val="-4"/>
                <w:sz w:val="24"/>
                <w:szCs w:val="24"/>
              </w:rPr>
              <w:t>5-2</w:t>
            </w:r>
            <w:r>
              <w:rPr>
                <w:spacing w:val="-4"/>
                <w:sz w:val="24"/>
                <w:szCs w:val="24"/>
              </w:rPr>
              <w:t>。</w:t>
            </w:r>
          </w:p>
          <w:p w14:paraId="416CEBA0">
            <w:pPr>
              <w:pStyle w:val="6"/>
              <w:spacing w:line="231" w:lineRule="auto"/>
              <w:ind w:left="2823"/>
            </w:pPr>
            <w:r>
              <w:rPr>
                <w:b/>
                <w:bCs/>
                <w:spacing w:val="-2"/>
              </w:rPr>
              <w:t>表</w:t>
            </w:r>
            <w:r>
              <w:rPr>
                <w:spacing w:val="-38"/>
              </w:rPr>
              <w:t xml:space="preserve"> </w:t>
            </w:r>
            <w:r>
              <w:rPr>
                <w:rFonts w:ascii="Times New Roman" w:hAnsi="Times New Roman" w:eastAsia="Times New Roman" w:cs="Times New Roman"/>
                <w:b/>
                <w:bCs/>
                <w:spacing w:val="-2"/>
              </w:rPr>
              <w:t xml:space="preserve">5-2    </w:t>
            </w:r>
            <w:r>
              <w:rPr>
                <w:b/>
                <w:bCs/>
                <w:spacing w:val="-2"/>
              </w:rPr>
              <w:t>项目环保措施投资情况</w:t>
            </w:r>
          </w:p>
          <w:tbl>
            <w:tblPr>
              <w:tblStyle w:val="5"/>
              <w:tblW w:w="8329" w:type="dxa"/>
              <w:tblInd w:w="8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30"/>
              <w:gridCol w:w="1516"/>
              <w:gridCol w:w="3611"/>
              <w:gridCol w:w="2272"/>
            </w:tblGrid>
            <w:tr w14:paraId="6056A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930" w:type="dxa"/>
                  <w:vAlign w:val="top"/>
                </w:tcPr>
                <w:p w14:paraId="17A4BA7A">
                  <w:pPr>
                    <w:pStyle w:val="6"/>
                    <w:spacing w:before="58" w:line="222" w:lineRule="auto"/>
                    <w:ind w:left="267"/>
                  </w:pPr>
                  <w:r>
                    <w:rPr>
                      <w:b/>
                      <w:bCs/>
                      <w:spacing w:val="-7"/>
                    </w:rPr>
                    <w:t>时段</w:t>
                  </w:r>
                </w:p>
              </w:tc>
              <w:tc>
                <w:tcPr>
                  <w:tcW w:w="1516" w:type="dxa"/>
                  <w:vAlign w:val="top"/>
                </w:tcPr>
                <w:p w14:paraId="7AD5E36F">
                  <w:pPr>
                    <w:pStyle w:val="6"/>
                    <w:spacing w:before="57" w:line="221" w:lineRule="auto"/>
                    <w:ind w:left="343"/>
                  </w:pPr>
                  <w:r>
                    <w:rPr>
                      <w:b/>
                      <w:bCs/>
                      <w:spacing w:val="-4"/>
                    </w:rPr>
                    <w:t>治理对象</w:t>
                  </w:r>
                </w:p>
              </w:tc>
              <w:tc>
                <w:tcPr>
                  <w:tcW w:w="3611" w:type="dxa"/>
                  <w:vAlign w:val="top"/>
                </w:tcPr>
                <w:p w14:paraId="24EC19F5">
                  <w:pPr>
                    <w:pStyle w:val="6"/>
                    <w:spacing w:before="58" w:line="221" w:lineRule="auto"/>
                    <w:ind w:left="1603"/>
                  </w:pPr>
                  <w:r>
                    <w:rPr>
                      <w:b/>
                      <w:bCs/>
                      <w:spacing w:val="-5"/>
                    </w:rPr>
                    <w:t>项目</w:t>
                  </w:r>
                </w:p>
              </w:tc>
              <w:tc>
                <w:tcPr>
                  <w:tcW w:w="2272" w:type="dxa"/>
                  <w:vAlign w:val="top"/>
                </w:tcPr>
                <w:p w14:paraId="574FA958">
                  <w:pPr>
                    <w:pStyle w:val="6"/>
                    <w:spacing w:before="58" w:line="221" w:lineRule="auto"/>
                    <w:ind w:left="298"/>
                  </w:pPr>
                  <w:r>
                    <w:rPr>
                      <w:b/>
                      <w:bCs/>
                      <w:spacing w:val="-4"/>
                    </w:rPr>
                    <w:t>环保投资（万元）</w:t>
                  </w:r>
                </w:p>
              </w:tc>
            </w:tr>
            <w:tr w14:paraId="4C722E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930" w:type="dxa"/>
                  <w:vMerge w:val="restart"/>
                  <w:tcBorders>
                    <w:bottom w:val="nil"/>
                  </w:tcBorders>
                  <w:vAlign w:val="top"/>
                </w:tcPr>
                <w:p w14:paraId="2776D638">
                  <w:pPr>
                    <w:spacing w:line="265" w:lineRule="auto"/>
                    <w:rPr>
                      <w:rFonts w:ascii="Arial"/>
                      <w:sz w:val="21"/>
                    </w:rPr>
                  </w:pPr>
                </w:p>
                <w:p w14:paraId="29670B87">
                  <w:pPr>
                    <w:spacing w:line="265" w:lineRule="auto"/>
                    <w:rPr>
                      <w:rFonts w:ascii="Arial"/>
                      <w:sz w:val="21"/>
                    </w:rPr>
                  </w:pPr>
                </w:p>
                <w:p w14:paraId="62030A0B">
                  <w:pPr>
                    <w:spacing w:line="265" w:lineRule="auto"/>
                    <w:rPr>
                      <w:rFonts w:ascii="Arial"/>
                      <w:sz w:val="21"/>
                    </w:rPr>
                  </w:pPr>
                </w:p>
                <w:p w14:paraId="6D8D60AA">
                  <w:pPr>
                    <w:spacing w:line="265" w:lineRule="auto"/>
                    <w:rPr>
                      <w:rFonts w:ascii="Arial"/>
                      <w:sz w:val="21"/>
                    </w:rPr>
                  </w:pPr>
                </w:p>
                <w:p w14:paraId="3ED06DA3">
                  <w:pPr>
                    <w:spacing w:line="265" w:lineRule="auto"/>
                    <w:rPr>
                      <w:rFonts w:ascii="Arial"/>
                      <w:sz w:val="21"/>
                    </w:rPr>
                  </w:pPr>
                </w:p>
                <w:p w14:paraId="2D0942DC">
                  <w:pPr>
                    <w:spacing w:line="266" w:lineRule="auto"/>
                    <w:rPr>
                      <w:rFonts w:ascii="Arial"/>
                      <w:sz w:val="21"/>
                    </w:rPr>
                  </w:pPr>
                </w:p>
                <w:p w14:paraId="6DB76959">
                  <w:pPr>
                    <w:pStyle w:val="6"/>
                    <w:spacing w:before="68" w:line="221" w:lineRule="auto"/>
                    <w:ind w:left="153"/>
                  </w:pPr>
                  <w:r>
                    <w:rPr>
                      <w:spacing w:val="-1"/>
                    </w:rPr>
                    <w:t>施工期</w:t>
                  </w:r>
                </w:p>
              </w:tc>
              <w:tc>
                <w:tcPr>
                  <w:tcW w:w="1516" w:type="dxa"/>
                  <w:vAlign w:val="top"/>
                </w:tcPr>
                <w:p w14:paraId="7D41E430">
                  <w:pPr>
                    <w:pStyle w:val="6"/>
                    <w:spacing w:before="211" w:line="223" w:lineRule="auto"/>
                    <w:ind w:left="548"/>
                  </w:pPr>
                  <w:r>
                    <w:rPr>
                      <w:spacing w:val="-2"/>
                    </w:rPr>
                    <w:t>扬尘</w:t>
                  </w:r>
                </w:p>
              </w:tc>
              <w:tc>
                <w:tcPr>
                  <w:tcW w:w="3611" w:type="dxa"/>
                  <w:vAlign w:val="top"/>
                </w:tcPr>
                <w:p w14:paraId="475F61DF">
                  <w:pPr>
                    <w:pStyle w:val="6"/>
                    <w:spacing w:before="53" w:line="220" w:lineRule="auto"/>
                    <w:ind w:left="130"/>
                  </w:pPr>
                  <w:r>
                    <w:rPr>
                      <w:spacing w:val="-2"/>
                    </w:rPr>
                    <w:t>洒水降尘、施工物料采用篷布覆盖、</w:t>
                  </w:r>
                </w:p>
                <w:p w14:paraId="3AEBF25D">
                  <w:pPr>
                    <w:pStyle w:val="6"/>
                    <w:spacing w:before="66" w:line="221" w:lineRule="auto"/>
                    <w:ind w:left="1598"/>
                  </w:pPr>
                  <w:r>
                    <w:rPr>
                      <w:spacing w:val="-2"/>
                    </w:rPr>
                    <w:t>遮挡</w:t>
                  </w:r>
                </w:p>
              </w:tc>
              <w:tc>
                <w:tcPr>
                  <w:tcW w:w="2272" w:type="dxa"/>
                  <w:vAlign w:val="top"/>
                </w:tcPr>
                <w:p w14:paraId="207FAE32">
                  <w:pPr>
                    <w:spacing w:before="247" w:line="233" w:lineRule="auto"/>
                    <w:ind w:left="102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w:t>
                  </w:r>
                </w:p>
              </w:tc>
            </w:tr>
            <w:tr w14:paraId="7BEA53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30" w:type="dxa"/>
                  <w:vMerge w:val="continue"/>
                  <w:tcBorders>
                    <w:top w:val="nil"/>
                    <w:bottom w:val="nil"/>
                  </w:tcBorders>
                  <w:vAlign w:val="top"/>
                </w:tcPr>
                <w:p w14:paraId="064F3467">
                  <w:pPr>
                    <w:rPr>
                      <w:rFonts w:ascii="Arial"/>
                      <w:sz w:val="21"/>
                    </w:rPr>
                  </w:pPr>
                </w:p>
              </w:tc>
              <w:tc>
                <w:tcPr>
                  <w:tcW w:w="1516" w:type="dxa"/>
                  <w:vAlign w:val="top"/>
                </w:tcPr>
                <w:p w14:paraId="22A0FE4B">
                  <w:pPr>
                    <w:pStyle w:val="6"/>
                    <w:spacing w:before="55" w:line="221" w:lineRule="auto"/>
                    <w:ind w:left="548"/>
                  </w:pPr>
                  <w:r>
                    <w:rPr>
                      <w:spacing w:val="-2"/>
                    </w:rPr>
                    <w:t>废水</w:t>
                  </w:r>
                </w:p>
              </w:tc>
              <w:tc>
                <w:tcPr>
                  <w:tcW w:w="3611" w:type="dxa"/>
                  <w:vAlign w:val="top"/>
                </w:tcPr>
                <w:p w14:paraId="379DFF66">
                  <w:pPr>
                    <w:pStyle w:val="6"/>
                    <w:spacing w:before="56" w:line="220" w:lineRule="auto"/>
                    <w:ind w:left="975"/>
                  </w:pPr>
                  <w:r>
                    <w:rPr>
                      <w:spacing w:val="-4"/>
                    </w:rPr>
                    <w:t>简易沉淀池（桶）</w:t>
                  </w:r>
                </w:p>
              </w:tc>
              <w:tc>
                <w:tcPr>
                  <w:tcW w:w="2272" w:type="dxa"/>
                  <w:vAlign w:val="top"/>
                </w:tcPr>
                <w:p w14:paraId="1D560657">
                  <w:pPr>
                    <w:spacing w:before="91" w:line="218" w:lineRule="auto"/>
                    <w:ind w:left="101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0.7</w:t>
                  </w:r>
                </w:p>
              </w:tc>
            </w:tr>
            <w:tr w14:paraId="6E4D0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30" w:type="dxa"/>
                  <w:vMerge w:val="continue"/>
                  <w:tcBorders>
                    <w:top w:val="nil"/>
                    <w:bottom w:val="nil"/>
                  </w:tcBorders>
                  <w:vAlign w:val="top"/>
                </w:tcPr>
                <w:p w14:paraId="07BF320D">
                  <w:pPr>
                    <w:rPr>
                      <w:rFonts w:ascii="Arial"/>
                      <w:sz w:val="21"/>
                    </w:rPr>
                  </w:pPr>
                </w:p>
              </w:tc>
              <w:tc>
                <w:tcPr>
                  <w:tcW w:w="1516" w:type="dxa"/>
                  <w:vAlign w:val="top"/>
                </w:tcPr>
                <w:p w14:paraId="5BB6EA9A">
                  <w:pPr>
                    <w:pStyle w:val="6"/>
                    <w:spacing w:before="54" w:line="221" w:lineRule="auto"/>
                    <w:ind w:left="359"/>
                  </w:pPr>
                  <w:r>
                    <w:rPr>
                      <w:spacing w:val="-6"/>
                    </w:rPr>
                    <w:t>固废处理</w:t>
                  </w:r>
                </w:p>
              </w:tc>
              <w:tc>
                <w:tcPr>
                  <w:tcW w:w="3611" w:type="dxa"/>
                  <w:vAlign w:val="top"/>
                </w:tcPr>
                <w:p w14:paraId="5889C59E">
                  <w:pPr>
                    <w:pStyle w:val="6"/>
                    <w:spacing w:before="53" w:line="221" w:lineRule="auto"/>
                    <w:ind w:left="1073"/>
                  </w:pPr>
                  <w:r>
                    <w:rPr>
                      <w:spacing w:val="-1"/>
                    </w:rPr>
                    <w:t>施工期固废收运</w:t>
                  </w:r>
                </w:p>
              </w:tc>
              <w:tc>
                <w:tcPr>
                  <w:tcW w:w="2272" w:type="dxa"/>
                  <w:vAlign w:val="top"/>
                </w:tcPr>
                <w:p w14:paraId="2A3B48EE">
                  <w:pPr>
                    <w:spacing w:before="89" w:line="220" w:lineRule="auto"/>
                    <w:ind w:left="101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w:t>
                  </w:r>
                </w:p>
              </w:tc>
            </w:tr>
            <w:tr w14:paraId="5EB23F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321" w:hRule="atLeast"/>
              </w:trPr>
              <w:tc>
                <w:tcPr>
                  <w:tcW w:w="930" w:type="dxa"/>
                  <w:vMerge w:val="continue"/>
                  <w:tcBorders>
                    <w:top w:val="nil"/>
                    <w:bottom w:val="nil"/>
                  </w:tcBorders>
                  <w:vAlign w:val="top"/>
                </w:tcPr>
                <w:p w14:paraId="26E4F9E6">
                  <w:pPr>
                    <w:rPr>
                      <w:rFonts w:ascii="Arial"/>
                      <w:sz w:val="21"/>
                    </w:rPr>
                  </w:pPr>
                </w:p>
              </w:tc>
              <w:tc>
                <w:tcPr>
                  <w:tcW w:w="1516" w:type="dxa"/>
                  <w:vAlign w:val="top"/>
                </w:tcPr>
                <w:p w14:paraId="0B9E57DC">
                  <w:pPr>
                    <w:pStyle w:val="6"/>
                    <w:spacing w:before="55" w:line="221" w:lineRule="auto"/>
                    <w:ind w:left="559"/>
                  </w:pPr>
                  <w:r>
                    <w:rPr>
                      <w:spacing w:val="-4"/>
                    </w:rPr>
                    <w:t>噪声</w:t>
                  </w:r>
                </w:p>
              </w:tc>
              <w:tc>
                <w:tcPr>
                  <w:tcW w:w="3611" w:type="dxa"/>
                  <w:vAlign w:val="top"/>
                </w:tcPr>
                <w:p w14:paraId="4F4B5CF2">
                  <w:pPr>
                    <w:pStyle w:val="6"/>
                    <w:spacing w:before="54" w:line="221" w:lineRule="auto"/>
                    <w:ind w:left="1402"/>
                  </w:pPr>
                  <w:r>
                    <w:rPr>
                      <w:spacing w:val="-5"/>
                    </w:rPr>
                    <w:t>临时围挡</w:t>
                  </w:r>
                </w:p>
              </w:tc>
              <w:tc>
                <w:tcPr>
                  <w:tcW w:w="2272" w:type="dxa"/>
                  <w:vAlign w:val="top"/>
                </w:tcPr>
                <w:p w14:paraId="412D1BC4">
                  <w:pPr>
                    <w:spacing w:before="89" w:line="220" w:lineRule="auto"/>
                    <w:ind w:left="101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0.5</w:t>
                  </w:r>
                </w:p>
              </w:tc>
            </w:tr>
            <w:tr w14:paraId="253E56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30" w:type="dxa"/>
                  <w:vMerge w:val="continue"/>
                  <w:tcBorders>
                    <w:top w:val="nil"/>
                    <w:bottom w:val="nil"/>
                  </w:tcBorders>
                  <w:vAlign w:val="top"/>
                </w:tcPr>
                <w:p w14:paraId="084ADC62">
                  <w:pPr>
                    <w:rPr>
                      <w:rFonts w:ascii="Arial"/>
                      <w:sz w:val="21"/>
                    </w:rPr>
                  </w:pPr>
                </w:p>
              </w:tc>
              <w:tc>
                <w:tcPr>
                  <w:tcW w:w="1516" w:type="dxa"/>
                  <w:vAlign w:val="top"/>
                </w:tcPr>
                <w:p w14:paraId="01CD10A3">
                  <w:pPr>
                    <w:pStyle w:val="6"/>
                    <w:spacing w:before="55" w:line="221" w:lineRule="auto"/>
                    <w:ind w:left="128"/>
                  </w:pPr>
                  <w:r>
                    <w:rPr>
                      <w:spacing w:val="-1"/>
                    </w:rPr>
                    <w:t>施工迹地恢复</w:t>
                  </w:r>
                </w:p>
              </w:tc>
              <w:tc>
                <w:tcPr>
                  <w:tcW w:w="3611" w:type="dxa"/>
                  <w:vAlign w:val="top"/>
                </w:tcPr>
                <w:p w14:paraId="65D8DDBB">
                  <w:pPr>
                    <w:pStyle w:val="6"/>
                    <w:spacing w:before="55" w:line="221" w:lineRule="auto"/>
                    <w:ind w:left="1178"/>
                  </w:pPr>
                  <w:r>
                    <w:rPr>
                      <w:spacing w:val="-1"/>
                    </w:rPr>
                    <w:t>施工场地清理</w:t>
                  </w:r>
                </w:p>
              </w:tc>
              <w:tc>
                <w:tcPr>
                  <w:tcW w:w="2272" w:type="dxa"/>
                  <w:vAlign w:val="top"/>
                </w:tcPr>
                <w:p w14:paraId="39DB2C8A">
                  <w:pPr>
                    <w:spacing w:before="90" w:line="219" w:lineRule="auto"/>
                    <w:ind w:left="10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r>
            <w:tr w14:paraId="08C70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930" w:type="dxa"/>
                  <w:vMerge w:val="continue"/>
                  <w:tcBorders>
                    <w:top w:val="nil"/>
                    <w:bottom w:val="nil"/>
                  </w:tcBorders>
                  <w:vAlign w:val="top"/>
                </w:tcPr>
                <w:p w14:paraId="6FC257C0">
                  <w:pPr>
                    <w:rPr>
                      <w:rFonts w:ascii="Arial"/>
                      <w:sz w:val="21"/>
                    </w:rPr>
                  </w:pPr>
                </w:p>
              </w:tc>
              <w:tc>
                <w:tcPr>
                  <w:tcW w:w="1516" w:type="dxa"/>
                  <w:vAlign w:val="top"/>
                </w:tcPr>
                <w:p w14:paraId="5C6CCECC">
                  <w:pPr>
                    <w:pStyle w:val="6"/>
                    <w:spacing w:before="213" w:line="221" w:lineRule="auto"/>
                    <w:ind w:left="235"/>
                  </w:pPr>
                  <w:r>
                    <w:rPr>
                      <w:spacing w:val="-2"/>
                    </w:rPr>
                    <w:t>敏感区设施</w:t>
                  </w:r>
                </w:p>
              </w:tc>
              <w:tc>
                <w:tcPr>
                  <w:tcW w:w="3611" w:type="dxa"/>
                  <w:vAlign w:val="top"/>
                </w:tcPr>
                <w:p w14:paraId="4C649ABF">
                  <w:pPr>
                    <w:pStyle w:val="6"/>
                    <w:spacing w:before="55" w:line="221" w:lineRule="auto"/>
                    <w:ind w:left="129"/>
                  </w:pPr>
                  <w:r>
                    <w:rPr>
                      <w:spacing w:val="-2"/>
                    </w:rPr>
                    <w:t>生态保护红线环保培训，警示标识、</w:t>
                  </w:r>
                </w:p>
                <w:p w14:paraId="16FD87A8">
                  <w:pPr>
                    <w:pStyle w:val="6"/>
                    <w:spacing w:before="64" w:line="221" w:lineRule="auto"/>
                    <w:ind w:left="1506"/>
                  </w:pPr>
                  <w:r>
                    <w:rPr>
                      <w:spacing w:val="-4"/>
                    </w:rPr>
                    <w:t>隔离带</w:t>
                  </w:r>
                </w:p>
              </w:tc>
              <w:tc>
                <w:tcPr>
                  <w:tcW w:w="2272" w:type="dxa"/>
                  <w:vAlign w:val="top"/>
                </w:tcPr>
                <w:p w14:paraId="139BDF96">
                  <w:pPr>
                    <w:spacing w:before="249" w:line="233" w:lineRule="auto"/>
                    <w:ind w:left="102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1.5</w:t>
                  </w:r>
                </w:p>
              </w:tc>
            </w:tr>
            <w:tr w14:paraId="10DBFD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930" w:type="dxa"/>
                  <w:vMerge w:val="continue"/>
                  <w:tcBorders>
                    <w:top w:val="nil"/>
                    <w:bottom w:val="nil"/>
                  </w:tcBorders>
                  <w:vAlign w:val="top"/>
                </w:tcPr>
                <w:p w14:paraId="65BC425F">
                  <w:pPr>
                    <w:rPr>
                      <w:rFonts w:ascii="Arial"/>
                      <w:sz w:val="21"/>
                    </w:rPr>
                  </w:pPr>
                </w:p>
              </w:tc>
              <w:tc>
                <w:tcPr>
                  <w:tcW w:w="1516" w:type="dxa"/>
                  <w:vAlign w:val="top"/>
                </w:tcPr>
                <w:p w14:paraId="022E0FEC">
                  <w:pPr>
                    <w:pStyle w:val="6"/>
                    <w:spacing w:before="214" w:line="221" w:lineRule="auto"/>
                    <w:ind w:left="343"/>
                  </w:pPr>
                  <w:r>
                    <w:rPr>
                      <w:spacing w:val="-2"/>
                    </w:rPr>
                    <w:t>水土保持</w:t>
                  </w:r>
                </w:p>
              </w:tc>
              <w:tc>
                <w:tcPr>
                  <w:tcW w:w="3611" w:type="dxa"/>
                  <w:vAlign w:val="top"/>
                </w:tcPr>
                <w:p w14:paraId="1699D547">
                  <w:pPr>
                    <w:pStyle w:val="6"/>
                    <w:spacing w:before="55" w:line="251" w:lineRule="auto"/>
                    <w:ind w:left="865" w:right="120" w:hanging="720"/>
                  </w:pPr>
                  <w:r>
                    <w:rPr>
                      <w:spacing w:val="-2"/>
                    </w:rPr>
                    <w:t>陡坡塔基、施工场地设置的浆砌石挡</w:t>
                  </w:r>
                  <w:r>
                    <w:rPr>
                      <w:spacing w:val="-1"/>
                    </w:rPr>
                    <w:t>土墙、护坡、排水沟</w:t>
                  </w:r>
                </w:p>
              </w:tc>
              <w:tc>
                <w:tcPr>
                  <w:tcW w:w="2272" w:type="dxa"/>
                  <w:vAlign w:val="top"/>
                </w:tcPr>
                <w:p w14:paraId="2F40E793">
                  <w:pPr>
                    <w:pStyle w:val="6"/>
                    <w:spacing w:before="214" w:line="221" w:lineRule="auto"/>
                    <w:ind w:left="195"/>
                  </w:pPr>
                  <w:r>
                    <w:rPr>
                      <w:spacing w:val="-1"/>
                    </w:rPr>
                    <w:t>计入水土保持工程费</w:t>
                  </w:r>
                </w:p>
              </w:tc>
            </w:tr>
            <w:tr w14:paraId="501735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30" w:type="dxa"/>
                  <w:vMerge w:val="continue"/>
                  <w:tcBorders>
                    <w:top w:val="nil"/>
                  </w:tcBorders>
                  <w:vAlign w:val="top"/>
                </w:tcPr>
                <w:p w14:paraId="1366FE09">
                  <w:pPr>
                    <w:rPr>
                      <w:rFonts w:ascii="Arial"/>
                      <w:sz w:val="21"/>
                    </w:rPr>
                  </w:pPr>
                </w:p>
              </w:tc>
              <w:tc>
                <w:tcPr>
                  <w:tcW w:w="1516" w:type="dxa"/>
                  <w:vAlign w:val="top"/>
                </w:tcPr>
                <w:p w14:paraId="3D76120E">
                  <w:pPr>
                    <w:pStyle w:val="6"/>
                    <w:spacing w:before="57" w:line="221" w:lineRule="auto"/>
                    <w:ind w:left="341"/>
                  </w:pPr>
                  <w:r>
                    <w:rPr>
                      <w:spacing w:val="-2"/>
                    </w:rPr>
                    <w:t>植被恢复</w:t>
                  </w:r>
                </w:p>
              </w:tc>
              <w:tc>
                <w:tcPr>
                  <w:tcW w:w="3611" w:type="dxa"/>
                  <w:vAlign w:val="top"/>
                </w:tcPr>
                <w:p w14:paraId="37E719F9">
                  <w:pPr>
                    <w:pStyle w:val="6"/>
                    <w:spacing w:before="57" w:line="221" w:lineRule="auto"/>
                    <w:ind w:left="771"/>
                  </w:pPr>
                  <w:r>
                    <w:rPr>
                      <w:spacing w:val="-2"/>
                    </w:rPr>
                    <w:t>临时占地植被恢复费用</w:t>
                  </w:r>
                </w:p>
              </w:tc>
              <w:tc>
                <w:tcPr>
                  <w:tcW w:w="2272" w:type="dxa"/>
                  <w:vAlign w:val="top"/>
                </w:tcPr>
                <w:p w14:paraId="56922E8D">
                  <w:pPr>
                    <w:pStyle w:val="6"/>
                    <w:spacing w:before="57" w:line="221" w:lineRule="auto"/>
                    <w:ind w:left="195"/>
                  </w:pPr>
                  <w:r>
                    <w:rPr>
                      <w:spacing w:val="-1"/>
                    </w:rPr>
                    <w:t>计入水土保持工程费</w:t>
                  </w:r>
                </w:p>
              </w:tc>
            </w:tr>
            <w:tr w14:paraId="250B7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6" w:hRule="atLeast"/>
              </w:trPr>
              <w:tc>
                <w:tcPr>
                  <w:tcW w:w="930" w:type="dxa"/>
                  <w:vMerge w:val="restart"/>
                  <w:tcBorders>
                    <w:bottom w:val="nil"/>
                  </w:tcBorders>
                  <w:vAlign w:val="top"/>
                </w:tcPr>
                <w:p w14:paraId="541ADEE1">
                  <w:pPr>
                    <w:spacing w:line="465" w:lineRule="auto"/>
                    <w:rPr>
                      <w:rFonts w:ascii="Arial"/>
                      <w:sz w:val="21"/>
                    </w:rPr>
                  </w:pPr>
                </w:p>
                <w:p w14:paraId="3D3909CE">
                  <w:pPr>
                    <w:pStyle w:val="6"/>
                    <w:spacing w:before="68" w:line="221" w:lineRule="auto"/>
                    <w:ind w:left="154"/>
                  </w:pPr>
                  <w:r>
                    <w:rPr>
                      <w:spacing w:val="-2"/>
                    </w:rPr>
                    <w:t>运营期</w:t>
                  </w:r>
                </w:p>
              </w:tc>
              <w:tc>
                <w:tcPr>
                  <w:tcW w:w="1516" w:type="dxa"/>
                  <w:vAlign w:val="top"/>
                </w:tcPr>
                <w:p w14:paraId="6B29E810">
                  <w:pPr>
                    <w:pStyle w:val="6"/>
                    <w:spacing w:before="216" w:line="221" w:lineRule="auto"/>
                    <w:ind w:left="153"/>
                  </w:pPr>
                  <w:r>
                    <w:rPr>
                      <w:spacing w:val="-5"/>
                    </w:rPr>
                    <w:t>电磁环境防护</w:t>
                  </w:r>
                </w:p>
              </w:tc>
              <w:tc>
                <w:tcPr>
                  <w:tcW w:w="3611" w:type="dxa"/>
                  <w:vAlign w:val="top"/>
                </w:tcPr>
                <w:p w14:paraId="7481908D">
                  <w:pPr>
                    <w:pStyle w:val="6"/>
                    <w:spacing w:before="57" w:line="221" w:lineRule="auto"/>
                    <w:ind w:left="128"/>
                  </w:pPr>
                  <w:r>
                    <w:rPr>
                      <w:spacing w:val="-1"/>
                    </w:rPr>
                    <w:t>塔基安全警示牌、电力设施保护标识</w:t>
                  </w:r>
                </w:p>
                <w:p w14:paraId="71F58390">
                  <w:pPr>
                    <w:pStyle w:val="6"/>
                    <w:spacing w:before="63" w:line="221" w:lineRule="auto"/>
                    <w:ind w:left="1706"/>
                  </w:pPr>
                  <w:r>
                    <w:t>牌</w:t>
                  </w:r>
                </w:p>
              </w:tc>
              <w:tc>
                <w:tcPr>
                  <w:tcW w:w="2272" w:type="dxa"/>
                  <w:vAlign w:val="top"/>
                </w:tcPr>
                <w:p w14:paraId="0C037104">
                  <w:pPr>
                    <w:spacing w:before="251" w:line="233" w:lineRule="auto"/>
                    <w:ind w:left="101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0.7</w:t>
                  </w:r>
                </w:p>
              </w:tc>
            </w:tr>
            <w:tr w14:paraId="2407BC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930" w:type="dxa"/>
                  <w:vMerge w:val="continue"/>
                  <w:tcBorders>
                    <w:top w:val="nil"/>
                  </w:tcBorders>
                  <w:vAlign w:val="top"/>
                </w:tcPr>
                <w:p w14:paraId="618FFD02">
                  <w:pPr>
                    <w:rPr>
                      <w:rFonts w:ascii="Arial"/>
                      <w:sz w:val="21"/>
                    </w:rPr>
                  </w:pPr>
                </w:p>
              </w:tc>
              <w:tc>
                <w:tcPr>
                  <w:tcW w:w="1516" w:type="dxa"/>
                  <w:vAlign w:val="top"/>
                </w:tcPr>
                <w:p w14:paraId="158C944D">
                  <w:pPr>
                    <w:pStyle w:val="6"/>
                    <w:spacing w:before="59" w:line="250" w:lineRule="auto"/>
                    <w:ind w:left="550" w:right="127" w:hanging="421"/>
                  </w:pPr>
                  <w:r>
                    <w:rPr>
                      <w:spacing w:val="-1"/>
                    </w:rPr>
                    <w:t>环境保护宣传</w:t>
                  </w:r>
                  <w:r>
                    <w:rPr>
                      <w:spacing w:val="-2"/>
                    </w:rPr>
                    <w:t>培训</w:t>
                  </w:r>
                </w:p>
              </w:tc>
              <w:tc>
                <w:tcPr>
                  <w:tcW w:w="3611" w:type="dxa"/>
                  <w:vAlign w:val="top"/>
                </w:tcPr>
                <w:p w14:paraId="1BB5C609">
                  <w:pPr>
                    <w:pStyle w:val="6"/>
                    <w:spacing w:before="59" w:line="250" w:lineRule="auto"/>
                    <w:ind w:left="233" w:right="120" w:hanging="105"/>
                  </w:pPr>
                  <w:r>
                    <w:rPr>
                      <w:spacing w:val="-1"/>
                    </w:rPr>
                    <w:t>相关法律法规、重点保护物种、保护措施的宣传培训、警示牌、宣传牌</w:t>
                  </w:r>
                </w:p>
              </w:tc>
              <w:tc>
                <w:tcPr>
                  <w:tcW w:w="2272" w:type="dxa"/>
                  <w:vAlign w:val="top"/>
                </w:tcPr>
                <w:p w14:paraId="640C0386">
                  <w:pPr>
                    <w:spacing w:before="251" w:line="233" w:lineRule="auto"/>
                    <w:ind w:left="10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r>
            <w:tr w14:paraId="630BA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30" w:type="dxa"/>
                  <w:vAlign w:val="top"/>
                </w:tcPr>
                <w:p w14:paraId="237E98BD">
                  <w:pPr>
                    <w:pStyle w:val="6"/>
                    <w:spacing w:before="58" w:line="220" w:lineRule="auto"/>
                    <w:ind w:left="260"/>
                  </w:pPr>
                  <w:r>
                    <w:rPr>
                      <w:spacing w:val="-2"/>
                    </w:rPr>
                    <w:t>其他</w:t>
                  </w:r>
                </w:p>
              </w:tc>
              <w:tc>
                <w:tcPr>
                  <w:tcW w:w="5127" w:type="dxa"/>
                  <w:gridSpan w:val="2"/>
                  <w:vAlign w:val="top"/>
                </w:tcPr>
                <w:p w14:paraId="154FE407">
                  <w:pPr>
                    <w:pStyle w:val="6"/>
                    <w:spacing w:before="58" w:line="220" w:lineRule="auto"/>
                    <w:ind w:left="1728"/>
                  </w:pPr>
                  <w:r>
                    <w:rPr>
                      <w:spacing w:val="-1"/>
                    </w:rPr>
                    <w:t>环评、水保、验收</w:t>
                  </w:r>
                </w:p>
              </w:tc>
              <w:tc>
                <w:tcPr>
                  <w:tcW w:w="2272" w:type="dxa"/>
                  <w:vAlign w:val="top"/>
                </w:tcPr>
                <w:p w14:paraId="0A53E316">
                  <w:pPr>
                    <w:spacing w:before="93" w:line="214" w:lineRule="auto"/>
                    <w:ind w:left="95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45.0</w:t>
                  </w:r>
                </w:p>
              </w:tc>
            </w:tr>
            <w:tr w14:paraId="643314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2446" w:type="dxa"/>
                  <w:gridSpan w:val="2"/>
                  <w:vAlign w:val="top"/>
                </w:tcPr>
                <w:p w14:paraId="32CBB644">
                  <w:pPr>
                    <w:pStyle w:val="6"/>
                    <w:spacing w:before="60" w:line="222" w:lineRule="auto"/>
                    <w:ind w:left="1019"/>
                  </w:pPr>
                  <w:r>
                    <w:rPr>
                      <w:spacing w:val="-2"/>
                    </w:rPr>
                    <w:t>合计</w:t>
                  </w:r>
                </w:p>
              </w:tc>
              <w:tc>
                <w:tcPr>
                  <w:tcW w:w="5883" w:type="dxa"/>
                  <w:gridSpan w:val="2"/>
                  <w:vAlign w:val="top"/>
                </w:tcPr>
                <w:p w14:paraId="6E254E95">
                  <w:pPr>
                    <w:spacing w:before="95" w:line="219" w:lineRule="auto"/>
                    <w:ind w:left="276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60.9</w:t>
                  </w:r>
                </w:p>
              </w:tc>
            </w:tr>
          </w:tbl>
          <w:p w14:paraId="2B8C6A53">
            <w:pPr>
              <w:rPr>
                <w:rFonts w:ascii="Arial"/>
                <w:sz w:val="21"/>
              </w:rPr>
            </w:pPr>
          </w:p>
        </w:tc>
      </w:tr>
    </w:tbl>
    <w:p w14:paraId="0801197E">
      <w:pPr>
        <w:rPr>
          <w:rFonts w:ascii="Arial"/>
          <w:sz w:val="21"/>
        </w:rPr>
      </w:pPr>
    </w:p>
    <w:p w14:paraId="205DCFE7">
      <w:pPr>
        <w:rPr>
          <w:rFonts w:ascii="Arial" w:hAnsi="Arial" w:eastAsia="Arial" w:cs="Arial"/>
          <w:sz w:val="21"/>
          <w:szCs w:val="21"/>
        </w:rPr>
        <w:sectPr>
          <w:footerReference r:id="rId84" w:type="default"/>
          <w:pgSz w:w="11907" w:h="16841"/>
          <w:pgMar w:top="400" w:right="1408" w:bottom="1126" w:left="1414" w:header="0" w:footer="925" w:gutter="0"/>
          <w:cols w:space="720" w:num="1"/>
        </w:sectPr>
      </w:pPr>
    </w:p>
    <w:p w14:paraId="16DEA9EE">
      <w:pPr>
        <w:spacing w:line="272" w:lineRule="auto"/>
        <w:rPr>
          <w:rFonts w:ascii="Arial"/>
          <w:sz w:val="21"/>
        </w:rPr>
      </w:pPr>
    </w:p>
    <w:p w14:paraId="59A27286">
      <w:pPr>
        <w:spacing w:line="273" w:lineRule="auto"/>
        <w:rPr>
          <w:rFonts w:ascii="Arial"/>
          <w:sz w:val="21"/>
        </w:rPr>
      </w:pPr>
    </w:p>
    <w:p w14:paraId="0C0926DF">
      <w:pPr>
        <w:spacing w:line="273" w:lineRule="auto"/>
        <w:rPr>
          <w:rFonts w:ascii="Arial"/>
          <w:sz w:val="21"/>
        </w:rPr>
      </w:pPr>
    </w:p>
    <w:p w14:paraId="2C811220">
      <w:pPr>
        <w:spacing w:line="273" w:lineRule="auto"/>
        <w:rPr>
          <w:rFonts w:ascii="Arial"/>
          <w:sz w:val="21"/>
        </w:rPr>
      </w:pPr>
    </w:p>
    <w:p w14:paraId="28C1E670">
      <w:pPr>
        <w:pStyle w:val="2"/>
        <w:spacing w:before="97" w:line="218" w:lineRule="auto"/>
        <w:ind w:left="1958"/>
        <w:rPr>
          <w:sz w:val="30"/>
          <w:szCs w:val="30"/>
        </w:rPr>
      </w:pPr>
      <w:bookmarkStart w:id="6" w:name="bookmark15"/>
      <w:bookmarkEnd w:id="6"/>
      <w:r>
        <w:rPr>
          <w:spacing w:val="-2"/>
          <w:sz w:val="30"/>
          <w:szCs w:val="30"/>
        </w:rPr>
        <w:t>六、生态环境保护措施监督检查清单</w:t>
      </w:r>
    </w:p>
    <w:p w14:paraId="52EDF058">
      <w:pPr>
        <w:spacing w:line="119" w:lineRule="exact"/>
      </w:pPr>
    </w:p>
    <w:tbl>
      <w:tblPr>
        <w:tblStyle w:val="5"/>
        <w:tblW w:w="86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2836"/>
        <w:gridCol w:w="1711"/>
        <w:gridCol w:w="1835"/>
        <w:gridCol w:w="1583"/>
      </w:tblGrid>
      <w:tr w14:paraId="6CB062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707" w:type="dxa"/>
            <w:vMerge w:val="restart"/>
            <w:tcBorders>
              <w:bottom w:val="nil"/>
              <w:tl2br w:val="single" w:color="000000" w:sz="2" w:space="0"/>
            </w:tcBorders>
            <w:vAlign w:val="top"/>
          </w:tcPr>
          <w:p w14:paraId="7A144572">
            <w:pPr>
              <w:pStyle w:val="6"/>
              <w:spacing w:before="60" w:line="263" w:lineRule="auto"/>
              <w:ind w:left="16" w:right="1" w:firstLine="295"/>
            </w:pPr>
            <w:r>
              <w:rPr>
                <w:b/>
                <w:bCs/>
                <w:spacing w:val="-23"/>
              </w:rPr>
              <w:t>内</w:t>
            </w:r>
            <w:r>
              <w:rPr>
                <w:b/>
                <w:bCs/>
                <w:spacing w:val="-13"/>
              </w:rPr>
              <w:t>容</w:t>
            </w:r>
            <w:r>
              <w:rPr>
                <w:b/>
                <w:bCs/>
                <w:spacing w:val="-4"/>
              </w:rPr>
              <w:t>要素</w:t>
            </w:r>
          </w:p>
        </w:tc>
        <w:tc>
          <w:tcPr>
            <w:tcW w:w="4547" w:type="dxa"/>
            <w:gridSpan w:val="2"/>
            <w:vAlign w:val="top"/>
          </w:tcPr>
          <w:p w14:paraId="5339A23B">
            <w:pPr>
              <w:pStyle w:val="6"/>
              <w:spacing w:before="61" w:line="221" w:lineRule="auto"/>
              <w:ind w:left="1962"/>
            </w:pPr>
            <w:r>
              <w:rPr>
                <w:b/>
                <w:bCs/>
                <w:spacing w:val="-4"/>
              </w:rPr>
              <w:t>施工期</w:t>
            </w:r>
          </w:p>
        </w:tc>
        <w:tc>
          <w:tcPr>
            <w:tcW w:w="3418" w:type="dxa"/>
            <w:gridSpan w:val="2"/>
            <w:vAlign w:val="top"/>
          </w:tcPr>
          <w:p w14:paraId="3DFD10F1">
            <w:pPr>
              <w:pStyle w:val="6"/>
              <w:spacing w:before="61" w:line="221" w:lineRule="auto"/>
              <w:ind w:left="1396"/>
            </w:pPr>
            <w:r>
              <w:rPr>
                <w:b/>
                <w:bCs/>
                <w:spacing w:val="-4"/>
              </w:rPr>
              <w:t>运营期</w:t>
            </w:r>
          </w:p>
        </w:tc>
      </w:tr>
      <w:tr w14:paraId="66CE97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1" w:hRule="atLeast"/>
        </w:trPr>
        <w:tc>
          <w:tcPr>
            <w:tcW w:w="707" w:type="dxa"/>
            <w:vMerge w:val="continue"/>
            <w:tcBorders>
              <w:top w:val="nil"/>
              <w:tl2br w:val="single" w:color="000000" w:sz="2" w:space="0"/>
            </w:tcBorders>
            <w:vAlign w:val="top"/>
          </w:tcPr>
          <w:p w14:paraId="6A237FE2">
            <w:pPr>
              <w:rPr>
                <w:rFonts w:ascii="Arial"/>
                <w:sz w:val="21"/>
              </w:rPr>
            </w:pPr>
          </w:p>
        </w:tc>
        <w:tc>
          <w:tcPr>
            <w:tcW w:w="2836" w:type="dxa"/>
            <w:vAlign w:val="top"/>
          </w:tcPr>
          <w:p w14:paraId="3342261D">
            <w:pPr>
              <w:pStyle w:val="6"/>
              <w:spacing w:before="56" w:line="221" w:lineRule="auto"/>
              <w:ind w:left="791"/>
            </w:pPr>
            <w:r>
              <w:rPr>
                <w:b/>
                <w:bCs/>
                <w:spacing w:val="-3"/>
              </w:rPr>
              <w:t>环境保护措施</w:t>
            </w:r>
          </w:p>
        </w:tc>
        <w:tc>
          <w:tcPr>
            <w:tcW w:w="1711" w:type="dxa"/>
            <w:vAlign w:val="top"/>
          </w:tcPr>
          <w:p w14:paraId="5C437503">
            <w:pPr>
              <w:pStyle w:val="6"/>
              <w:spacing w:before="55" w:line="221" w:lineRule="auto"/>
              <w:ind w:left="439"/>
            </w:pPr>
            <w:r>
              <w:rPr>
                <w:b/>
                <w:bCs/>
                <w:spacing w:val="-3"/>
              </w:rPr>
              <w:t>验收要求</w:t>
            </w:r>
          </w:p>
        </w:tc>
        <w:tc>
          <w:tcPr>
            <w:tcW w:w="1835" w:type="dxa"/>
            <w:vAlign w:val="top"/>
          </w:tcPr>
          <w:p w14:paraId="57A31F40">
            <w:pPr>
              <w:pStyle w:val="6"/>
              <w:spacing w:before="56" w:line="221" w:lineRule="auto"/>
              <w:ind w:left="291"/>
            </w:pPr>
            <w:r>
              <w:rPr>
                <w:b/>
                <w:bCs/>
                <w:spacing w:val="-3"/>
              </w:rPr>
              <w:t>环境保护措施</w:t>
            </w:r>
          </w:p>
        </w:tc>
        <w:tc>
          <w:tcPr>
            <w:tcW w:w="1583" w:type="dxa"/>
            <w:vAlign w:val="top"/>
          </w:tcPr>
          <w:p w14:paraId="7DA2C593">
            <w:pPr>
              <w:pStyle w:val="6"/>
              <w:spacing w:before="55" w:line="221" w:lineRule="auto"/>
              <w:ind w:left="376"/>
            </w:pPr>
            <w:r>
              <w:rPr>
                <w:b/>
                <w:bCs/>
                <w:spacing w:val="-3"/>
              </w:rPr>
              <w:t>验收要求</w:t>
            </w:r>
          </w:p>
        </w:tc>
      </w:tr>
      <w:tr w14:paraId="0B5AED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357" w:hRule="atLeast"/>
        </w:trPr>
        <w:tc>
          <w:tcPr>
            <w:tcW w:w="707" w:type="dxa"/>
            <w:vAlign w:val="top"/>
          </w:tcPr>
          <w:p w14:paraId="2D935CCA">
            <w:pPr>
              <w:spacing w:line="241" w:lineRule="auto"/>
              <w:rPr>
                <w:rFonts w:ascii="Arial"/>
                <w:sz w:val="21"/>
              </w:rPr>
            </w:pPr>
          </w:p>
          <w:p w14:paraId="1732F921">
            <w:pPr>
              <w:spacing w:line="241" w:lineRule="auto"/>
              <w:rPr>
                <w:rFonts w:ascii="Arial"/>
                <w:sz w:val="21"/>
              </w:rPr>
            </w:pPr>
          </w:p>
          <w:p w14:paraId="053F3AE9">
            <w:pPr>
              <w:spacing w:line="241" w:lineRule="auto"/>
              <w:rPr>
                <w:rFonts w:ascii="Arial"/>
                <w:sz w:val="21"/>
              </w:rPr>
            </w:pPr>
          </w:p>
          <w:p w14:paraId="59220EF6">
            <w:pPr>
              <w:spacing w:line="241" w:lineRule="auto"/>
              <w:rPr>
                <w:rFonts w:ascii="Arial"/>
                <w:sz w:val="21"/>
              </w:rPr>
            </w:pPr>
          </w:p>
          <w:p w14:paraId="0D85D1F6">
            <w:pPr>
              <w:spacing w:line="241" w:lineRule="auto"/>
              <w:rPr>
                <w:rFonts w:ascii="Arial"/>
                <w:sz w:val="21"/>
              </w:rPr>
            </w:pPr>
          </w:p>
          <w:p w14:paraId="73E60EAD">
            <w:pPr>
              <w:spacing w:line="242" w:lineRule="auto"/>
              <w:rPr>
                <w:rFonts w:ascii="Arial"/>
                <w:sz w:val="21"/>
              </w:rPr>
            </w:pPr>
          </w:p>
          <w:p w14:paraId="2FE2C08C">
            <w:pPr>
              <w:spacing w:line="242" w:lineRule="auto"/>
              <w:rPr>
                <w:rFonts w:ascii="Arial"/>
                <w:sz w:val="21"/>
              </w:rPr>
            </w:pPr>
          </w:p>
          <w:p w14:paraId="56F4354C">
            <w:pPr>
              <w:spacing w:line="242" w:lineRule="auto"/>
              <w:rPr>
                <w:rFonts w:ascii="Arial"/>
                <w:sz w:val="21"/>
              </w:rPr>
            </w:pPr>
          </w:p>
          <w:p w14:paraId="5DF20BC0">
            <w:pPr>
              <w:spacing w:line="242" w:lineRule="auto"/>
              <w:rPr>
                <w:rFonts w:ascii="Arial"/>
                <w:sz w:val="21"/>
              </w:rPr>
            </w:pPr>
          </w:p>
          <w:p w14:paraId="12CED572">
            <w:pPr>
              <w:spacing w:line="242" w:lineRule="auto"/>
              <w:rPr>
                <w:rFonts w:ascii="Arial"/>
                <w:sz w:val="21"/>
              </w:rPr>
            </w:pPr>
          </w:p>
          <w:p w14:paraId="073F53CE">
            <w:pPr>
              <w:spacing w:line="242" w:lineRule="auto"/>
              <w:rPr>
                <w:rFonts w:ascii="Arial"/>
                <w:sz w:val="21"/>
              </w:rPr>
            </w:pPr>
          </w:p>
          <w:p w14:paraId="7310F1CE">
            <w:pPr>
              <w:spacing w:line="242" w:lineRule="auto"/>
              <w:rPr>
                <w:rFonts w:ascii="Arial"/>
                <w:sz w:val="21"/>
              </w:rPr>
            </w:pPr>
          </w:p>
          <w:p w14:paraId="4664EC54">
            <w:pPr>
              <w:spacing w:line="242" w:lineRule="auto"/>
              <w:rPr>
                <w:rFonts w:ascii="Arial"/>
                <w:sz w:val="21"/>
              </w:rPr>
            </w:pPr>
          </w:p>
          <w:p w14:paraId="35B6C866">
            <w:pPr>
              <w:spacing w:line="242" w:lineRule="auto"/>
              <w:rPr>
                <w:rFonts w:ascii="Arial"/>
                <w:sz w:val="21"/>
              </w:rPr>
            </w:pPr>
          </w:p>
          <w:p w14:paraId="396A1C0E">
            <w:pPr>
              <w:spacing w:line="242" w:lineRule="auto"/>
              <w:rPr>
                <w:rFonts w:ascii="Arial"/>
                <w:sz w:val="21"/>
              </w:rPr>
            </w:pPr>
          </w:p>
          <w:p w14:paraId="1352383C">
            <w:pPr>
              <w:spacing w:line="242" w:lineRule="auto"/>
              <w:rPr>
                <w:rFonts w:ascii="Arial"/>
                <w:sz w:val="21"/>
              </w:rPr>
            </w:pPr>
          </w:p>
          <w:p w14:paraId="0C2AE56B">
            <w:pPr>
              <w:spacing w:line="242" w:lineRule="auto"/>
              <w:rPr>
                <w:rFonts w:ascii="Arial"/>
                <w:sz w:val="21"/>
              </w:rPr>
            </w:pPr>
          </w:p>
          <w:p w14:paraId="2769B32B">
            <w:pPr>
              <w:spacing w:line="242" w:lineRule="auto"/>
              <w:rPr>
                <w:rFonts w:ascii="Arial"/>
                <w:sz w:val="21"/>
              </w:rPr>
            </w:pPr>
          </w:p>
          <w:p w14:paraId="14B0B569">
            <w:pPr>
              <w:spacing w:line="242" w:lineRule="auto"/>
              <w:rPr>
                <w:rFonts w:ascii="Arial"/>
                <w:sz w:val="21"/>
              </w:rPr>
            </w:pPr>
          </w:p>
          <w:p w14:paraId="736EA331">
            <w:pPr>
              <w:spacing w:line="242" w:lineRule="auto"/>
              <w:rPr>
                <w:rFonts w:ascii="Arial"/>
                <w:sz w:val="21"/>
              </w:rPr>
            </w:pPr>
          </w:p>
          <w:p w14:paraId="5CEF022E">
            <w:pPr>
              <w:spacing w:line="242" w:lineRule="auto"/>
              <w:rPr>
                <w:rFonts w:ascii="Arial"/>
                <w:sz w:val="21"/>
              </w:rPr>
            </w:pPr>
          </w:p>
          <w:p w14:paraId="159102EF">
            <w:pPr>
              <w:spacing w:line="242" w:lineRule="auto"/>
              <w:rPr>
                <w:rFonts w:ascii="Arial"/>
                <w:sz w:val="21"/>
              </w:rPr>
            </w:pPr>
          </w:p>
          <w:p w14:paraId="78CC8D69">
            <w:pPr>
              <w:spacing w:line="242" w:lineRule="auto"/>
              <w:rPr>
                <w:rFonts w:ascii="Arial"/>
                <w:sz w:val="21"/>
              </w:rPr>
            </w:pPr>
          </w:p>
          <w:p w14:paraId="1578B00A">
            <w:pPr>
              <w:spacing w:line="242" w:lineRule="auto"/>
              <w:rPr>
                <w:rFonts w:ascii="Arial"/>
                <w:sz w:val="21"/>
              </w:rPr>
            </w:pPr>
          </w:p>
          <w:p w14:paraId="1AC88495">
            <w:pPr>
              <w:pStyle w:val="6"/>
              <w:spacing w:before="68" w:line="291" w:lineRule="auto"/>
              <w:ind w:left="151" w:right="138" w:firstLine="9"/>
            </w:pPr>
            <w:r>
              <w:rPr>
                <w:spacing w:val="-9"/>
              </w:rPr>
              <w:t>陆生</w:t>
            </w:r>
            <w:r>
              <w:rPr>
                <w:spacing w:val="-4"/>
              </w:rPr>
              <w:t>生态</w:t>
            </w:r>
          </w:p>
        </w:tc>
        <w:tc>
          <w:tcPr>
            <w:tcW w:w="2836" w:type="dxa"/>
            <w:vAlign w:val="top"/>
          </w:tcPr>
          <w:p w14:paraId="183CE986">
            <w:pPr>
              <w:pStyle w:val="6"/>
              <w:spacing w:before="55" w:line="285" w:lineRule="auto"/>
              <w:ind w:left="113" w:right="47" w:firstLine="7"/>
            </w:pPr>
            <w:r>
              <w:rPr>
                <w:spacing w:val="-2"/>
              </w:rPr>
              <w:t>（</w:t>
            </w:r>
            <w:r>
              <w:rPr>
                <w:rFonts w:ascii="Times New Roman" w:hAnsi="Times New Roman" w:eastAsia="Times New Roman" w:cs="Times New Roman"/>
                <w:spacing w:val="-2"/>
              </w:rPr>
              <w:t>1</w:t>
            </w:r>
            <w:r>
              <w:rPr>
                <w:spacing w:val="-2"/>
              </w:rPr>
              <w:t>）路径优化：避让敏感区</w:t>
            </w:r>
            <w:r>
              <w:rPr>
                <w:spacing w:val="-5"/>
              </w:rPr>
              <w:t>及优质林区，塔基高跨林区；</w:t>
            </w:r>
            <w:r>
              <w:rPr>
                <w:spacing w:val="-2"/>
              </w:rPr>
              <w:t>优化布局减少临时占地。</w:t>
            </w:r>
          </w:p>
          <w:p w14:paraId="14E66B02">
            <w:pPr>
              <w:pStyle w:val="6"/>
              <w:spacing w:before="4" w:line="284" w:lineRule="auto"/>
              <w:ind w:left="106" w:right="103" w:firstLine="14"/>
            </w:pPr>
            <w:r>
              <w:rPr>
                <w:spacing w:val="-2"/>
              </w:rPr>
              <w:t>（</w:t>
            </w:r>
            <w:r>
              <w:rPr>
                <w:rFonts w:ascii="Times New Roman" w:hAnsi="Times New Roman" w:eastAsia="Times New Roman" w:cs="Times New Roman"/>
                <w:spacing w:val="-2"/>
              </w:rPr>
              <w:t>2</w:t>
            </w:r>
            <w:r>
              <w:rPr>
                <w:spacing w:val="-2"/>
              </w:rPr>
              <w:t>）塔基设计：选用根开小</w:t>
            </w:r>
            <w:r>
              <w:rPr>
                <w:rFonts w:ascii="Times New Roman" w:hAnsi="Times New Roman" w:eastAsia="Times New Roman" w:cs="Times New Roman"/>
                <w:spacing w:val="3"/>
              </w:rPr>
              <w:t>/</w:t>
            </w:r>
            <w:r>
              <w:rPr>
                <w:spacing w:val="3"/>
              </w:rPr>
              <w:t>档距大的塔型，采用掏挖式</w:t>
            </w:r>
            <w:r>
              <w:rPr>
                <w:spacing w:val="8"/>
              </w:rPr>
              <w:t>基础、全方位高低腿铁塔减</w:t>
            </w:r>
            <w:r>
              <w:t>少开挖。</w:t>
            </w:r>
          </w:p>
          <w:p w14:paraId="2153EB4F">
            <w:pPr>
              <w:pStyle w:val="6"/>
              <w:spacing w:before="6" w:line="286" w:lineRule="auto"/>
              <w:ind w:left="113" w:right="103" w:firstLine="7"/>
            </w:pPr>
            <w:r>
              <w:rPr>
                <w:spacing w:val="-2"/>
              </w:rPr>
              <w:t>（</w:t>
            </w:r>
            <w:r>
              <w:rPr>
                <w:rFonts w:ascii="Times New Roman" w:hAnsi="Times New Roman" w:eastAsia="Times New Roman" w:cs="Times New Roman"/>
                <w:spacing w:val="-2"/>
              </w:rPr>
              <w:t>3</w:t>
            </w:r>
            <w:r>
              <w:rPr>
                <w:spacing w:val="-2"/>
              </w:rPr>
              <w:t>）施工管控：严格按红线</w:t>
            </w:r>
            <w:r>
              <w:rPr>
                <w:spacing w:val="-9"/>
              </w:rPr>
              <w:t>施工，限定机械作业范围，避</w:t>
            </w:r>
            <w:r>
              <w:rPr>
                <w:spacing w:val="7"/>
              </w:rPr>
              <w:t>免碾压植被；表土剥离单独</w:t>
            </w:r>
            <w:r>
              <w:rPr>
                <w:spacing w:val="-4"/>
              </w:rPr>
              <w:t>堆存防护。</w:t>
            </w:r>
          </w:p>
          <w:p w14:paraId="7EE29272">
            <w:pPr>
              <w:pStyle w:val="6"/>
              <w:spacing w:before="2" w:line="285" w:lineRule="auto"/>
              <w:ind w:left="114" w:right="103" w:firstLine="6"/>
            </w:pPr>
            <w:r>
              <w:rPr>
                <w:spacing w:val="-2"/>
              </w:rPr>
              <w:t>（</w:t>
            </w:r>
            <w:r>
              <w:rPr>
                <w:rFonts w:ascii="Times New Roman" w:hAnsi="Times New Roman" w:eastAsia="Times New Roman" w:cs="Times New Roman"/>
                <w:spacing w:val="-2"/>
              </w:rPr>
              <w:t>4</w:t>
            </w:r>
            <w:r>
              <w:rPr>
                <w:spacing w:val="-2"/>
              </w:rPr>
              <w:t>）污染防控：废水禁排水</w:t>
            </w:r>
            <w:r>
              <w:rPr>
                <w:spacing w:val="-10"/>
              </w:rPr>
              <w:t>体，材料堆放远离水源；施工</w:t>
            </w:r>
            <w:r>
              <w:rPr>
                <w:spacing w:val="7"/>
              </w:rPr>
              <w:t>后清运建筑垃圾，绿色工艺</w:t>
            </w:r>
            <w:r>
              <w:rPr>
                <w:spacing w:val="-5"/>
              </w:rPr>
              <w:t>减少扰动。</w:t>
            </w:r>
          </w:p>
          <w:p w14:paraId="381D08C2">
            <w:pPr>
              <w:pStyle w:val="6"/>
              <w:spacing w:before="3" w:line="285" w:lineRule="auto"/>
              <w:ind w:left="115" w:right="103" w:firstLine="5"/>
            </w:pPr>
            <w:r>
              <w:rPr>
                <w:spacing w:val="-2"/>
              </w:rPr>
              <w:t>（</w:t>
            </w:r>
            <w:r>
              <w:rPr>
                <w:rFonts w:ascii="Times New Roman" w:hAnsi="Times New Roman" w:eastAsia="Times New Roman" w:cs="Times New Roman"/>
                <w:spacing w:val="-2"/>
              </w:rPr>
              <w:t>5</w:t>
            </w:r>
            <w:r>
              <w:rPr>
                <w:spacing w:val="-2"/>
              </w:rPr>
              <w:t>）物种保护：禁止猎杀野</w:t>
            </w:r>
            <w:r>
              <w:rPr>
                <w:spacing w:val="-10"/>
              </w:rPr>
              <w:t>生动物，妥善处置动物卵；发</w:t>
            </w:r>
            <w:r>
              <w:rPr>
                <w:spacing w:val="7"/>
              </w:rPr>
              <w:t>现保护植物立即避让或专业</w:t>
            </w:r>
            <w:r>
              <w:rPr>
                <w:spacing w:val="-9"/>
              </w:rPr>
              <w:t>移植。</w:t>
            </w:r>
          </w:p>
          <w:p w14:paraId="5FBD99CD">
            <w:pPr>
              <w:pStyle w:val="6"/>
              <w:spacing w:before="1" w:line="285" w:lineRule="auto"/>
              <w:ind w:left="113" w:right="103" w:firstLine="7"/>
            </w:pPr>
            <w:r>
              <w:rPr>
                <w:spacing w:val="-2"/>
              </w:rPr>
              <w:t>（</w:t>
            </w:r>
            <w:r>
              <w:rPr>
                <w:rFonts w:ascii="Times New Roman" w:hAnsi="Times New Roman" w:eastAsia="Times New Roman" w:cs="Times New Roman"/>
                <w:spacing w:val="-2"/>
              </w:rPr>
              <w:t>6</w:t>
            </w:r>
            <w:r>
              <w:rPr>
                <w:spacing w:val="-2"/>
              </w:rPr>
              <w:t>）入侵防控：铲除外来入</w:t>
            </w:r>
            <w:r>
              <w:rPr>
                <w:spacing w:val="-9"/>
              </w:rPr>
              <w:t>侵植物（如鬼针草</w:t>
            </w:r>
            <w:r>
              <w:rPr>
                <w:spacing w:val="-10"/>
              </w:rPr>
              <w:t>），</w:t>
            </w:r>
            <w:r>
              <w:rPr>
                <w:spacing w:val="-9"/>
              </w:rPr>
              <w:t>修复区</w:t>
            </w:r>
            <w:r>
              <w:rPr>
                <w:spacing w:val="-3"/>
              </w:rPr>
              <w:t>优先使用乡土物种。</w:t>
            </w:r>
          </w:p>
          <w:p w14:paraId="29B9B6EE">
            <w:pPr>
              <w:pStyle w:val="6"/>
              <w:spacing w:before="1" w:line="286" w:lineRule="auto"/>
              <w:ind w:left="115" w:right="103" w:firstLine="5"/>
            </w:pPr>
            <w:r>
              <w:rPr>
                <w:spacing w:val="-2"/>
              </w:rPr>
              <w:t>（</w:t>
            </w:r>
            <w:r>
              <w:rPr>
                <w:rFonts w:ascii="Times New Roman" w:hAnsi="Times New Roman" w:eastAsia="Times New Roman" w:cs="Times New Roman"/>
                <w:spacing w:val="-2"/>
              </w:rPr>
              <w:t>7</w:t>
            </w:r>
            <w:r>
              <w:rPr>
                <w:spacing w:val="-2"/>
              </w:rPr>
              <w:t>）植被恢复：分层回铺表</w:t>
            </w:r>
            <w:r>
              <w:rPr>
                <w:spacing w:val="-3"/>
              </w:rPr>
              <w:t>土，适地适树恢复针叶林</w:t>
            </w:r>
            <w:r>
              <w:rPr>
                <w:rFonts w:ascii="Times New Roman" w:hAnsi="Times New Roman" w:eastAsia="Times New Roman" w:cs="Times New Roman"/>
                <w:spacing w:val="-3"/>
              </w:rPr>
              <w:t>+</w:t>
            </w:r>
            <w:r>
              <w:rPr>
                <w:spacing w:val="-3"/>
              </w:rPr>
              <w:t>灌</w:t>
            </w:r>
            <w:r>
              <w:rPr>
                <w:spacing w:val="-10"/>
              </w:rPr>
              <w:t>草系统；临时占地按“原土回</w:t>
            </w:r>
            <w:r>
              <w:rPr>
                <w:spacing w:val="-3"/>
              </w:rPr>
              <w:t>填</w:t>
            </w:r>
            <w:r>
              <w:rPr>
                <w:rFonts w:ascii="Times New Roman" w:hAnsi="Times New Roman" w:eastAsia="Times New Roman" w:cs="Times New Roman"/>
                <w:spacing w:val="-3"/>
              </w:rPr>
              <w:t>+</w:t>
            </w:r>
            <w:r>
              <w:rPr>
                <w:spacing w:val="-3"/>
              </w:rPr>
              <w:t>本土物种”修复。</w:t>
            </w:r>
          </w:p>
          <w:p w14:paraId="5FDA1E9D">
            <w:pPr>
              <w:pStyle w:val="6"/>
              <w:spacing w:before="1" w:line="285" w:lineRule="auto"/>
              <w:ind w:left="113" w:right="106" w:firstLine="7"/>
            </w:pPr>
            <w:r>
              <w:rPr>
                <w:spacing w:val="-2"/>
              </w:rPr>
              <w:t>（</w:t>
            </w:r>
            <w:r>
              <w:rPr>
                <w:rFonts w:ascii="Times New Roman" w:hAnsi="Times New Roman" w:eastAsia="Times New Roman" w:cs="Times New Roman"/>
                <w:spacing w:val="-2"/>
              </w:rPr>
              <w:t>8</w:t>
            </w:r>
            <w:r>
              <w:rPr>
                <w:spacing w:val="-2"/>
              </w:rPr>
              <w:t>）补偿机制：依法办理林</w:t>
            </w:r>
            <w:r>
              <w:rPr>
                <w:spacing w:val="7"/>
              </w:rPr>
              <w:t>地占用手续，落实采伐补偿</w:t>
            </w:r>
            <w:r>
              <w:rPr>
                <w:spacing w:val="-1"/>
              </w:rPr>
              <w:t>及生态修复基金。</w:t>
            </w:r>
          </w:p>
          <w:p w14:paraId="46340443">
            <w:pPr>
              <w:pStyle w:val="6"/>
              <w:spacing w:before="1" w:line="221" w:lineRule="auto"/>
              <w:ind w:left="116"/>
            </w:pPr>
            <w:r>
              <w:rPr>
                <w:b/>
                <w:bCs/>
                <w:spacing w:val="-3"/>
              </w:rPr>
              <w:t>生态保护红线管控</w:t>
            </w:r>
          </w:p>
          <w:p w14:paraId="4815532C">
            <w:pPr>
              <w:pStyle w:val="6"/>
              <w:spacing w:before="74" w:line="281" w:lineRule="auto"/>
              <w:ind w:left="112" w:right="104" w:firstLine="7"/>
            </w:pPr>
            <w:r>
              <w:rPr>
                <w:spacing w:val="-2"/>
              </w:rPr>
              <w:t>（</w:t>
            </w:r>
            <w:r>
              <w:rPr>
                <w:rFonts w:ascii="Times New Roman" w:hAnsi="Times New Roman" w:eastAsia="Times New Roman" w:cs="Times New Roman"/>
                <w:spacing w:val="-2"/>
              </w:rPr>
              <w:t>1</w:t>
            </w:r>
            <w:r>
              <w:rPr>
                <w:spacing w:val="-2"/>
              </w:rPr>
              <w:t>）设计优化：调整塔基位</w:t>
            </w:r>
            <w:r>
              <w:rPr>
                <w:spacing w:val="2"/>
              </w:rPr>
              <w:t>置减少红线占用；采用飞艇</w:t>
            </w:r>
            <w:r>
              <w:rPr>
                <w:rFonts w:ascii="Times New Roman" w:hAnsi="Times New Roman" w:eastAsia="Times New Roman" w:cs="Times New Roman"/>
                <w:spacing w:val="2"/>
              </w:rPr>
              <w:t>/</w:t>
            </w:r>
            <w:r>
              <w:rPr>
                <w:spacing w:val="-1"/>
              </w:rPr>
              <w:t>无人机放线减少地表扰动。</w:t>
            </w:r>
          </w:p>
          <w:p w14:paraId="3506C61D">
            <w:pPr>
              <w:pStyle w:val="6"/>
              <w:spacing w:before="16" w:line="282" w:lineRule="auto"/>
              <w:ind w:left="114" w:right="103" w:firstLine="6"/>
            </w:pPr>
            <w:r>
              <w:rPr>
                <w:spacing w:val="-2"/>
              </w:rPr>
              <w:t>（</w:t>
            </w:r>
            <w:r>
              <w:rPr>
                <w:rFonts w:ascii="Times New Roman" w:hAnsi="Times New Roman" w:eastAsia="Times New Roman" w:cs="Times New Roman"/>
                <w:spacing w:val="-2"/>
              </w:rPr>
              <w:t>2</w:t>
            </w:r>
            <w:r>
              <w:rPr>
                <w:spacing w:val="-2"/>
              </w:rPr>
              <w:t>）施工限制：红线内禁设三场</w:t>
            </w:r>
            <w:r>
              <w:rPr>
                <w:rFonts w:ascii="Times New Roman" w:hAnsi="Times New Roman" w:eastAsia="Times New Roman" w:cs="Times New Roman"/>
                <w:spacing w:val="-2"/>
              </w:rPr>
              <w:t>/</w:t>
            </w:r>
            <w:r>
              <w:rPr>
                <w:spacing w:val="-2"/>
              </w:rPr>
              <w:t>临时道路，禁止开挖</w:t>
            </w:r>
            <w:r>
              <w:rPr>
                <w:rFonts w:ascii="Times New Roman" w:hAnsi="Times New Roman" w:eastAsia="Times New Roman" w:cs="Times New Roman"/>
                <w:spacing w:val="-2"/>
              </w:rPr>
              <w:t>/</w:t>
            </w:r>
            <w:r>
              <w:rPr>
                <w:spacing w:val="-2"/>
              </w:rPr>
              <w:t>堆</w:t>
            </w:r>
            <w:r>
              <w:rPr>
                <w:spacing w:val="-1"/>
              </w:rPr>
              <w:t>放弃土垃圾。</w:t>
            </w:r>
          </w:p>
          <w:p w14:paraId="0F62F1E1">
            <w:pPr>
              <w:pStyle w:val="6"/>
              <w:spacing w:before="13" w:line="259" w:lineRule="auto"/>
              <w:ind w:left="134" w:right="106" w:hanging="14"/>
            </w:pPr>
            <w:r>
              <w:rPr>
                <w:spacing w:val="-2"/>
              </w:rPr>
              <w:t>（</w:t>
            </w:r>
            <w:r>
              <w:rPr>
                <w:rFonts w:ascii="Times New Roman" w:hAnsi="Times New Roman" w:eastAsia="Times New Roman" w:cs="Times New Roman"/>
                <w:spacing w:val="-2"/>
              </w:rPr>
              <w:t>3</w:t>
            </w:r>
            <w:r>
              <w:rPr>
                <w:spacing w:val="-2"/>
              </w:rPr>
              <w:t>）生态恢复：施工后原地</w:t>
            </w:r>
            <w:r>
              <w:rPr>
                <w:spacing w:val="5"/>
              </w:rPr>
              <w:t>回填土方，种植乡土乔灌草</w:t>
            </w:r>
          </w:p>
        </w:tc>
        <w:tc>
          <w:tcPr>
            <w:tcW w:w="1711" w:type="dxa"/>
            <w:vAlign w:val="top"/>
          </w:tcPr>
          <w:p w14:paraId="06CD749C">
            <w:pPr>
              <w:spacing w:line="241" w:lineRule="auto"/>
              <w:rPr>
                <w:rFonts w:ascii="Arial"/>
                <w:sz w:val="21"/>
              </w:rPr>
            </w:pPr>
          </w:p>
          <w:p w14:paraId="3C50E765">
            <w:pPr>
              <w:spacing w:line="241" w:lineRule="auto"/>
              <w:rPr>
                <w:rFonts w:ascii="Arial"/>
                <w:sz w:val="21"/>
              </w:rPr>
            </w:pPr>
          </w:p>
          <w:p w14:paraId="1296B3B5">
            <w:pPr>
              <w:spacing w:line="241" w:lineRule="auto"/>
              <w:rPr>
                <w:rFonts w:ascii="Arial"/>
                <w:sz w:val="21"/>
              </w:rPr>
            </w:pPr>
          </w:p>
          <w:p w14:paraId="47654043">
            <w:pPr>
              <w:spacing w:line="241" w:lineRule="auto"/>
              <w:rPr>
                <w:rFonts w:ascii="Arial"/>
                <w:sz w:val="21"/>
              </w:rPr>
            </w:pPr>
          </w:p>
          <w:p w14:paraId="5676AEEB">
            <w:pPr>
              <w:spacing w:line="241" w:lineRule="auto"/>
              <w:rPr>
                <w:rFonts w:ascii="Arial"/>
                <w:sz w:val="21"/>
              </w:rPr>
            </w:pPr>
          </w:p>
          <w:p w14:paraId="5B88EDA7">
            <w:pPr>
              <w:spacing w:line="241" w:lineRule="auto"/>
              <w:rPr>
                <w:rFonts w:ascii="Arial"/>
                <w:sz w:val="21"/>
              </w:rPr>
            </w:pPr>
          </w:p>
          <w:p w14:paraId="79339321">
            <w:pPr>
              <w:spacing w:line="241" w:lineRule="auto"/>
              <w:rPr>
                <w:rFonts w:ascii="Arial"/>
                <w:sz w:val="21"/>
              </w:rPr>
            </w:pPr>
          </w:p>
          <w:p w14:paraId="4312D607">
            <w:pPr>
              <w:spacing w:line="241" w:lineRule="auto"/>
              <w:rPr>
                <w:rFonts w:ascii="Arial"/>
                <w:sz w:val="21"/>
              </w:rPr>
            </w:pPr>
          </w:p>
          <w:p w14:paraId="0241AEB5">
            <w:pPr>
              <w:spacing w:line="242" w:lineRule="auto"/>
              <w:rPr>
                <w:rFonts w:ascii="Arial"/>
                <w:sz w:val="21"/>
              </w:rPr>
            </w:pPr>
          </w:p>
          <w:p w14:paraId="17534759">
            <w:pPr>
              <w:spacing w:line="242" w:lineRule="auto"/>
              <w:rPr>
                <w:rFonts w:ascii="Arial"/>
                <w:sz w:val="21"/>
              </w:rPr>
            </w:pPr>
          </w:p>
          <w:p w14:paraId="6225F77D">
            <w:pPr>
              <w:spacing w:line="242" w:lineRule="auto"/>
              <w:rPr>
                <w:rFonts w:ascii="Arial"/>
                <w:sz w:val="21"/>
              </w:rPr>
            </w:pPr>
          </w:p>
          <w:p w14:paraId="37B24BDD">
            <w:pPr>
              <w:spacing w:line="242" w:lineRule="auto"/>
              <w:rPr>
                <w:rFonts w:ascii="Arial"/>
                <w:sz w:val="21"/>
              </w:rPr>
            </w:pPr>
          </w:p>
          <w:p w14:paraId="1CDBC0A5">
            <w:pPr>
              <w:spacing w:line="242" w:lineRule="auto"/>
              <w:rPr>
                <w:rFonts w:ascii="Arial"/>
                <w:sz w:val="21"/>
              </w:rPr>
            </w:pPr>
          </w:p>
          <w:p w14:paraId="6DD20C8E">
            <w:pPr>
              <w:spacing w:line="242" w:lineRule="auto"/>
              <w:rPr>
                <w:rFonts w:ascii="Arial"/>
                <w:sz w:val="21"/>
              </w:rPr>
            </w:pPr>
          </w:p>
          <w:p w14:paraId="51471122">
            <w:pPr>
              <w:spacing w:line="242" w:lineRule="auto"/>
              <w:rPr>
                <w:rFonts w:ascii="Arial"/>
                <w:sz w:val="21"/>
              </w:rPr>
            </w:pPr>
          </w:p>
          <w:p w14:paraId="0EA057E9">
            <w:pPr>
              <w:spacing w:line="242" w:lineRule="auto"/>
              <w:rPr>
                <w:rFonts w:ascii="Arial"/>
                <w:sz w:val="21"/>
              </w:rPr>
            </w:pPr>
          </w:p>
          <w:p w14:paraId="7EB1D622">
            <w:pPr>
              <w:spacing w:line="242" w:lineRule="auto"/>
              <w:rPr>
                <w:rFonts w:ascii="Arial"/>
                <w:sz w:val="21"/>
              </w:rPr>
            </w:pPr>
          </w:p>
          <w:p w14:paraId="41BC87B1">
            <w:pPr>
              <w:spacing w:line="242" w:lineRule="auto"/>
              <w:rPr>
                <w:rFonts w:ascii="Arial"/>
                <w:sz w:val="21"/>
              </w:rPr>
            </w:pPr>
          </w:p>
          <w:p w14:paraId="3F01BAC7">
            <w:pPr>
              <w:pStyle w:val="6"/>
              <w:spacing w:before="68" w:line="221" w:lineRule="auto"/>
              <w:ind w:left="124"/>
            </w:pPr>
            <w:r>
              <w:rPr>
                <w:spacing w:val="-1"/>
              </w:rPr>
              <w:t>施工迹地清理完</w:t>
            </w:r>
          </w:p>
          <w:p w14:paraId="414C4BDB">
            <w:pPr>
              <w:pStyle w:val="6"/>
              <w:spacing w:before="75" w:line="221" w:lineRule="auto"/>
              <w:ind w:left="127"/>
            </w:pPr>
            <w:r>
              <w:rPr>
                <w:spacing w:val="-1"/>
              </w:rPr>
              <w:t>成，植被得以恢</w:t>
            </w:r>
          </w:p>
          <w:p w14:paraId="2C52C14F">
            <w:pPr>
              <w:pStyle w:val="6"/>
              <w:spacing w:before="73" w:line="221" w:lineRule="auto"/>
              <w:ind w:left="131"/>
            </w:pPr>
            <w:r>
              <w:rPr>
                <w:spacing w:val="-3"/>
              </w:rPr>
              <w:t>复，未发生较大</w:t>
            </w:r>
          </w:p>
          <w:p w14:paraId="70C22649">
            <w:pPr>
              <w:pStyle w:val="6"/>
              <w:spacing w:before="73" w:line="221" w:lineRule="auto"/>
              <w:ind w:left="127"/>
            </w:pPr>
            <w:r>
              <w:rPr>
                <w:spacing w:val="-4"/>
              </w:rPr>
              <w:t>生态破坏情况。</w:t>
            </w:r>
          </w:p>
          <w:p w14:paraId="6492CF16">
            <w:pPr>
              <w:pStyle w:val="6"/>
              <w:spacing w:before="74" w:line="221" w:lineRule="auto"/>
              <w:ind w:left="127"/>
            </w:pPr>
            <w:r>
              <w:rPr>
                <w:spacing w:val="-1"/>
              </w:rPr>
              <w:t>生态保护红线内</w:t>
            </w:r>
          </w:p>
          <w:p w14:paraId="343BED74">
            <w:pPr>
              <w:pStyle w:val="6"/>
              <w:spacing w:before="72" w:line="221" w:lineRule="auto"/>
              <w:ind w:left="138"/>
            </w:pPr>
            <w:r>
              <w:rPr>
                <w:spacing w:val="-3"/>
              </w:rPr>
              <w:t>除塔基下方必要</w:t>
            </w:r>
          </w:p>
          <w:p w14:paraId="51C65930">
            <w:pPr>
              <w:pStyle w:val="6"/>
              <w:spacing w:before="75" w:line="221" w:lineRule="auto"/>
              <w:ind w:left="142"/>
            </w:pPr>
            <w:r>
              <w:rPr>
                <w:spacing w:val="-4"/>
              </w:rPr>
              <w:t>的施工场地，禁</w:t>
            </w:r>
          </w:p>
          <w:p w14:paraId="13CA8F49">
            <w:pPr>
              <w:pStyle w:val="6"/>
              <w:spacing w:before="73" w:line="222" w:lineRule="auto"/>
              <w:ind w:left="126"/>
            </w:pPr>
            <w:r>
              <w:rPr>
                <w:spacing w:val="-1"/>
              </w:rPr>
              <w:t>止设置施工“三</w:t>
            </w:r>
          </w:p>
          <w:p w14:paraId="3932CDA7">
            <w:pPr>
              <w:pStyle w:val="6"/>
              <w:spacing w:before="71" w:line="220" w:lineRule="auto"/>
              <w:ind w:left="124"/>
            </w:pPr>
            <w:r>
              <w:rPr>
                <w:spacing w:val="-4"/>
              </w:rPr>
              <w:t>场”及牵张场，</w:t>
            </w:r>
          </w:p>
          <w:p w14:paraId="57EF4724">
            <w:pPr>
              <w:pStyle w:val="6"/>
              <w:spacing w:before="76" w:line="221" w:lineRule="auto"/>
              <w:ind w:left="125"/>
            </w:pPr>
            <w:r>
              <w:rPr>
                <w:spacing w:val="-1"/>
              </w:rPr>
              <w:t>禁止开挖施工道</w:t>
            </w:r>
          </w:p>
          <w:p w14:paraId="719764F7">
            <w:pPr>
              <w:pStyle w:val="6"/>
              <w:spacing w:before="73" w:line="221" w:lineRule="auto"/>
              <w:ind w:left="547"/>
            </w:pPr>
            <w:r>
              <w:rPr>
                <w:spacing w:val="-9"/>
              </w:rPr>
              <w:t>路等。</w:t>
            </w:r>
          </w:p>
        </w:tc>
        <w:tc>
          <w:tcPr>
            <w:tcW w:w="1835" w:type="dxa"/>
            <w:vAlign w:val="top"/>
          </w:tcPr>
          <w:p w14:paraId="48A7800F">
            <w:pPr>
              <w:spacing w:line="246" w:lineRule="auto"/>
              <w:rPr>
                <w:rFonts w:ascii="Arial"/>
                <w:sz w:val="21"/>
              </w:rPr>
            </w:pPr>
          </w:p>
          <w:p w14:paraId="09DA5EDC">
            <w:pPr>
              <w:spacing w:line="247" w:lineRule="auto"/>
              <w:rPr>
                <w:rFonts w:ascii="Arial"/>
                <w:sz w:val="21"/>
              </w:rPr>
            </w:pPr>
          </w:p>
          <w:p w14:paraId="492FF64F">
            <w:pPr>
              <w:spacing w:line="247" w:lineRule="auto"/>
              <w:rPr>
                <w:rFonts w:ascii="Arial"/>
                <w:sz w:val="21"/>
              </w:rPr>
            </w:pPr>
          </w:p>
          <w:p w14:paraId="7728CED0">
            <w:pPr>
              <w:spacing w:line="247" w:lineRule="auto"/>
              <w:rPr>
                <w:rFonts w:ascii="Arial"/>
                <w:sz w:val="21"/>
              </w:rPr>
            </w:pPr>
          </w:p>
          <w:p w14:paraId="1C5DE7F2">
            <w:pPr>
              <w:spacing w:line="247" w:lineRule="auto"/>
              <w:rPr>
                <w:rFonts w:ascii="Arial"/>
                <w:sz w:val="21"/>
              </w:rPr>
            </w:pPr>
          </w:p>
          <w:p w14:paraId="747547BE">
            <w:pPr>
              <w:spacing w:line="247" w:lineRule="auto"/>
              <w:rPr>
                <w:rFonts w:ascii="Arial"/>
                <w:sz w:val="21"/>
              </w:rPr>
            </w:pPr>
          </w:p>
          <w:p w14:paraId="3E7CB17F">
            <w:pPr>
              <w:spacing w:line="247" w:lineRule="auto"/>
              <w:rPr>
                <w:rFonts w:ascii="Arial"/>
                <w:sz w:val="21"/>
              </w:rPr>
            </w:pPr>
          </w:p>
          <w:p w14:paraId="7AF06C19">
            <w:pPr>
              <w:spacing w:line="247" w:lineRule="auto"/>
              <w:rPr>
                <w:rFonts w:ascii="Arial"/>
                <w:sz w:val="21"/>
              </w:rPr>
            </w:pPr>
          </w:p>
          <w:p w14:paraId="0626ED21">
            <w:pPr>
              <w:spacing w:line="247" w:lineRule="auto"/>
              <w:rPr>
                <w:rFonts w:ascii="Arial"/>
                <w:sz w:val="21"/>
              </w:rPr>
            </w:pPr>
          </w:p>
          <w:p w14:paraId="3B852176">
            <w:pPr>
              <w:spacing w:line="247" w:lineRule="auto"/>
              <w:rPr>
                <w:rFonts w:ascii="Arial"/>
                <w:sz w:val="21"/>
              </w:rPr>
            </w:pPr>
          </w:p>
          <w:p w14:paraId="79F21359">
            <w:pPr>
              <w:spacing w:line="247" w:lineRule="auto"/>
              <w:rPr>
                <w:rFonts w:ascii="Arial"/>
                <w:sz w:val="21"/>
              </w:rPr>
            </w:pPr>
          </w:p>
          <w:p w14:paraId="1513DC5F">
            <w:pPr>
              <w:spacing w:line="247" w:lineRule="auto"/>
              <w:rPr>
                <w:rFonts w:ascii="Arial"/>
                <w:sz w:val="21"/>
              </w:rPr>
            </w:pPr>
          </w:p>
          <w:p w14:paraId="638F2266">
            <w:pPr>
              <w:spacing w:line="247" w:lineRule="auto"/>
              <w:rPr>
                <w:rFonts w:ascii="Arial"/>
                <w:sz w:val="21"/>
              </w:rPr>
            </w:pPr>
          </w:p>
          <w:p w14:paraId="763DC4D0">
            <w:pPr>
              <w:spacing w:line="247" w:lineRule="auto"/>
              <w:rPr>
                <w:rFonts w:ascii="Arial"/>
                <w:sz w:val="21"/>
              </w:rPr>
            </w:pPr>
          </w:p>
          <w:p w14:paraId="5BCCB573">
            <w:pPr>
              <w:spacing w:line="247" w:lineRule="auto"/>
              <w:rPr>
                <w:rFonts w:ascii="Arial"/>
                <w:sz w:val="21"/>
              </w:rPr>
            </w:pPr>
          </w:p>
          <w:p w14:paraId="12988CA7">
            <w:pPr>
              <w:pStyle w:val="6"/>
              <w:spacing w:before="68" w:line="286" w:lineRule="auto"/>
              <w:ind w:left="188" w:right="175" w:firstLine="3"/>
              <w:jc w:val="both"/>
            </w:pPr>
            <w:r>
              <w:rPr>
                <w:spacing w:val="-2"/>
              </w:rPr>
              <w:t>项目运行期对线</w:t>
            </w:r>
            <w:r>
              <w:rPr>
                <w:spacing w:val="-1"/>
              </w:rPr>
              <w:t>路和塔基进行定期巡查和检修，应对运行维护人员进行生态环境</w:t>
            </w:r>
            <w:r>
              <w:rPr>
                <w:spacing w:val="16"/>
              </w:rPr>
              <w:t>保护宣传和教</w:t>
            </w:r>
            <w:r>
              <w:rPr>
                <w:spacing w:val="-1"/>
              </w:rPr>
              <w:t>育，尤其是野生动植物保护相关</w:t>
            </w:r>
            <w:r>
              <w:rPr>
                <w:spacing w:val="-4"/>
              </w:rPr>
              <w:t>知识的培训，增</w:t>
            </w:r>
            <w:r>
              <w:rPr>
                <w:spacing w:val="16"/>
              </w:rPr>
              <w:t>强环境保护意</w:t>
            </w:r>
            <w:r>
              <w:rPr>
                <w:spacing w:val="-1"/>
              </w:rPr>
              <w:t>识，禁止维护人</w:t>
            </w:r>
            <w:r>
              <w:rPr>
                <w:spacing w:val="16"/>
              </w:rPr>
              <w:t>员引入外来物</w:t>
            </w:r>
            <w:r>
              <w:rPr>
                <w:spacing w:val="-1"/>
              </w:rPr>
              <w:t>种，不对周边的动植物及生态环</w:t>
            </w:r>
            <w:r>
              <w:rPr>
                <w:spacing w:val="16"/>
              </w:rPr>
              <w:t>境进行破坏。</w:t>
            </w:r>
          </w:p>
        </w:tc>
        <w:tc>
          <w:tcPr>
            <w:tcW w:w="1583" w:type="dxa"/>
            <w:vAlign w:val="top"/>
          </w:tcPr>
          <w:p w14:paraId="6BA00976">
            <w:pPr>
              <w:spacing w:line="249" w:lineRule="auto"/>
              <w:rPr>
                <w:rFonts w:ascii="Arial"/>
                <w:sz w:val="21"/>
              </w:rPr>
            </w:pPr>
          </w:p>
          <w:p w14:paraId="05CF6171">
            <w:pPr>
              <w:spacing w:line="249" w:lineRule="auto"/>
              <w:rPr>
                <w:rFonts w:ascii="Arial"/>
                <w:sz w:val="21"/>
              </w:rPr>
            </w:pPr>
          </w:p>
          <w:p w14:paraId="07452E03">
            <w:pPr>
              <w:spacing w:line="249" w:lineRule="auto"/>
              <w:rPr>
                <w:rFonts w:ascii="Arial"/>
                <w:sz w:val="21"/>
              </w:rPr>
            </w:pPr>
          </w:p>
          <w:p w14:paraId="725B9961">
            <w:pPr>
              <w:spacing w:line="250" w:lineRule="auto"/>
              <w:rPr>
                <w:rFonts w:ascii="Arial"/>
                <w:sz w:val="21"/>
              </w:rPr>
            </w:pPr>
          </w:p>
          <w:p w14:paraId="659FCE93">
            <w:pPr>
              <w:spacing w:line="250" w:lineRule="auto"/>
              <w:rPr>
                <w:rFonts w:ascii="Arial"/>
                <w:sz w:val="21"/>
              </w:rPr>
            </w:pPr>
          </w:p>
          <w:p w14:paraId="2F2B089B">
            <w:pPr>
              <w:spacing w:line="250" w:lineRule="auto"/>
              <w:rPr>
                <w:rFonts w:ascii="Arial"/>
                <w:sz w:val="21"/>
              </w:rPr>
            </w:pPr>
          </w:p>
          <w:p w14:paraId="097C9FDF">
            <w:pPr>
              <w:spacing w:line="250" w:lineRule="auto"/>
              <w:rPr>
                <w:rFonts w:ascii="Arial"/>
                <w:sz w:val="21"/>
              </w:rPr>
            </w:pPr>
          </w:p>
          <w:p w14:paraId="41F85117">
            <w:pPr>
              <w:spacing w:line="250" w:lineRule="auto"/>
              <w:rPr>
                <w:rFonts w:ascii="Arial"/>
                <w:sz w:val="21"/>
              </w:rPr>
            </w:pPr>
          </w:p>
          <w:p w14:paraId="078E55ED">
            <w:pPr>
              <w:spacing w:line="250" w:lineRule="auto"/>
              <w:rPr>
                <w:rFonts w:ascii="Arial"/>
                <w:sz w:val="21"/>
              </w:rPr>
            </w:pPr>
          </w:p>
          <w:p w14:paraId="0F3700CB">
            <w:pPr>
              <w:spacing w:line="250" w:lineRule="auto"/>
              <w:rPr>
                <w:rFonts w:ascii="Arial"/>
                <w:sz w:val="21"/>
              </w:rPr>
            </w:pPr>
          </w:p>
          <w:p w14:paraId="1314E4AB">
            <w:pPr>
              <w:spacing w:line="250" w:lineRule="auto"/>
              <w:rPr>
                <w:rFonts w:ascii="Arial"/>
                <w:sz w:val="21"/>
              </w:rPr>
            </w:pPr>
          </w:p>
          <w:p w14:paraId="3B040A80">
            <w:pPr>
              <w:spacing w:line="250" w:lineRule="auto"/>
              <w:rPr>
                <w:rFonts w:ascii="Arial"/>
                <w:sz w:val="21"/>
              </w:rPr>
            </w:pPr>
          </w:p>
          <w:p w14:paraId="1AB3D3A7">
            <w:pPr>
              <w:spacing w:line="250" w:lineRule="auto"/>
              <w:rPr>
                <w:rFonts w:ascii="Arial"/>
                <w:sz w:val="21"/>
              </w:rPr>
            </w:pPr>
          </w:p>
          <w:p w14:paraId="1988868E">
            <w:pPr>
              <w:spacing w:line="250" w:lineRule="auto"/>
              <w:rPr>
                <w:rFonts w:ascii="Arial"/>
                <w:sz w:val="21"/>
              </w:rPr>
            </w:pPr>
          </w:p>
          <w:p w14:paraId="5147896B">
            <w:pPr>
              <w:spacing w:line="250" w:lineRule="auto"/>
              <w:rPr>
                <w:rFonts w:ascii="Arial"/>
                <w:sz w:val="21"/>
              </w:rPr>
            </w:pPr>
          </w:p>
          <w:p w14:paraId="3F000632">
            <w:pPr>
              <w:spacing w:line="250" w:lineRule="auto"/>
              <w:rPr>
                <w:rFonts w:ascii="Arial"/>
                <w:sz w:val="21"/>
              </w:rPr>
            </w:pPr>
          </w:p>
          <w:p w14:paraId="66D582A6">
            <w:pPr>
              <w:spacing w:line="250" w:lineRule="auto"/>
              <w:rPr>
                <w:rFonts w:ascii="Arial"/>
                <w:sz w:val="21"/>
              </w:rPr>
            </w:pPr>
          </w:p>
          <w:p w14:paraId="503695B9">
            <w:pPr>
              <w:spacing w:line="250" w:lineRule="auto"/>
              <w:rPr>
                <w:rFonts w:ascii="Arial"/>
                <w:sz w:val="21"/>
              </w:rPr>
            </w:pPr>
          </w:p>
          <w:p w14:paraId="277182F9">
            <w:pPr>
              <w:spacing w:line="250" w:lineRule="auto"/>
              <w:rPr>
                <w:rFonts w:ascii="Arial"/>
                <w:sz w:val="21"/>
              </w:rPr>
            </w:pPr>
          </w:p>
          <w:p w14:paraId="4EC27D1D">
            <w:pPr>
              <w:spacing w:line="250" w:lineRule="auto"/>
              <w:rPr>
                <w:rFonts w:ascii="Arial"/>
                <w:sz w:val="21"/>
              </w:rPr>
            </w:pPr>
          </w:p>
          <w:p w14:paraId="12C1B594">
            <w:pPr>
              <w:pStyle w:val="6"/>
              <w:spacing w:before="68" w:line="286" w:lineRule="auto"/>
              <w:ind w:left="167" w:right="155"/>
              <w:jc w:val="both"/>
            </w:pPr>
            <w:r>
              <w:rPr>
                <w:spacing w:val="-1"/>
              </w:rPr>
              <w:t>对穿越林区的输电线路，仅允许对线路通道内的超高树木采取削枝措施，禁止砍伐</w:t>
            </w:r>
            <w:r>
              <w:rPr>
                <w:spacing w:val="16"/>
              </w:rPr>
              <w:t>维护通道。</w:t>
            </w:r>
          </w:p>
        </w:tc>
      </w:tr>
    </w:tbl>
    <w:p w14:paraId="086E8EDD">
      <w:pPr>
        <w:rPr>
          <w:rFonts w:ascii="Arial"/>
          <w:sz w:val="21"/>
        </w:rPr>
      </w:pPr>
    </w:p>
    <w:p w14:paraId="0882BC6C">
      <w:pPr>
        <w:rPr>
          <w:rFonts w:ascii="Arial" w:hAnsi="Arial" w:eastAsia="Arial" w:cs="Arial"/>
          <w:sz w:val="21"/>
          <w:szCs w:val="21"/>
        </w:rPr>
        <w:sectPr>
          <w:footerReference r:id="rId85" w:type="default"/>
          <w:pgSz w:w="11907" w:h="16841"/>
          <w:pgMar w:top="400" w:right="1612" w:bottom="1125" w:left="1615" w:header="0" w:footer="925" w:gutter="0"/>
          <w:cols w:space="720" w:num="1"/>
        </w:sectPr>
      </w:pPr>
    </w:p>
    <w:p w14:paraId="17735AED">
      <w:pPr>
        <w:spacing w:before="13"/>
      </w:pPr>
    </w:p>
    <w:p w14:paraId="51458C2E">
      <w:pPr>
        <w:spacing w:before="13"/>
      </w:pPr>
    </w:p>
    <w:p w14:paraId="32236406">
      <w:pPr>
        <w:spacing w:before="13"/>
      </w:pPr>
    </w:p>
    <w:p w14:paraId="612CEC60">
      <w:pPr>
        <w:spacing w:before="13"/>
      </w:pPr>
    </w:p>
    <w:tbl>
      <w:tblPr>
        <w:tblStyle w:val="5"/>
        <w:tblW w:w="86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2836"/>
        <w:gridCol w:w="1711"/>
        <w:gridCol w:w="1835"/>
        <w:gridCol w:w="1583"/>
      </w:tblGrid>
      <w:tr w14:paraId="42A9E6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707" w:type="dxa"/>
            <w:vAlign w:val="top"/>
          </w:tcPr>
          <w:p w14:paraId="5CC83142">
            <w:pPr>
              <w:rPr>
                <w:rFonts w:ascii="Arial"/>
                <w:sz w:val="21"/>
              </w:rPr>
            </w:pPr>
          </w:p>
        </w:tc>
        <w:tc>
          <w:tcPr>
            <w:tcW w:w="2836" w:type="dxa"/>
            <w:vAlign w:val="top"/>
          </w:tcPr>
          <w:p w14:paraId="645D4074">
            <w:pPr>
              <w:pStyle w:val="6"/>
              <w:spacing w:before="60" w:line="221" w:lineRule="auto"/>
              <w:ind w:left="119"/>
            </w:pPr>
            <w:bookmarkStart w:id="7" w:name="bookmark16"/>
            <w:bookmarkEnd w:id="7"/>
            <w:r>
              <w:rPr>
                <w:spacing w:val="-2"/>
              </w:rPr>
              <w:t>并加强养护。</w:t>
            </w:r>
          </w:p>
        </w:tc>
        <w:tc>
          <w:tcPr>
            <w:tcW w:w="1711" w:type="dxa"/>
            <w:vAlign w:val="top"/>
          </w:tcPr>
          <w:p w14:paraId="5D4B05C1">
            <w:pPr>
              <w:rPr>
                <w:rFonts w:ascii="Arial"/>
                <w:sz w:val="21"/>
              </w:rPr>
            </w:pPr>
          </w:p>
        </w:tc>
        <w:tc>
          <w:tcPr>
            <w:tcW w:w="1835" w:type="dxa"/>
            <w:vAlign w:val="top"/>
          </w:tcPr>
          <w:p w14:paraId="3B13D70B">
            <w:pPr>
              <w:rPr>
                <w:rFonts w:ascii="Arial"/>
                <w:sz w:val="21"/>
              </w:rPr>
            </w:pPr>
          </w:p>
        </w:tc>
        <w:tc>
          <w:tcPr>
            <w:tcW w:w="1583" w:type="dxa"/>
            <w:vAlign w:val="top"/>
          </w:tcPr>
          <w:p w14:paraId="5BC71178">
            <w:pPr>
              <w:rPr>
                <w:rFonts w:ascii="Arial"/>
                <w:sz w:val="21"/>
              </w:rPr>
            </w:pPr>
          </w:p>
        </w:tc>
      </w:tr>
      <w:tr w14:paraId="08072A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707" w:type="dxa"/>
            <w:vAlign w:val="top"/>
          </w:tcPr>
          <w:p w14:paraId="14D4C653">
            <w:pPr>
              <w:pStyle w:val="6"/>
              <w:spacing w:before="72" w:line="221" w:lineRule="auto"/>
              <w:ind w:left="152"/>
            </w:pPr>
            <w:r>
              <w:rPr>
                <w:spacing w:val="-3"/>
              </w:rPr>
              <w:t>水生</w:t>
            </w:r>
          </w:p>
          <w:p w14:paraId="0F9442FD">
            <w:pPr>
              <w:pStyle w:val="6"/>
              <w:spacing w:before="72" w:line="226" w:lineRule="auto"/>
              <w:ind w:left="151"/>
            </w:pPr>
            <w:r>
              <w:rPr>
                <w:spacing w:val="-2"/>
              </w:rPr>
              <w:t>生态</w:t>
            </w:r>
          </w:p>
        </w:tc>
        <w:tc>
          <w:tcPr>
            <w:tcW w:w="2836" w:type="dxa"/>
            <w:vAlign w:val="top"/>
          </w:tcPr>
          <w:p w14:paraId="1C1ABD2E">
            <w:pPr>
              <w:spacing w:before="268" w:line="233" w:lineRule="auto"/>
              <w:ind w:left="138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711" w:type="dxa"/>
            <w:vAlign w:val="top"/>
          </w:tcPr>
          <w:p w14:paraId="46E45B57">
            <w:pPr>
              <w:spacing w:before="268" w:line="233" w:lineRule="auto"/>
              <w:ind w:left="823"/>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835" w:type="dxa"/>
            <w:vAlign w:val="top"/>
          </w:tcPr>
          <w:p w14:paraId="7DF5169F">
            <w:pPr>
              <w:spacing w:before="268" w:line="233" w:lineRule="auto"/>
              <w:ind w:left="88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583" w:type="dxa"/>
            <w:vAlign w:val="top"/>
          </w:tcPr>
          <w:p w14:paraId="5ED82867">
            <w:pPr>
              <w:spacing w:before="268" w:line="233" w:lineRule="auto"/>
              <w:ind w:left="760"/>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087FA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3" w:hRule="atLeast"/>
        </w:trPr>
        <w:tc>
          <w:tcPr>
            <w:tcW w:w="707" w:type="dxa"/>
            <w:vAlign w:val="top"/>
          </w:tcPr>
          <w:p w14:paraId="0E8D7E7C">
            <w:pPr>
              <w:spacing w:line="280" w:lineRule="auto"/>
              <w:rPr>
                <w:rFonts w:ascii="Arial"/>
                <w:sz w:val="21"/>
              </w:rPr>
            </w:pPr>
          </w:p>
          <w:p w14:paraId="50D856C8">
            <w:pPr>
              <w:spacing w:line="280" w:lineRule="auto"/>
              <w:rPr>
                <w:rFonts w:ascii="Arial"/>
                <w:sz w:val="21"/>
              </w:rPr>
            </w:pPr>
          </w:p>
          <w:p w14:paraId="271074AA">
            <w:pPr>
              <w:spacing w:line="280" w:lineRule="auto"/>
              <w:rPr>
                <w:rFonts w:ascii="Arial"/>
                <w:sz w:val="21"/>
              </w:rPr>
            </w:pPr>
          </w:p>
          <w:p w14:paraId="11C31930">
            <w:pPr>
              <w:spacing w:line="280" w:lineRule="auto"/>
              <w:rPr>
                <w:rFonts w:ascii="Arial"/>
                <w:sz w:val="21"/>
              </w:rPr>
            </w:pPr>
          </w:p>
          <w:p w14:paraId="5E0D7D7F">
            <w:pPr>
              <w:pStyle w:val="6"/>
              <w:spacing w:before="68" w:line="287" w:lineRule="auto"/>
              <w:ind w:left="151" w:right="138" w:hanging="2"/>
              <w:jc w:val="both"/>
            </w:pPr>
            <w:r>
              <w:rPr>
                <w:spacing w:val="-3"/>
              </w:rPr>
              <w:t>地表</w:t>
            </w:r>
            <w:r>
              <w:rPr>
                <w:spacing w:val="-5"/>
              </w:rPr>
              <w:t>水环</w:t>
            </w:r>
            <w:r>
              <w:rPr>
                <w:spacing w:val="36"/>
                <w:w w:val="127"/>
              </w:rPr>
              <w:t>境</w:t>
            </w:r>
          </w:p>
        </w:tc>
        <w:tc>
          <w:tcPr>
            <w:tcW w:w="2836" w:type="dxa"/>
            <w:vAlign w:val="top"/>
          </w:tcPr>
          <w:p w14:paraId="16DCC401">
            <w:pPr>
              <w:pStyle w:val="6"/>
              <w:spacing w:before="56" w:line="285" w:lineRule="auto"/>
              <w:ind w:left="117" w:right="106" w:firstLine="3"/>
            </w:pPr>
            <w:r>
              <w:rPr>
                <w:spacing w:val="-2"/>
              </w:rPr>
              <w:t>（</w:t>
            </w:r>
            <w:r>
              <w:rPr>
                <w:rFonts w:ascii="Times New Roman" w:hAnsi="Times New Roman" w:eastAsia="Times New Roman" w:cs="Times New Roman"/>
                <w:spacing w:val="-2"/>
              </w:rPr>
              <w:t>1</w:t>
            </w:r>
            <w:r>
              <w:rPr>
                <w:spacing w:val="-2"/>
              </w:rPr>
              <w:t>）废水回用：扩建间隔废</w:t>
            </w:r>
            <w:r>
              <w:rPr>
                <w:spacing w:val="7"/>
              </w:rPr>
              <w:t>水沉淀处理循环利用，输电</w:t>
            </w:r>
            <w:r>
              <w:rPr>
                <w:spacing w:val="-3"/>
              </w:rPr>
              <w:t>线路废水就近平衡消纳。</w:t>
            </w:r>
          </w:p>
          <w:p w14:paraId="2A8B8781">
            <w:pPr>
              <w:pStyle w:val="6"/>
              <w:spacing w:line="285" w:lineRule="auto"/>
              <w:ind w:left="116" w:right="106" w:firstLine="4"/>
            </w:pPr>
            <w:r>
              <w:rPr>
                <w:spacing w:val="-2"/>
              </w:rPr>
              <w:t>（</w:t>
            </w:r>
            <w:r>
              <w:rPr>
                <w:rFonts w:ascii="Times New Roman" w:hAnsi="Times New Roman" w:eastAsia="Times New Roman" w:cs="Times New Roman"/>
                <w:spacing w:val="-2"/>
              </w:rPr>
              <w:t>2</w:t>
            </w:r>
            <w:r>
              <w:rPr>
                <w:spacing w:val="-2"/>
              </w:rPr>
              <w:t>）污水依托：生活污水利</w:t>
            </w:r>
            <w:r>
              <w:rPr>
                <w:spacing w:val="7"/>
              </w:rPr>
              <w:t>用站内设施处理，施工人员</w:t>
            </w:r>
            <w:r>
              <w:rPr>
                <w:spacing w:val="-1"/>
              </w:rPr>
              <w:t>依托居民点现有系统。</w:t>
            </w:r>
          </w:p>
          <w:p w14:paraId="574D1414">
            <w:pPr>
              <w:pStyle w:val="6"/>
              <w:spacing w:before="3" w:line="272" w:lineRule="auto"/>
              <w:ind w:left="114" w:right="103" w:firstLine="6"/>
            </w:pPr>
            <w:r>
              <w:rPr>
                <w:spacing w:val="-2"/>
              </w:rPr>
              <w:t>（</w:t>
            </w:r>
            <w:r>
              <w:rPr>
                <w:rFonts w:ascii="Times New Roman" w:hAnsi="Times New Roman" w:eastAsia="Times New Roman" w:cs="Times New Roman"/>
                <w:spacing w:val="-2"/>
              </w:rPr>
              <w:t>3</w:t>
            </w:r>
            <w:r>
              <w:rPr>
                <w:spacing w:val="-2"/>
              </w:rPr>
              <w:t>）河流防护：一档跨越方</w:t>
            </w:r>
            <w:r>
              <w:rPr>
                <w:spacing w:val="-10"/>
              </w:rPr>
              <w:t>案，禁止水中立塔；邻近河段</w:t>
            </w:r>
            <w:r>
              <w:rPr>
                <w:spacing w:val="7"/>
              </w:rPr>
              <w:t>禁设临建生活设施，严禁废</w:t>
            </w:r>
            <w:r>
              <w:rPr>
                <w:spacing w:val="-3"/>
              </w:rPr>
              <w:t>水</w:t>
            </w:r>
            <w:r>
              <w:rPr>
                <w:rFonts w:ascii="Times New Roman" w:hAnsi="Times New Roman" w:eastAsia="Times New Roman" w:cs="Times New Roman"/>
                <w:spacing w:val="-3"/>
              </w:rPr>
              <w:t>/</w:t>
            </w:r>
            <w:r>
              <w:rPr>
                <w:spacing w:val="-3"/>
              </w:rPr>
              <w:t>油类</w:t>
            </w:r>
            <w:r>
              <w:rPr>
                <w:rFonts w:ascii="Times New Roman" w:hAnsi="Times New Roman" w:eastAsia="Times New Roman" w:cs="Times New Roman"/>
                <w:spacing w:val="-3"/>
              </w:rPr>
              <w:t>/</w:t>
            </w:r>
            <w:r>
              <w:rPr>
                <w:spacing w:val="-3"/>
              </w:rPr>
              <w:t>垃圾入水。</w:t>
            </w:r>
          </w:p>
        </w:tc>
        <w:tc>
          <w:tcPr>
            <w:tcW w:w="1711" w:type="dxa"/>
            <w:vAlign w:val="top"/>
          </w:tcPr>
          <w:p w14:paraId="7900ACBF">
            <w:pPr>
              <w:spacing w:line="279" w:lineRule="auto"/>
              <w:rPr>
                <w:rFonts w:ascii="Arial"/>
                <w:sz w:val="21"/>
              </w:rPr>
            </w:pPr>
          </w:p>
          <w:p w14:paraId="3F28341F">
            <w:pPr>
              <w:spacing w:line="279" w:lineRule="auto"/>
              <w:rPr>
                <w:rFonts w:ascii="Arial"/>
                <w:sz w:val="21"/>
              </w:rPr>
            </w:pPr>
          </w:p>
          <w:p w14:paraId="13888563">
            <w:pPr>
              <w:spacing w:line="280" w:lineRule="auto"/>
              <w:rPr>
                <w:rFonts w:ascii="Arial"/>
                <w:sz w:val="21"/>
              </w:rPr>
            </w:pPr>
          </w:p>
          <w:p w14:paraId="5A34C29D">
            <w:pPr>
              <w:spacing w:line="280" w:lineRule="auto"/>
              <w:rPr>
                <w:rFonts w:ascii="Arial"/>
                <w:sz w:val="21"/>
              </w:rPr>
            </w:pPr>
          </w:p>
          <w:p w14:paraId="40712F5C">
            <w:pPr>
              <w:pStyle w:val="6"/>
              <w:spacing w:before="68" w:line="221" w:lineRule="auto"/>
              <w:ind w:left="230"/>
            </w:pPr>
            <w:r>
              <w:rPr>
                <w:spacing w:val="-1"/>
              </w:rPr>
              <w:t>废水无外排痕</w:t>
            </w:r>
          </w:p>
          <w:p w14:paraId="1E96D312">
            <w:pPr>
              <w:pStyle w:val="6"/>
              <w:spacing w:before="72" w:line="221" w:lineRule="auto"/>
              <w:ind w:left="124"/>
            </w:pPr>
            <w:r>
              <w:rPr>
                <w:spacing w:val="-2"/>
              </w:rPr>
              <w:t>迹，未发生水污</w:t>
            </w:r>
          </w:p>
          <w:p w14:paraId="5F248113">
            <w:pPr>
              <w:pStyle w:val="6"/>
              <w:spacing w:before="75" w:line="221" w:lineRule="auto"/>
              <w:ind w:left="443"/>
            </w:pPr>
            <w:r>
              <w:rPr>
                <w:spacing w:val="-3"/>
              </w:rPr>
              <w:t>染事件。</w:t>
            </w:r>
          </w:p>
        </w:tc>
        <w:tc>
          <w:tcPr>
            <w:tcW w:w="1835" w:type="dxa"/>
            <w:vAlign w:val="top"/>
          </w:tcPr>
          <w:p w14:paraId="7EBC4AA0">
            <w:pPr>
              <w:pStyle w:val="6"/>
              <w:spacing w:before="56" w:line="221" w:lineRule="auto"/>
              <w:ind w:left="191"/>
            </w:pPr>
            <w:r>
              <w:rPr>
                <w:spacing w:val="-2"/>
              </w:rPr>
              <w:t>维护人员定期对</w:t>
            </w:r>
          </w:p>
          <w:p w14:paraId="7B28667E">
            <w:pPr>
              <w:pStyle w:val="6"/>
              <w:spacing w:before="71" w:line="221" w:lineRule="auto"/>
              <w:ind w:left="191"/>
            </w:pPr>
            <w:r>
              <w:rPr>
                <w:spacing w:val="-2"/>
              </w:rPr>
              <w:t>线路和塔基进行</w:t>
            </w:r>
          </w:p>
          <w:p w14:paraId="4A44C8F1">
            <w:pPr>
              <w:pStyle w:val="6"/>
              <w:spacing w:before="75" w:line="221" w:lineRule="auto"/>
              <w:ind w:left="189"/>
            </w:pPr>
            <w:r>
              <w:rPr>
                <w:spacing w:val="-5"/>
              </w:rPr>
              <w:t>巡查和检修时，</w:t>
            </w:r>
          </w:p>
          <w:p w14:paraId="5C5670FD">
            <w:pPr>
              <w:pStyle w:val="6"/>
              <w:spacing w:before="72" w:line="221" w:lineRule="auto"/>
              <w:ind w:left="188"/>
            </w:pPr>
            <w:r>
              <w:rPr>
                <w:spacing w:val="-1"/>
              </w:rPr>
              <w:t>禁止随意丢弃固</w:t>
            </w:r>
          </w:p>
          <w:p w14:paraId="1E8B477C">
            <w:pPr>
              <w:pStyle w:val="6"/>
              <w:spacing w:before="75" w:line="221" w:lineRule="auto"/>
              <w:ind w:left="188"/>
            </w:pPr>
            <w:r>
              <w:rPr>
                <w:spacing w:val="-1"/>
              </w:rPr>
              <w:t>体废弃物，应全</w:t>
            </w:r>
          </w:p>
          <w:p w14:paraId="79A8A74A">
            <w:pPr>
              <w:pStyle w:val="6"/>
              <w:spacing w:before="72" w:line="221" w:lineRule="auto"/>
              <w:ind w:left="191"/>
            </w:pPr>
            <w:r>
              <w:rPr>
                <w:spacing w:val="-2"/>
              </w:rPr>
              <w:t>部集中收集带回</w:t>
            </w:r>
          </w:p>
          <w:p w14:paraId="14D6D54B">
            <w:pPr>
              <w:pStyle w:val="6"/>
              <w:spacing w:before="74" w:line="221" w:lineRule="auto"/>
              <w:ind w:left="195"/>
            </w:pPr>
            <w:r>
              <w:rPr>
                <w:spacing w:val="-5"/>
              </w:rPr>
              <w:t>营地妥善处置，</w:t>
            </w:r>
          </w:p>
          <w:p w14:paraId="63D0F786">
            <w:pPr>
              <w:pStyle w:val="6"/>
              <w:spacing w:before="75" w:line="221" w:lineRule="auto"/>
              <w:ind w:left="201"/>
            </w:pPr>
            <w:r>
              <w:rPr>
                <w:spacing w:val="-3"/>
              </w:rPr>
              <w:t>防止对沿线地表</w:t>
            </w:r>
          </w:p>
          <w:p w14:paraId="1187E7AE">
            <w:pPr>
              <w:pStyle w:val="6"/>
              <w:spacing w:before="72" w:line="221" w:lineRule="auto"/>
              <w:ind w:left="296"/>
            </w:pPr>
            <w:r>
              <w:rPr>
                <w:spacing w:val="-2"/>
              </w:rPr>
              <w:t>水环境产生影</w:t>
            </w:r>
          </w:p>
          <w:p w14:paraId="5F3AE4CC">
            <w:pPr>
              <w:pStyle w:val="6"/>
              <w:spacing w:before="76" w:line="224" w:lineRule="auto"/>
              <w:ind w:left="724"/>
            </w:pPr>
            <w:r>
              <w:rPr>
                <w:spacing w:val="-12"/>
              </w:rPr>
              <w:t>响。</w:t>
            </w:r>
          </w:p>
        </w:tc>
        <w:tc>
          <w:tcPr>
            <w:tcW w:w="1583" w:type="dxa"/>
            <w:vAlign w:val="top"/>
          </w:tcPr>
          <w:p w14:paraId="2DC3DF71">
            <w:pPr>
              <w:spacing w:line="256" w:lineRule="auto"/>
              <w:rPr>
                <w:rFonts w:ascii="Arial"/>
                <w:sz w:val="21"/>
              </w:rPr>
            </w:pPr>
          </w:p>
          <w:p w14:paraId="6D3C4388">
            <w:pPr>
              <w:spacing w:line="256" w:lineRule="auto"/>
              <w:rPr>
                <w:rFonts w:ascii="Arial"/>
                <w:sz w:val="21"/>
              </w:rPr>
            </w:pPr>
          </w:p>
          <w:p w14:paraId="30D30205">
            <w:pPr>
              <w:spacing w:line="256" w:lineRule="auto"/>
              <w:rPr>
                <w:rFonts w:ascii="Arial"/>
                <w:sz w:val="21"/>
              </w:rPr>
            </w:pPr>
          </w:p>
          <w:p w14:paraId="7B00247D">
            <w:pPr>
              <w:spacing w:line="256" w:lineRule="auto"/>
              <w:rPr>
                <w:rFonts w:ascii="Arial"/>
                <w:sz w:val="21"/>
              </w:rPr>
            </w:pPr>
          </w:p>
          <w:p w14:paraId="1E829CCD">
            <w:pPr>
              <w:spacing w:line="257" w:lineRule="auto"/>
              <w:rPr>
                <w:rFonts w:ascii="Arial"/>
                <w:sz w:val="21"/>
              </w:rPr>
            </w:pPr>
          </w:p>
          <w:p w14:paraId="0E987362">
            <w:pPr>
              <w:pStyle w:val="6"/>
              <w:spacing w:before="68" w:line="287" w:lineRule="auto"/>
              <w:ind w:left="270" w:right="155" w:hanging="99"/>
            </w:pPr>
            <w:r>
              <w:rPr>
                <w:spacing w:val="-2"/>
              </w:rPr>
              <w:t>不发生污染水</w:t>
            </w:r>
            <w:r>
              <w:rPr>
                <w:spacing w:val="-5"/>
              </w:rPr>
              <w:t>体的行为。</w:t>
            </w:r>
          </w:p>
        </w:tc>
      </w:tr>
      <w:tr w14:paraId="2C1214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5" w:hRule="atLeast"/>
        </w:trPr>
        <w:tc>
          <w:tcPr>
            <w:tcW w:w="707" w:type="dxa"/>
            <w:vAlign w:val="top"/>
          </w:tcPr>
          <w:p w14:paraId="74908A83">
            <w:pPr>
              <w:pStyle w:val="6"/>
              <w:spacing w:before="57" w:line="222" w:lineRule="auto"/>
              <w:ind w:left="149"/>
            </w:pPr>
            <w:r>
              <w:rPr>
                <w:spacing w:val="-2"/>
              </w:rPr>
              <w:t>地下</w:t>
            </w:r>
          </w:p>
          <w:p w14:paraId="0D51A340">
            <w:pPr>
              <w:pStyle w:val="6"/>
              <w:spacing w:before="73" w:line="221" w:lineRule="auto"/>
              <w:ind w:left="152"/>
            </w:pPr>
            <w:r>
              <w:rPr>
                <w:spacing w:val="-3"/>
              </w:rPr>
              <w:t>水及</w:t>
            </w:r>
          </w:p>
          <w:p w14:paraId="5EBF986C">
            <w:pPr>
              <w:pStyle w:val="6"/>
              <w:spacing w:before="73" w:line="222" w:lineRule="auto"/>
              <w:ind w:left="150"/>
            </w:pPr>
            <w:r>
              <w:rPr>
                <w:spacing w:val="-2"/>
              </w:rPr>
              <w:t>土壤</w:t>
            </w:r>
          </w:p>
          <w:p w14:paraId="76898F30">
            <w:pPr>
              <w:pStyle w:val="6"/>
              <w:spacing w:before="74" w:line="221" w:lineRule="auto"/>
              <w:ind w:left="149"/>
            </w:pPr>
            <w:r>
              <w:rPr>
                <w:spacing w:val="-2"/>
              </w:rPr>
              <w:t>环境</w:t>
            </w:r>
          </w:p>
        </w:tc>
        <w:tc>
          <w:tcPr>
            <w:tcW w:w="2836" w:type="dxa"/>
            <w:vAlign w:val="top"/>
          </w:tcPr>
          <w:p w14:paraId="2DF49907">
            <w:pPr>
              <w:spacing w:line="258" w:lineRule="auto"/>
              <w:rPr>
                <w:rFonts w:ascii="Arial"/>
                <w:sz w:val="21"/>
              </w:rPr>
            </w:pPr>
          </w:p>
          <w:p w14:paraId="3EB942A8">
            <w:pPr>
              <w:spacing w:line="258" w:lineRule="auto"/>
              <w:rPr>
                <w:rFonts w:ascii="Arial"/>
                <w:sz w:val="21"/>
              </w:rPr>
            </w:pPr>
          </w:p>
          <w:p w14:paraId="69593828">
            <w:pPr>
              <w:spacing w:before="61" w:line="233" w:lineRule="auto"/>
              <w:ind w:left="138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711" w:type="dxa"/>
            <w:vAlign w:val="top"/>
          </w:tcPr>
          <w:p w14:paraId="0FD5171E">
            <w:pPr>
              <w:spacing w:line="258" w:lineRule="auto"/>
              <w:rPr>
                <w:rFonts w:ascii="Arial"/>
                <w:sz w:val="21"/>
              </w:rPr>
            </w:pPr>
          </w:p>
          <w:p w14:paraId="0BE160F4">
            <w:pPr>
              <w:spacing w:line="258" w:lineRule="auto"/>
              <w:rPr>
                <w:rFonts w:ascii="Arial"/>
                <w:sz w:val="21"/>
              </w:rPr>
            </w:pPr>
          </w:p>
          <w:p w14:paraId="1BE731C0">
            <w:pPr>
              <w:spacing w:before="61" w:line="233" w:lineRule="auto"/>
              <w:ind w:left="823"/>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835" w:type="dxa"/>
            <w:vAlign w:val="top"/>
          </w:tcPr>
          <w:p w14:paraId="189A2173">
            <w:pPr>
              <w:spacing w:line="258" w:lineRule="auto"/>
              <w:rPr>
                <w:rFonts w:ascii="Arial"/>
                <w:sz w:val="21"/>
              </w:rPr>
            </w:pPr>
          </w:p>
          <w:p w14:paraId="4BE1D861">
            <w:pPr>
              <w:spacing w:line="258" w:lineRule="auto"/>
              <w:rPr>
                <w:rFonts w:ascii="Arial"/>
                <w:sz w:val="21"/>
              </w:rPr>
            </w:pPr>
          </w:p>
          <w:p w14:paraId="729A1176">
            <w:pPr>
              <w:spacing w:before="61" w:line="233" w:lineRule="auto"/>
              <w:ind w:left="88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583" w:type="dxa"/>
            <w:vAlign w:val="top"/>
          </w:tcPr>
          <w:p w14:paraId="755143B0">
            <w:pPr>
              <w:spacing w:line="258" w:lineRule="auto"/>
              <w:rPr>
                <w:rFonts w:ascii="Arial"/>
                <w:sz w:val="21"/>
              </w:rPr>
            </w:pPr>
          </w:p>
          <w:p w14:paraId="035E73EE">
            <w:pPr>
              <w:spacing w:line="258" w:lineRule="auto"/>
              <w:rPr>
                <w:rFonts w:ascii="Arial"/>
                <w:sz w:val="21"/>
              </w:rPr>
            </w:pPr>
          </w:p>
          <w:p w14:paraId="4AAE1F9D">
            <w:pPr>
              <w:spacing w:before="61" w:line="233" w:lineRule="auto"/>
              <w:ind w:left="760"/>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5162B5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78" w:hRule="atLeast"/>
        </w:trPr>
        <w:tc>
          <w:tcPr>
            <w:tcW w:w="707" w:type="dxa"/>
            <w:vAlign w:val="top"/>
          </w:tcPr>
          <w:p w14:paraId="2683812B">
            <w:pPr>
              <w:spacing w:line="261" w:lineRule="auto"/>
              <w:rPr>
                <w:rFonts w:ascii="Arial"/>
                <w:sz w:val="21"/>
              </w:rPr>
            </w:pPr>
          </w:p>
          <w:p w14:paraId="78197D6B">
            <w:pPr>
              <w:spacing w:line="261" w:lineRule="auto"/>
              <w:rPr>
                <w:rFonts w:ascii="Arial"/>
                <w:sz w:val="21"/>
              </w:rPr>
            </w:pPr>
          </w:p>
          <w:p w14:paraId="70E23ECD">
            <w:pPr>
              <w:spacing w:line="261" w:lineRule="auto"/>
              <w:rPr>
                <w:rFonts w:ascii="Arial"/>
                <w:sz w:val="21"/>
              </w:rPr>
            </w:pPr>
          </w:p>
          <w:p w14:paraId="41B0DE75">
            <w:pPr>
              <w:spacing w:line="261" w:lineRule="auto"/>
              <w:rPr>
                <w:rFonts w:ascii="Arial"/>
                <w:sz w:val="21"/>
              </w:rPr>
            </w:pPr>
          </w:p>
          <w:p w14:paraId="2561FA3B">
            <w:pPr>
              <w:spacing w:line="261" w:lineRule="auto"/>
              <w:rPr>
                <w:rFonts w:ascii="Arial"/>
                <w:sz w:val="21"/>
              </w:rPr>
            </w:pPr>
          </w:p>
          <w:p w14:paraId="5242628B">
            <w:pPr>
              <w:spacing w:line="261" w:lineRule="auto"/>
              <w:rPr>
                <w:rFonts w:ascii="Arial"/>
                <w:sz w:val="21"/>
              </w:rPr>
            </w:pPr>
          </w:p>
          <w:p w14:paraId="00F905D5">
            <w:pPr>
              <w:spacing w:line="262" w:lineRule="auto"/>
              <w:rPr>
                <w:rFonts w:ascii="Arial"/>
                <w:sz w:val="21"/>
              </w:rPr>
            </w:pPr>
          </w:p>
          <w:p w14:paraId="06B108B6">
            <w:pPr>
              <w:spacing w:line="262" w:lineRule="auto"/>
              <w:rPr>
                <w:rFonts w:ascii="Arial"/>
                <w:sz w:val="21"/>
              </w:rPr>
            </w:pPr>
          </w:p>
          <w:p w14:paraId="44DE07E0">
            <w:pPr>
              <w:pStyle w:val="6"/>
              <w:spacing w:before="68" w:line="289" w:lineRule="auto"/>
              <w:ind w:left="252" w:right="138" w:hanging="99"/>
            </w:pPr>
            <w:r>
              <w:rPr>
                <w:spacing w:val="-6"/>
              </w:rPr>
              <w:t>声环</w:t>
            </w:r>
            <w:r>
              <w:t>境</w:t>
            </w:r>
          </w:p>
        </w:tc>
        <w:tc>
          <w:tcPr>
            <w:tcW w:w="2836" w:type="dxa"/>
            <w:vAlign w:val="top"/>
          </w:tcPr>
          <w:p w14:paraId="2654BC83">
            <w:pPr>
              <w:pStyle w:val="6"/>
              <w:spacing w:before="58" w:line="281" w:lineRule="auto"/>
              <w:ind w:left="115" w:right="29" w:firstLine="5"/>
            </w:pPr>
            <w:r>
              <w:rPr>
                <w:spacing w:val="-2"/>
              </w:rPr>
              <w:t>（</w:t>
            </w:r>
            <w:r>
              <w:rPr>
                <w:rFonts w:ascii="Times New Roman" w:hAnsi="Times New Roman" w:eastAsia="Times New Roman" w:cs="Times New Roman"/>
                <w:spacing w:val="-2"/>
              </w:rPr>
              <w:t>1</w:t>
            </w:r>
            <w:r>
              <w:rPr>
                <w:spacing w:val="-2"/>
              </w:rPr>
              <w:t>）选用低噪设备，定期维</w:t>
            </w:r>
            <w:r>
              <w:rPr>
                <w:spacing w:val="-4"/>
              </w:rPr>
              <w:t>护保养，避免异常工况增噪。</w:t>
            </w:r>
          </w:p>
          <w:p w14:paraId="5F0727F6">
            <w:pPr>
              <w:pStyle w:val="6"/>
              <w:spacing w:before="11" w:line="279" w:lineRule="auto"/>
              <w:ind w:left="113" w:right="115" w:firstLine="7"/>
            </w:pPr>
            <w:r>
              <w:rPr>
                <w:spacing w:val="-3"/>
              </w:rPr>
              <w:t>（</w:t>
            </w:r>
            <w:r>
              <w:rPr>
                <w:rFonts w:ascii="Times New Roman" w:hAnsi="Times New Roman" w:eastAsia="Times New Roman" w:cs="Times New Roman"/>
                <w:spacing w:val="-3"/>
              </w:rPr>
              <w:t>2</w:t>
            </w:r>
            <w:r>
              <w:rPr>
                <w:spacing w:val="-3"/>
              </w:rPr>
              <w:t>）文明施工管理：车辆限</w:t>
            </w:r>
            <w:r>
              <w:rPr>
                <w:spacing w:val="-1"/>
              </w:rPr>
              <w:t>速、禁鸣；使用合规设备。</w:t>
            </w:r>
          </w:p>
          <w:p w14:paraId="5E6D3CC3">
            <w:pPr>
              <w:pStyle w:val="6"/>
              <w:spacing w:before="15" w:line="285" w:lineRule="auto"/>
              <w:ind w:left="114" w:right="106" w:firstLine="6"/>
            </w:pPr>
            <w:r>
              <w:rPr>
                <w:spacing w:val="-2"/>
              </w:rPr>
              <w:t>（</w:t>
            </w:r>
            <w:r>
              <w:rPr>
                <w:rFonts w:ascii="Times New Roman" w:hAnsi="Times New Roman" w:eastAsia="Times New Roman" w:cs="Times New Roman"/>
                <w:spacing w:val="-2"/>
              </w:rPr>
              <w:t>3</w:t>
            </w:r>
            <w:r>
              <w:rPr>
                <w:spacing w:val="-2"/>
              </w:rPr>
              <w:t>）空间隔离：远距居民区</w:t>
            </w:r>
            <w:r>
              <w:rPr>
                <w:spacing w:val="7"/>
              </w:rPr>
              <w:t>布设高噪设备，近场设临时</w:t>
            </w:r>
            <w:r>
              <w:rPr>
                <w:spacing w:val="-8"/>
              </w:rPr>
              <w:t>围挡。</w:t>
            </w:r>
          </w:p>
          <w:p w14:paraId="24AFC5A0">
            <w:pPr>
              <w:pStyle w:val="6"/>
              <w:spacing w:before="1" w:line="279" w:lineRule="auto"/>
              <w:ind w:left="113" w:right="112" w:firstLine="7"/>
            </w:pPr>
            <w:r>
              <w:rPr>
                <w:spacing w:val="-3"/>
              </w:rPr>
              <w:t>（</w:t>
            </w:r>
            <w:r>
              <w:rPr>
                <w:rFonts w:ascii="Times New Roman" w:hAnsi="Times New Roman" w:eastAsia="Times New Roman" w:cs="Times New Roman"/>
                <w:spacing w:val="-3"/>
              </w:rPr>
              <w:t>4</w:t>
            </w:r>
            <w:r>
              <w:rPr>
                <w:spacing w:val="-3"/>
              </w:rPr>
              <w:t>）运输管控：优化路线规划，减少夜间通行。</w:t>
            </w:r>
          </w:p>
          <w:p w14:paraId="1C8EDD5A">
            <w:pPr>
              <w:pStyle w:val="6"/>
              <w:spacing w:before="15" w:line="282" w:lineRule="auto"/>
              <w:ind w:left="118" w:right="104" w:firstLine="2"/>
            </w:pPr>
            <w:r>
              <w:rPr>
                <w:spacing w:val="-2"/>
              </w:rPr>
              <w:t>（</w:t>
            </w:r>
            <w:r>
              <w:rPr>
                <w:rFonts w:ascii="Times New Roman" w:hAnsi="Times New Roman" w:eastAsia="Times New Roman" w:cs="Times New Roman"/>
                <w:spacing w:val="-2"/>
              </w:rPr>
              <w:t>5</w:t>
            </w:r>
            <w:r>
              <w:rPr>
                <w:spacing w:val="-2"/>
              </w:rPr>
              <w:t>）夜间禁令：禁止常规夜</w:t>
            </w:r>
            <w:r>
              <w:rPr>
                <w:spacing w:val="17"/>
              </w:rPr>
              <w:t>间施工（抢修</w:t>
            </w:r>
            <w:r>
              <w:rPr>
                <w:rFonts w:ascii="Times New Roman" w:hAnsi="Times New Roman" w:eastAsia="Times New Roman" w:cs="Times New Roman"/>
                <w:spacing w:val="17"/>
              </w:rPr>
              <w:t>/</w:t>
            </w:r>
            <w:r>
              <w:rPr>
                <w:rFonts w:ascii="Times New Roman" w:hAnsi="Times New Roman" w:eastAsia="Times New Roman" w:cs="Times New Roman"/>
                <w:spacing w:val="-18"/>
              </w:rPr>
              <w:t xml:space="preserve"> </w:t>
            </w:r>
            <w:r>
              <w:rPr>
                <w:spacing w:val="17"/>
              </w:rPr>
              <w:t>特殊工艺除</w:t>
            </w:r>
            <w:r>
              <w:rPr>
                <w:spacing w:val="-44"/>
              </w:rPr>
              <w:t>外）。</w:t>
            </w:r>
          </w:p>
          <w:p w14:paraId="2B552D05">
            <w:pPr>
              <w:pStyle w:val="6"/>
              <w:spacing w:before="14" w:line="266" w:lineRule="auto"/>
              <w:ind w:left="113" w:right="106" w:firstLine="7"/>
            </w:pPr>
            <w:r>
              <w:rPr>
                <w:spacing w:val="-2"/>
              </w:rPr>
              <w:t>（</w:t>
            </w:r>
            <w:r>
              <w:rPr>
                <w:rFonts w:ascii="Times New Roman" w:hAnsi="Times New Roman" w:eastAsia="Times New Roman" w:cs="Times New Roman"/>
                <w:spacing w:val="-2"/>
              </w:rPr>
              <w:t>6</w:t>
            </w:r>
            <w:r>
              <w:rPr>
                <w:spacing w:val="-2"/>
              </w:rPr>
              <w:t>）法定程序：特殊夜间施</w:t>
            </w:r>
            <w:r>
              <w:rPr>
                <w:spacing w:val="7"/>
              </w:rPr>
              <w:t>工需办理许可并公示，取得</w:t>
            </w:r>
            <w:r>
              <w:rPr>
                <w:spacing w:val="-2"/>
              </w:rPr>
              <w:t>住建</w:t>
            </w:r>
            <w:r>
              <w:rPr>
                <w:rFonts w:ascii="Times New Roman" w:hAnsi="Times New Roman" w:eastAsia="Times New Roman" w:cs="Times New Roman"/>
                <w:spacing w:val="-2"/>
              </w:rPr>
              <w:t>/</w:t>
            </w:r>
            <w:r>
              <w:rPr>
                <w:spacing w:val="-2"/>
              </w:rPr>
              <w:t>环保部门证明。</w:t>
            </w:r>
          </w:p>
        </w:tc>
        <w:tc>
          <w:tcPr>
            <w:tcW w:w="1711" w:type="dxa"/>
            <w:vAlign w:val="top"/>
          </w:tcPr>
          <w:p w14:paraId="2950F4AF">
            <w:pPr>
              <w:rPr>
                <w:rFonts w:ascii="Arial"/>
                <w:sz w:val="21"/>
              </w:rPr>
            </w:pPr>
          </w:p>
          <w:p w14:paraId="19BFB882">
            <w:pPr>
              <w:spacing w:line="241" w:lineRule="auto"/>
              <w:rPr>
                <w:rFonts w:ascii="Arial"/>
                <w:sz w:val="21"/>
              </w:rPr>
            </w:pPr>
          </w:p>
          <w:p w14:paraId="1E50A43E">
            <w:pPr>
              <w:spacing w:line="241" w:lineRule="auto"/>
              <w:rPr>
                <w:rFonts w:ascii="Arial"/>
                <w:sz w:val="21"/>
              </w:rPr>
            </w:pPr>
          </w:p>
          <w:p w14:paraId="1D218E93">
            <w:pPr>
              <w:spacing w:line="241" w:lineRule="auto"/>
              <w:rPr>
                <w:rFonts w:ascii="Arial"/>
                <w:sz w:val="21"/>
              </w:rPr>
            </w:pPr>
          </w:p>
          <w:p w14:paraId="08172F44">
            <w:pPr>
              <w:spacing w:line="241" w:lineRule="auto"/>
              <w:rPr>
                <w:rFonts w:ascii="Arial"/>
                <w:sz w:val="21"/>
              </w:rPr>
            </w:pPr>
          </w:p>
          <w:p w14:paraId="62153E5D">
            <w:pPr>
              <w:spacing w:line="241" w:lineRule="auto"/>
              <w:rPr>
                <w:rFonts w:ascii="Arial"/>
                <w:sz w:val="21"/>
              </w:rPr>
            </w:pPr>
          </w:p>
          <w:p w14:paraId="25ACDD3A">
            <w:pPr>
              <w:pStyle w:val="6"/>
              <w:spacing w:before="68" w:line="221" w:lineRule="auto"/>
              <w:ind w:left="125"/>
            </w:pPr>
            <w:r>
              <w:rPr>
                <w:spacing w:val="-1"/>
              </w:rPr>
              <w:t>满足《建筑施工</w:t>
            </w:r>
          </w:p>
          <w:p w14:paraId="7105DC25">
            <w:pPr>
              <w:pStyle w:val="6"/>
              <w:spacing w:before="73" w:line="221" w:lineRule="auto"/>
              <w:ind w:left="124"/>
            </w:pPr>
            <w:r>
              <w:rPr>
                <w:spacing w:val="-1"/>
              </w:rPr>
              <w:t>场界环境噪声排</w:t>
            </w:r>
          </w:p>
          <w:p w14:paraId="6E54928F">
            <w:pPr>
              <w:pStyle w:val="6"/>
              <w:spacing w:before="72" w:line="221" w:lineRule="auto"/>
              <w:ind w:left="440"/>
            </w:pPr>
            <w:r>
              <w:rPr>
                <w:spacing w:val="-2"/>
              </w:rPr>
              <w:t>放标准》</w:t>
            </w:r>
          </w:p>
          <w:p w14:paraId="4B7609ED">
            <w:pPr>
              <w:pStyle w:val="6"/>
              <w:spacing w:before="74" w:line="234" w:lineRule="auto"/>
              <w:ind w:left="319"/>
              <w:rPr>
                <w:rFonts w:ascii="Times New Roman" w:hAnsi="Times New Roman" w:eastAsia="Times New Roman" w:cs="Times New Roman"/>
              </w:rPr>
            </w:pPr>
            <w:r>
              <w:rPr>
                <w:spacing w:val="-1"/>
              </w:rPr>
              <w:t>（</w:t>
            </w:r>
            <w:r>
              <w:rPr>
                <w:rFonts w:ascii="Times New Roman" w:hAnsi="Times New Roman" w:eastAsia="Times New Roman" w:cs="Times New Roman"/>
                <w:spacing w:val="-1"/>
              </w:rPr>
              <w:t>GB12523-</w:t>
            </w:r>
          </w:p>
          <w:p w14:paraId="591278B1">
            <w:pPr>
              <w:pStyle w:val="6"/>
              <w:spacing w:before="58" w:line="235" w:lineRule="auto"/>
              <w:ind w:left="126"/>
            </w:pPr>
            <w:r>
              <w:rPr>
                <w:rFonts w:ascii="Times New Roman" w:hAnsi="Times New Roman" w:eastAsia="Times New Roman" w:cs="Times New Roman"/>
              </w:rPr>
              <w:t>2011</w:t>
            </w:r>
            <w:r>
              <w:t>）标准，不</w:t>
            </w:r>
          </w:p>
          <w:p w14:paraId="503B9031">
            <w:pPr>
              <w:pStyle w:val="6"/>
              <w:spacing w:before="58" w:line="221" w:lineRule="auto"/>
              <w:ind w:left="128"/>
            </w:pPr>
            <w:r>
              <w:rPr>
                <w:spacing w:val="-4"/>
              </w:rPr>
              <w:t>发生扰民事件。</w:t>
            </w:r>
          </w:p>
        </w:tc>
        <w:tc>
          <w:tcPr>
            <w:tcW w:w="1835" w:type="dxa"/>
            <w:vAlign w:val="top"/>
          </w:tcPr>
          <w:p w14:paraId="5667A3E1">
            <w:pPr>
              <w:spacing w:line="473" w:lineRule="auto"/>
              <w:rPr>
                <w:rFonts w:ascii="Arial"/>
                <w:sz w:val="21"/>
              </w:rPr>
            </w:pPr>
          </w:p>
          <w:p w14:paraId="6A1745A6">
            <w:pPr>
              <w:pStyle w:val="6"/>
              <w:spacing w:before="69" w:line="221" w:lineRule="auto"/>
              <w:ind w:left="188"/>
            </w:pPr>
            <w:r>
              <w:rPr>
                <w:spacing w:val="-1"/>
              </w:rPr>
              <w:t>加强线路日常管</w:t>
            </w:r>
          </w:p>
          <w:p w14:paraId="7E8D9135">
            <w:pPr>
              <w:pStyle w:val="6"/>
              <w:spacing w:before="75" w:line="221" w:lineRule="auto"/>
              <w:ind w:left="191"/>
            </w:pPr>
            <w:r>
              <w:rPr>
                <w:spacing w:val="-1"/>
              </w:rPr>
              <w:t>理和维护，使线</w:t>
            </w:r>
          </w:p>
          <w:p w14:paraId="5D23B426">
            <w:pPr>
              <w:pStyle w:val="6"/>
              <w:spacing w:before="72" w:line="221" w:lineRule="auto"/>
              <w:ind w:left="190"/>
            </w:pPr>
            <w:r>
              <w:rPr>
                <w:spacing w:val="-1"/>
              </w:rPr>
              <w:t>路保持良好的运</w:t>
            </w:r>
          </w:p>
          <w:p w14:paraId="29AC4785">
            <w:pPr>
              <w:pStyle w:val="6"/>
              <w:spacing w:before="75" w:line="221" w:lineRule="auto"/>
              <w:ind w:left="506"/>
            </w:pPr>
            <w:r>
              <w:rPr>
                <w:spacing w:val="-3"/>
              </w:rPr>
              <w:t>行状态。</w:t>
            </w:r>
          </w:p>
          <w:p w14:paraId="15812B03">
            <w:pPr>
              <w:pStyle w:val="6"/>
              <w:spacing w:before="73" w:line="221" w:lineRule="auto"/>
              <w:ind w:left="295"/>
            </w:pPr>
            <w:r>
              <w:rPr>
                <w:spacing w:val="-1"/>
              </w:rPr>
              <w:t>开展声环境监</w:t>
            </w:r>
          </w:p>
          <w:p w14:paraId="2E365333">
            <w:pPr>
              <w:pStyle w:val="6"/>
              <w:spacing w:before="72" w:line="221" w:lineRule="auto"/>
              <w:ind w:left="189"/>
            </w:pPr>
            <w:r>
              <w:rPr>
                <w:spacing w:val="-5"/>
              </w:rPr>
              <w:t>测，确保达标；</w:t>
            </w:r>
          </w:p>
          <w:p w14:paraId="544D7E83">
            <w:pPr>
              <w:pStyle w:val="6"/>
              <w:spacing w:before="75" w:line="221" w:lineRule="auto"/>
              <w:ind w:left="189"/>
            </w:pPr>
            <w:r>
              <w:rPr>
                <w:spacing w:val="-5"/>
              </w:rPr>
              <w:t>若监测不达标，</w:t>
            </w:r>
          </w:p>
          <w:p w14:paraId="6BA2CAEB">
            <w:pPr>
              <w:pStyle w:val="6"/>
              <w:spacing w:before="72" w:line="221" w:lineRule="auto"/>
              <w:ind w:left="191"/>
            </w:pPr>
            <w:r>
              <w:rPr>
                <w:spacing w:val="-3"/>
              </w:rPr>
              <w:t>须进行治理，确</w:t>
            </w:r>
          </w:p>
          <w:p w14:paraId="104CE834">
            <w:pPr>
              <w:pStyle w:val="6"/>
              <w:spacing w:before="75" w:line="221" w:lineRule="auto"/>
              <w:ind w:left="189"/>
            </w:pPr>
            <w:r>
              <w:rPr>
                <w:spacing w:val="-2"/>
              </w:rPr>
              <w:t>保厂界噪声、线</w:t>
            </w:r>
          </w:p>
          <w:p w14:paraId="480E71CD">
            <w:pPr>
              <w:pStyle w:val="6"/>
              <w:spacing w:before="72" w:line="221" w:lineRule="auto"/>
              <w:ind w:left="190"/>
            </w:pPr>
            <w:r>
              <w:rPr>
                <w:spacing w:val="-1"/>
              </w:rPr>
              <w:t>路声环境、保护</w:t>
            </w:r>
          </w:p>
          <w:p w14:paraId="21C90FC9">
            <w:pPr>
              <w:pStyle w:val="6"/>
              <w:spacing w:before="74" w:line="221" w:lineRule="auto"/>
              <w:ind w:left="334"/>
            </w:pPr>
            <w:r>
              <w:rPr>
                <w:spacing w:val="-8"/>
              </w:rPr>
              <w:t>目标声环境达</w:t>
            </w:r>
          </w:p>
          <w:p w14:paraId="60AD125D">
            <w:pPr>
              <w:pStyle w:val="6"/>
              <w:spacing w:before="75" w:line="221" w:lineRule="auto"/>
              <w:ind w:left="715"/>
            </w:pPr>
            <w:r>
              <w:rPr>
                <w:spacing w:val="-10"/>
              </w:rPr>
              <w:t>标。</w:t>
            </w:r>
          </w:p>
        </w:tc>
        <w:tc>
          <w:tcPr>
            <w:tcW w:w="1583" w:type="dxa"/>
            <w:vAlign w:val="top"/>
          </w:tcPr>
          <w:p w14:paraId="4CF030B6">
            <w:pPr>
              <w:rPr>
                <w:rFonts w:ascii="Arial"/>
                <w:sz w:val="21"/>
              </w:rPr>
            </w:pPr>
          </w:p>
          <w:p w14:paraId="59A7D6D5">
            <w:pPr>
              <w:spacing w:line="241" w:lineRule="auto"/>
              <w:rPr>
                <w:rFonts w:ascii="Arial"/>
                <w:sz w:val="21"/>
              </w:rPr>
            </w:pPr>
          </w:p>
          <w:p w14:paraId="0DE6A059">
            <w:pPr>
              <w:spacing w:line="241" w:lineRule="auto"/>
              <w:rPr>
                <w:rFonts w:ascii="Arial"/>
                <w:sz w:val="21"/>
              </w:rPr>
            </w:pPr>
          </w:p>
          <w:p w14:paraId="40754D00">
            <w:pPr>
              <w:spacing w:line="241" w:lineRule="auto"/>
              <w:rPr>
                <w:rFonts w:ascii="Arial"/>
                <w:sz w:val="21"/>
              </w:rPr>
            </w:pPr>
          </w:p>
          <w:p w14:paraId="27B43E2D">
            <w:pPr>
              <w:spacing w:line="241" w:lineRule="auto"/>
              <w:rPr>
                <w:rFonts w:ascii="Arial"/>
                <w:sz w:val="21"/>
              </w:rPr>
            </w:pPr>
          </w:p>
          <w:p w14:paraId="1D9B7980">
            <w:pPr>
              <w:spacing w:line="241" w:lineRule="auto"/>
              <w:rPr>
                <w:rFonts w:ascii="Arial"/>
                <w:sz w:val="21"/>
              </w:rPr>
            </w:pPr>
          </w:p>
          <w:p w14:paraId="62AB5489">
            <w:pPr>
              <w:pStyle w:val="6"/>
              <w:spacing w:before="69" w:line="221" w:lineRule="auto"/>
              <w:ind w:left="167"/>
            </w:pPr>
            <w:r>
              <w:rPr>
                <w:spacing w:val="-1"/>
              </w:rPr>
              <w:t>达到《声环境</w:t>
            </w:r>
          </w:p>
          <w:p w14:paraId="4E6A04A0">
            <w:pPr>
              <w:pStyle w:val="6"/>
              <w:spacing w:before="72" w:line="221" w:lineRule="auto"/>
              <w:ind w:left="272"/>
            </w:pPr>
            <w:r>
              <w:rPr>
                <w:spacing w:val="-2"/>
              </w:rPr>
              <w:t>质量标准》</w:t>
            </w:r>
          </w:p>
          <w:p w14:paraId="727CA6C6">
            <w:pPr>
              <w:pStyle w:val="6"/>
              <w:spacing w:before="71" w:line="234" w:lineRule="auto"/>
              <w:ind w:left="309"/>
              <w:rPr>
                <w:rFonts w:ascii="Times New Roman" w:hAnsi="Times New Roman" w:eastAsia="Times New Roman" w:cs="Times New Roman"/>
              </w:rPr>
            </w:pPr>
            <w:r>
              <w:rPr>
                <w:spacing w:val="-1"/>
              </w:rPr>
              <w:t>（</w:t>
            </w:r>
            <w:r>
              <w:rPr>
                <w:rFonts w:ascii="Times New Roman" w:hAnsi="Times New Roman" w:eastAsia="Times New Roman" w:cs="Times New Roman"/>
                <w:spacing w:val="-1"/>
              </w:rPr>
              <w:t>GB3096-</w:t>
            </w:r>
          </w:p>
          <w:p w14:paraId="59ADC863">
            <w:pPr>
              <w:pStyle w:val="6"/>
              <w:spacing w:before="60" w:line="235" w:lineRule="auto"/>
              <w:ind w:left="164"/>
            </w:pPr>
            <w:r>
              <w:rPr>
                <w:rFonts w:ascii="Times New Roman" w:hAnsi="Times New Roman" w:eastAsia="Times New Roman" w:cs="Times New Roman"/>
                <w:spacing w:val="-1"/>
              </w:rPr>
              <w:t>2008</w:t>
            </w:r>
            <w:r>
              <w:rPr>
                <w:spacing w:val="-1"/>
              </w:rPr>
              <w:t>）相应声</w:t>
            </w:r>
          </w:p>
          <w:p w14:paraId="6AE81796">
            <w:pPr>
              <w:pStyle w:val="6"/>
              <w:spacing w:before="56" w:line="221" w:lineRule="auto"/>
              <w:ind w:left="171"/>
            </w:pPr>
            <w:r>
              <w:rPr>
                <w:spacing w:val="-2"/>
              </w:rPr>
              <w:t>功能区限值要</w:t>
            </w:r>
          </w:p>
          <w:p w14:paraId="4F0EC798">
            <w:pPr>
              <w:pStyle w:val="6"/>
              <w:spacing w:before="76" w:line="222" w:lineRule="auto"/>
              <w:ind w:left="590"/>
            </w:pPr>
            <w:r>
              <w:rPr>
                <w:spacing w:val="-10"/>
              </w:rPr>
              <w:t>求。</w:t>
            </w:r>
          </w:p>
        </w:tc>
      </w:tr>
      <w:tr w14:paraId="185DD4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707" w:type="dxa"/>
            <w:vAlign w:val="top"/>
          </w:tcPr>
          <w:p w14:paraId="70775431">
            <w:pPr>
              <w:pStyle w:val="6"/>
              <w:spacing w:before="240" w:line="221" w:lineRule="auto"/>
              <w:ind w:left="148"/>
            </w:pPr>
            <w:r>
              <w:rPr>
                <w:spacing w:val="-2"/>
              </w:rPr>
              <w:t>振动</w:t>
            </w:r>
          </w:p>
        </w:tc>
        <w:tc>
          <w:tcPr>
            <w:tcW w:w="2836" w:type="dxa"/>
            <w:vAlign w:val="top"/>
          </w:tcPr>
          <w:p w14:paraId="47ACB6F4">
            <w:pPr>
              <w:spacing w:before="275" w:line="233" w:lineRule="auto"/>
              <w:ind w:left="138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711" w:type="dxa"/>
            <w:vAlign w:val="top"/>
          </w:tcPr>
          <w:p w14:paraId="5F20953D">
            <w:pPr>
              <w:rPr>
                <w:rFonts w:ascii="Arial"/>
                <w:sz w:val="21"/>
              </w:rPr>
            </w:pPr>
          </w:p>
        </w:tc>
        <w:tc>
          <w:tcPr>
            <w:tcW w:w="1835" w:type="dxa"/>
            <w:vAlign w:val="top"/>
          </w:tcPr>
          <w:p w14:paraId="0D7B45D7">
            <w:pPr>
              <w:spacing w:before="275" w:line="233" w:lineRule="auto"/>
              <w:ind w:left="88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583" w:type="dxa"/>
            <w:vAlign w:val="top"/>
          </w:tcPr>
          <w:p w14:paraId="00266729">
            <w:pPr>
              <w:spacing w:before="275" w:line="233" w:lineRule="auto"/>
              <w:ind w:left="760"/>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68FEC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84" w:hRule="atLeast"/>
        </w:trPr>
        <w:tc>
          <w:tcPr>
            <w:tcW w:w="707" w:type="dxa"/>
            <w:vAlign w:val="top"/>
          </w:tcPr>
          <w:p w14:paraId="31128835">
            <w:pPr>
              <w:spacing w:line="267" w:lineRule="auto"/>
              <w:rPr>
                <w:rFonts w:ascii="Arial"/>
                <w:sz w:val="21"/>
              </w:rPr>
            </w:pPr>
          </w:p>
          <w:p w14:paraId="4C8B0140">
            <w:pPr>
              <w:spacing w:line="267" w:lineRule="auto"/>
              <w:rPr>
                <w:rFonts w:ascii="Arial"/>
                <w:sz w:val="21"/>
              </w:rPr>
            </w:pPr>
          </w:p>
          <w:p w14:paraId="2CCB80A9">
            <w:pPr>
              <w:spacing w:line="267" w:lineRule="auto"/>
              <w:rPr>
                <w:rFonts w:ascii="Arial"/>
                <w:sz w:val="21"/>
              </w:rPr>
            </w:pPr>
          </w:p>
          <w:p w14:paraId="5A3E721A">
            <w:pPr>
              <w:pStyle w:val="6"/>
              <w:spacing w:before="68" w:line="287" w:lineRule="auto"/>
              <w:ind w:left="149" w:right="138" w:firstLine="2"/>
            </w:pPr>
            <w:r>
              <w:rPr>
                <w:spacing w:val="-5"/>
              </w:rPr>
              <w:t>大气</w:t>
            </w:r>
            <w:r>
              <w:rPr>
                <w:spacing w:val="-3"/>
              </w:rPr>
              <w:t>环境</w:t>
            </w:r>
          </w:p>
        </w:tc>
        <w:tc>
          <w:tcPr>
            <w:tcW w:w="2836" w:type="dxa"/>
            <w:vAlign w:val="top"/>
          </w:tcPr>
          <w:p w14:paraId="4F1DDD26">
            <w:pPr>
              <w:pStyle w:val="6"/>
              <w:spacing w:before="59" w:line="286" w:lineRule="auto"/>
              <w:ind w:left="115" w:right="28" w:firstLine="5"/>
            </w:pPr>
            <w:r>
              <w:rPr>
                <w:spacing w:val="-2"/>
              </w:rPr>
              <w:t>（</w:t>
            </w:r>
            <w:r>
              <w:rPr>
                <w:rFonts w:ascii="Times New Roman" w:hAnsi="Times New Roman" w:eastAsia="Times New Roman" w:cs="Times New Roman"/>
                <w:spacing w:val="-2"/>
              </w:rPr>
              <w:t>1</w:t>
            </w:r>
            <w:r>
              <w:rPr>
                <w:spacing w:val="-2"/>
              </w:rPr>
              <w:t>）扬尘控制：定时洒水降</w:t>
            </w:r>
            <w:r>
              <w:rPr>
                <w:spacing w:val="2"/>
              </w:rPr>
              <w:t>尘，干旱</w:t>
            </w:r>
            <w:r>
              <w:rPr>
                <w:rFonts w:ascii="Times New Roman" w:hAnsi="Times New Roman" w:eastAsia="Times New Roman" w:cs="Times New Roman"/>
                <w:spacing w:val="2"/>
              </w:rPr>
              <w:t>/</w:t>
            </w:r>
            <w:r>
              <w:rPr>
                <w:spacing w:val="2"/>
              </w:rPr>
              <w:t>大风天加密频次或</w:t>
            </w:r>
            <w:r>
              <w:rPr>
                <w:spacing w:val="-8"/>
              </w:rPr>
              <w:t>停工；土方</w:t>
            </w:r>
            <w:r>
              <w:rPr>
                <w:rFonts w:ascii="Times New Roman" w:hAnsi="Times New Roman" w:eastAsia="Times New Roman" w:cs="Times New Roman"/>
                <w:spacing w:val="-8"/>
              </w:rPr>
              <w:t>/</w:t>
            </w:r>
            <w:r>
              <w:rPr>
                <w:spacing w:val="-8"/>
              </w:rPr>
              <w:t>料堆全覆盖防尘。</w:t>
            </w:r>
          </w:p>
          <w:p w14:paraId="308DCEDD">
            <w:pPr>
              <w:pStyle w:val="6"/>
              <w:spacing w:line="281" w:lineRule="auto"/>
              <w:ind w:left="115" w:right="29" w:firstLine="5"/>
            </w:pPr>
            <w:r>
              <w:rPr>
                <w:spacing w:val="-2"/>
              </w:rPr>
              <w:t>（</w:t>
            </w:r>
            <w:r>
              <w:rPr>
                <w:rFonts w:ascii="Times New Roman" w:hAnsi="Times New Roman" w:eastAsia="Times New Roman" w:cs="Times New Roman"/>
                <w:spacing w:val="-2"/>
              </w:rPr>
              <w:t>2</w:t>
            </w:r>
            <w:r>
              <w:rPr>
                <w:spacing w:val="-2"/>
              </w:rPr>
              <w:t>）运输管控：建材车辆强</w:t>
            </w:r>
            <w:r>
              <w:rPr>
                <w:spacing w:val="-4"/>
              </w:rPr>
              <w:t>制密闭运输，禁止抛洒泄漏。</w:t>
            </w:r>
          </w:p>
          <w:p w14:paraId="5490F2C9">
            <w:pPr>
              <w:pStyle w:val="6"/>
              <w:spacing w:before="10" w:line="259" w:lineRule="auto"/>
              <w:ind w:left="115" w:right="106" w:firstLine="5"/>
            </w:pPr>
            <w:r>
              <w:rPr>
                <w:spacing w:val="-2"/>
              </w:rPr>
              <w:t>（</w:t>
            </w:r>
            <w:r>
              <w:rPr>
                <w:rFonts w:ascii="Times New Roman" w:hAnsi="Times New Roman" w:eastAsia="Times New Roman" w:cs="Times New Roman"/>
                <w:spacing w:val="-2"/>
              </w:rPr>
              <w:t>3</w:t>
            </w:r>
            <w:r>
              <w:rPr>
                <w:spacing w:val="-2"/>
              </w:rPr>
              <w:t>）设备减排：加强机械维</w:t>
            </w:r>
            <w:r>
              <w:rPr>
                <w:spacing w:val="7"/>
              </w:rPr>
              <w:t>保，禁止柴油机械超负荷运</w:t>
            </w:r>
          </w:p>
        </w:tc>
        <w:tc>
          <w:tcPr>
            <w:tcW w:w="1711" w:type="dxa"/>
            <w:vAlign w:val="top"/>
          </w:tcPr>
          <w:p w14:paraId="667D39B7">
            <w:pPr>
              <w:spacing w:line="266" w:lineRule="auto"/>
              <w:rPr>
                <w:rFonts w:ascii="Arial"/>
                <w:sz w:val="21"/>
              </w:rPr>
            </w:pPr>
          </w:p>
          <w:p w14:paraId="39D25EE7">
            <w:pPr>
              <w:spacing w:line="267" w:lineRule="auto"/>
              <w:rPr>
                <w:rFonts w:ascii="Arial"/>
                <w:sz w:val="21"/>
              </w:rPr>
            </w:pPr>
          </w:p>
          <w:p w14:paraId="513D4466">
            <w:pPr>
              <w:spacing w:line="267" w:lineRule="auto"/>
              <w:rPr>
                <w:rFonts w:ascii="Arial"/>
                <w:sz w:val="21"/>
              </w:rPr>
            </w:pPr>
          </w:p>
          <w:p w14:paraId="125CFB8E">
            <w:pPr>
              <w:pStyle w:val="6"/>
              <w:spacing w:before="68" w:line="221" w:lineRule="auto"/>
              <w:ind w:left="124"/>
            </w:pPr>
            <w:r>
              <w:rPr>
                <w:spacing w:val="-1"/>
              </w:rPr>
              <w:t>施工场地无可见</w:t>
            </w:r>
          </w:p>
          <w:p w14:paraId="6F06B87A">
            <w:pPr>
              <w:pStyle w:val="6"/>
              <w:spacing w:before="72" w:line="223" w:lineRule="auto"/>
              <w:ind w:left="545"/>
            </w:pPr>
            <w:r>
              <w:rPr>
                <w:spacing w:val="-2"/>
              </w:rPr>
              <w:t>扬尘。</w:t>
            </w:r>
          </w:p>
        </w:tc>
        <w:tc>
          <w:tcPr>
            <w:tcW w:w="1835" w:type="dxa"/>
            <w:vAlign w:val="top"/>
          </w:tcPr>
          <w:p w14:paraId="1CCAD4AA">
            <w:pPr>
              <w:spacing w:line="250" w:lineRule="auto"/>
              <w:rPr>
                <w:rFonts w:ascii="Arial"/>
                <w:sz w:val="21"/>
              </w:rPr>
            </w:pPr>
          </w:p>
          <w:p w14:paraId="2D1F39F5">
            <w:pPr>
              <w:spacing w:line="251" w:lineRule="auto"/>
              <w:rPr>
                <w:rFonts w:ascii="Arial"/>
                <w:sz w:val="21"/>
              </w:rPr>
            </w:pPr>
          </w:p>
          <w:p w14:paraId="1930AD98">
            <w:pPr>
              <w:spacing w:line="251" w:lineRule="auto"/>
              <w:rPr>
                <w:rFonts w:ascii="Arial"/>
                <w:sz w:val="21"/>
              </w:rPr>
            </w:pPr>
          </w:p>
          <w:p w14:paraId="5F6F37AE">
            <w:pPr>
              <w:spacing w:line="251" w:lineRule="auto"/>
              <w:rPr>
                <w:rFonts w:ascii="Arial"/>
                <w:sz w:val="21"/>
              </w:rPr>
            </w:pPr>
          </w:p>
          <w:p w14:paraId="652E57AB">
            <w:pPr>
              <w:spacing w:before="60" w:line="233" w:lineRule="auto"/>
              <w:ind w:left="88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583" w:type="dxa"/>
            <w:vAlign w:val="top"/>
          </w:tcPr>
          <w:p w14:paraId="4FCFB277">
            <w:pPr>
              <w:spacing w:line="250" w:lineRule="auto"/>
              <w:rPr>
                <w:rFonts w:ascii="Arial"/>
                <w:sz w:val="21"/>
              </w:rPr>
            </w:pPr>
          </w:p>
          <w:p w14:paraId="3D0C7882">
            <w:pPr>
              <w:spacing w:line="251" w:lineRule="auto"/>
              <w:rPr>
                <w:rFonts w:ascii="Arial"/>
                <w:sz w:val="21"/>
              </w:rPr>
            </w:pPr>
          </w:p>
          <w:p w14:paraId="62678485">
            <w:pPr>
              <w:spacing w:line="251" w:lineRule="auto"/>
              <w:rPr>
                <w:rFonts w:ascii="Arial"/>
                <w:sz w:val="21"/>
              </w:rPr>
            </w:pPr>
          </w:p>
          <w:p w14:paraId="44A65A42">
            <w:pPr>
              <w:spacing w:line="251" w:lineRule="auto"/>
              <w:rPr>
                <w:rFonts w:ascii="Arial"/>
                <w:sz w:val="21"/>
              </w:rPr>
            </w:pPr>
          </w:p>
          <w:p w14:paraId="77E6A863">
            <w:pPr>
              <w:spacing w:before="60" w:line="233" w:lineRule="auto"/>
              <w:ind w:left="760"/>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bl>
    <w:p w14:paraId="7A7E35E3">
      <w:pPr>
        <w:rPr>
          <w:rFonts w:ascii="Arial"/>
          <w:sz w:val="21"/>
        </w:rPr>
      </w:pPr>
    </w:p>
    <w:p w14:paraId="621FECB5">
      <w:pPr>
        <w:rPr>
          <w:rFonts w:ascii="Arial" w:hAnsi="Arial" w:eastAsia="Arial" w:cs="Arial"/>
          <w:sz w:val="21"/>
          <w:szCs w:val="21"/>
        </w:rPr>
        <w:sectPr>
          <w:footerReference r:id="rId86" w:type="default"/>
          <w:pgSz w:w="11907" w:h="16841"/>
          <w:pgMar w:top="400" w:right="1612" w:bottom="1125" w:left="1615" w:header="0" w:footer="925" w:gutter="0"/>
          <w:cols w:space="720" w:num="1"/>
        </w:sectPr>
      </w:pPr>
    </w:p>
    <w:p w14:paraId="5288E5E7">
      <w:pPr>
        <w:spacing w:before="13"/>
      </w:pPr>
    </w:p>
    <w:p w14:paraId="0E49ED79">
      <w:pPr>
        <w:spacing w:before="13"/>
      </w:pPr>
    </w:p>
    <w:p w14:paraId="07F3A001">
      <w:pPr>
        <w:spacing w:before="13"/>
      </w:pPr>
    </w:p>
    <w:p w14:paraId="59AA0DA9">
      <w:pPr>
        <w:spacing w:before="13"/>
      </w:pPr>
    </w:p>
    <w:tbl>
      <w:tblPr>
        <w:tblStyle w:val="5"/>
        <w:tblW w:w="86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2836"/>
        <w:gridCol w:w="1711"/>
        <w:gridCol w:w="1835"/>
        <w:gridCol w:w="1583"/>
      </w:tblGrid>
      <w:tr w14:paraId="357600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4" w:hRule="atLeast"/>
        </w:trPr>
        <w:tc>
          <w:tcPr>
            <w:tcW w:w="707" w:type="dxa"/>
            <w:vAlign w:val="top"/>
          </w:tcPr>
          <w:p w14:paraId="5F6C87A5">
            <w:pPr>
              <w:rPr>
                <w:rFonts w:ascii="Arial"/>
                <w:sz w:val="21"/>
              </w:rPr>
            </w:pPr>
          </w:p>
        </w:tc>
        <w:tc>
          <w:tcPr>
            <w:tcW w:w="2836" w:type="dxa"/>
            <w:vAlign w:val="top"/>
          </w:tcPr>
          <w:p w14:paraId="3DE58A3D">
            <w:pPr>
              <w:pStyle w:val="6"/>
              <w:spacing w:before="61" w:line="221" w:lineRule="auto"/>
              <w:ind w:left="117"/>
            </w:pPr>
            <w:r>
              <w:rPr>
                <w:spacing w:val="-11"/>
              </w:rPr>
              <w:t>行。</w:t>
            </w:r>
          </w:p>
          <w:p w14:paraId="50818B34">
            <w:pPr>
              <w:pStyle w:val="6"/>
              <w:spacing w:before="72" w:line="286" w:lineRule="auto"/>
              <w:ind w:left="114" w:right="113" w:firstLine="6"/>
            </w:pPr>
            <w:r>
              <w:rPr>
                <w:spacing w:val="-3"/>
              </w:rPr>
              <w:t>（</w:t>
            </w:r>
            <w:r>
              <w:rPr>
                <w:rFonts w:ascii="Times New Roman" w:hAnsi="Times New Roman" w:eastAsia="Times New Roman" w:cs="Times New Roman"/>
                <w:spacing w:val="-3"/>
              </w:rPr>
              <w:t>4</w:t>
            </w:r>
            <w:r>
              <w:rPr>
                <w:spacing w:val="-3"/>
              </w:rPr>
              <w:t>）固废管理：严禁焚烧包装物</w:t>
            </w:r>
            <w:r>
              <w:rPr>
                <w:rFonts w:ascii="Times New Roman" w:hAnsi="Times New Roman" w:eastAsia="Times New Roman" w:cs="Times New Roman"/>
                <w:spacing w:val="-3"/>
              </w:rPr>
              <w:t>/</w:t>
            </w:r>
            <w:r>
              <w:rPr>
                <w:spacing w:val="-3"/>
              </w:rPr>
              <w:t>可燃垃圾。</w:t>
            </w:r>
          </w:p>
          <w:p w14:paraId="1A4C8F96">
            <w:pPr>
              <w:pStyle w:val="6"/>
              <w:spacing w:before="1" w:line="258" w:lineRule="auto"/>
              <w:ind w:left="119" w:right="115" w:firstLine="1"/>
            </w:pPr>
            <w:r>
              <w:rPr>
                <w:spacing w:val="-3"/>
              </w:rPr>
              <w:t>（</w:t>
            </w:r>
            <w:r>
              <w:rPr>
                <w:rFonts w:ascii="Times New Roman" w:hAnsi="Times New Roman" w:eastAsia="Times New Roman" w:cs="Times New Roman"/>
                <w:spacing w:val="-3"/>
              </w:rPr>
              <w:t>5</w:t>
            </w:r>
            <w:r>
              <w:rPr>
                <w:spacing w:val="-3"/>
              </w:rPr>
              <w:t>）专人专管：指定扬尘防</w:t>
            </w:r>
            <w:r>
              <w:rPr>
                <w:spacing w:val="-1"/>
              </w:rPr>
              <w:t>治责任人并现场公示。</w:t>
            </w:r>
          </w:p>
        </w:tc>
        <w:tc>
          <w:tcPr>
            <w:tcW w:w="1711" w:type="dxa"/>
            <w:vAlign w:val="top"/>
          </w:tcPr>
          <w:p w14:paraId="3AF6386B">
            <w:pPr>
              <w:rPr>
                <w:rFonts w:ascii="Arial"/>
                <w:sz w:val="21"/>
              </w:rPr>
            </w:pPr>
          </w:p>
        </w:tc>
        <w:tc>
          <w:tcPr>
            <w:tcW w:w="1835" w:type="dxa"/>
            <w:vAlign w:val="top"/>
          </w:tcPr>
          <w:p w14:paraId="623C4E1F">
            <w:pPr>
              <w:rPr>
                <w:rFonts w:ascii="Arial"/>
                <w:sz w:val="21"/>
              </w:rPr>
            </w:pPr>
          </w:p>
        </w:tc>
        <w:tc>
          <w:tcPr>
            <w:tcW w:w="1583" w:type="dxa"/>
            <w:vAlign w:val="top"/>
          </w:tcPr>
          <w:p w14:paraId="2DECF61B">
            <w:pPr>
              <w:rPr>
                <w:rFonts w:ascii="Arial"/>
                <w:sz w:val="21"/>
              </w:rPr>
            </w:pPr>
          </w:p>
        </w:tc>
      </w:tr>
      <w:tr w14:paraId="63113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04" w:hRule="atLeast"/>
        </w:trPr>
        <w:tc>
          <w:tcPr>
            <w:tcW w:w="707" w:type="dxa"/>
            <w:vAlign w:val="top"/>
          </w:tcPr>
          <w:p w14:paraId="18AEA3E1">
            <w:pPr>
              <w:spacing w:line="267" w:lineRule="auto"/>
              <w:rPr>
                <w:rFonts w:ascii="Arial"/>
                <w:sz w:val="21"/>
              </w:rPr>
            </w:pPr>
          </w:p>
          <w:p w14:paraId="5341FB31">
            <w:pPr>
              <w:spacing w:line="267" w:lineRule="auto"/>
              <w:rPr>
                <w:rFonts w:ascii="Arial"/>
                <w:sz w:val="21"/>
              </w:rPr>
            </w:pPr>
          </w:p>
          <w:p w14:paraId="50FDC866">
            <w:pPr>
              <w:spacing w:line="267" w:lineRule="auto"/>
              <w:rPr>
                <w:rFonts w:ascii="Arial"/>
                <w:sz w:val="21"/>
              </w:rPr>
            </w:pPr>
          </w:p>
          <w:p w14:paraId="6EBCDDAD">
            <w:pPr>
              <w:spacing w:line="267" w:lineRule="auto"/>
              <w:rPr>
                <w:rFonts w:ascii="Arial"/>
                <w:sz w:val="21"/>
              </w:rPr>
            </w:pPr>
          </w:p>
          <w:p w14:paraId="38925D18">
            <w:pPr>
              <w:spacing w:line="267" w:lineRule="auto"/>
              <w:rPr>
                <w:rFonts w:ascii="Arial"/>
                <w:sz w:val="21"/>
              </w:rPr>
            </w:pPr>
          </w:p>
          <w:p w14:paraId="154D33FD">
            <w:pPr>
              <w:spacing w:line="267" w:lineRule="auto"/>
              <w:rPr>
                <w:rFonts w:ascii="Arial"/>
                <w:sz w:val="21"/>
              </w:rPr>
            </w:pPr>
          </w:p>
          <w:p w14:paraId="011485BD">
            <w:pPr>
              <w:pStyle w:val="6"/>
              <w:spacing w:before="69" w:line="290" w:lineRule="auto"/>
              <w:ind w:left="148" w:right="138" w:firstLine="19"/>
            </w:pPr>
            <w:r>
              <w:rPr>
                <w:spacing w:val="-12"/>
              </w:rPr>
              <w:t>固体</w:t>
            </w:r>
            <w:r>
              <w:rPr>
                <w:spacing w:val="-3"/>
              </w:rPr>
              <w:t>废物</w:t>
            </w:r>
          </w:p>
        </w:tc>
        <w:tc>
          <w:tcPr>
            <w:tcW w:w="2836" w:type="dxa"/>
            <w:vAlign w:val="top"/>
          </w:tcPr>
          <w:p w14:paraId="563EE4E8">
            <w:pPr>
              <w:pStyle w:val="6"/>
              <w:spacing w:before="54" w:line="286" w:lineRule="auto"/>
              <w:ind w:left="113" w:right="29" w:firstLine="7"/>
            </w:pPr>
            <w:r>
              <w:rPr>
                <w:spacing w:val="-2"/>
              </w:rPr>
              <w:t>（</w:t>
            </w:r>
            <w:r>
              <w:rPr>
                <w:rFonts w:ascii="Times New Roman" w:hAnsi="Times New Roman" w:eastAsia="Times New Roman" w:cs="Times New Roman"/>
                <w:spacing w:val="-2"/>
              </w:rPr>
              <w:t>1</w:t>
            </w:r>
            <w:r>
              <w:rPr>
                <w:spacing w:val="-2"/>
              </w:rPr>
              <w:t>）土石方回填：扩建工程</w:t>
            </w:r>
            <w:r>
              <w:rPr>
                <w:spacing w:val="7"/>
              </w:rPr>
              <w:t>开挖土方全回填利用，塔基</w:t>
            </w:r>
            <w:r>
              <w:rPr>
                <w:spacing w:val="27"/>
              </w:rPr>
              <w:t>表土集中堆存用于植被恢</w:t>
            </w:r>
            <w:r>
              <w:rPr>
                <w:spacing w:val="-4"/>
              </w:rPr>
              <w:t>复；耕地区施工后清理场地、</w:t>
            </w:r>
            <w:r>
              <w:rPr>
                <w:spacing w:val="-8"/>
              </w:rPr>
              <w:t>复耕。</w:t>
            </w:r>
          </w:p>
          <w:p w14:paraId="5D74B5F4">
            <w:pPr>
              <w:pStyle w:val="6"/>
              <w:spacing w:line="285" w:lineRule="auto"/>
              <w:ind w:left="114" w:right="106" w:firstLine="6"/>
            </w:pPr>
            <w:r>
              <w:rPr>
                <w:spacing w:val="-2"/>
              </w:rPr>
              <w:t>（</w:t>
            </w:r>
            <w:r>
              <w:rPr>
                <w:rFonts w:ascii="Times New Roman" w:hAnsi="Times New Roman" w:eastAsia="Times New Roman" w:cs="Times New Roman"/>
                <w:spacing w:val="-2"/>
              </w:rPr>
              <w:t>2</w:t>
            </w:r>
            <w:r>
              <w:rPr>
                <w:spacing w:val="-2"/>
              </w:rPr>
              <w:t>）分类处置：建筑垃圾分</w:t>
            </w:r>
            <w:r>
              <w:rPr>
                <w:spacing w:val="7"/>
              </w:rPr>
              <w:t>类回收利用，不可回收物清</w:t>
            </w:r>
            <w:r>
              <w:rPr>
                <w:spacing w:val="-3"/>
              </w:rPr>
              <w:t>运至政府指定场所。</w:t>
            </w:r>
          </w:p>
          <w:p w14:paraId="2CC238B1">
            <w:pPr>
              <w:pStyle w:val="6"/>
              <w:spacing w:before="6" w:line="271" w:lineRule="auto"/>
              <w:ind w:left="114" w:right="106" w:firstLine="6"/>
            </w:pPr>
            <w:r>
              <w:rPr>
                <w:spacing w:val="-2"/>
              </w:rPr>
              <w:t>（</w:t>
            </w:r>
            <w:r>
              <w:rPr>
                <w:rFonts w:ascii="Times New Roman" w:hAnsi="Times New Roman" w:eastAsia="Times New Roman" w:cs="Times New Roman"/>
                <w:spacing w:val="-2"/>
              </w:rPr>
              <w:t>3</w:t>
            </w:r>
            <w:r>
              <w:rPr>
                <w:spacing w:val="-2"/>
              </w:rPr>
              <w:t>）垃圾管理：生活垃圾依</w:t>
            </w:r>
            <w:r>
              <w:rPr>
                <w:spacing w:val="7"/>
              </w:rPr>
              <w:t>托村镇现有设施处理，零星垃圾随施工人员生活区统一</w:t>
            </w:r>
            <w:r>
              <w:rPr>
                <w:spacing w:val="-8"/>
              </w:rPr>
              <w:t>清运。</w:t>
            </w:r>
          </w:p>
        </w:tc>
        <w:tc>
          <w:tcPr>
            <w:tcW w:w="1711" w:type="dxa"/>
            <w:vAlign w:val="top"/>
          </w:tcPr>
          <w:p w14:paraId="207B3F01">
            <w:pPr>
              <w:spacing w:line="252" w:lineRule="auto"/>
              <w:rPr>
                <w:rFonts w:ascii="Arial"/>
                <w:sz w:val="21"/>
              </w:rPr>
            </w:pPr>
          </w:p>
          <w:p w14:paraId="718C28AF">
            <w:pPr>
              <w:spacing w:line="252" w:lineRule="auto"/>
              <w:rPr>
                <w:rFonts w:ascii="Arial"/>
                <w:sz w:val="21"/>
              </w:rPr>
            </w:pPr>
          </w:p>
          <w:p w14:paraId="7A5C9345">
            <w:pPr>
              <w:spacing w:line="252" w:lineRule="auto"/>
              <w:rPr>
                <w:rFonts w:ascii="Arial"/>
                <w:sz w:val="21"/>
              </w:rPr>
            </w:pPr>
          </w:p>
          <w:p w14:paraId="2E559BA9">
            <w:pPr>
              <w:spacing w:line="252" w:lineRule="auto"/>
              <w:rPr>
                <w:rFonts w:ascii="Arial"/>
                <w:sz w:val="21"/>
              </w:rPr>
            </w:pPr>
          </w:p>
          <w:p w14:paraId="6B69C4F3">
            <w:pPr>
              <w:spacing w:line="252" w:lineRule="auto"/>
              <w:rPr>
                <w:rFonts w:ascii="Arial"/>
                <w:sz w:val="21"/>
              </w:rPr>
            </w:pPr>
          </w:p>
          <w:p w14:paraId="3073A814">
            <w:pPr>
              <w:spacing w:line="253" w:lineRule="auto"/>
              <w:rPr>
                <w:rFonts w:ascii="Arial"/>
                <w:sz w:val="21"/>
              </w:rPr>
            </w:pPr>
          </w:p>
          <w:p w14:paraId="34793DE8">
            <w:pPr>
              <w:spacing w:line="253" w:lineRule="auto"/>
              <w:rPr>
                <w:rFonts w:ascii="Arial"/>
                <w:sz w:val="21"/>
              </w:rPr>
            </w:pPr>
          </w:p>
          <w:p w14:paraId="5E5EDC4B">
            <w:pPr>
              <w:pStyle w:val="6"/>
              <w:spacing w:before="68" w:line="234" w:lineRule="auto"/>
              <w:ind w:left="172"/>
              <w:rPr>
                <w:rFonts w:ascii="Times New Roman" w:hAnsi="Times New Roman" w:eastAsia="Times New Roman" w:cs="Times New Roman"/>
              </w:rPr>
            </w:pPr>
            <w:r>
              <w:rPr>
                <w:spacing w:val="-5"/>
              </w:rPr>
              <w:t>处置率达</w:t>
            </w:r>
            <w:r>
              <w:rPr>
                <w:spacing w:val="-23"/>
              </w:rPr>
              <w:t xml:space="preserve"> </w:t>
            </w:r>
            <w:r>
              <w:rPr>
                <w:rFonts w:ascii="Times New Roman" w:hAnsi="Times New Roman" w:eastAsia="Times New Roman" w:cs="Times New Roman"/>
                <w:spacing w:val="-5"/>
              </w:rPr>
              <w:t>100%</w:t>
            </w:r>
          </w:p>
        </w:tc>
        <w:tc>
          <w:tcPr>
            <w:tcW w:w="1835" w:type="dxa"/>
            <w:vAlign w:val="top"/>
          </w:tcPr>
          <w:p w14:paraId="6583D42C">
            <w:pPr>
              <w:pStyle w:val="6"/>
              <w:spacing w:before="222" w:line="286" w:lineRule="auto"/>
              <w:ind w:left="115" w:right="101" w:hanging="1"/>
              <w:jc w:val="both"/>
            </w:pPr>
            <w:r>
              <w:rPr>
                <w:spacing w:val="20"/>
              </w:rPr>
              <w:t>运行维护中产生</w:t>
            </w:r>
            <w:r>
              <w:rPr>
                <w:spacing w:val="-9"/>
              </w:rPr>
              <w:t>的废弃材料、生活</w:t>
            </w:r>
            <w:r>
              <w:rPr>
                <w:spacing w:val="20"/>
              </w:rPr>
              <w:t>垃圾等废物不得</w:t>
            </w:r>
            <w:r>
              <w:rPr>
                <w:spacing w:val="-9"/>
              </w:rPr>
              <w:t>随意丢弃，应带回营地妥善处理。输</w:t>
            </w:r>
            <w:r>
              <w:rPr>
                <w:spacing w:val="20"/>
              </w:rPr>
              <w:t>电线路维护和更换会产生废弃的</w:t>
            </w:r>
            <w:r>
              <w:rPr>
                <w:spacing w:val="-9"/>
              </w:rPr>
              <w:t>导线、螺丝钉等废旧材料及设备，集</w:t>
            </w:r>
            <w:r>
              <w:rPr>
                <w:spacing w:val="20"/>
              </w:rPr>
              <w:t>中收集后回收利</w:t>
            </w:r>
            <w:r>
              <w:rPr>
                <w:spacing w:val="-10"/>
              </w:rPr>
              <w:t>用。</w:t>
            </w:r>
          </w:p>
        </w:tc>
        <w:tc>
          <w:tcPr>
            <w:tcW w:w="1583" w:type="dxa"/>
            <w:vAlign w:val="top"/>
          </w:tcPr>
          <w:p w14:paraId="06186AD5">
            <w:pPr>
              <w:spacing w:line="267" w:lineRule="auto"/>
              <w:rPr>
                <w:rFonts w:ascii="Arial"/>
                <w:sz w:val="21"/>
              </w:rPr>
            </w:pPr>
          </w:p>
          <w:p w14:paraId="3F3481DF">
            <w:pPr>
              <w:spacing w:line="267" w:lineRule="auto"/>
              <w:rPr>
                <w:rFonts w:ascii="Arial"/>
                <w:sz w:val="21"/>
              </w:rPr>
            </w:pPr>
          </w:p>
          <w:p w14:paraId="1B5BAF80">
            <w:pPr>
              <w:spacing w:line="267" w:lineRule="auto"/>
              <w:rPr>
                <w:rFonts w:ascii="Arial"/>
                <w:sz w:val="21"/>
              </w:rPr>
            </w:pPr>
          </w:p>
          <w:p w14:paraId="3E9C420F">
            <w:pPr>
              <w:spacing w:line="267" w:lineRule="auto"/>
              <w:rPr>
                <w:rFonts w:ascii="Arial"/>
                <w:sz w:val="21"/>
              </w:rPr>
            </w:pPr>
          </w:p>
          <w:p w14:paraId="0AEBFB73">
            <w:pPr>
              <w:spacing w:line="267" w:lineRule="auto"/>
              <w:rPr>
                <w:rFonts w:ascii="Arial"/>
                <w:sz w:val="21"/>
              </w:rPr>
            </w:pPr>
          </w:p>
          <w:p w14:paraId="372F4010">
            <w:pPr>
              <w:spacing w:line="267" w:lineRule="auto"/>
              <w:rPr>
                <w:rFonts w:ascii="Arial"/>
                <w:sz w:val="21"/>
              </w:rPr>
            </w:pPr>
          </w:p>
          <w:p w14:paraId="1F8166E3">
            <w:pPr>
              <w:pStyle w:val="6"/>
              <w:spacing w:before="69" w:line="221" w:lineRule="auto"/>
              <w:ind w:left="381"/>
            </w:pPr>
            <w:r>
              <w:rPr>
                <w:spacing w:val="-3"/>
              </w:rPr>
              <w:t>处置率达</w:t>
            </w:r>
          </w:p>
          <w:p w14:paraId="7B69F87F">
            <w:pPr>
              <w:spacing w:before="111" w:line="230" w:lineRule="auto"/>
              <w:ind w:left="569"/>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100%</w:t>
            </w:r>
          </w:p>
        </w:tc>
      </w:tr>
      <w:tr w14:paraId="07B950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05" w:hRule="atLeast"/>
        </w:trPr>
        <w:tc>
          <w:tcPr>
            <w:tcW w:w="707" w:type="dxa"/>
            <w:vAlign w:val="top"/>
          </w:tcPr>
          <w:p w14:paraId="7AA1F813">
            <w:pPr>
              <w:spacing w:line="241" w:lineRule="auto"/>
              <w:rPr>
                <w:rFonts w:ascii="Arial"/>
                <w:sz w:val="21"/>
              </w:rPr>
            </w:pPr>
          </w:p>
          <w:p w14:paraId="6847B94A">
            <w:pPr>
              <w:spacing w:line="241" w:lineRule="auto"/>
              <w:rPr>
                <w:rFonts w:ascii="Arial"/>
                <w:sz w:val="21"/>
              </w:rPr>
            </w:pPr>
          </w:p>
          <w:p w14:paraId="02830A57">
            <w:pPr>
              <w:spacing w:line="241" w:lineRule="auto"/>
              <w:rPr>
                <w:rFonts w:ascii="Arial"/>
                <w:sz w:val="21"/>
              </w:rPr>
            </w:pPr>
          </w:p>
          <w:p w14:paraId="0CCAA1FF">
            <w:pPr>
              <w:spacing w:line="241" w:lineRule="auto"/>
              <w:rPr>
                <w:rFonts w:ascii="Arial"/>
                <w:sz w:val="21"/>
              </w:rPr>
            </w:pPr>
          </w:p>
          <w:p w14:paraId="2D38804B">
            <w:pPr>
              <w:spacing w:line="241" w:lineRule="auto"/>
              <w:rPr>
                <w:rFonts w:ascii="Arial"/>
                <w:sz w:val="21"/>
              </w:rPr>
            </w:pPr>
          </w:p>
          <w:p w14:paraId="0178727B">
            <w:pPr>
              <w:spacing w:line="241" w:lineRule="auto"/>
              <w:rPr>
                <w:rFonts w:ascii="Arial"/>
                <w:sz w:val="21"/>
              </w:rPr>
            </w:pPr>
          </w:p>
          <w:p w14:paraId="2FEF25EA">
            <w:pPr>
              <w:spacing w:line="242" w:lineRule="auto"/>
              <w:rPr>
                <w:rFonts w:ascii="Arial"/>
                <w:sz w:val="21"/>
              </w:rPr>
            </w:pPr>
          </w:p>
          <w:p w14:paraId="56CA5B43">
            <w:pPr>
              <w:spacing w:line="242" w:lineRule="auto"/>
              <w:rPr>
                <w:rFonts w:ascii="Arial"/>
                <w:sz w:val="21"/>
              </w:rPr>
            </w:pPr>
          </w:p>
          <w:p w14:paraId="7017F3C4">
            <w:pPr>
              <w:spacing w:line="242" w:lineRule="auto"/>
              <w:rPr>
                <w:rFonts w:ascii="Arial"/>
                <w:sz w:val="21"/>
              </w:rPr>
            </w:pPr>
          </w:p>
          <w:p w14:paraId="187F2D37">
            <w:pPr>
              <w:spacing w:line="242" w:lineRule="auto"/>
              <w:rPr>
                <w:rFonts w:ascii="Arial"/>
                <w:sz w:val="21"/>
              </w:rPr>
            </w:pPr>
          </w:p>
          <w:p w14:paraId="1382F5BB">
            <w:pPr>
              <w:spacing w:line="242" w:lineRule="auto"/>
              <w:rPr>
                <w:rFonts w:ascii="Arial"/>
                <w:sz w:val="21"/>
              </w:rPr>
            </w:pPr>
          </w:p>
          <w:p w14:paraId="73092C72">
            <w:pPr>
              <w:spacing w:line="242" w:lineRule="auto"/>
              <w:rPr>
                <w:rFonts w:ascii="Arial"/>
                <w:sz w:val="21"/>
              </w:rPr>
            </w:pPr>
          </w:p>
          <w:p w14:paraId="090C5F16">
            <w:pPr>
              <w:pStyle w:val="6"/>
              <w:spacing w:before="68" w:line="289" w:lineRule="auto"/>
              <w:ind w:left="149" w:right="138" w:firstLine="24"/>
            </w:pPr>
            <w:r>
              <w:rPr>
                <w:spacing w:val="-16"/>
              </w:rPr>
              <w:t>电磁</w:t>
            </w:r>
            <w:r>
              <w:rPr>
                <w:spacing w:val="-3"/>
              </w:rPr>
              <w:t>环境</w:t>
            </w:r>
          </w:p>
        </w:tc>
        <w:tc>
          <w:tcPr>
            <w:tcW w:w="2836" w:type="dxa"/>
            <w:vAlign w:val="top"/>
          </w:tcPr>
          <w:p w14:paraId="6A32F8D1">
            <w:pPr>
              <w:pStyle w:val="6"/>
              <w:spacing w:before="57" w:line="286" w:lineRule="auto"/>
              <w:ind w:left="115" w:right="103" w:firstLine="15"/>
            </w:pPr>
            <w:r>
              <w:rPr>
                <w:rFonts w:ascii="Times New Roman" w:hAnsi="Times New Roman" w:eastAsia="Times New Roman" w:cs="Times New Roman"/>
                <w:spacing w:val="-3"/>
              </w:rPr>
              <w:t>1</w:t>
            </w:r>
            <w:r>
              <w:rPr>
                <w:spacing w:val="-3"/>
              </w:rPr>
              <w:t>）进一步优化线路路径，对</w:t>
            </w:r>
            <w:r>
              <w:rPr>
                <w:spacing w:val="6"/>
              </w:rPr>
              <w:t>沿线居民点进行合理避让，</w:t>
            </w:r>
            <w:r>
              <w:rPr>
                <w:spacing w:val="7"/>
              </w:rPr>
              <w:t>经过居民区选择电磁环境影</w:t>
            </w:r>
            <w:r>
              <w:rPr>
                <w:spacing w:val="-3"/>
              </w:rPr>
              <w:t>响较小的塔型。</w:t>
            </w:r>
          </w:p>
          <w:p w14:paraId="3C3E0B09">
            <w:pPr>
              <w:pStyle w:val="6"/>
              <w:spacing w:before="6" w:line="285" w:lineRule="auto"/>
              <w:ind w:left="112" w:right="106" w:hanging="2"/>
            </w:pPr>
            <w:r>
              <w:rPr>
                <w:rFonts w:ascii="Times New Roman" w:hAnsi="Times New Roman" w:eastAsia="Times New Roman" w:cs="Times New Roman"/>
                <w:spacing w:val="-1"/>
              </w:rPr>
              <w:t>2</w:t>
            </w:r>
            <w:r>
              <w:rPr>
                <w:spacing w:val="-1"/>
              </w:rPr>
              <w:t>）尽量优化导线的相序排列</w:t>
            </w:r>
            <w:r>
              <w:rPr>
                <w:spacing w:val="7"/>
              </w:rPr>
              <w:t>方式及杆塔型式，合理选择导线直径及导线分裂数，并</w:t>
            </w:r>
            <w:r>
              <w:rPr>
                <w:spacing w:val="4"/>
              </w:rPr>
              <w:t>提高线路的加工工艺，</w:t>
            </w:r>
            <w:r>
              <w:rPr>
                <w:spacing w:val="-63"/>
              </w:rPr>
              <w:t xml:space="preserve"> </w:t>
            </w:r>
            <w:r>
              <w:rPr>
                <w:spacing w:val="4"/>
              </w:rPr>
              <w:t>降低</w:t>
            </w:r>
            <w:r>
              <w:rPr>
                <w:spacing w:val="27"/>
              </w:rPr>
              <w:t>线路周围的工频电磁场强</w:t>
            </w:r>
            <w:r>
              <w:rPr>
                <w:spacing w:val="-10"/>
              </w:rPr>
              <w:t>度。</w:t>
            </w:r>
          </w:p>
          <w:p w14:paraId="7D75F63D">
            <w:pPr>
              <w:pStyle w:val="6"/>
              <w:spacing w:before="11" w:line="279" w:lineRule="auto"/>
              <w:ind w:left="113" w:right="103" w:firstLine="1"/>
            </w:pPr>
            <w:r>
              <w:rPr>
                <w:rFonts w:ascii="Times New Roman" w:hAnsi="Times New Roman" w:eastAsia="Times New Roman" w:cs="Times New Roman"/>
                <w:spacing w:val="-1"/>
              </w:rPr>
              <w:t>3</w:t>
            </w:r>
            <w:r>
              <w:rPr>
                <w:spacing w:val="-1"/>
              </w:rPr>
              <w:t>）本项目经过居民区，采用</w:t>
            </w:r>
            <w:r>
              <w:rPr>
                <w:spacing w:val="7"/>
              </w:rPr>
              <w:t>导线抬升措施控制电磁环境</w:t>
            </w:r>
            <w:r>
              <w:rPr>
                <w:spacing w:val="-4"/>
              </w:rPr>
              <w:t xml:space="preserve">影响，使 </w:t>
            </w:r>
            <w:r>
              <w:rPr>
                <w:rFonts w:ascii="Times New Roman" w:hAnsi="Times New Roman" w:eastAsia="Times New Roman" w:cs="Times New Roman"/>
                <w:spacing w:val="-4"/>
              </w:rPr>
              <w:t xml:space="preserve">C  </w:t>
            </w:r>
            <w:r>
              <w:rPr>
                <w:spacing w:val="-4"/>
              </w:rPr>
              <w:t>回线路单回三角</w:t>
            </w:r>
            <w:r>
              <w:rPr>
                <w:spacing w:val="7"/>
              </w:rPr>
              <w:t>排列段导线最低对地距离不</w:t>
            </w:r>
            <w:r>
              <w:rPr>
                <w:spacing w:val="-9"/>
              </w:rPr>
              <w:t>小于</w:t>
            </w:r>
            <w:r>
              <w:rPr>
                <w:spacing w:val="-35"/>
              </w:rPr>
              <w:t xml:space="preserve"> </w:t>
            </w:r>
            <w:r>
              <w:rPr>
                <w:rFonts w:ascii="Times New Roman" w:hAnsi="Times New Roman" w:eastAsia="Times New Roman" w:cs="Times New Roman"/>
                <w:spacing w:val="-9"/>
              </w:rPr>
              <w:t>9.5m</w:t>
            </w:r>
            <w:r>
              <w:rPr>
                <w:spacing w:val="-9"/>
              </w:rPr>
              <w:t>，</w:t>
            </w:r>
            <w:r>
              <w:rPr>
                <w:rFonts w:ascii="Times New Roman" w:hAnsi="Times New Roman" w:eastAsia="Times New Roman" w:cs="Times New Roman"/>
                <w:spacing w:val="-9"/>
              </w:rPr>
              <w:t>DE</w:t>
            </w:r>
            <w:r>
              <w:rPr>
                <w:rFonts w:ascii="Times New Roman" w:hAnsi="Times New Roman" w:eastAsia="Times New Roman" w:cs="Times New Roman"/>
                <w:spacing w:val="29"/>
                <w:w w:val="101"/>
              </w:rPr>
              <w:t xml:space="preserve"> </w:t>
            </w:r>
            <w:r>
              <w:rPr>
                <w:spacing w:val="-9"/>
              </w:rPr>
              <w:t>回线路单回三</w:t>
            </w:r>
            <w:r>
              <w:rPr>
                <w:spacing w:val="7"/>
              </w:rPr>
              <w:t>角排列段导线最低对地距离</w:t>
            </w:r>
            <w:r>
              <w:rPr>
                <w:spacing w:val="-4"/>
              </w:rPr>
              <w:t xml:space="preserve">不小于 </w:t>
            </w:r>
            <w:r>
              <w:rPr>
                <w:rFonts w:ascii="Times New Roman" w:hAnsi="Times New Roman" w:eastAsia="Times New Roman" w:cs="Times New Roman"/>
                <w:spacing w:val="-4"/>
              </w:rPr>
              <w:t>8m</w:t>
            </w:r>
            <w:r>
              <w:rPr>
                <w:rFonts w:ascii="Times New Roman" w:hAnsi="Times New Roman" w:eastAsia="Times New Roman" w:cs="Times New Roman"/>
                <w:spacing w:val="-24"/>
              </w:rPr>
              <w:t xml:space="preserve"> </w:t>
            </w:r>
            <w:r>
              <w:rPr>
                <w:spacing w:val="-4"/>
              </w:rPr>
              <w:t>，</w:t>
            </w:r>
            <w:r>
              <w:rPr>
                <w:rFonts w:ascii="Times New Roman" w:hAnsi="Times New Roman" w:eastAsia="Times New Roman" w:cs="Times New Roman"/>
                <w:spacing w:val="-4"/>
              </w:rPr>
              <w:t xml:space="preserve">DE  </w:t>
            </w:r>
            <w:r>
              <w:rPr>
                <w:spacing w:val="-4"/>
              </w:rPr>
              <w:t>回线路双回</w:t>
            </w:r>
            <w:r>
              <w:rPr>
                <w:spacing w:val="-9"/>
              </w:rPr>
              <w:t>垂直段（单边挂线）导线最低</w:t>
            </w:r>
            <w:r>
              <w:rPr>
                <w:spacing w:val="-2"/>
              </w:rPr>
              <w:t xml:space="preserve">对地距离不小于 </w:t>
            </w:r>
            <w:r>
              <w:rPr>
                <w:rFonts w:ascii="Times New Roman" w:hAnsi="Times New Roman" w:eastAsia="Times New Roman" w:cs="Times New Roman"/>
                <w:spacing w:val="-2"/>
              </w:rPr>
              <w:t>7.5m</w:t>
            </w:r>
            <w:r>
              <w:rPr>
                <w:spacing w:val="-2"/>
              </w:rPr>
              <w:t>，以保</w:t>
            </w:r>
            <w:r>
              <w:rPr>
                <w:spacing w:val="-1"/>
              </w:rPr>
              <w:t>证居民区电磁场强度达标。</w:t>
            </w:r>
          </w:p>
        </w:tc>
        <w:tc>
          <w:tcPr>
            <w:tcW w:w="1711" w:type="dxa"/>
            <w:vAlign w:val="top"/>
          </w:tcPr>
          <w:p w14:paraId="058F1AD0">
            <w:pPr>
              <w:spacing w:line="261" w:lineRule="auto"/>
              <w:rPr>
                <w:rFonts w:ascii="Arial"/>
                <w:sz w:val="21"/>
              </w:rPr>
            </w:pPr>
          </w:p>
          <w:p w14:paraId="10BF7923">
            <w:pPr>
              <w:spacing w:line="261" w:lineRule="auto"/>
              <w:rPr>
                <w:rFonts w:ascii="Arial"/>
                <w:sz w:val="21"/>
              </w:rPr>
            </w:pPr>
          </w:p>
          <w:p w14:paraId="433A0E8B">
            <w:pPr>
              <w:spacing w:line="261" w:lineRule="auto"/>
              <w:rPr>
                <w:rFonts w:ascii="Arial"/>
                <w:sz w:val="21"/>
              </w:rPr>
            </w:pPr>
          </w:p>
          <w:p w14:paraId="2EC8B8AB">
            <w:pPr>
              <w:spacing w:line="261" w:lineRule="auto"/>
              <w:rPr>
                <w:rFonts w:ascii="Arial"/>
                <w:sz w:val="21"/>
              </w:rPr>
            </w:pPr>
          </w:p>
          <w:p w14:paraId="3129AA9B">
            <w:pPr>
              <w:spacing w:line="261" w:lineRule="auto"/>
              <w:rPr>
                <w:rFonts w:ascii="Arial"/>
                <w:sz w:val="21"/>
              </w:rPr>
            </w:pPr>
          </w:p>
          <w:p w14:paraId="3588DE59">
            <w:pPr>
              <w:spacing w:line="261" w:lineRule="auto"/>
              <w:rPr>
                <w:rFonts w:ascii="Arial"/>
                <w:sz w:val="21"/>
              </w:rPr>
            </w:pPr>
          </w:p>
          <w:p w14:paraId="11DBF6E5">
            <w:pPr>
              <w:spacing w:line="262" w:lineRule="auto"/>
              <w:rPr>
                <w:rFonts w:ascii="Arial"/>
                <w:sz w:val="21"/>
              </w:rPr>
            </w:pPr>
          </w:p>
          <w:p w14:paraId="51ED331A">
            <w:pPr>
              <w:spacing w:line="262" w:lineRule="auto"/>
              <w:rPr>
                <w:rFonts w:ascii="Arial"/>
                <w:sz w:val="21"/>
              </w:rPr>
            </w:pPr>
          </w:p>
          <w:p w14:paraId="5F900432">
            <w:pPr>
              <w:pStyle w:val="6"/>
              <w:spacing w:before="68" w:line="286" w:lineRule="auto"/>
              <w:ind w:left="109" w:right="101" w:firstLine="9"/>
              <w:jc w:val="both"/>
            </w:pPr>
            <w:r>
              <w:rPr>
                <w:spacing w:val="37"/>
              </w:rPr>
              <w:t>导线高度满足</w:t>
            </w:r>
            <w:r>
              <w:rPr>
                <w:spacing w:val="-5"/>
              </w:rPr>
              <w:t>《</w:t>
            </w:r>
            <w:r>
              <w:rPr>
                <w:spacing w:val="-21"/>
              </w:rPr>
              <w:t xml:space="preserve"> </w:t>
            </w:r>
            <w:r>
              <w:rPr>
                <w:rFonts w:ascii="Times New Roman" w:hAnsi="Times New Roman" w:eastAsia="Times New Roman" w:cs="Times New Roman"/>
                <w:spacing w:val="-5"/>
              </w:rPr>
              <w:t>110kV~750kV</w:t>
            </w:r>
            <w:r>
              <w:rPr>
                <w:spacing w:val="3"/>
              </w:rPr>
              <w:t>架空输电线路设</w:t>
            </w:r>
            <w:r>
              <w:rPr>
                <w:spacing w:val="-11"/>
              </w:rPr>
              <w:t>计</w:t>
            </w:r>
            <w:r>
              <w:rPr>
                <w:spacing w:val="10"/>
              </w:rPr>
              <w:t xml:space="preserve">  </w:t>
            </w:r>
            <w:r>
              <w:rPr>
                <w:spacing w:val="-11"/>
              </w:rPr>
              <w:t>规</w:t>
            </w:r>
            <w:r>
              <w:rPr>
                <w:spacing w:val="10"/>
              </w:rPr>
              <w:t xml:space="preserve">  </w:t>
            </w:r>
            <w:r>
              <w:rPr>
                <w:spacing w:val="-11"/>
              </w:rPr>
              <w:t>范</w:t>
            </w:r>
            <w:r>
              <w:rPr>
                <w:spacing w:val="13"/>
              </w:rPr>
              <w:t xml:space="preserve">  </w:t>
            </w:r>
            <w:r>
              <w:rPr>
                <w:spacing w:val="-11"/>
              </w:rPr>
              <w:t>》</w:t>
            </w:r>
            <w:r>
              <w:rPr>
                <w:spacing w:val="1"/>
              </w:rPr>
              <w:t xml:space="preserve"> </w:t>
            </w:r>
            <w:r>
              <w:rPr>
                <w:spacing w:val="-1"/>
              </w:rPr>
              <w:t>（</w:t>
            </w:r>
            <w:r>
              <w:rPr>
                <w:spacing w:val="30"/>
              </w:rPr>
              <w:t xml:space="preserve">   </w:t>
            </w:r>
            <w:r>
              <w:rPr>
                <w:rFonts w:ascii="Times New Roman" w:hAnsi="Times New Roman" w:eastAsia="Times New Roman" w:cs="Times New Roman"/>
                <w:spacing w:val="-1"/>
              </w:rPr>
              <w:t>GB50545-</w:t>
            </w:r>
            <w:r>
              <w:rPr>
                <w:rFonts w:ascii="Times New Roman" w:hAnsi="Times New Roman" w:eastAsia="Times New Roman" w:cs="Times New Roman"/>
              </w:rPr>
              <w:t xml:space="preserve"> </w:t>
            </w:r>
            <w:r>
              <w:rPr>
                <w:rFonts w:ascii="Times New Roman" w:hAnsi="Times New Roman" w:eastAsia="Times New Roman" w:cs="Times New Roman"/>
                <w:spacing w:val="2"/>
              </w:rPr>
              <w:t>2010</w:t>
            </w:r>
            <w:r>
              <w:rPr>
                <w:spacing w:val="2"/>
              </w:rPr>
              <w:t>）及本环评</w:t>
            </w:r>
            <w:r>
              <w:rPr>
                <w:spacing w:val="-1"/>
              </w:rPr>
              <w:t>的要求。</w:t>
            </w:r>
          </w:p>
        </w:tc>
        <w:tc>
          <w:tcPr>
            <w:tcW w:w="1835" w:type="dxa"/>
            <w:vAlign w:val="top"/>
          </w:tcPr>
          <w:p w14:paraId="640C6090">
            <w:pPr>
              <w:spacing w:line="474" w:lineRule="auto"/>
              <w:rPr>
                <w:rFonts w:ascii="Arial"/>
                <w:sz w:val="21"/>
              </w:rPr>
            </w:pPr>
          </w:p>
          <w:p w14:paraId="05CB9A6D">
            <w:pPr>
              <w:pStyle w:val="6"/>
              <w:spacing w:before="69" w:line="286" w:lineRule="auto"/>
              <w:ind w:left="114" w:right="101" w:firstLine="6"/>
            </w:pPr>
            <w:r>
              <w:rPr>
                <w:spacing w:val="-20"/>
              </w:rPr>
              <w:t>（</w:t>
            </w:r>
            <w:r>
              <w:rPr>
                <w:rFonts w:ascii="Times New Roman" w:hAnsi="Times New Roman" w:eastAsia="Times New Roman" w:cs="Times New Roman"/>
                <w:spacing w:val="-20"/>
              </w:rPr>
              <w:t>1</w:t>
            </w:r>
            <w:r>
              <w:rPr>
                <w:spacing w:val="-20"/>
              </w:rPr>
              <w:t>）定期巡检：开</w:t>
            </w:r>
            <w:r>
              <w:rPr>
                <w:spacing w:val="20"/>
              </w:rPr>
              <w:t>展输电线路及塔</w:t>
            </w:r>
            <w:r>
              <w:rPr>
                <w:spacing w:val="-9"/>
              </w:rPr>
              <w:t>基维护，防控运行</w:t>
            </w:r>
            <w:r>
              <w:rPr>
                <w:spacing w:val="20"/>
              </w:rPr>
              <w:t>故障引发的电磁</w:t>
            </w:r>
            <w:r>
              <w:rPr>
                <w:spacing w:val="-5"/>
              </w:rPr>
              <w:t>环境影响。</w:t>
            </w:r>
          </w:p>
          <w:p w14:paraId="517A5C72">
            <w:pPr>
              <w:pStyle w:val="6"/>
              <w:spacing w:before="3" w:line="285" w:lineRule="auto"/>
              <w:ind w:left="113" w:firstLine="6"/>
            </w:pPr>
            <w:r>
              <w:rPr>
                <w:spacing w:val="-31"/>
              </w:rPr>
              <w:t>（</w:t>
            </w:r>
            <w:r>
              <w:rPr>
                <w:rFonts w:ascii="Times New Roman" w:hAnsi="Times New Roman" w:eastAsia="Times New Roman" w:cs="Times New Roman"/>
                <w:spacing w:val="-31"/>
              </w:rPr>
              <w:t>2</w:t>
            </w:r>
            <w:r>
              <w:rPr>
                <w:spacing w:val="-31"/>
              </w:rPr>
              <w:t>）警示管理：重</w:t>
            </w:r>
            <w:r>
              <w:rPr>
                <w:spacing w:val="6"/>
              </w:rPr>
              <w:t>点保护区设警示</w:t>
            </w:r>
            <w:r>
              <w:rPr>
                <w:spacing w:val="1"/>
              </w:rPr>
              <w:t xml:space="preserve"> </w:t>
            </w:r>
            <w:r>
              <w:rPr>
                <w:spacing w:val="-21"/>
              </w:rPr>
              <w:t>标志（标明“禁止</w:t>
            </w:r>
            <w:r>
              <w:rPr>
                <w:spacing w:val="1"/>
              </w:rPr>
              <w:t xml:space="preserve"> </w:t>
            </w:r>
            <w:r>
              <w:rPr>
                <w:spacing w:val="-20"/>
              </w:rPr>
              <w:t>攀登”“高压危险”</w:t>
            </w:r>
            <w:r>
              <w:rPr>
                <w:spacing w:val="-14"/>
              </w:rPr>
              <w:t>等</w:t>
            </w:r>
            <w:r>
              <w:rPr>
                <w:spacing w:val="-40"/>
              </w:rPr>
              <w:t>），</w:t>
            </w:r>
            <w:r>
              <w:rPr>
                <w:spacing w:val="-14"/>
              </w:rPr>
              <w:t>同步开展安</w:t>
            </w:r>
            <w:r>
              <w:t xml:space="preserve"> </w:t>
            </w:r>
            <w:r>
              <w:rPr>
                <w:spacing w:val="-11"/>
              </w:rPr>
              <w:t>全宣传。</w:t>
            </w:r>
          </w:p>
          <w:p w14:paraId="06A47310">
            <w:pPr>
              <w:pStyle w:val="6"/>
              <w:spacing w:before="6" w:line="284" w:lineRule="auto"/>
              <w:ind w:left="113" w:right="45" w:firstLine="7"/>
            </w:pPr>
            <w:r>
              <w:rPr>
                <w:spacing w:val="-14"/>
              </w:rPr>
              <w:t>（</w:t>
            </w:r>
            <w:r>
              <w:rPr>
                <w:rFonts w:ascii="Times New Roman" w:hAnsi="Times New Roman" w:eastAsia="Times New Roman" w:cs="Times New Roman"/>
                <w:spacing w:val="-14"/>
              </w:rPr>
              <w:t>3</w:t>
            </w:r>
            <w:r>
              <w:rPr>
                <w:spacing w:val="-14"/>
              </w:rPr>
              <w:t>）监测与宣传：</w:t>
            </w:r>
            <w:r>
              <w:rPr>
                <w:spacing w:val="20"/>
              </w:rPr>
              <w:t>定期监测工频电</w:t>
            </w:r>
            <w:r>
              <w:rPr>
                <w:spacing w:val="3"/>
              </w:rPr>
              <w:t>场</w:t>
            </w:r>
            <w:r>
              <w:rPr>
                <w:spacing w:val="-50"/>
              </w:rPr>
              <w:t xml:space="preserve"> </w:t>
            </w:r>
            <w:r>
              <w:rPr>
                <w:rFonts w:ascii="Times New Roman" w:hAnsi="Times New Roman" w:eastAsia="Times New Roman" w:cs="Times New Roman"/>
                <w:spacing w:val="3"/>
              </w:rPr>
              <w:t xml:space="preserve">/ </w:t>
            </w:r>
            <w:r>
              <w:rPr>
                <w:spacing w:val="3"/>
              </w:rPr>
              <w:t>磁</w:t>
            </w:r>
            <w:r>
              <w:rPr>
                <w:spacing w:val="-47"/>
              </w:rPr>
              <w:t xml:space="preserve"> </w:t>
            </w:r>
            <w:r>
              <w:rPr>
                <w:spacing w:val="3"/>
              </w:rPr>
              <w:t>场</w:t>
            </w:r>
            <w:r>
              <w:rPr>
                <w:spacing w:val="-57"/>
              </w:rPr>
              <w:t xml:space="preserve"> </w:t>
            </w:r>
            <w:r>
              <w:rPr>
                <w:spacing w:val="3"/>
              </w:rPr>
              <w:t>（符</w:t>
            </w:r>
            <w:r>
              <w:rPr>
                <w:spacing w:val="-48"/>
              </w:rPr>
              <w:t xml:space="preserve"> </w:t>
            </w:r>
            <w:r>
              <w:rPr>
                <w:spacing w:val="3"/>
              </w:rPr>
              <w:t>合</w:t>
            </w:r>
            <w:r>
              <w:rPr>
                <w:rFonts w:ascii="Times New Roman" w:hAnsi="Times New Roman" w:eastAsia="Times New Roman" w:cs="Times New Roman"/>
                <w:spacing w:val="-1"/>
              </w:rPr>
              <w:t xml:space="preserve">GB8702-2014 </w:t>
            </w:r>
            <w:r>
              <w:rPr>
                <w:spacing w:val="-12"/>
              </w:rPr>
              <w:t>）；</w:t>
            </w:r>
            <w:r>
              <w:rPr>
                <w:spacing w:val="20"/>
              </w:rPr>
              <w:t>组织电磁科普教</w:t>
            </w:r>
            <w:r>
              <w:rPr>
                <w:spacing w:val="-10"/>
              </w:rPr>
              <w:t>育。</w:t>
            </w:r>
          </w:p>
        </w:tc>
        <w:tc>
          <w:tcPr>
            <w:tcW w:w="1583" w:type="dxa"/>
            <w:vAlign w:val="top"/>
          </w:tcPr>
          <w:p w14:paraId="13C2FE7A">
            <w:pPr>
              <w:spacing w:line="250" w:lineRule="auto"/>
              <w:rPr>
                <w:rFonts w:ascii="Arial"/>
                <w:sz w:val="21"/>
              </w:rPr>
            </w:pPr>
          </w:p>
          <w:p w14:paraId="3D186860">
            <w:pPr>
              <w:spacing w:line="250" w:lineRule="auto"/>
              <w:rPr>
                <w:rFonts w:ascii="Arial"/>
                <w:sz w:val="21"/>
              </w:rPr>
            </w:pPr>
          </w:p>
          <w:p w14:paraId="1E4A2F58">
            <w:pPr>
              <w:spacing w:line="250" w:lineRule="auto"/>
              <w:rPr>
                <w:rFonts w:ascii="Arial"/>
                <w:sz w:val="21"/>
              </w:rPr>
            </w:pPr>
          </w:p>
          <w:p w14:paraId="24D78E06">
            <w:pPr>
              <w:spacing w:line="250" w:lineRule="auto"/>
              <w:rPr>
                <w:rFonts w:ascii="Arial"/>
                <w:sz w:val="21"/>
              </w:rPr>
            </w:pPr>
          </w:p>
          <w:p w14:paraId="0632029C">
            <w:pPr>
              <w:spacing w:line="250" w:lineRule="auto"/>
              <w:rPr>
                <w:rFonts w:ascii="Arial"/>
                <w:sz w:val="21"/>
              </w:rPr>
            </w:pPr>
          </w:p>
          <w:p w14:paraId="0B9632CF">
            <w:pPr>
              <w:spacing w:line="250" w:lineRule="auto"/>
              <w:rPr>
                <w:rFonts w:ascii="Arial"/>
                <w:sz w:val="21"/>
              </w:rPr>
            </w:pPr>
          </w:p>
          <w:p w14:paraId="5444D31D">
            <w:pPr>
              <w:spacing w:line="250" w:lineRule="auto"/>
              <w:rPr>
                <w:rFonts w:ascii="Arial"/>
                <w:sz w:val="21"/>
              </w:rPr>
            </w:pPr>
          </w:p>
          <w:p w14:paraId="09173BC5">
            <w:pPr>
              <w:spacing w:line="250" w:lineRule="auto"/>
              <w:rPr>
                <w:rFonts w:ascii="Arial"/>
                <w:sz w:val="21"/>
              </w:rPr>
            </w:pPr>
          </w:p>
          <w:p w14:paraId="332FB9A7">
            <w:pPr>
              <w:spacing w:line="250" w:lineRule="auto"/>
              <w:rPr>
                <w:rFonts w:ascii="Arial"/>
                <w:sz w:val="21"/>
              </w:rPr>
            </w:pPr>
          </w:p>
          <w:p w14:paraId="52B1E648">
            <w:pPr>
              <w:pStyle w:val="6"/>
              <w:spacing w:before="69" w:line="221" w:lineRule="auto"/>
              <w:ind w:left="168"/>
            </w:pPr>
            <w:r>
              <w:rPr>
                <w:spacing w:val="-1"/>
              </w:rPr>
              <w:t>满足《电磁环</w:t>
            </w:r>
          </w:p>
          <w:p w14:paraId="591013B3">
            <w:pPr>
              <w:pStyle w:val="6"/>
              <w:spacing w:before="75" w:line="221" w:lineRule="auto"/>
              <w:ind w:left="169"/>
            </w:pPr>
            <w:r>
              <w:rPr>
                <w:spacing w:val="-1"/>
              </w:rPr>
              <w:t>境控制限值》</w:t>
            </w:r>
          </w:p>
          <w:p w14:paraId="08C20CDB">
            <w:pPr>
              <w:pStyle w:val="6"/>
              <w:spacing w:before="72" w:line="234" w:lineRule="auto"/>
              <w:ind w:left="309"/>
              <w:rPr>
                <w:rFonts w:ascii="Times New Roman" w:hAnsi="Times New Roman" w:eastAsia="Times New Roman" w:cs="Times New Roman"/>
              </w:rPr>
            </w:pPr>
            <w:r>
              <w:rPr>
                <w:spacing w:val="-1"/>
              </w:rPr>
              <w:t>（</w:t>
            </w:r>
            <w:r>
              <w:rPr>
                <w:rFonts w:ascii="Times New Roman" w:hAnsi="Times New Roman" w:eastAsia="Times New Roman" w:cs="Times New Roman"/>
                <w:spacing w:val="-1"/>
              </w:rPr>
              <w:t>GB8702-</w:t>
            </w:r>
          </w:p>
          <w:p w14:paraId="00576712">
            <w:pPr>
              <w:pStyle w:val="6"/>
              <w:spacing w:before="60" w:line="235" w:lineRule="auto"/>
              <w:ind w:left="164"/>
            </w:pPr>
            <w:r>
              <w:rPr>
                <w:rFonts w:ascii="Times New Roman" w:hAnsi="Times New Roman" w:eastAsia="Times New Roman" w:cs="Times New Roman"/>
                <w:spacing w:val="-1"/>
              </w:rPr>
              <w:t>2014</w:t>
            </w:r>
            <w:r>
              <w:rPr>
                <w:spacing w:val="-1"/>
              </w:rPr>
              <w:t>）中的公</w:t>
            </w:r>
          </w:p>
          <w:p w14:paraId="12D107F7">
            <w:pPr>
              <w:pStyle w:val="6"/>
              <w:spacing w:before="56" w:line="220" w:lineRule="auto"/>
              <w:ind w:left="169"/>
            </w:pPr>
            <w:r>
              <w:rPr>
                <w:spacing w:val="-1"/>
              </w:rPr>
              <w:t>众暴露控制限</w:t>
            </w:r>
          </w:p>
          <w:p w14:paraId="14359C89">
            <w:pPr>
              <w:pStyle w:val="6"/>
              <w:spacing w:before="73" w:line="221" w:lineRule="auto"/>
              <w:ind w:left="377"/>
            </w:pPr>
            <w:r>
              <w:rPr>
                <w:spacing w:val="-2"/>
              </w:rPr>
              <w:t>值要求。</w:t>
            </w:r>
          </w:p>
        </w:tc>
      </w:tr>
      <w:tr w14:paraId="46ECEC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3" w:hRule="atLeast"/>
        </w:trPr>
        <w:tc>
          <w:tcPr>
            <w:tcW w:w="707" w:type="dxa"/>
            <w:vAlign w:val="top"/>
          </w:tcPr>
          <w:p w14:paraId="5E4A7459">
            <w:pPr>
              <w:pStyle w:val="6"/>
              <w:spacing w:before="74" w:line="221" w:lineRule="auto"/>
              <w:ind w:left="149"/>
            </w:pPr>
            <w:r>
              <w:rPr>
                <w:spacing w:val="-2"/>
              </w:rPr>
              <w:t>环境</w:t>
            </w:r>
          </w:p>
          <w:p w14:paraId="2F2C9C7C">
            <w:pPr>
              <w:pStyle w:val="6"/>
              <w:spacing w:before="75" w:line="221" w:lineRule="auto"/>
              <w:ind w:left="150"/>
            </w:pPr>
            <w:r>
              <w:rPr>
                <w:spacing w:val="-2"/>
              </w:rPr>
              <w:t>风险</w:t>
            </w:r>
          </w:p>
        </w:tc>
        <w:tc>
          <w:tcPr>
            <w:tcW w:w="2836" w:type="dxa"/>
            <w:vAlign w:val="top"/>
          </w:tcPr>
          <w:p w14:paraId="6D69E36C">
            <w:pPr>
              <w:spacing w:before="272" w:line="233" w:lineRule="auto"/>
              <w:ind w:left="138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711" w:type="dxa"/>
            <w:vAlign w:val="top"/>
          </w:tcPr>
          <w:p w14:paraId="1ED293AE">
            <w:pPr>
              <w:spacing w:before="272" w:line="233" w:lineRule="auto"/>
              <w:ind w:left="823"/>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835" w:type="dxa"/>
            <w:vAlign w:val="top"/>
          </w:tcPr>
          <w:p w14:paraId="50B5CF0C">
            <w:pPr>
              <w:spacing w:before="272" w:line="233" w:lineRule="auto"/>
              <w:ind w:left="88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583" w:type="dxa"/>
            <w:vAlign w:val="top"/>
          </w:tcPr>
          <w:p w14:paraId="5D20334B">
            <w:pPr>
              <w:spacing w:before="272" w:line="233" w:lineRule="auto"/>
              <w:ind w:left="760"/>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6D37FF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6" w:hRule="atLeast"/>
        </w:trPr>
        <w:tc>
          <w:tcPr>
            <w:tcW w:w="707" w:type="dxa"/>
            <w:vAlign w:val="top"/>
          </w:tcPr>
          <w:p w14:paraId="3B98B971">
            <w:pPr>
              <w:pStyle w:val="6"/>
              <w:spacing w:before="223" w:line="290" w:lineRule="auto"/>
              <w:ind w:left="149" w:right="138"/>
            </w:pPr>
            <w:r>
              <w:rPr>
                <w:spacing w:val="-3"/>
              </w:rPr>
              <w:t>环境</w:t>
            </w:r>
            <w:r>
              <w:rPr>
                <w:spacing w:val="-4"/>
              </w:rPr>
              <w:t>监测</w:t>
            </w:r>
          </w:p>
        </w:tc>
        <w:tc>
          <w:tcPr>
            <w:tcW w:w="2836" w:type="dxa"/>
            <w:vAlign w:val="top"/>
          </w:tcPr>
          <w:p w14:paraId="230BB62F">
            <w:pPr>
              <w:spacing w:line="359" w:lineRule="auto"/>
              <w:rPr>
                <w:rFonts w:ascii="Arial"/>
                <w:sz w:val="21"/>
              </w:rPr>
            </w:pPr>
          </w:p>
          <w:p w14:paraId="4995497C">
            <w:pPr>
              <w:spacing w:before="61" w:line="233" w:lineRule="auto"/>
              <w:ind w:left="138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711" w:type="dxa"/>
            <w:vAlign w:val="top"/>
          </w:tcPr>
          <w:p w14:paraId="5A956CAB">
            <w:pPr>
              <w:spacing w:line="359" w:lineRule="auto"/>
              <w:rPr>
                <w:rFonts w:ascii="Arial"/>
                <w:sz w:val="21"/>
              </w:rPr>
            </w:pPr>
          </w:p>
          <w:p w14:paraId="1162B528">
            <w:pPr>
              <w:spacing w:before="61" w:line="233" w:lineRule="auto"/>
              <w:ind w:left="823"/>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835" w:type="dxa"/>
            <w:vAlign w:val="top"/>
          </w:tcPr>
          <w:p w14:paraId="7D73A917">
            <w:pPr>
              <w:pStyle w:val="6"/>
              <w:spacing w:before="223" w:line="290" w:lineRule="auto"/>
              <w:ind w:left="397" w:right="175" w:hanging="208"/>
            </w:pPr>
            <w:r>
              <w:rPr>
                <w:spacing w:val="-1"/>
              </w:rPr>
              <w:t>制定电磁、噪声</w:t>
            </w:r>
            <w:r>
              <w:rPr>
                <w:spacing w:val="-2"/>
              </w:rPr>
              <w:t>监测计划。</w:t>
            </w:r>
          </w:p>
        </w:tc>
        <w:tc>
          <w:tcPr>
            <w:tcW w:w="1583" w:type="dxa"/>
            <w:vAlign w:val="top"/>
          </w:tcPr>
          <w:p w14:paraId="3E33E8B8">
            <w:pPr>
              <w:pStyle w:val="6"/>
              <w:spacing w:before="61" w:line="268" w:lineRule="auto"/>
              <w:ind w:left="169" w:right="154" w:firstLine="2"/>
              <w:jc w:val="both"/>
            </w:pPr>
            <w:r>
              <w:rPr>
                <w:spacing w:val="-2"/>
              </w:rPr>
              <w:t>项目建成后结合竣工环保验</w:t>
            </w:r>
            <w:r>
              <w:rPr>
                <w:spacing w:val="-10"/>
              </w:rPr>
              <w:t>收监测一次，</w:t>
            </w:r>
          </w:p>
        </w:tc>
      </w:tr>
    </w:tbl>
    <w:p w14:paraId="722A4D46">
      <w:pPr>
        <w:rPr>
          <w:rFonts w:ascii="Arial"/>
          <w:sz w:val="21"/>
        </w:rPr>
      </w:pPr>
    </w:p>
    <w:p w14:paraId="39C89E71">
      <w:pPr>
        <w:rPr>
          <w:rFonts w:ascii="Arial" w:hAnsi="Arial" w:eastAsia="Arial" w:cs="Arial"/>
          <w:sz w:val="21"/>
          <w:szCs w:val="21"/>
        </w:rPr>
        <w:sectPr>
          <w:footerReference r:id="rId87" w:type="default"/>
          <w:pgSz w:w="11907" w:h="16841"/>
          <w:pgMar w:top="400" w:right="1612" w:bottom="1125" w:left="1615" w:header="0" w:footer="925" w:gutter="0"/>
          <w:cols w:space="720" w:num="1"/>
        </w:sectPr>
      </w:pPr>
    </w:p>
    <w:p w14:paraId="017840FD">
      <w:pPr>
        <w:spacing w:before="13"/>
      </w:pPr>
    </w:p>
    <w:p w14:paraId="5AE1FEB3">
      <w:pPr>
        <w:spacing w:before="13"/>
      </w:pPr>
    </w:p>
    <w:p w14:paraId="31655484">
      <w:pPr>
        <w:spacing w:before="13"/>
      </w:pPr>
    </w:p>
    <w:p w14:paraId="57631472">
      <w:pPr>
        <w:spacing w:before="13"/>
      </w:pPr>
    </w:p>
    <w:tbl>
      <w:tblPr>
        <w:tblStyle w:val="5"/>
        <w:tblW w:w="86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2836"/>
        <w:gridCol w:w="1711"/>
        <w:gridCol w:w="1835"/>
        <w:gridCol w:w="1583"/>
      </w:tblGrid>
      <w:tr w14:paraId="4AE831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1" w:hRule="atLeast"/>
        </w:trPr>
        <w:tc>
          <w:tcPr>
            <w:tcW w:w="707" w:type="dxa"/>
            <w:vAlign w:val="top"/>
          </w:tcPr>
          <w:p w14:paraId="0FFC65FA">
            <w:pPr>
              <w:rPr>
                <w:rFonts w:ascii="Arial"/>
                <w:sz w:val="21"/>
              </w:rPr>
            </w:pPr>
          </w:p>
        </w:tc>
        <w:tc>
          <w:tcPr>
            <w:tcW w:w="2836" w:type="dxa"/>
            <w:vAlign w:val="top"/>
          </w:tcPr>
          <w:p w14:paraId="26553F5B">
            <w:pPr>
              <w:rPr>
                <w:rFonts w:ascii="Arial"/>
                <w:sz w:val="21"/>
              </w:rPr>
            </w:pPr>
          </w:p>
        </w:tc>
        <w:tc>
          <w:tcPr>
            <w:tcW w:w="1711" w:type="dxa"/>
            <w:vAlign w:val="top"/>
          </w:tcPr>
          <w:p w14:paraId="23EDBD72">
            <w:pPr>
              <w:rPr>
                <w:rFonts w:ascii="Arial"/>
                <w:sz w:val="21"/>
              </w:rPr>
            </w:pPr>
          </w:p>
        </w:tc>
        <w:tc>
          <w:tcPr>
            <w:tcW w:w="1835" w:type="dxa"/>
            <w:vAlign w:val="top"/>
          </w:tcPr>
          <w:p w14:paraId="09E083B9">
            <w:pPr>
              <w:rPr>
                <w:rFonts w:ascii="Arial"/>
                <w:sz w:val="21"/>
              </w:rPr>
            </w:pPr>
          </w:p>
        </w:tc>
        <w:tc>
          <w:tcPr>
            <w:tcW w:w="1583" w:type="dxa"/>
            <w:vAlign w:val="top"/>
          </w:tcPr>
          <w:p w14:paraId="4102C667">
            <w:pPr>
              <w:pStyle w:val="6"/>
              <w:spacing w:before="59" w:line="267" w:lineRule="auto"/>
              <w:ind w:left="168" w:right="155" w:firstLine="1"/>
              <w:jc w:val="both"/>
            </w:pPr>
            <w:r>
              <w:rPr>
                <w:spacing w:val="-2"/>
              </w:rPr>
              <w:t>后期针对工程</w:t>
            </w:r>
            <w:r>
              <w:rPr>
                <w:spacing w:val="-1"/>
              </w:rPr>
              <w:t>变化或投诉情</w:t>
            </w:r>
            <w:r>
              <w:rPr>
                <w:spacing w:val="-7"/>
              </w:rPr>
              <w:t>况进行监测。</w:t>
            </w:r>
          </w:p>
        </w:tc>
      </w:tr>
      <w:tr w14:paraId="483E3E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9" w:hRule="atLeast"/>
        </w:trPr>
        <w:tc>
          <w:tcPr>
            <w:tcW w:w="707" w:type="dxa"/>
            <w:vAlign w:val="top"/>
          </w:tcPr>
          <w:p w14:paraId="0855277B">
            <w:pPr>
              <w:pStyle w:val="6"/>
              <w:spacing w:before="237" w:line="221" w:lineRule="auto"/>
              <w:ind w:left="150"/>
            </w:pPr>
            <w:r>
              <w:rPr>
                <w:spacing w:val="-2"/>
              </w:rPr>
              <w:t>其他</w:t>
            </w:r>
          </w:p>
        </w:tc>
        <w:tc>
          <w:tcPr>
            <w:tcW w:w="7965" w:type="dxa"/>
            <w:gridSpan w:val="4"/>
            <w:vAlign w:val="top"/>
          </w:tcPr>
          <w:p w14:paraId="156EA774">
            <w:pPr>
              <w:pStyle w:val="6"/>
              <w:spacing w:before="76" w:line="265" w:lineRule="auto"/>
              <w:ind w:left="113" w:right="47" w:firstLine="424"/>
            </w:pPr>
            <w:r>
              <w:rPr>
                <w:spacing w:val="-5"/>
              </w:rPr>
              <w:t>项目竣工后应按照《建设项目竣工环境保护验收暂行办法》的要求</w:t>
            </w:r>
            <w:r>
              <w:rPr>
                <w:spacing w:val="-6"/>
              </w:rPr>
              <w:t>进行自主验收，</w:t>
            </w:r>
            <w:r>
              <w:rPr>
                <w:spacing w:val="-2"/>
              </w:rPr>
              <w:t>验收合格后方可投入正式运营。</w:t>
            </w:r>
          </w:p>
        </w:tc>
      </w:tr>
    </w:tbl>
    <w:p w14:paraId="3A794C40">
      <w:pPr>
        <w:rPr>
          <w:rFonts w:ascii="Arial"/>
          <w:sz w:val="21"/>
        </w:rPr>
      </w:pPr>
    </w:p>
    <w:p w14:paraId="16CDC53E">
      <w:pPr>
        <w:rPr>
          <w:rFonts w:ascii="Arial" w:hAnsi="Arial" w:eastAsia="Arial" w:cs="Arial"/>
          <w:sz w:val="21"/>
          <w:szCs w:val="21"/>
        </w:rPr>
        <w:sectPr>
          <w:footerReference r:id="rId88" w:type="default"/>
          <w:pgSz w:w="11907" w:h="16841"/>
          <w:pgMar w:top="400" w:right="1612" w:bottom="1125" w:left="1615" w:header="0" w:footer="925" w:gutter="0"/>
          <w:cols w:space="720" w:num="1"/>
        </w:sectPr>
      </w:pPr>
    </w:p>
    <w:p w14:paraId="6AE52DDA">
      <w:pPr>
        <w:spacing w:line="255" w:lineRule="auto"/>
        <w:rPr>
          <w:rFonts w:ascii="Arial"/>
          <w:sz w:val="21"/>
        </w:rPr>
      </w:pPr>
    </w:p>
    <w:p w14:paraId="6D44365A">
      <w:pPr>
        <w:spacing w:line="255" w:lineRule="auto"/>
        <w:rPr>
          <w:rFonts w:ascii="Arial"/>
          <w:sz w:val="21"/>
        </w:rPr>
      </w:pPr>
    </w:p>
    <w:p w14:paraId="1091B17F">
      <w:pPr>
        <w:spacing w:line="255" w:lineRule="auto"/>
        <w:rPr>
          <w:rFonts w:ascii="Arial"/>
          <w:sz w:val="21"/>
        </w:rPr>
      </w:pPr>
    </w:p>
    <w:p w14:paraId="5EADCDC9">
      <w:pPr>
        <w:spacing w:line="256" w:lineRule="auto"/>
        <w:rPr>
          <w:rFonts w:ascii="Arial"/>
          <w:sz w:val="21"/>
        </w:rPr>
      </w:pPr>
    </w:p>
    <w:p w14:paraId="1230B3A1">
      <w:pPr>
        <w:spacing w:line="256" w:lineRule="auto"/>
        <w:rPr>
          <w:rFonts w:ascii="Arial"/>
          <w:sz w:val="21"/>
        </w:rPr>
      </w:pPr>
    </w:p>
    <w:p w14:paraId="5C6A196D">
      <w:pPr>
        <w:pStyle w:val="2"/>
        <w:spacing w:before="98" w:line="223" w:lineRule="auto"/>
        <w:ind w:left="3951"/>
        <w:outlineLvl w:val="0"/>
        <w:rPr>
          <w:sz w:val="30"/>
          <w:szCs w:val="30"/>
        </w:rPr>
      </w:pPr>
      <w:bookmarkStart w:id="8" w:name="bookmark7"/>
      <w:bookmarkEnd w:id="8"/>
      <w:r>
        <w:rPr>
          <w:spacing w:val="-2"/>
          <w:sz w:val="30"/>
          <w:szCs w:val="30"/>
        </w:rPr>
        <w:t>七、结论</w:t>
      </w:r>
    </w:p>
    <w:p w14:paraId="5224BED1">
      <w:pPr>
        <w:spacing w:line="103" w:lineRule="exact"/>
      </w:pPr>
    </w:p>
    <w:tbl>
      <w:tblPr>
        <w:tblStyle w:val="5"/>
        <w:tblW w:w="9078"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078"/>
      </w:tblGrid>
      <w:tr w14:paraId="2D49CFAF">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12709" w:hRule="atLeast"/>
        </w:trPr>
        <w:tc>
          <w:tcPr>
            <w:tcW w:w="9078" w:type="dxa"/>
            <w:vAlign w:val="top"/>
          </w:tcPr>
          <w:p w14:paraId="7649B71D">
            <w:pPr>
              <w:pStyle w:val="6"/>
              <w:spacing w:before="120" w:line="365" w:lineRule="auto"/>
              <w:ind w:left="118" w:right="22" w:firstLine="479"/>
              <w:jc w:val="both"/>
              <w:rPr>
                <w:sz w:val="24"/>
                <w:szCs w:val="24"/>
              </w:rPr>
            </w:pPr>
            <w:r>
              <w:rPr>
                <w:spacing w:val="-5"/>
                <w:sz w:val="24"/>
                <w:szCs w:val="24"/>
              </w:rPr>
              <w:t>本项目的建设符合国家产业政策、相关法律法规和规划，工程</w:t>
            </w:r>
            <w:r>
              <w:rPr>
                <w:spacing w:val="-6"/>
                <w:sz w:val="24"/>
                <w:szCs w:val="24"/>
              </w:rPr>
              <w:t>区域的水、气、声、</w:t>
            </w:r>
            <w:r>
              <w:rPr>
                <w:spacing w:val="-1"/>
                <w:sz w:val="24"/>
                <w:szCs w:val="24"/>
              </w:rPr>
              <w:t>生态、电磁等环境质量现状较好。项目在设计、施工、运行过程中将按照国家相关环境保护要求，采取各项环境保护措施，减轻工程建设产生的环境影响，对环境污染和</w:t>
            </w:r>
            <w:r>
              <w:rPr>
                <w:spacing w:val="-4"/>
                <w:sz w:val="24"/>
                <w:szCs w:val="24"/>
              </w:rPr>
              <w:t>生态破坏的程度可以接受。</w:t>
            </w:r>
          </w:p>
          <w:p w14:paraId="465F7CE6">
            <w:pPr>
              <w:pStyle w:val="6"/>
              <w:spacing w:before="1" w:line="365" w:lineRule="auto"/>
              <w:ind w:left="120" w:right="138" w:firstLine="476"/>
              <w:rPr>
                <w:sz w:val="24"/>
                <w:szCs w:val="24"/>
              </w:rPr>
            </w:pPr>
            <w:r>
              <w:rPr>
                <w:spacing w:val="-2"/>
                <w:sz w:val="24"/>
                <w:szCs w:val="24"/>
              </w:rPr>
              <w:t>在严格执行本次环境影响报告表中规定的各项污染防治措施和生态保护措施后，</w:t>
            </w:r>
            <w:r>
              <w:rPr>
                <w:spacing w:val="-1"/>
                <w:sz w:val="24"/>
                <w:szCs w:val="24"/>
              </w:rPr>
              <w:t>从环境保护角度分析，本工程建设可行。</w:t>
            </w:r>
          </w:p>
        </w:tc>
      </w:tr>
    </w:tbl>
    <w:p w14:paraId="51E1A236">
      <w:pPr>
        <w:rPr>
          <w:rFonts w:ascii="Arial"/>
          <w:sz w:val="21"/>
        </w:rPr>
      </w:pPr>
    </w:p>
    <w:p w14:paraId="62775BDB">
      <w:pPr>
        <w:rPr>
          <w:rFonts w:ascii="Arial" w:hAnsi="Arial" w:eastAsia="Arial" w:cs="Arial"/>
          <w:sz w:val="21"/>
          <w:szCs w:val="21"/>
        </w:rPr>
        <w:sectPr>
          <w:footerReference r:id="rId89" w:type="default"/>
          <w:pgSz w:w="11907" w:h="16841"/>
          <w:pgMar w:top="400" w:right="1408" w:bottom="1126" w:left="1414" w:header="0" w:footer="925" w:gutter="0"/>
          <w:cols w:space="720" w:num="1"/>
        </w:sectPr>
      </w:pPr>
    </w:p>
    <w:p w14:paraId="7AD85D60">
      <w:pPr>
        <w:spacing w:line="258" w:lineRule="auto"/>
        <w:rPr>
          <w:rFonts w:ascii="Arial"/>
          <w:sz w:val="21"/>
        </w:rPr>
      </w:pPr>
    </w:p>
    <w:p w14:paraId="0B8E34B8">
      <w:pPr>
        <w:spacing w:line="258" w:lineRule="auto"/>
        <w:rPr>
          <w:rFonts w:ascii="Arial"/>
          <w:sz w:val="21"/>
        </w:rPr>
      </w:pPr>
    </w:p>
    <w:p w14:paraId="1772A330">
      <w:pPr>
        <w:spacing w:line="258" w:lineRule="auto"/>
        <w:rPr>
          <w:rFonts w:ascii="Arial"/>
          <w:sz w:val="21"/>
        </w:rPr>
      </w:pPr>
    </w:p>
    <w:p w14:paraId="25D9062F">
      <w:pPr>
        <w:spacing w:line="258" w:lineRule="auto"/>
        <w:rPr>
          <w:rFonts w:ascii="Arial"/>
          <w:sz w:val="21"/>
        </w:rPr>
      </w:pPr>
    </w:p>
    <w:p w14:paraId="0FB1FD89">
      <w:pPr>
        <w:spacing w:line="258" w:lineRule="auto"/>
        <w:rPr>
          <w:rFonts w:ascii="Arial"/>
          <w:sz w:val="21"/>
        </w:rPr>
      </w:pPr>
    </w:p>
    <w:p w14:paraId="55CA837E">
      <w:pPr>
        <w:spacing w:line="258" w:lineRule="auto"/>
        <w:rPr>
          <w:rFonts w:ascii="Arial"/>
          <w:sz w:val="21"/>
        </w:rPr>
      </w:pPr>
    </w:p>
    <w:p w14:paraId="2A063209">
      <w:pPr>
        <w:spacing w:line="258" w:lineRule="auto"/>
        <w:rPr>
          <w:rFonts w:ascii="Arial"/>
          <w:sz w:val="21"/>
        </w:rPr>
      </w:pPr>
    </w:p>
    <w:p w14:paraId="6543DA6F">
      <w:pPr>
        <w:spacing w:line="258" w:lineRule="auto"/>
        <w:rPr>
          <w:rFonts w:ascii="Arial"/>
          <w:sz w:val="21"/>
        </w:rPr>
      </w:pPr>
    </w:p>
    <w:p w14:paraId="6ED95244">
      <w:pPr>
        <w:spacing w:line="258" w:lineRule="auto"/>
        <w:rPr>
          <w:rFonts w:ascii="Arial"/>
          <w:sz w:val="21"/>
        </w:rPr>
      </w:pPr>
    </w:p>
    <w:p w14:paraId="32D4E711">
      <w:pPr>
        <w:spacing w:line="259" w:lineRule="auto"/>
        <w:rPr>
          <w:rFonts w:ascii="Arial"/>
          <w:sz w:val="21"/>
        </w:rPr>
      </w:pPr>
    </w:p>
    <w:p w14:paraId="2CAAD271">
      <w:pPr>
        <w:spacing w:before="140" w:line="219" w:lineRule="auto"/>
        <w:ind w:left="608"/>
        <w:rPr>
          <w:rFonts w:ascii="仿宋" w:hAnsi="仿宋" w:eastAsia="仿宋" w:cs="仿宋"/>
          <w:sz w:val="43"/>
          <w:szCs w:val="43"/>
        </w:rPr>
      </w:pPr>
      <w:r>
        <w:rPr>
          <w:rFonts w:ascii="仿宋" w:hAnsi="仿宋" w:eastAsia="仿宋" w:cs="仿宋"/>
          <w:b/>
          <w:bCs/>
          <w:spacing w:val="2"/>
          <w:sz w:val="43"/>
          <w:szCs w:val="43"/>
        </w:rPr>
        <w:t>渝昆高铁迤车牵</w:t>
      </w:r>
      <w:r>
        <w:rPr>
          <w:rFonts w:ascii="仿宋" w:hAnsi="仿宋" w:eastAsia="仿宋" w:cs="仿宋"/>
          <w:spacing w:val="-86"/>
          <w:sz w:val="43"/>
          <w:szCs w:val="43"/>
        </w:rPr>
        <w:t xml:space="preserve"> </w:t>
      </w:r>
      <w:r>
        <w:rPr>
          <w:rFonts w:ascii="Times New Roman" w:hAnsi="Times New Roman" w:eastAsia="Times New Roman" w:cs="Times New Roman"/>
          <w:b/>
          <w:bCs/>
          <w:spacing w:val="2"/>
          <w:sz w:val="43"/>
          <w:szCs w:val="43"/>
        </w:rPr>
        <w:t>220</w:t>
      </w:r>
      <w:r>
        <w:rPr>
          <w:rFonts w:ascii="Times New Roman" w:hAnsi="Times New Roman" w:eastAsia="Times New Roman" w:cs="Times New Roman"/>
          <w:b/>
          <w:bCs/>
          <w:sz w:val="43"/>
          <w:szCs w:val="43"/>
        </w:rPr>
        <w:t>kV</w:t>
      </w:r>
      <w:r>
        <w:rPr>
          <w:rFonts w:ascii="Times New Roman" w:hAnsi="Times New Roman" w:eastAsia="Times New Roman" w:cs="Times New Roman"/>
          <w:b/>
          <w:bCs/>
          <w:spacing w:val="38"/>
          <w:sz w:val="43"/>
          <w:szCs w:val="43"/>
        </w:rPr>
        <w:t xml:space="preserve"> </w:t>
      </w:r>
      <w:r>
        <w:rPr>
          <w:rFonts w:ascii="仿宋" w:hAnsi="仿宋" w:eastAsia="仿宋" w:cs="仿宋"/>
          <w:b/>
          <w:bCs/>
          <w:spacing w:val="2"/>
          <w:sz w:val="43"/>
          <w:szCs w:val="43"/>
        </w:rPr>
        <w:t>外部供电工程</w:t>
      </w:r>
    </w:p>
    <w:p w14:paraId="7DFEFB15">
      <w:pPr>
        <w:spacing w:line="295" w:lineRule="auto"/>
        <w:rPr>
          <w:rFonts w:ascii="Arial"/>
          <w:sz w:val="21"/>
        </w:rPr>
      </w:pPr>
    </w:p>
    <w:p w14:paraId="66FD8702">
      <w:pPr>
        <w:spacing w:line="295" w:lineRule="auto"/>
        <w:rPr>
          <w:rFonts w:ascii="Arial"/>
          <w:sz w:val="21"/>
        </w:rPr>
      </w:pPr>
    </w:p>
    <w:p w14:paraId="481D9AEA">
      <w:pPr>
        <w:spacing w:line="296" w:lineRule="auto"/>
        <w:rPr>
          <w:rFonts w:ascii="Arial"/>
          <w:sz w:val="21"/>
        </w:rPr>
      </w:pPr>
    </w:p>
    <w:p w14:paraId="01285E92">
      <w:pPr>
        <w:spacing w:before="156" w:line="218" w:lineRule="auto"/>
        <w:ind w:left="1844"/>
        <w:outlineLvl w:val="0"/>
        <w:rPr>
          <w:rFonts w:ascii="仿宋" w:hAnsi="仿宋" w:eastAsia="仿宋" w:cs="仿宋"/>
          <w:sz w:val="48"/>
          <w:szCs w:val="48"/>
        </w:rPr>
      </w:pPr>
      <w:bookmarkStart w:id="9" w:name="bookmark8"/>
      <w:bookmarkEnd w:id="9"/>
      <w:r>
        <w:rPr>
          <w:rFonts w:ascii="仿宋" w:hAnsi="仿宋" w:eastAsia="仿宋" w:cs="仿宋"/>
          <w:b/>
          <w:bCs/>
          <w:spacing w:val="-12"/>
          <w:sz w:val="48"/>
          <w:szCs w:val="48"/>
        </w:rPr>
        <w:t>电磁环境影响专题评价</w:t>
      </w:r>
    </w:p>
    <w:p w14:paraId="36889FB4">
      <w:pPr>
        <w:spacing w:line="243" w:lineRule="auto"/>
        <w:rPr>
          <w:rFonts w:ascii="Arial"/>
          <w:sz w:val="21"/>
        </w:rPr>
      </w:pPr>
    </w:p>
    <w:p w14:paraId="6A58B9A0">
      <w:pPr>
        <w:spacing w:line="243" w:lineRule="auto"/>
        <w:rPr>
          <w:rFonts w:ascii="Arial"/>
          <w:sz w:val="21"/>
        </w:rPr>
      </w:pPr>
    </w:p>
    <w:p w14:paraId="1109940B">
      <w:pPr>
        <w:spacing w:line="243" w:lineRule="auto"/>
        <w:rPr>
          <w:rFonts w:ascii="Arial"/>
          <w:sz w:val="21"/>
        </w:rPr>
      </w:pPr>
    </w:p>
    <w:p w14:paraId="3D8136A6">
      <w:pPr>
        <w:spacing w:line="243" w:lineRule="auto"/>
        <w:rPr>
          <w:rFonts w:ascii="Arial"/>
          <w:sz w:val="21"/>
        </w:rPr>
      </w:pPr>
    </w:p>
    <w:p w14:paraId="10FF4E06">
      <w:pPr>
        <w:spacing w:line="243" w:lineRule="auto"/>
        <w:rPr>
          <w:rFonts w:ascii="Arial"/>
          <w:sz w:val="21"/>
        </w:rPr>
      </w:pPr>
    </w:p>
    <w:p w14:paraId="51E2F1EE">
      <w:pPr>
        <w:spacing w:line="243" w:lineRule="auto"/>
        <w:rPr>
          <w:rFonts w:ascii="Arial"/>
          <w:sz w:val="21"/>
        </w:rPr>
      </w:pPr>
    </w:p>
    <w:p w14:paraId="7EE1B121">
      <w:pPr>
        <w:spacing w:line="243" w:lineRule="auto"/>
        <w:rPr>
          <w:rFonts w:ascii="Arial"/>
          <w:sz w:val="21"/>
        </w:rPr>
      </w:pPr>
    </w:p>
    <w:p w14:paraId="05835A8E">
      <w:pPr>
        <w:spacing w:line="243" w:lineRule="auto"/>
        <w:rPr>
          <w:rFonts w:ascii="Arial"/>
          <w:sz w:val="21"/>
        </w:rPr>
      </w:pPr>
    </w:p>
    <w:p w14:paraId="22FECF20">
      <w:pPr>
        <w:spacing w:line="243" w:lineRule="auto"/>
        <w:rPr>
          <w:rFonts w:ascii="Arial"/>
          <w:sz w:val="21"/>
        </w:rPr>
      </w:pPr>
    </w:p>
    <w:p w14:paraId="4707B797">
      <w:pPr>
        <w:spacing w:line="243" w:lineRule="auto"/>
        <w:rPr>
          <w:rFonts w:ascii="Arial"/>
          <w:sz w:val="21"/>
        </w:rPr>
      </w:pPr>
    </w:p>
    <w:p w14:paraId="3C5DEF62">
      <w:pPr>
        <w:spacing w:line="243" w:lineRule="auto"/>
        <w:rPr>
          <w:rFonts w:ascii="Arial"/>
          <w:sz w:val="21"/>
        </w:rPr>
      </w:pPr>
    </w:p>
    <w:p w14:paraId="59AA4F56">
      <w:pPr>
        <w:spacing w:line="243" w:lineRule="auto"/>
        <w:rPr>
          <w:rFonts w:ascii="Arial"/>
          <w:sz w:val="21"/>
        </w:rPr>
      </w:pPr>
    </w:p>
    <w:p w14:paraId="50DE131D">
      <w:pPr>
        <w:spacing w:line="243" w:lineRule="auto"/>
        <w:rPr>
          <w:rFonts w:ascii="Arial"/>
          <w:sz w:val="21"/>
        </w:rPr>
      </w:pPr>
    </w:p>
    <w:p w14:paraId="0E58D26B">
      <w:pPr>
        <w:spacing w:line="243" w:lineRule="auto"/>
        <w:rPr>
          <w:rFonts w:ascii="Arial"/>
          <w:sz w:val="21"/>
        </w:rPr>
      </w:pPr>
    </w:p>
    <w:p w14:paraId="51A45739">
      <w:pPr>
        <w:spacing w:line="243" w:lineRule="auto"/>
        <w:rPr>
          <w:rFonts w:ascii="Arial"/>
          <w:sz w:val="21"/>
        </w:rPr>
      </w:pPr>
    </w:p>
    <w:p w14:paraId="43922057">
      <w:pPr>
        <w:spacing w:line="243" w:lineRule="auto"/>
        <w:rPr>
          <w:rFonts w:ascii="Arial"/>
          <w:sz w:val="21"/>
        </w:rPr>
      </w:pPr>
    </w:p>
    <w:p w14:paraId="16207289">
      <w:pPr>
        <w:spacing w:line="243" w:lineRule="auto"/>
        <w:rPr>
          <w:rFonts w:ascii="Arial"/>
          <w:sz w:val="21"/>
        </w:rPr>
      </w:pPr>
    </w:p>
    <w:p w14:paraId="60787A1E">
      <w:pPr>
        <w:spacing w:line="243" w:lineRule="auto"/>
        <w:rPr>
          <w:rFonts w:ascii="Arial"/>
          <w:sz w:val="21"/>
        </w:rPr>
      </w:pPr>
    </w:p>
    <w:p w14:paraId="762A9E33">
      <w:pPr>
        <w:spacing w:line="243" w:lineRule="auto"/>
        <w:rPr>
          <w:rFonts w:ascii="Arial"/>
          <w:sz w:val="21"/>
        </w:rPr>
      </w:pPr>
    </w:p>
    <w:p w14:paraId="406D9BA1">
      <w:pPr>
        <w:spacing w:line="243" w:lineRule="auto"/>
        <w:rPr>
          <w:rFonts w:ascii="Arial"/>
          <w:sz w:val="21"/>
        </w:rPr>
      </w:pPr>
    </w:p>
    <w:p w14:paraId="2638EFA7">
      <w:pPr>
        <w:spacing w:line="243" w:lineRule="auto"/>
        <w:rPr>
          <w:rFonts w:ascii="Arial"/>
          <w:sz w:val="21"/>
        </w:rPr>
      </w:pPr>
    </w:p>
    <w:p w14:paraId="6295378D">
      <w:pPr>
        <w:spacing w:line="243" w:lineRule="auto"/>
        <w:rPr>
          <w:rFonts w:ascii="Arial"/>
          <w:sz w:val="21"/>
        </w:rPr>
      </w:pPr>
    </w:p>
    <w:p w14:paraId="700BF612">
      <w:pPr>
        <w:spacing w:line="244" w:lineRule="auto"/>
        <w:rPr>
          <w:rFonts w:ascii="Arial"/>
          <w:sz w:val="21"/>
        </w:rPr>
      </w:pPr>
    </w:p>
    <w:p w14:paraId="79D96424">
      <w:pPr>
        <w:spacing w:line="244" w:lineRule="auto"/>
        <w:rPr>
          <w:rFonts w:ascii="Arial"/>
          <w:sz w:val="21"/>
        </w:rPr>
      </w:pPr>
    </w:p>
    <w:p w14:paraId="5C6DE338">
      <w:pPr>
        <w:spacing w:line="244" w:lineRule="auto"/>
        <w:rPr>
          <w:rFonts w:ascii="Arial"/>
          <w:sz w:val="21"/>
        </w:rPr>
      </w:pPr>
    </w:p>
    <w:p w14:paraId="4047DB01">
      <w:pPr>
        <w:spacing w:line="244" w:lineRule="auto"/>
        <w:rPr>
          <w:rFonts w:ascii="Arial"/>
          <w:sz w:val="21"/>
        </w:rPr>
      </w:pPr>
    </w:p>
    <w:p w14:paraId="4B43537B">
      <w:pPr>
        <w:spacing w:line="244" w:lineRule="auto"/>
        <w:rPr>
          <w:rFonts w:ascii="Arial"/>
          <w:sz w:val="21"/>
        </w:rPr>
      </w:pPr>
    </w:p>
    <w:p w14:paraId="4A2F9FC9">
      <w:pPr>
        <w:spacing w:line="244" w:lineRule="auto"/>
        <w:rPr>
          <w:rFonts w:ascii="Arial"/>
          <w:sz w:val="21"/>
        </w:rPr>
      </w:pPr>
    </w:p>
    <w:p w14:paraId="0F049AD9">
      <w:pPr>
        <w:spacing w:line="244" w:lineRule="auto"/>
        <w:rPr>
          <w:rFonts w:ascii="Arial"/>
          <w:sz w:val="21"/>
        </w:rPr>
      </w:pPr>
    </w:p>
    <w:p w14:paraId="10D8C420">
      <w:pPr>
        <w:spacing w:line="244" w:lineRule="auto"/>
        <w:rPr>
          <w:rFonts w:ascii="Arial"/>
          <w:sz w:val="21"/>
        </w:rPr>
      </w:pPr>
    </w:p>
    <w:p w14:paraId="094945AC">
      <w:pPr>
        <w:spacing w:before="91" w:line="232" w:lineRule="auto"/>
        <w:ind w:left="2755"/>
        <w:rPr>
          <w:rFonts w:ascii="仿宋" w:hAnsi="仿宋" w:eastAsia="仿宋" w:cs="仿宋"/>
          <w:sz w:val="28"/>
          <w:szCs w:val="28"/>
        </w:rPr>
      </w:pPr>
      <w:r>
        <w:rPr>
          <w:rFonts w:ascii="仿宋" w:hAnsi="仿宋" w:eastAsia="仿宋" w:cs="仿宋"/>
          <w:spacing w:val="-5"/>
          <w:sz w:val="28"/>
          <w:szCs w:val="28"/>
        </w:rPr>
        <w:t>编制日期：</w:t>
      </w:r>
      <w:r>
        <w:rPr>
          <w:rFonts w:ascii="Times New Roman" w:hAnsi="Times New Roman" w:eastAsia="Times New Roman" w:cs="Times New Roman"/>
          <w:spacing w:val="-5"/>
          <w:sz w:val="28"/>
          <w:szCs w:val="28"/>
        </w:rPr>
        <w:t>2025</w:t>
      </w:r>
      <w:r>
        <w:rPr>
          <w:rFonts w:ascii="Times New Roman" w:hAnsi="Times New Roman" w:eastAsia="Times New Roman" w:cs="Times New Roman"/>
          <w:spacing w:val="29"/>
          <w:sz w:val="28"/>
          <w:szCs w:val="28"/>
        </w:rPr>
        <w:t xml:space="preserve"> </w:t>
      </w:r>
      <w:r>
        <w:rPr>
          <w:rFonts w:ascii="仿宋" w:hAnsi="仿宋" w:eastAsia="仿宋" w:cs="仿宋"/>
          <w:spacing w:val="-5"/>
          <w:sz w:val="28"/>
          <w:szCs w:val="28"/>
        </w:rPr>
        <w:t>年</w:t>
      </w:r>
      <w:r>
        <w:rPr>
          <w:rFonts w:ascii="仿宋" w:hAnsi="仿宋" w:eastAsia="仿宋" w:cs="仿宋"/>
          <w:spacing w:val="-60"/>
          <w:sz w:val="28"/>
          <w:szCs w:val="28"/>
        </w:rPr>
        <w:t xml:space="preserve"> </w:t>
      </w:r>
      <w:r>
        <w:rPr>
          <w:rFonts w:ascii="Times New Roman" w:hAnsi="Times New Roman" w:eastAsia="Times New Roman" w:cs="Times New Roman"/>
          <w:spacing w:val="-5"/>
          <w:sz w:val="28"/>
          <w:szCs w:val="28"/>
        </w:rPr>
        <w:t>5</w:t>
      </w:r>
      <w:r>
        <w:rPr>
          <w:rFonts w:ascii="Times New Roman" w:hAnsi="Times New Roman" w:eastAsia="Times New Roman" w:cs="Times New Roman"/>
          <w:spacing w:val="33"/>
          <w:sz w:val="28"/>
          <w:szCs w:val="28"/>
        </w:rPr>
        <w:t xml:space="preserve"> </w:t>
      </w:r>
      <w:r>
        <w:rPr>
          <w:rFonts w:ascii="仿宋" w:hAnsi="仿宋" w:eastAsia="仿宋" w:cs="仿宋"/>
          <w:spacing w:val="-5"/>
          <w:sz w:val="28"/>
          <w:szCs w:val="28"/>
        </w:rPr>
        <w:t>月</w:t>
      </w:r>
    </w:p>
    <w:p w14:paraId="6DB75CD1">
      <w:pPr>
        <w:spacing w:line="232" w:lineRule="auto"/>
        <w:rPr>
          <w:rFonts w:ascii="仿宋" w:hAnsi="仿宋" w:eastAsia="仿宋" w:cs="仿宋"/>
          <w:sz w:val="28"/>
          <w:szCs w:val="28"/>
        </w:rPr>
        <w:sectPr>
          <w:footerReference r:id="rId90" w:type="default"/>
          <w:pgSz w:w="11907" w:h="16841"/>
          <w:pgMar w:top="400" w:right="1785" w:bottom="1126" w:left="1785" w:header="0" w:footer="925" w:gutter="0"/>
          <w:cols w:space="720" w:num="1"/>
        </w:sectPr>
      </w:pPr>
    </w:p>
    <w:p w14:paraId="09AD154D">
      <w:pPr>
        <w:spacing w:line="257" w:lineRule="auto"/>
        <w:rPr>
          <w:rFonts w:ascii="Arial"/>
          <w:sz w:val="21"/>
        </w:rPr>
      </w:pPr>
    </w:p>
    <w:p w14:paraId="59B0985D">
      <w:pPr>
        <w:spacing w:line="257" w:lineRule="auto"/>
        <w:rPr>
          <w:rFonts w:ascii="Arial"/>
          <w:sz w:val="21"/>
        </w:rPr>
      </w:pPr>
    </w:p>
    <w:p w14:paraId="0B6ADFEB">
      <w:pPr>
        <w:spacing w:line="258" w:lineRule="auto"/>
        <w:rPr>
          <w:rFonts w:ascii="Arial"/>
          <w:sz w:val="21"/>
        </w:rPr>
      </w:pPr>
    </w:p>
    <w:p w14:paraId="6130CD11">
      <w:pPr>
        <w:spacing w:line="258" w:lineRule="auto"/>
        <w:rPr>
          <w:rFonts w:ascii="Arial"/>
          <w:sz w:val="21"/>
        </w:rPr>
      </w:pPr>
    </w:p>
    <w:p w14:paraId="072627B9">
      <w:pPr>
        <w:spacing w:line="258" w:lineRule="auto"/>
        <w:rPr>
          <w:rFonts w:ascii="Arial"/>
          <w:sz w:val="21"/>
        </w:rPr>
      </w:pPr>
    </w:p>
    <w:sdt>
      <w:sdtPr>
        <w:rPr>
          <w:rFonts w:ascii="黑体" w:hAnsi="黑体" w:eastAsia="黑体" w:cs="黑体"/>
          <w:sz w:val="28"/>
          <w:szCs w:val="28"/>
        </w:rPr>
        <w:id w:val="147479883"/>
        <w:docPartObj>
          <w:docPartGallery w:val="Table of Contents"/>
          <w:docPartUnique/>
        </w:docPartObj>
      </w:sdtPr>
      <w:sdtEndPr>
        <w:rPr>
          <w:rFonts w:ascii="Times New Roman" w:hAnsi="Times New Roman" w:eastAsia="Times New Roman" w:cs="Times New Roman"/>
          <w:sz w:val="21"/>
          <w:szCs w:val="21"/>
        </w:rPr>
      </w:sdtEndPr>
      <w:sdtContent>
        <w:p w14:paraId="63CF1F80">
          <w:pPr>
            <w:pStyle w:val="2"/>
            <w:spacing w:before="91" w:line="219" w:lineRule="auto"/>
            <w:ind w:left="4229"/>
            <w:rPr>
              <w:sz w:val="28"/>
              <w:szCs w:val="28"/>
            </w:rPr>
          </w:pPr>
          <w:r>
            <w:rPr>
              <w:spacing w:val="-23"/>
              <w:sz w:val="28"/>
              <w:szCs w:val="28"/>
            </w:rPr>
            <w:t>目</w:t>
          </w:r>
          <w:r>
            <w:rPr>
              <w:spacing w:val="12"/>
              <w:sz w:val="28"/>
              <w:szCs w:val="28"/>
            </w:rPr>
            <w:t xml:space="preserve"> </w:t>
          </w:r>
          <w:r>
            <w:rPr>
              <w:spacing w:val="-23"/>
              <w:sz w:val="28"/>
              <w:szCs w:val="28"/>
            </w:rPr>
            <w:t>录</w:t>
          </w:r>
        </w:p>
        <w:p w14:paraId="7713F630">
          <w:pPr>
            <w:pStyle w:val="2"/>
            <w:tabs>
              <w:tab w:val="right" w:leader="dot" w:pos="9057"/>
            </w:tabs>
            <w:spacing w:before="290" w:line="200" w:lineRule="auto"/>
            <w:ind w:left="21"/>
            <w:rPr>
              <w:rFonts w:ascii="Times New Roman" w:hAnsi="Times New Roman" w:eastAsia="Times New Roman" w:cs="Times New Roman"/>
            </w:rPr>
          </w:pPr>
          <w:r>
            <w:rPr>
              <w:rFonts w:ascii="Times New Roman" w:hAnsi="Times New Roman" w:eastAsia="Times New Roman" w:cs="Times New Roman"/>
              <w:spacing w:val="-6"/>
            </w:rPr>
            <w:t>1</w:t>
          </w:r>
          <w:r>
            <w:rPr>
              <w:spacing w:val="-6"/>
            </w:rPr>
            <w:t>、总则</w:t>
          </w:r>
          <w:r>
            <w:rPr>
              <w:spacing w:val="-81"/>
            </w:rPr>
            <w:t xml:space="preserve"> </w:t>
          </w:r>
          <w:r>
            <w:tab/>
          </w:r>
          <w:r>
            <w:fldChar w:fldCharType="begin"/>
          </w:r>
          <w:r>
            <w:instrText xml:space="preserve"> HYPERLINK \l "bookmark17" </w:instrText>
          </w:r>
          <w:r>
            <w:fldChar w:fldCharType="separate"/>
          </w:r>
          <w:r>
            <w:rPr>
              <w:rFonts w:ascii="Times New Roman" w:hAnsi="Times New Roman" w:eastAsia="Times New Roman" w:cs="Times New Roman"/>
              <w:spacing w:val="13"/>
            </w:rPr>
            <w:t>86</w:t>
          </w:r>
          <w:r>
            <w:rPr>
              <w:rFonts w:ascii="Times New Roman" w:hAnsi="Times New Roman" w:eastAsia="Times New Roman" w:cs="Times New Roman"/>
              <w:spacing w:val="13"/>
            </w:rPr>
            <w:fldChar w:fldCharType="end"/>
          </w:r>
        </w:p>
        <w:p w14:paraId="15D97DDD">
          <w:pPr>
            <w:pStyle w:val="2"/>
            <w:tabs>
              <w:tab w:val="right" w:leader="dot" w:pos="9057"/>
            </w:tabs>
            <w:spacing w:before="204" w:line="200" w:lineRule="auto"/>
            <w:ind w:left="232"/>
            <w:rPr>
              <w:rFonts w:ascii="Times New Roman" w:hAnsi="Times New Roman" w:eastAsia="Times New Roman" w:cs="Times New Roman"/>
            </w:rPr>
          </w:pPr>
          <w:r>
            <w:rPr>
              <w:rFonts w:ascii="Times New Roman" w:hAnsi="Times New Roman" w:eastAsia="Times New Roman" w:cs="Times New Roman"/>
              <w:spacing w:val="-3"/>
            </w:rPr>
            <w:t xml:space="preserve">1.1 </w:t>
          </w:r>
          <w:r>
            <w:rPr>
              <w:spacing w:val="-3"/>
            </w:rPr>
            <w:t>编制依据</w:t>
          </w:r>
          <w:r>
            <w:rPr>
              <w:spacing w:val="-78"/>
            </w:rPr>
            <w:t xml:space="preserve"> </w:t>
          </w:r>
          <w:r>
            <w:tab/>
          </w:r>
          <w:r>
            <w:fldChar w:fldCharType="begin"/>
          </w:r>
          <w:r>
            <w:instrText xml:space="preserve"> HYPERLINK \l "bookmark18" </w:instrText>
          </w:r>
          <w:r>
            <w:fldChar w:fldCharType="separate"/>
          </w:r>
          <w:r>
            <w:rPr>
              <w:rFonts w:ascii="Times New Roman" w:hAnsi="Times New Roman" w:eastAsia="Times New Roman" w:cs="Times New Roman"/>
              <w:spacing w:val="13"/>
            </w:rPr>
            <w:t>86</w:t>
          </w:r>
          <w:r>
            <w:rPr>
              <w:rFonts w:ascii="Times New Roman" w:hAnsi="Times New Roman" w:eastAsia="Times New Roman" w:cs="Times New Roman"/>
              <w:spacing w:val="13"/>
            </w:rPr>
            <w:fldChar w:fldCharType="end"/>
          </w:r>
        </w:p>
        <w:p w14:paraId="3D20CED1">
          <w:pPr>
            <w:pStyle w:val="2"/>
            <w:tabs>
              <w:tab w:val="right" w:leader="dot" w:pos="9057"/>
            </w:tabs>
            <w:spacing w:before="84" w:line="200" w:lineRule="auto"/>
            <w:ind w:left="232"/>
            <w:rPr>
              <w:rFonts w:ascii="Times New Roman" w:hAnsi="Times New Roman" w:eastAsia="Times New Roman" w:cs="Times New Roman"/>
            </w:rPr>
          </w:pPr>
          <w:r>
            <w:rPr>
              <w:rFonts w:ascii="Times New Roman" w:hAnsi="Times New Roman" w:eastAsia="Times New Roman" w:cs="Times New Roman"/>
              <w:spacing w:val="-2"/>
            </w:rPr>
            <w:t xml:space="preserve">1.2 </w:t>
          </w:r>
          <w:r>
            <w:rPr>
              <w:spacing w:val="-2"/>
            </w:rPr>
            <w:t>评价等级及范围</w:t>
          </w:r>
          <w:r>
            <w:rPr>
              <w:spacing w:val="-76"/>
            </w:rPr>
            <w:t xml:space="preserve"> </w:t>
          </w:r>
          <w:r>
            <w:tab/>
          </w:r>
          <w:r>
            <w:fldChar w:fldCharType="begin"/>
          </w:r>
          <w:r>
            <w:instrText xml:space="preserve"> HYPERLINK \l "bookmark19" </w:instrText>
          </w:r>
          <w:r>
            <w:fldChar w:fldCharType="separate"/>
          </w:r>
          <w:r>
            <w:rPr>
              <w:rFonts w:ascii="Times New Roman" w:hAnsi="Times New Roman" w:eastAsia="Times New Roman" w:cs="Times New Roman"/>
              <w:spacing w:val="12"/>
            </w:rPr>
            <w:t>86</w:t>
          </w:r>
          <w:r>
            <w:rPr>
              <w:rFonts w:ascii="Times New Roman" w:hAnsi="Times New Roman" w:eastAsia="Times New Roman" w:cs="Times New Roman"/>
              <w:spacing w:val="12"/>
            </w:rPr>
            <w:fldChar w:fldCharType="end"/>
          </w:r>
        </w:p>
        <w:p w14:paraId="1F613200">
          <w:pPr>
            <w:pStyle w:val="2"/>
            <w:tabs>
              <w:tab w:val="right" w:leader="dot" w:pos="9057"/>
            </w:tabs>
            <w:spacing w:before="84" w:line="200" w:lineRule="auto"/>
            <w:ind w:left="232"/>
            <w:rPr>
              <w:rFonts w:ascii="Times New Roman" w:hAnsi="Times New Roman" w:eastAsia="Times New Roman" w:cs="Times New Roman"/>
            </w:rPr>
          </w:pPr>
          <w:r>
            <w:rPr>
              <w:rFonts w:ascii="Times New Roman" w:hAnsi="Times New Roman" w:eastAsia="Times New Roman" w:cs="Times New Roman"/>
              <w:spacing w:val="-5"/>
            </w:rPr>
            <w:t>1.3</w:t>
          </w:r>
          <w:r>
            <w:rPr>
              <w:rFonts w:ascii="Times New Roman" w:hAnsi="Times New Roman" w:eastAsia="Times New Roman" w:cs="Times New Roman"/>
              <w:spacing w:val="31"/>
            </w:rPr>
            <w:t xml:space="preserve"> </w:t>
          </w:r>
          <w:r>
            <w:rPr>
              <w:spacing w:val="-5"/>
            </w:rPr>
            <w:t>电磁环境保护目标</w:t>
          </w:r>
          <w:r>
            <w:rPr>
              <w:spacing w:val="-73"/>
            </w:rPr>
            <w:t xml:space="preserve"> </w:t>
          </w:r>
          <w:r>
            <w:tab/>
          </w:r>
          <w:r>
            <w:fldChar w:fldCharType="begin"/>
          </w:r>
          <w:r>
            <w:instrText xml:space="preserve"> HYPERLINK \l "bookmark20" </w:instrText>
          </w:r>
          <w:r>
            <w:fldChar w:fldCharType="separate"/>
          </w:r>
          <w:r>
            <w:rPr>
              <w:rFonts w:ascii="Times New Roman" w:hAnsi="Times New Roman" w:eastAsia="Times New Roman" w:cs="Times New Roman"/>
              <w:spacing w:val="13"/>
            </w:rPr>
            <w:t>87</w:t>
          </w:r>
          <w:r>
            <w:rPr>
              <w:rFonts w:ascii="Times New Roman" w:hAnsi="Times New Roman" w:eastAsia="Times New Roman" w:cs="Times New Roman"/>
              <w:spacing w:val="13"/>
            </w:rPr>
            <w:fldChar w:fldCharType="end"/>
          </w:r>
        </w:p>
        <w:p w14:paraId="552330D0">
          <w:pPr>
            <w:pStyle w:val="2"/>
            <w:tabs>
              <w:tab w:val="right" w:leader="dot" w:pos="9057"/>
            </w:tabs>
            <w:spacing w:before="85" w:line="200" w:lineRule="auto"/>
            <w:ind w:left="232"/>
            <w:rPr>
              <w:rFonts w:ascii="Times New Roman" w:hAnsi="Times New Roman" w:eastAsia="Times New Roman" w:cs="Times New Roman"/>
            </w:rPr>
          </w:pPr>
          <w:r>
            <w:rPr>
              <w:rFonts w:ascii="Times New Roman" w:hAnsi="Times New Roman" w:eastAsia="Times New Roman" w:cs="Times New Roman"/>
              <w:spacing w:val="-3"/>
            </w:rPr>
            <w:t xml:space="preserve">1.4 </w:t>
          </w:r>
          <w:r>
            <w:rPr>
              <w:spacing w:val="-3"/>
            </w:rPr>
            <w:t>评价标准</w:t>
          </w:r>
          <w:r>
            <w:rPr>
              <w:spacing w:val="-78"/>
            </w:rPr>
            <w:t xml:space="preserve"> </w:t>
          </w:r>
          <w:r>
            <w:tab/>
          </w:r>
          <w:r>
            <w:fldChar w:fldCharType="begin"/>
          </w:r>
          <w:r>
            <w:instrText xml:space="preserve"> HYPERLINK \l "bookmark21" </w:instrText>
          </w:r>
          <w:r>
            <w:fldChar w:fldCharType="separate"/>
          </w:r>
          <w:r>
            <w:rPr>
              <w:rFonts w:ascii="Times New Roman" w:hAnsi="Times New Roman" w:eastAsia="Times New Roman" w:cs="Times New Roman"/>
              <w:spacing w:val="13"/>
            </w:rPr>
            <w:t>88</w:t>
          </w:r>
          <w:r>
            <w:rPr>
              <w:rFonts w:ascii="Times New Roman" w:hAnsi="Times New Roman" w:eastAsia="Times New Roman" w:cs="Times New Roman"/>
              <w:spacing w:val="13"/>
            </w:rPr>
            <w:fldChar w:fldCharType="end"/>
          </w:r>
        </w:p>
        <w:p w14:paraId="22273654">
          <w:pPr>
            <w:pStyle w:val="2"/>
            <w:tabs>
              <w:tab w:val="right" w:leader="dot" w:pos="9057"/>
            </w:tabs>
            <w:spacing w:before="204" w:line="200" w:lineRule="auto"/>
            <w:ind w:left="1"/>
            <w:rPr>
              <w:rFonts w:ascii="Times New Roman" w:hAnsi="Times New Roman" w:eastAsia="Times New Roman" w:cs="Times New Roman"/>
            </w:rPr>
          </w:pPr>
          <w:r>
            <w:rPr>
              <w:rFonts w:ascii="Times New Roman" w:hAnsi="Times New Roman" w:eastAsia="Times New Roman" w:cs="Times New Roman"/>
              <w:spacing w:val="-1"/>
            </w:rPr>
            <w:t>2</w:t>
          </w:r>
          <w:r>
            <w:rPr>
              <w:spacing w:val="-1"/>
            </w:rPr>
            <w:t>、工程概况</w:t>
          </w:r>
          <w:r>
            <w:rPr>
              <w:spacing w:val="-76"/>
            </w:rPr>
            <w:t xml:space="preserve"> </w:t>
          </w:r>
          <w:r>
            <w:tab/>
          </w:r>
          <w:r>
            <w:fldChar w:fldCharType="begin"/>
          </w:r>
          <w:r>
            <w:instrText xml:space="preserve"> HYPERLINK \l "bookmark22" </w:instrText>
          </w:r>
          <w:r>
            <w:fldChar w:fldCharType="separate"/>
          </w:r>
          <w:r>
            <w:rPr>
              <w:rFonts w:ascii="Times New Roman" w:hAnsi="Times New Roman" w:eastAsia="Times New Roman" w:cs="Times New Roman"/>
              <w:spacing w:val="13"/>
            </w:rPr>
            <w:t>89</w:t>
          </w:r>
          <w:r>
            <w:rPr>
              <w:rFonts w:ascii="Times New Roman" w:hAnsi="Times New Roman" w:eastAsia="Times New Roman" w:cs="Times New Roman"/>
              <w:spacing w:val="13"/>
            </w:rPr>
            <w:fldChar w:fldCharType="end"/>
          </w:r>
        </w:p>
        <w:p w14:paraId="5AD07FD1">
          <w:pPr>
            <w:pStyle w:val="2"/>
            <w:tabs>
              <w:tab w:val="right" w:leader="dot" w:pos="9057"/>
            </w:tabs>
            <w:spacing w:before="205" w:line="200" w:lineRule="auto"/>
            <w:ind w:left="5"/>
            <w:rPr>
              <w:rFonts w:ascii="Times New Roman" w:hAnsi="Times New Roman" w:eastAsia="Times New Roman" w:cs="Times New Roman"/>
            </w:rPr>
          </w:pPr>
          <w:r>
            <w:rPr>
              <w:rFonts w:ascii="Times New Roman" w:hAnsi="Times New Roman" w:eastAsia="Times New Roman" w:cs="Times New Roman"/>
              <w:spacing w:val="-1"/>
            </w:rPr>
            <w:t>3</w:t>
          </w:r>
          <w:r>
            <w:rPr>
              <w:spacing w:val="-1"/>
            </w:rPr>
            <w:t>、电磁环境现状评价</w:t>
          </w:r>
          <w:r>
            <w:rPr>
              <w:spacing w:val="-71"/>
            </w:rPr>
            <w:t xml:space="preserve"> </w:t>
          </w:r>
          <w:r>
            <w:tab/>
          </w:r>
          <w:r>
            <w:fldChar w:fldCharType="begin"/>
          </w:r>
          <w:r>
            <w:instrText xml:space="preserve"> HYPERLINK \l "bookmark23" </w:instrText>
          </w:r>
          <w:r>
            <w:fldChar w:fldCharType="separate"/>
          </w:r>
          <w:r>
            <w:rPr>
              <w:rFonts w:ascii="Times New Roman" w:hAnsi="Times New Roman" w:eastAsia="Times New Roman" w:cs="Times New Roman"/>
              <w:spacing w:val="12"/>
            </w:rPr>
            <w:t>90</w:t>
          </w:r>
          <w:r>
            <w:rPr>
              <w:rFonts w:ascii="Times New Roman" w:hAnsi="Times New Roman" w:eastAsia="Times New Roman" w:cs="Times New Roman"/>
              <w:spacing w:val="12"/>
            </w:rPr>
            <w:fldChar w:fldCharType="end"/>
          </w:r>
        </w:p>
        <w:p w14:paraId="74480116">
          <w:pPr>
            <w:pStyle w:val="2"/>
            <w:tabs>
              <w:tab w:val="right" w:leader="dot" w:pos="9057"/>
            </w:tabs>
            <w:spacing w:before="204" w:line="200" w:lineRule="auto"/>
            <w:ind w:left="216"/>
            <w:rPr>
              <w:rFonts w:ascii="Times New Roman" w:hAnsi="Times New Roman" w:eastAsia="Times New Roman" w:cs="Times New Roman"/>
            </w:rPr>
          </w:pPr>
          <w:r>
            <w:rPr>
              <w:rFonts w:ascii="Times New Roman" w:hAnsi="Times New Roman" w:eastAsia="Times New Roman" w:cs="Times New Roman"/>
              <w:spacing w:val="-1"/>
            </w:rPr>
            <w:t xml:space="preserve">3.1 </w:t>
          </w:r>
          <w:r>
            <w:rPr>
              <w:spacing w:val="-1"/>
            </w:rPr>
            <w:t>监测布点</w:t>
          </w:r>
          <w:r>
            <w:rPr>
              <w:spacing w:val="-78"/>
            </w:rPr>
            <w:t xml:space="preserve"> </w:t>
          </w:r>
          <w:r>
            <w:tab/>
          </w:r>
          <w:r>
            <w:fldChar w:fldCharType="begin"/>
          </w:r>
          <w:r>
            <w:instrText xml:space="preserve"> HYPERLINK \l "bookmark24" </w:instrText>
          </w:r>
          <w:r>
            <w:fldChar w:fldCharType="separate"/>
          </w:r>
          <w:r>
            <w:rPr>
              <w:rFonts w:ascii="Times New Roman" w:hAnsi="Times New Roman" w:eastAsia="Times New Roman" w:cs="Times New Roman"/>
              <w:spacing w:val="13"/>
            </w:rPr>
            <w:t>90</w:t>
          </w:r>
          <w:r>
            <w:rPr>
              <w:rFonts w:ascii="Times New Roman" w:hAnsi="Times New Roman" w:eastAsia="Times New Roman" w:cs="Times New Roman"/>
              <w:spacing w:val="13"/>
            </w:rPr>
            <w:fldChar w:fldCharType="end"/>
          </w:r>
        </w:p>
        <w:p w14:paraId="4A3097BA">
          <w:pPr>
            <w:pStyle w:val="2"/>
            <w:tabs>
              <w:tab w:val="right" w:leader="dot" w:pos="9057"/>
            </w:tabs>
            <w:spacing w:before="86" w:line="200" w:lineRule="auto"/>
            <w:ind w:left="216"/>
            <w:rPr>
              <w:rFonts w:ascii="Times New Roman" w:hAnsi="Times New Roman" w:eastAsia="Times New Roman" w:cs="Times New Roman"/>
            </w:rPr>
          </w:pPr>
          <w:r>
            <w:rPr>
              <w:rFonts w:ascii="Times New Roman" w:hAnsi="Times New Roman" w:eastAsia="Times New Roman" w:cs="Times New Roman"/>
              <w:spacing w:val="-1"/>
            </w:rPr>
            <w:t xml:space="preserve">3.2 </w:t>
          </w:r>
          <w:r>
            <w:rPr>
              <w:spacing w:val="-1"/>
            </w:rPr>
            <w:t>监测期间气象条件</w:t>
          </w:r>
          <w:r>
            <w:rPr>
              <w:spacing w:val="-69"/>
            </w:rPr>
            <w:t xml:space="preserve"> </w:t>
          </w:r>
          <w:r>
            <w:tab/>
          </w:r>
          <w:r>
            <w:fldChar w:fldCharType="begin"/>
          </w:r>
          <w:r>
            <w:instrText xml:space="preserve"> HYPERLINK \l "bookmark25" </w:instrText>
          </w:r>
          <w:r>
            <w:fldChar w:fldCharType="separate"/>
          </w:r>
          <w:r>
            <w:rPr>
              <w:rFonts w:ascii="Times New Roman" w:hAnsi="Times New Roman" w:eastAsia="Times New Roman" w:cs="Times New Roman"/>
              <w:spacing w:val="13"/>
            </w:rPr>
            <w:t>90</w:t>
          </w:r>
          <w:r>
            <w:rPr>
              <w:rFonts w:ascii="Times New Roman" w:hAnsi="Times New Roman" w:eastAsia="Times New Roman" w:cs="Times New Roman"/>
              <w:spacing w:val="13"/>
            </w:rPr>
            <w:fldChar w:fldCharType="end"/>
          </w:r>
        </w:p>
        <w:p w14:paraId="2BCDF358">
          <w:pPr>
            <w:pStyle w:val="2"/>
            <w:tabs>
              <w:tab w:val="right" w:leader="dot" w:pos="9057"/>
            </w:tabs>
            <w:spacing w:before="84" w:line="200" w:lineRule="auto"/>
            <w:ind w:left="216"/>
            <w:rPr>
              <w:rFonts w:ascii="Times New Roman" w:hAnsi="Times New Roman" w:eastAsia="Times New Roman" w:cs="Times New Roman"/>
            </w:rPr>
          </w:pPr>
          <w:r>
            <w:rPr>
              <w:rFonts w:ascii="Times New Roman" w:hAnsi="Times New Roman" w:eastAsia="Times New Roman" w:cs="Times New Roman"/>
              <w:spacing w:val="-1"/>
            </w:rPr>
            <w:t xml:space="preserve">3.3 </w:t>
          </w:r>
          <w:r>
            <w:rPr>
              <w:spacing w:val="-1"/>
            </w:rPr>
            <w:t>监测方法及依据</w:t>
          </w:r>
          <w:r>
            <w:rPr>
              <w:spacing w:val="-71"/>
            </w:rPr>
            <w:t xml:space="preserve"> </w:t>
          </w:r>
          <w:r>
            <w:tab/>
          </w:r>
          <w:r>
            <w:fldChar w:fldCharType="begin"/>
          </w:r>
          <w:r>
            <w:instrText xml:space="preserve"> HYPERLINK \l "bookmark26" </w:instrText>
          </w:r>
          <w:r>
            <w:fldChar w:fldCharType="separate"/>
          </w:r>
          <w:r>
            <w:rPr>
              <w:rFonts w:ascii="Times New Roman" w:hAnsi="Times New Roman" w:eastAsia="Times New Roman" w:cs="Times New Roman"/>
              <w:spacing w:val="12"/>
            </w:rPr>
            <w:t>90</w:t>
          </w:r>
          <w:r>
            <w:rPr>
              <w:rFonts w:ascii="Times New Roman" w:hAnsi="Times New Roman" w:eastAsia="Times New Roman" w:cs="Times New Roman"/>
              <w:spacing w:val="12"/>
            </w:rPr>
            <w:fldChar w:fldCharType="end"/>
          </w:r>
        </w:p>
        <w:p w14:paraId="30FC5385">
          <w:pPr>
            <w:pStyle w:val="2"/>
            <w:tabs>
              <w:tab w:val="right" w:leader="dot" w:pos="9057"/>
            </w:tabs>
            <w:spacing w:before="85" w:line="200" w:lineRule="auto"/>
            <w:ind w:left="216"/>
            <w:rPr>
              <w:rFonts w:ascii="Times New Roman" w:hAnsi="Times New Roman" w:eastAsia="Times New Roman" w:cs="Times New Roman"/>
            </w:rPr>
          </w:pPr>
          <w:r>
            <w:rPr>
              <w:rFonts w:ascii="Times New Roman" w:hAnsi="Times New Roman" w:eastAsia="Times New Roman" w:cs="Times New Roman"/>
              <w:spacing w:val="-1"/>
            </w:rPr>
            <w:t xml:space="preserve">3.4 </w:t>
          </w:r>
          <w:r>
            <w:rPr>
              <w:spacing w:val="-1"/>
            </w:rPr>
            <w:t>监测仪器</w:t>
          </w:r>
          <w:r>
            <w:rPr>
              <w:spacing w:val="-78"/>
            </w:rPr>
            <w:t xml:space="preserve"> </w:t>
          </w:r>
          <w:r>
            <w:tab/>
          </w:r>
          <w:r>
            <w:fldChar w:fldCharType="begin"/>
          </w:r>
          <w:r>
            <w:instrText xml:space="preserve"> HYPERLINK \l "bookmark27" </w:instrText>
          </w:r>
          <w:r>
            <w:fldChar w:fldCharType="separate"/>
          </w:r>
          <w:r>
            <w:rPr>
              <w:rFonts w:ascii="Times New Roman" w:hAnsi="Times New Roman" w:eastAsia="Times New Roman" w:cs="Times New Roman"/>
              <w:spacing w:val="13"/>
            </w:rPr>
            <w:t>90</w:t>
          </w:r>
          <w:r>
            <w:rPr>
              <w:rFonts w:ascii="Times New Roman" w:hAnsi="Times New Roman" w:eastAsia="Times New Roman" w:cs="Times New Roman"/>
              <w:spacing w:val="13"/>
            </w:rPr>
            <w:fldChar w:fldCharType="end"/>
          </w:r>
        </w:p>
        <w:p w14:paraId="10C7F094">
          <w:pPr>
            <w:pStyle w:val="2"/>
            <w:tabs>
              <w:tab w:val="right" w:leader="dot" w:pos="9057"/>
            </w:tabs>
            <w:spacing w:before="84" w:line="200" w:lineRule="auto"/>
            <w:ind w:left="216"/>
            <w:rPr>
              <w:rFonts w:ascii="Times New Roman" w:hAnsi="Times New Roman" w:eastAsia="Times New Roman" w:cs="Times New Roman"/>
            </w:rPr>
          </w:pPr>
          <w:r>
            <w:rPr>
              <w:rFonts w:ascii="Times New Roman" w:hAnsi="Times New Roman" w:eastAsia="Times New Roman" w:cs="Times New Roman"/>
              <w:spacing w:val="-1"/>
            </w:rPr>
            <w:t xml:space="preserve">3.5 </w:t>
          </w:r>
          <w:r>
            <w:rPr>
              <w:spacing w:val="-1"/>
            </w:rPr>
            <w:t>监测结果</w:t>
          </w:r>
          <w:r>
            <w:rPr>
              <w:spacing w:val="-78"/>
            </w:rPr>
            <w:t xml:space="preserve"> </w:t>
          </w:r>
          <w:r>
            <w:tab/>
          </w:r>
          <w:r>
            <w:fldChar w:fldCharType="begin"/>
          </w:r>
          <w:r>
            <w:instrText xml:space="preserve"> HYPERLINK \l "bookmark28" </w:instrText>
          </w:r>
          <w:r>
            <w:fldChar w:fldCharType="separate"/>
          </w:r>
          <w:r>
            <w:rPr>
              <w:rFonts w:ascii="Times New Roman" w:hAnsi="Times New Roman" w:eastAsia="Times New Roman" w:cs="Times New Roman"/>
              <w:spacing w:val="13"/>
            </w:rPr>
            <w:t>90</w:t>
          </w:r>
          <w:r>
            <w:rPr>
              <w:rFonts w:ascii="Times New Roman" w:hAnsi="Times New Roman" w:eastAsia="Times New Roman" w:cs="Times New Roman"/>
              <w:spacing w:val="13"/>
            </w:rPr>
            <w:fldChar w:fldCharType="end"/>
          </w:r>
        </w:p>
        <w:p w14:paraId="710F3564">
          <w:pPr>
            <w:pStyle w:val="2"/>
            <w:tabs>
              <w:tab w:val="right" w:leader="dot" w:pos="9057"/>
            </w:tabs>
            <w:spacing w:before="205" w:line="200" w:lineRule="auto"/>
            <w:rPr>
              <w:rFonts w:ascii="Times New Roman" w:hAnsi="Times New Roman" w:eastAsia="Times New Roman" w:cs="Times New Roman"/>
            </w:rPr>
          </w:pPr>
          <w:r>
            <w:rPr>
              <w:rFonts w:ascii="Times New Roman" w:hAnsi="Times New Roman" w:eastAsia="Times New Roman" w:cs="Times New Roman"/>
              <w:spacing w:val="-1"/>
            </w:rPr>
            <w:t>4</w:t>
          </w:r>
          <w:r>
            <w:rPr>
              <w:spacing w:val="-1"/>
            </w:rPr>
            <w:t>、电磁环境预测与评价</w:t>
          </w:r>
          <w:r>
            <w:rPr>
              <w:spacing w:val="-64"/>
            </w:rPr>
            <w:t xml:space="preserve"> </w:t>
          </w:r>
          <w:r>
            <w:tab/>
          </w:r>
          <w:r>
            <w:fldChar w:fldCharType="begin"/>
          </w:r>
          <w:r>
            <w:instrText xml:space="preserve"> HYPERLINK \l "bookmark29" </w:instrText>
          </w:r>
          <w:r>
            <w:fldChar w:fldCharType="separate"/>
          </w:r>
          <w:r>
            <w:rPr>
              <w:rFonts w:ascii="Times New Roman" w:hAnsi="Times New Roman" w:eastAsia="Times New Roman" w:cs="Times New Roman"/>
              <w:spacing w:val="13"/>
            </w:rPr>
            <w:t>92</w:t>
          </w:r>
          <w:r>
            <w:rPr>
              <w:rFonts w:ascii="Times New Roman" w:hAnsi="Times New Roman" w:eastAsia="Times New Roman" w:cs="Times New Roman"/>
              <w:spacing w:val="13"/>
            </w:rPr>
            <w:fldChar w:fldCharType="end"/>
          </w:r>
        </w:p>
        <w:p w14:paraId="5B5B82A7">
          <w:pPr>
            <w:pStyle w:val="2"/>
            <w:tabs>
              <w:tab w:val="right" w:leader="dot" w:pos="9057"/>
            </w:tabs>
            <w:spacing w:before="204" w:line="200" w:lineRule="auto"/>
            <w:ind w:left="211"/>
            <w:rPr>
              <w:rFonts w:ascii="Times New Roman" w:hAnsi="Times New Roman" w:eastAsia="Times New Roman" w:cs="Times New Roman"/>
            </w:rPr>
          </w:pPr>
          <w:r>
            <w:rPr>
              <w:rFonts w:ascii="Times New Roman" w:hAnsi="Times New Roman" w:eastAsia="Times New Roman" w:cs="Times New Roman"/>
            </w:rPr>
            <w:t xml:space="preserve">4.1 </w:t>
          </w:r>
          <w:r>
            <w:t>架空线路电磁环境影响预测与评价</w:t>
          </w:r>
          <w:r>
            <w:rPr>
              <w:spacing w:val="-67"/>
            </w:rPr>
            <w:t xml:space="preserve"> </w:t>
          </w:r>
          <w:r>
            <w:tab/>
          </w:r>
          <w:r>
            <w:fldChar w:fldCharType="begin"/>
          </w:r>
          <w:r>
            <w:instrText xml:space="preserve"> HYPERLINK \l "bookmark30" </w:instrText>
          </w:r>
          <w:r>
            <w:fldChar w:fldCharType="separate"/>
          </w:r>
          <w:r>
            <w:rPr>
              <w:rFonts w:ascii="Times New Roman" w:hAnsi="Times New Roman" w:eastAsia="Times New Roman" w:cs="Times New Roman"/>
              <w:spacing w:val="12"/>
            </w:rPr>
            <w:t>92</w:t>
          </w:r>
          <w:r>
            <w:rPr>
              <w:rFonts w:ascii="Times New Roman" w:hAnsi="Times New Roman" w:eastAsia="Times New Roman" w:cs="Times New Roman"/>
              <w:spacing w:val="12"/>
            </w:rPr>
            <w:fldChar w:fldCharType="end"/>
          </w:r>
        </w:p>
        <w:p w14:paraId="4C3C813B">
          <w:pPr>
            <w:pStyle w:val="2"/>
            <w:tabs>
              <w:tab w:val="right" w:leader="dot" w:pos="9060"/>
            </w:tabs>
            <w:spacing w:before="85" w:line="200" w:lineRule="auto"/>
            <w:ind w:left="211"/>
            <w:rPr>
              <w:rFonts w:ascii="Times New Roman" w:hAnsi="Times New Roman" w:eastAsia="Times New Roman" w:cs="Times New Roman"/>
            </w:rPr>
          </w:pPr>
          <w:r>
            <w:rPr>
              <w:rFonts w:ascii="Times New Roman" w:hAnsi="Times New Roman" w:eastAsia="Times New Roman" w:cs="Times New Roman"/>
            </w:rPr>
            <w:t xml:space="preserve">4.2 </w:t>
          </w:r>
          <w:r>
            <w:t>变电站扩建间隔工程电磁环境影响预测与</w:t>
          </w:r>
          <w:r>
            <w:rPr>
              <w:spacing w:val="-1"/>
            </w:rPr>
            <w:t>评价</w:t>
          </w:r>
          <w:r>
            <w:rPr>
              <w:spacing w:val="-59"/>
            </w:rPr>
            <w:t xml:space="preserve"> </w:t>
          </w:r>
          <w:r>
            <w:tab/>
          </w:r>
          <w:r>
            <w:fldChar w:fldCharType="begin"/>
          </w:r>
          <w:r>
            <w:instrText xml:space="preserve"> HYPERLINK \l "bookmark31" </w:instrText>
          </w:r>
          <w:r>
            <w:fldChar w:fldCharType="separate"/>
          </w:r>
          <w:r>
            <w:rPr>
              <w:rFonts w:ascii="Times New Roman" w:hAnsi="Times New Roman" w:eastAsia="Times New Roman" w:cs="Times New Roman"/>
              <w:spacing w:val="9"/>
            </w:rPr>
            <w:t>125</w:t>
          </w:r>
          <w:r>
            <w:rPr>
              <w:rFonts w:ascii="Times New Roman" w:hAnsi="Times New Roman" w:eastAsia="Times New Roman" w:cs="Times New Roman"/>
              <w:spacing w:val="9"/>
            </w:rPr>
            <w:fldChar w:fldCharType="end"/>
          </w:r>
        </w:p>
        <w:p w14:paraId="6D9A00E3">
          <w:pPr>
            <w:pStyle w:val="2"/>
            <w:tabs>
              <w:tab w:val="right" w:leader="dot" w:pos="9060"/>
            </w:tabs>
            <w:spacing w:before="84" w:line="200" w:lineRule="auto"/>
            <w:ind w:left="211"/>
            <w:rPr>
              <w:rFonts w:ascii="Times New Roman" w:hAnsi="Times New Roman" w:eastAsia="Times New Roman" w:cs="Times New Roman"/>
            </w:rPr>
          </w:pPr>
          <w:r>
            <w:rPr>
              <w:rFonts w:ascii="Times New Roman" w:hAnsi="Times New Roman" w:eastAsia="Times New Roman" w:cs="Times New Roman"/>
              <w:spacing w:val="-1"/>
            </w:rPr>
            <w:t xml:space="preserve">4.3 </w:t>
          </w:r>
          <w:r>
            <w:rPr>
              <w:spacing w:val="-1"/>
            </w:rPr>
            <w:t>环境敏感点电磁环境预测与评价</w:t>
          </w:r>
          <w:r>
            <w:rPr>
              <w:spacing w:val="-51"/>
            </w:rPr>
            <w:t xml:space="preserve"> </w:t>
          </w:r>
          <w:r>
            <w:tab/>
          </w:r>
          <w:r>
            <w:fldChar w:fldCharType="begin"/>
          </w:r>
          <w:r>
            <w:instrText xml:space="preserve"> HYPERLINK \l "bookmark32" </w:instrText>
          </w:r>
          <w:r>
            <w:fldChar w:fldCharType="separate"/>
          </w:r>
          <w:r>
            <w:rPr>
              <w:rFonts w:ascii="Times New Roman" w:hAnsi="Times New Roman" w:eastAsia="Times New Roman" w:cs="Times New Roman"/>
              <w:spacing w:val="9"/>
            </w:rPr>
            <w:t>125</w:t>
          </w:r>
          <w:r>
            <w:rPr>
              <w:rFonts w:ascii="Times New Roman" w:hAnsi="Times New Roman" w:eastAsia="Times New Roman" w:cs="Times New Roman"/>
              <w:spacing w:val="9"/>
            </w:rPr>
            <w:fldChar w:fldCharType="end"/>
          </w:r>
        </w:p>
        <w:p w14:paraId="3C09C790">
          <w:pPr>
            <w:pStyle w:val="2"/>
            <w:tabs>
              <w:tab w:val="right" w:leader="dot" w:pos="9060"/>
            </w:tabs>
            <w:spacing w:before="205" w:line="200" w:lineRule="auto"/>
            <w:ind w:left="6"/>
            <w:rPr>
              <w:rFonts w:ascii="Times New Roman" w:hAnsi="Times New Roman" w:eastAsia="Times New Roman" w:cs="Times New Roman"/>
            </w:rPr>
          </w:pPr>
          <w:r>
            <w:rPr>
              <w:rFonts w:ascii="Times New Roman" w:hAnsi="Times New Roman" w:eastAsia="Times New Roman" w:cs="Times New Roman"/>
              <w:spacing w:val="-1"/>
            </w:rPr>
            <w:t>5</w:t>
          </w:r>
          <w:r>
            <w:rPr>
              <w:spacing w:val="-1"/>
            </w:rPr>
            <w:t>、电磁环境达标控制措施及监测计划</w:t>
          </w:r>
          <w:r>
            <w:rPr>
              <w:spacing w:val="-57"/>
            </w:rPr>
            <w:t xml:space="preserve"> </w:t>
          </w:r>
          <w:r>
            <w:tab/>
          </w:r>
          <w:r>
            <w:fldChar w:fldCharType="begin"/>
          </w:r>
          <w:r>
            <w:instrText xml:space="preserve"> HYPERLINK \l "bookmark33" </w:instrText>
          </w:r>
          <w:r>
            <w:fldChar w:fldCharType="separate"/>
          </w:r>
          <w:r>
            <w:rPr>
              <w:rFonts w:ascii="Times New Roman" w:hAnsi="Times New Roman" w:eastAsia="Times New Roman" w:cs="Times New Roman"/>
              <w:spacing w:val="9"/>
            </w:rPr>
            <w:t>129</w:t>
          </w:r>
          <w:r>
            <w:rPr>
              <w:rFonts w:ascii="Times New Roman" w:hAnsi="Times New Roman" w:eastAsia="Times New Roman" w:cs="Times New Roman"/>
              <w:spacing w:val="9"/>
            </w:rPr>
            <w:fldChar w:fldCharType="end"/>
          </w:r>
        </w:p>
        <w:p w14:paraId="3072DFB8">
          <w:pPr>
            <w:pStyle w:val="2"/>
            <w:tabs>
              <w:tab w:val="right" w:leader="dot" w:pos="9060"/>
            </w:tabs>
            <w:spacing w:before="204" w:line="200" w:lineRule="auto"/>
            <w:ind w:left="217"/>
            <w:rPr>
              <w:rFonts w:ascii="Times New Roman" w:hAnsi="Times New Roman" w:eastAsia="Times New Roman" w:cs="Times New Roman"/>
            </w:rPr>
          </w:pPr>
          <w:r>
            <w:rPr>
              <w:rFonts w:ascii="Times New Roman" w:hAnsi="Times New Roman" w:eastAsia="Times New Roman" w:cs="Times New Roman"/>
              <w:spacing w:val="-3"/>
            </w:rPr>
            <w:t>5.1</w:t>
          </w:r>
          <w:r>
            <w:rPr>
              <w:rFonts w:ascii="Times New Roman" w:hAnsi="Times New Roman" w:eastAsia="Times New Roman" w:cs="Times New Roman"/>
              <w:spacing w:val="30"/>
            </w:rPr>
            <w:t xml:space="preserve"> </w:t>
          </w:r>
          <w:r>
            <w:rPr>
              <w:spacing w:val="-3"/>
            </w:rPr>
            <w:t>电磁环境达标控制措施</w:t>
          </w:r>
          <w:r>
            <w:rPr>
              <w:spacing w:val="-71"/>
            </w:rPr>
            <w:t xml:space="preserve"> </w:t>
          </w:r>
          <w:r>
            <w:tab/>
          </w:r>
          <w:r>
            <w:fldChar w:fldCharType="begin"/>
          </w:r>
          <w:r>
            <w:instrText xml:space="preserve"> HYPERLINK \l "bookmark34" </w:instrText>
          </w:r>
          <w:r>
            <w:fldChar w:fldCharType="separate"/>
          </w:r>
          <w:r>
            <w:rPr>
              <w:rFonts w:ascii="Times New Roman" w:hAnsi="Times New Roman" w:eastAsia="Times New Roman" w:cs="Times New Roman"/>
              <w:spacing w:val="9"/>
            </w:rPr>
            <w:t>129</w:t>
          </w:r>
          <w:r>
            <w:rPr>
              <w:rFonts w:ascii="Times New Roman" w:hAnsi="Times New Roman" w:eastAsia="Times New Roman" w:cs="Times New Roman"/>
              <w:spacing w:val="9"/>
            </w:rPr>
            <w:fldChar w:fldCharType="end"/>
          </w:r>
        </w:p>
        <w:p w14:paraId="36A50B27">
          <w:pPr>
            <w:pStyle w:val="2"/>
            <w:tabs>
              <w:tab w:val="right" w:leader="dot" w:pos="9060"/>
            </w:tabs>
            <w:spacing w:before="85" w:line="200" w:lineRule="auto"/>
            <w:ind w:left="217"/>
            <w:rPr>
              <w:rFonts w:ascii="Times New Roman" w:hAnsi="Times New Roman" w:eastAsia="Times New Roman" w:cs="Times New Roman"/>
            </w:rPr>
          </w:pPr>
          <w:r>
            <w:rPr>
              <w:rFonts w:ascii="Times New Roman" w:hAnsi="Times New Roman" w:eastAsia="Times New Roman" w:cs="Times New Roman"/>
              <w:spacing w:val="-3"/>
            </w:rPr>
            <w:t>5.2</w:t>
          </w:r>
          <w:r>
            <w:rPr>
              <w:rFonts w:ascii="Times New Roman" w:hAnsi="Times New Roman" w:eastAsia="Times New Roman" w:cs="Times New Roman"/>
              <w:spacing w:val="23"/>
              <w:w w:val="101"/>
            </w:rPr>
            <w:t xml:space="preserve"> </w:t>
          </w:r>
          <w:r>
            <w:rPr>
              <w:spacing w:val="-3"/>
            </w:rPr>
            <w:t>电磁环境监测计划</w:t>
          </w:r>
          <w:r>
            <w:rPr>
              <w:spacing w:val="-73"/>
            </w:rPr>
            <w:t xml:space="preserve"> </w:t>
          </w:r>
          <w:r>
            <w:tab/>
          </w:r>
          <w:r>
            <w:fldChar w:fldCharType="begin"/>
          </w:r>
          <w:r>
            <w:instrText xml:space="preserve"> HYPERLINK \l "bookmark35" </w:instrText>
          </w:r>
          <w:r>
            <w:fldChar w:fldCharType="separate"/>
          </w:r>
          <w:r>
            <w:rPr>
              <w:rFonts w:ascii="Times New Roman" w:hAnsi="Times New Roman" w:eastAsia="Times New Roman" w:cs="Times New Roman"/>
              <w:spacing w:val="9"/>
            </w:rPr>
            <w:t>129</w:t>
          </w:r>
          <w:r>
            <w:rPr>
              <w:rFonts w:ascii="Times New Roman" w:hAnsi="Times New Roman" w:eastAsia="Times New Roman" w:cs="Times New Roman"/>
              <w:spacing w:val="9"/>
            </w:rPr>
            <w:fldChar w:fldCharType="end"/>
          </w:r>
        </w:p>
        <w:p w14:paraId="57DFC04A">
          <w:pPr>
            <w:pStyle w:val="2"/>
            <w:tabs>
              <w:tab w:val="right" w:leader="dot" w:pos="9060"/>
            </w:tabs>
            <w:spacing w:before="205" w:line="234" w:lineRule="auto"/>
            <w:ind w:left="5"/>
            <w:rPr>
              <w:rFonts w:ascii="Times New Roman" w:hAnsi="Times New Roman" w:eastAsia="Times New Roman" w:cs="Times New Roman"/>
            </w:rPr>
          </w:pPr>
          <w:r>
            <w:rPr>
              <w:rFonts w:ascii="Times New Roman" w:hAnsi="Times New Roman" w:eastAsia="Times New Roman" w:cs="Times New Roman"/>
              <w:spacing w:val="-1"/>
            </w:rPr>
            <w:t>6</w:t>
          </w:r>
          <w:r>
            <w:rPr>
              <w:spacing w:val="-1"/>
            </w:rPr>
            <w:t>、电磁环境影响分析结论</w:t>
          </w:r>
          <w:r>
            <w:rPr>
              <w:spacing w:val="-67"/>
            </w:rPr>
            <w:t xml:space="preserve"> </w:t>
          </w:r>
          <w:r>
            <w:tab/>
          </w:r>
          <w:r>
            <w:fldChar w:fldCharType="begin"/>
          </w:r>
          <w:r>
            <w:instrText xml:space="preserve"> HYPERLINK \l "bookmark36" </w:instrText>
          </w:r>
          <w:r>
            <w:fldChar w:fldCharType="separate"/>
          </w:r>
          <w:r>
            <w:rPr>
              <w:rFonts w:ascii="Times New Roman" w:hAnsi="Times New Roman" w:eastAsia="Times New Roman" w:cs="Times New Roman"/>
              <w:spacing w:val="9"/>
            </w:rPr>
            <w:t>131</w:t>
          </w:r>
          <w:r>
            <w:rPr>
              <w:rFonts w:ascii="Times New Roman" w:hAnsi="Times New Roman" w:eastAsia="Times New Roman" w:cs="Times New Roman"/>
              <w:spacing w:val="9"/>
            </w:rPr>
            <w:fldChar w:fldCharType="end"/>
          </w:r>
        </w:p>
      </w:sdtContent>
    </w:sdt>
    <w:p w14:paraId="6C3B073A">
      <w:pPr>
        <w:spacing w:line="234" w:lineRule="auto"/>
        <w:rPr>
          <w:rFonts w:ascii="Times New Roman" w:hAnsi="Times New Roman" w:eastAsia="Times New Roman" w:cs="Times New Roman"/>
        </w:rPr>
        <w:sectPr>
          <w:footerReference r:id="rId91" w:type="default"/>
          <w:pgSz w:w="11907" w:h="16841"/>
          <w:pgMar w:top="400" w:right="1423" w:bottom="1126" w:left="1422" w:header="0" w:footer="925" w:gutter="0"/>
          <w:cols w:space="720" w:num="1"/>
        </w:sectPr>
      </w:pPr>
    </w:p>
    <w:p w14:paraId="45FE93C5">
      <w:pPr>
        <w:spacing w:line="252" w:lineRule="auto"/>
        <w:rPr>
          <w:rFonts w:ascii="Arial"/>
          <w:sz w:val="21"/>
        </w:rPr>
      </w:pPr>
    </w:p>
    <w:p w14:paraId="75276E2D">
      <w:pPr>
        <w:spacing w:line="252" w:lineRule="auto"/>
        <w:rPr>
          <w:rFonts w:ascii="Arial"/>
          <w:sz w:val="21"/>
        </w:rPr>
      </w:pPr>
    </w:p>
    <w:p w14:paraId="49845CBC">
      <w:pPr>
        <w:spacing w:line="252" w:lineRule="auto"/>
        <w:rPr>
          <w:rFonts w:ascii="Arial"/>
          <w:sz w:val="21"/>
        </w:rPr>
      </w:pPr>
    </w:p>
    <w:p w14:paraId="3BC83E52">
      <w:pPr>
        <w:spacing w:line="252" w:lineRule="auto"/>
        <w:rPr>
          <w:rFonts w:ascii="Arial"/>
          <w:sz w:val="21"/>
        </w:rPr>
      </w:pPr>
    </w:p>
    <w:p w14:paraId="0F29A50A">
      <w:pPr>
        <w:spacing w:line="252" w:lineRule="auto"/>
        <w:rPr>
          <w:rFonts w:ascii="Arial"/>
          <w:sz w:val="21"/>
        </w:rPr>
      </w:pPr>
    </w:p>
    <w:p w14:paraId="587CA827">
      <w:pPr>
        <w:spacing w:before="100"/>
        <w:ind w:left="12"/>
        <w:rPr>
          <w:rFonts w:ascii="宋体" w:hAnsi="宋体" w:eastAsia="宋体" w:cs="宋体"/>
          <w:sz w:val="31"/>
          <w:szCs w:val="31"/>
        </w:rPr>
      </w:pPr>
      <w:bookmarkStart w:id="10" w:name="bookmark17"/>
      <w:bookmarkEnd w:id="10"/>
      <w:bookmarkStart w:id="11" w:name="bookmark18"/>
      <w:bookmarkEnd w:id="11"/>
      <w:r>
        <w:rPr>
          <w:rFonts w:ascii="Times New Roman" w:hAnsi="Times New Roman" w:eastAsia="Times New Roman" w:cs="Times New Roman"/>
          <w:b/>
          <w:bCs/>
          <w:spacing w:val="-8"/>
          <w:sz w:val="31"/>
          <w:szCs w:val="31"/>
        </w:rPr>
        <w:t>1</w:t>
      </w:r>
      <w:r>
        <w:rPr>
          <w:rFonts w:ascii="Times New Roman" w:hAnsi="Times New Roman" w:eastAsia="Times New Roman" w:cs="Times New Roman"/>
          <w:b/>
          <w:bCs/>
          <w:spacing w:val="-39"/>
          <w:sz w:val="31"/>
          <w:szCs w:val="31"/>
        </w:rPr>
        <w:t xml:space="preserve"> </w:t>
      </w:r>
      <w:r>
        <w:rPr>
          <w:rFonts w:ascii="宋体" w:hAnsi="宋体" w:eastAsia="宋体" w:cs="宋体"/>
          <w:b/>
          <w:bCs/>
          <w:spacing w:val="-8"/>
          <w:sz w:val="31"/>
          <w:szCs w:val="31"/>
        </w:rPr>
        <w:t>、总则</w:t>
      </w:r>
    </w:p>
    <w:p w14:paraId="76117F41">
      <w:pPr>
        <w:spacing w:before="239" w:line="233" w:lineRule="auto"/>
        <w:ind w:left="10"/>
        <w:rPr>
          <w:rFonts w:ascii="宋体" w:hAnsi="宋体" w:eastAsia="宋体" w:cs="宋体"/>
          <w:sz w:val="28"/>
          <w:szCs w:val="28"/>
        </w:rPr>
      </w:pPr>
      <w:r>
        <w:rPr>
          <w:rFonts w:ascii="Times New Roman" w:hAnsi="Times New Roman" w:eastAsia="Times New Roman" w:cs="Times New Roman"/>
          <w:b/>
          <w:bCs/>
          <w:spacing w:val="-4"/>
          <w:sz w:val="28"/>
          <w:szCs w:val="28"/>
        </w:rPr>
        <w:t xml:space="preserve">1.1 </w:t>
      </w:r>
      <w:r>
        <w:rPr>
          <w:rFonts w:ascii="宋体" w:hAnsi="宋体" w:eastAsia="宋体" w:cs="宋体"/>
          <w:b/>
          <w:bCs/>
          <w:spacing w:val="-4"/>
          <w:sz w:val="28"/>
          <w:szCs w:val="28"/>
        </w:rPr>
        <w:t>编制依据</w:t>
      </w:r>
    </w:p>
    <w:p w14:paraId="2254BFFD">
      <w:pPr>
        <w:spacing w:before="214" w:line="233" w:lineRule="auto"/>
        <w:ind w:left="489"/>
        <w:rPr>
          <w:rFonts w:ascii="宋体" w:hAnsi="宋体" w:eastAsia="宋体" w:cs="宋体"/>
          <w:sz w:val="24"/>
          <w:szCs w:val="24"/>
        </w:rPr>
      </w:pPr>
      <w:r>
        <w:rPr>
          <w:rFonts w:ascii="Times New Roman" w:hAnsi="Times New Roman" w:eastAsia="Times New Roman" w:cs="Times New Roman"/>
          <w:b/>
          <w:bCs/>
          <w:spacing w:val="-3"/>
          <w:sz w:val="24"/>
          <w:szCs w:val="24"/>
        </w:rPr>
        <w:t xml:space="preserve">1.2.1 </w:t>
      </w:r>
      <w:r>
        <w:rPr>
          <w:rFonts w:ascii="宋体" w:hAnsi="宋体" w:eastAsia="宋体" w:cs="宋体"/>
          <w:b/>
          <w:bCs/>
          <w:spacing w:val="-3"/>
          <w:sz w:val="24"/>
          <w:szCs w:val="24"/>
        </w:rPr>
        <w:t>法律法规</w:t>
      </w:r>
    </w:p>
    <w:p w14:paraId="184AEDFD">
      <w:pPr>
        <w:spacing w:before="165" w:line="233" w:lineRule="auto"/>
        <w:ind w:left="487"/>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）《中华人民共和国环境保护法》，</w:t>
      </w:r>
      <w:r>
        <w:rPr>
          <w:rFonts w:ascii="Times New Roman" w:hAnsi="Times New Roman" w:eastAsia="Times New Roman" w:cs="Times New Roman"/>
          <w:spacing w:val="-1"/>
          <w:sz w:val="24"/>
          <w:szCs w:val="24"/>
        </w:rPr>
        <w:t>2015.1.1</w:t>
      </w:r>
      <w:r>
        <w:rPr>
          <w:rFonts w:ascii="宋体" w:hAnsi="宋体" w:eastAsia="宋体" w:cs="宋体"/>
          <w:spacing w:val="-1"/>
          <w:sz w:val="24"/>
          <w:szCs w:val="24"/>
        </w:rPr>
        <w:t>；</w:t>
      </w:r>
    </w:p>
    <w:p w14:paraId="0305D03A">
      <w:pPr>
        <w:spacing w:before="164" w:line="232" w:lineRule="auto"/>
        <w:ind w:left="487"/>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）《中华人民共和国环境影响评价法》，</w:t>
      </w:r>
      <w:r>
        <w:rPr>
          <w:rFonts w:ascii="Times New Roman" w:hAnsi="Times New Roman" w:eastAsia="Times New Roman" w:cs="Times New Roman"/>
          <w:spacing w:val="-1"/>
          <w:sz w:val="24"/>
          <w:szCs w:val="24"/>
        </w:rPr>
        <w:t>2018.12.29</w:t>
      </w:r>
      <w:r>
        <w:rPr>
          <w:rFonts w:ascii="宋体" w:hAnsi="宋体" w:eastAsia="宋体" w:cs="宋体"/>
          <w:spacing w:val="-1"/>
          <w:sz w:val="24"/>
          <w:szCs w:val="24"/>
        </w:rPr>
        <w:t>；</w:t>
      </w:r>
    </w:p>
    <w:p w14:paraId="2917CFC7">
      <w:pPr>
        <w:spacing w:before="167" w:line="233" w:lineRule="auto"/>
        <w:ind w:left="487"/>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）《中华人民共和国电力法》，</w:t>
      </w:r>
      <w:r>
        <w:rPr>
          <w:rFonts w:ascii="Times New Roman" w:hAnsi="Times New Roman" w:eastAsia="Times New Roman" w:cs="Times New Roman"/>
          <w:spacing w:val="-1"/>
          <w:sz w:val="24"/>
          <w:szCs w:val="24"/>
        </w:rPr>
        <w:t>2018.10.26</w:t>
      </w:r>
      <w:r>
        <w:rPr>
          <w:rFonts w:ascii="宋体" w:hAnsi="宋体" w:eastAsia="宋体" w:cs="宋体"/>
          <w:spacing w:val="-1"/>
          <w:sz w:val="24"/>
          <w:szCs w:val="24"/>
        </w:rPr>
        <w:t>；</w:t>
      </w:r>
    </w:p>
    <w:p w14:paraId="2CA06CFE">
      <w:pPr>
        <w:spacing w:before="166" w:line="233" w:lineRule="auto"/>
        <w:ind w:left="487"/>
        <w:rPr>
          <w:rFonts w:ascii="宋体" w:hAnsi="宋体" w:eastAsia="宋体" w:cs="宋体"/>
          <w:sz w:val="24"/>
          <w:szCs w:val="24"/>
        </w:rPr>
      </w:pPr>
      <w:r>
        <w:rPr>
          <w:rFonts w:ascii="宋体" w:hAnsi="宋体" w:eastAsia="宋体" w:cs="宋体"/>
          <w:spacing w:val="-7"/>
          <w:sz w:val="24"/>
          <w:szCs w:val="24"/>
        </w:rPr>
        <w:t>（</w:t>
      </w:r>
      <w:r>
        <w:rPr>
          <w:rFonts w:ascii="Times New Roman" w:hAnsi="Times New Roman" w:eastAsia="Times New Roman" w:cs="Times New Roman"/>
          <w:spacing w:val="-7"/>
          <w:sz w:val="24"/>
          <w:szCs w:val="24"/>
        </w:rPr>
        <w:t>4</w:t>
      </w:r>
      <w:r>
        <w:rPr>
          <w:rFonts w:ascii="宋体" w:hAnsi="宋体" w:eastAsia="宋体" w:cs="宋体"/>
          <w:spacing w:val="-7"/>
          <w:sz w:val="24"/>
          <w:szCs w:val="24"/>
        </w:rPr>
        <w:t>）《电力设施保护条例》，</w:t>
      </w:r>
      <w:r>
        <w:rPr>
          <w:rFonts w:ascii="Times New Roman" w:hAnsi="Times New Roman" w:eastAsia="Times New Roman" w:cs="Times New Roman"/>
          <w:spacing w:val="-7"/>
          <w:sz w:val="24"/>
          <w:szCs w:val="24"/>
        </w:rPr>
        <w:t>2011.1.8</w:t>
      </w:r>
      <w:r>
        <w:rPr>
          <w:rFonts w:ascii="宋体" w:hAnsi="宋体" w:eastAsia="宋体" w:cs="宋体"/>
          <w:spacing w:val="-7"/>
          <w:sz w:val="24"/>
          <w:szCs w:val="24"/>
        </w:rPr>
        <w:t>；</w:t>
      </w:r>
    </w:p>
    <w:p w14:paraId="610501A8">
      <w:pPr>
        <w:spacing w:before="165" w:line="233" w:lineRule="auto"/>
        <w:ind w:left="487"/>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5</w:t>
      </w:r>
      <w:r>
        <w:rPr>
          <w:rFonts w:ascii="宋体" w:hAnsi="宋体" w:eastAsia="宋体" w:cs="宋体"/>
          <w:spacing w:val="-1"/>
          <w:sz w:val="24"/>
          <w:szCs w:val="24"/>
        </w:rPr>
        <w:t>）《云南省电力设施保护条例》，</w:t>
      </w:r>
      <w:r>
        <w:rPr>
          <w:rFonts w:ascii="Times New Roman" w:hAnsi="Times New Roman" w:eastAsia="Times New Roman" w:cs="Times New Roman"/>
          <w:spacing w:val="-1"/>
          <w:sz w:val="24"/>
          <w:szCs w:val="24"/>
        </w:rPr>
        <w:t>2024.11.28</w:t>
      </w:r>
      <w:r>
        <w:rPr>
          <w:rFonts w:ascii="宋体" w:hAnsi="宋体" w:eastAsia="宋体" w:cs="宋体"/>
          <w:spacing w:val="-1"/>
          <w:sz w:val="24"/>
          <w:szCs w:val="24"/>
        </w:rPr>
        <w:t>；</w:t>
      </w:r>
    </w:p>
    <w:p w14:paraId="1897717B">
      <w:pPr>
        <w:spacing w:before="165" w:line="233" w:lineRule="auto"/>
        <w:ind w:left="487"/>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6</w:t>
      </w:r>
      <w:r>
        <w:rPr>
          <w:rFonts w:ascii="宋体" w:hAnsi="宋体" w:eastAsia="宋体" w:cs="宋体"/>
          <w:spacing w:val="-1"/>
          <w:sz w:val="24"/>
          <w:szCs w:val="24"/>
        </w:rPr>
        <w:t>）《云南省生态环境保护条例》，</w:t>
      </w:r>
      <w:r>
        <w:rPr>
          <w:rFonts w:ascii="Times New Roman" w:hAnsi="Times New Roman" w:eastAsia="Times New Roman" w:cs="Times New Roman"/>
          <w:spacing w:val="-1"/>
          <w:sz w:val="24"/>
          <w:szCs w:val="24"/>
        </w:rPr>
        <w:t>2024.11.1</w:t>
      </w:r>
      <w:r>
        <w:rPr>
          <w:rFonts w:ascii="宋体" w:hAnsi="宋体" w:eastAsia="宋体" w:cs="宋体"/>
          <w:spacing w:val="-1"/>
          <w:sz w:val="24"/>
          <w:szCs w:val="24"/>
        </w:rPr>
        <w:t>；</w:t>
      </w:r>
    </w:p>
    <w:p w14:paraId="4F096D35">
      <w:pPr>
        <w:spacing w:before="165" w:line="233" w:lineRule="auto"/>
        <w:ind w:left="487"/>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7</w:t>
      </w:r>
      <w:r>
        <w:rPr>
          <w:rFonts w:ascii="宋体" w:hAnsi="宋体" w:eastAsia="宋体" w:cs="宋体"/>
          <w:spacing w:val="-5"/>
          <w:sz w:val="24"/>
          <w:szCs w:val="24"/>
        </w:rPr>
        <w:t>）《建设项目环境保护管理条例》，</w:t>
      </w:r>
      <w:r>
        <w:rPr>
          <w:rFonts w:ascii="Times New Roman" w:hAnsi="Times New Roman" w:eastAsia="Times New Roman" w:cs="Times New Roman"/>
          <w:spacing w:val="-5"/>
          <w:sz w:val="24"/>
          <w:szCs w:val="24"/>
        </w:rPr>
        <w:t>2017.10.1</w:t>
      </w:r>
      <w:r>
        <w:rPr>
          <w:rFonts w:ascii="宋体" w:hAnsi="宋体" w:eastAsia="宋体" w:cs="宋体"/>
          <w:spacing w:val="-5"/>
          <w:sz w:val="24"/>
          <w:szCs w:val="24"/>
        </w:rPr>
        <w:t>；</w:t>
      </w:r>
    </w:p>
    <w:p w14:paraId="0C97D1B9">
      <w:pPr>
        <w:spacing w:before="166" w:line="233" w:lineRule="auto"/>
        <w:ind w:left="487"/>
        <w:rPr>
          <w:rFonts w:ascii="宋体" w:hAnsi="宋体" w:eastAsia="宋体" w:cs="宋体"/>
          <w:sz w:val="24"/>
          <w:szCs w:val="24"/>
        </w:rPr>
      </w:pPr>
      <w:r>
        <w:rPr>
          <w:rFonts w:ascii="宋体" w:hAnsi="宋体" w:eastAsia="宋体" w:cs="宋体"/>
          <w:spacing w:val="-10"/>
          <w:sz w:val="24"/>
          <w:szCs w:val="24"/>
        </w:rPr>
        <w:t>（</w:t>
      </w:r>
      <w:r>
        <w:rPr>
          <w:rFonts w:ascii="Times New Roman" w:hAnsi="Times New Roman" w:eastAsia="Times New Roman" w:cs="Times New Roman"/>
          <w:spacing w:val="-10"/>
          <w:sz w:val="24"/>
          <w:szCs w:val="24"/>
        </w:rPr>
        <w:t>8</w:t>
      </w:r>
      <w:r>
        <w:rPr>
          <w:rFonts w:ascii="宋体" w:hAnsi="宋体" w:eastAsia="宋体" w:cs="宋体"/>
          <w:spacing w:val="-10"/>
          <w:sz w:val="24"/>
          <w:szCs w:val="24"/>
        </w:rPr>
        <w:t>）《建设项目环境保护分类管理名录（</w:t>
      </w:r>
      <w:r>
        <w:rPr>
          <w:rFonts w:ascii="Times New Roman" w:hAnsi="Times New Roman" w:eastAsia="Times New Roman" w:cs="Times New Roman"/>
          <w:spacing w:val="-10"/>
          <w:sz w:val="24"/>
          <w:szCs w:val="24"/>
        </w:rPr>
        <w:t xml:space="preserve">2021 </w:t>
      </w:r>
      <w:r>
        <w:rPr>
          <w:rFonts w:ascii="宋体" w:hAnsi="宋体" w:eastAsia="宋体" w:cs="宋体"/>
          <w:spacing w:val="-10"/>
          <w:sz w:val="24"/>
          <w:szCs w:val="24"/>
        </w:rPr>
        <w:t>年版）》，</w:t>
      </w:r>
      <w:r>
        <w:rPr>
          <w:rFonts w:ascii="Times New Roman" w:hAnsi="Times New Roman" w:eastAsia="Times New Roman" w:cs="Times New Roman"/>
          <w:spacing w:val="-10"/>
          <w:sz w:val="24"/>
          <w:szCs w:val="24"/>
        </w:rPr>
        <w:t>2021.1.1</w:t>
      </w:r>
      <w:r>
        <w:rPr>
          <w:rFonts w:ascii="宋体" w:hAnsi="宋体" w:eastAsia="宋体" w:cs="宋体"/>
          <w:spacing w:val="-10"/>
          <w:sz w:val="24"/>
          <w:szCs w:val="24"/>
        </w:rPr>
        <w:t>；</w:t>
      </w:r>
    </w:p>
    <w:p w14:paraId="3B153B97">
      <w:pPr>
        <w:spacing w:before="164" w:line="233" w:lineRule="auto"/>
        <w:ind w:left="487"/>
        <w:rPr>
          <w:rFonts w:ascii="宋体" w:hAnsi="宋体" w:eastAsia="宋体" w:cs="宋体"/>
          <w:sz w:val="24"/>
          <w:szCs w:val="24"/>
        </w:rPr>
      </w:pPr>
      <w:r>
        <w:rPr>
          <w:rFonts w:ascii="宋体" w:hAnsi="宋体" w:eastAsia="宋体" w:cs="宋体"/>
          <w:spacing w:val="-16"/>
          <w:sz w:val="24"/>
          <w:szCs w:val="24"/>
        </w:rPr>
        <w:t>（</w:t>
      </w:r>
      <w:r>
        <w:rPr>
          <w:rFonts w:ascii="Times New Roman" w:hAnsi="Times New Roman" w:eastAsia="Times New Roman" w:cs="Times New Roman"/>
          <w:spacing w:val="-16"/>
          <w:sz w:val="24"/>
          <w:szCs w:val="24"/>
        </w:rPr>
        <w:t>9</w:t>
      </w:r>
      <w:r>
        <w:rPr>
          <w:rFonts w:ascii="宋体" w:hAnsi="宋体" w:eastAsia="宋体" w:cs="宋体"/>
          <w:spacing w:val="-16"/>
          <w:sz w:val="24"/>
          <w:szCs w:val="24"/>
        </w:rPr>
        <w:t>）《产业结构调整指导目录》（</w:t>
      </w:r>
      <w:r>
        <w:rPr>
          <w:rFonts w:ascii="Times New Roman" w:hAnsi="Times New Roman" w:eastAsia="Times New Roman" w:cs="Times New Roman"/>
          <w:spacing w:val="-16"/>
          <w:sz w:val="24"/>
          <w:szCs w:val="24"/>
        </w:rPr>
        <w:t>2024</w:t>
      </w:r>
      <w:r>
        <w:rPr>
          <w:rFonts w:ascii="Times New Roman" w:hAnsi="Times New Roman" w:eastAsia="Times New Roman" w:cs="Times New Roman"/>
          <w:spacing w:val="12"/>
          <w:sz w:val="24"/>
          <w:szCs w:val="24"/>
        </w:rPr>
        <w:t xml:space="preserve"> </w:t>
      </w:r>
      <w:r>
        <w:rPr>
          <w:rFonts w:ascii="宋体" w:hAnsi="宋体" w:eastAsia="宋体" w:cs="宋体"/>
          <w:spacing w:val="-17"/>
          <w:sz w:val="24"/>
          <w:szCs w:val="24"/>
        </w:rPr>
        <w:t>年本</w:t>
      </w:r>
      <w:r>
        <w:rPr>
          <w:rFonts w:ascii="宋体" w:hAnsi="宋体" w:eastAsia="宋体" w:cs="宋体"/>
          <w:spacing w:val="-25"/>
          <w:sz w:val="24"/>
          <w:szCs w:val="24"/>
        </w:rPr>
        <w:t>）；</w:t>
      </w:r>
    </w:p>
    <w:p w14:paraId="20EA3FB2">
      <w:pPr>
        <w:spacing w:before="166" w:line="233" w:lineRule="auto"/>
        <w:ind w:left="489"/>
        <w:rPr>
          <w:rFonts w:ascii="宋体" w:hAnsi="宋体" w:eastAsia="宋体" w:cs="宋体"/>
          <w:sz w:val="24"/>
          <w:szCs w:val="24"/>
        </w:rPr>
      </w:pPr>
      <w:r>
        <w:rPr>
          <w:rFonts w:ascii="Times New Roman" w:hAnsi="Times New Roman" w:eastAsia="Times New Roman" w:cs="Times New Roman"/>
          <w:b/>
          <w:bCs/>
          <w:spacing w:val="-3"/>
          <w:sz w:val="24"/>
          <w:szCs w:val="24"/>
        </w:rPr>
        <w:t xml:space="preserve">1.2.2 </w:t>
      </w:r>
      <w:r>
        <w:rPr>
          <w:rFonts w:ascii="宋体" w:hAnsi="宋体" w:eastAsia="宋体" w:cs="宋体"/>
          <w:b/>
          <w:bCs/>
          <w:spacing w:val="-3"/>
          <w:sz w:val="24"/>
          <w:szCs w:val="24"/>
        </w:rPr>
        <w:t>技术规范与标准</w:t>
      </w:r>
    </w:p>
    <w:p w14:paraId="42943BE5">
      <w:pPr>
        <w:spacing w:before="164" w:line="232" w:lineRule="auto"/>
        <w:ind w:left="487"/>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1</w:t>
      </w:r>
      <w:r>
        <w:rPr>
          <w:rFonts w:ascii="宋体" w:hAnsi="宋体" w:eastAsia="宋体" w:cs="宋体"/>
          <w:spacing w:val="-3"/>
          <w:sz w:val="24"/>
          <w:szCs w:val="24"/>
        </w:rPr>
        <w:t>）《建设项目环境影响评价技术导则</w:t>
      </w:r>
      <w:r>
        <w:rPr>
          <w:rFonts w:ascii="宋体" w:hAnsi="宋体" w:eastAsia="宋体" w:cs="宋体"/>
          <w:spacing w:val="39"/>
          <w:sz w:val="24"/>
          <w:szCs w:val="24"/>
        </w:rPr>
        <w:t xml:space="preserve"> </w:t>
      </w:r>
      <w:r>
        <w:rPr>
          <w:rFonts w:ascii="宋体" w:hAnsi="宋体" w:eastAsia="宋体" w:cs="宋体"/>
          <w:spacing w:val="-3"/>
          <w:sz w:val="24"/>
          <w:szCs w:val="24"/>
        </w:rPr>
        <w:t>总纲》（</w:t>
      </w:r>
      <w:r>
        <w:rPr>
          <w:rFonts w:ascii="Times New Roman" w:hAnsi="Times New Roman" w:eastAsia="Times New Roman" w:cs="Times New Roman"/>
          <w:spacing w:val="-3"/>
          <w:sz w:val="24"/>
          <w:szCs w:val="24"/>
        </w:rPr>
        <w:t>HJ2.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1-2016</w:t>
      </w:r>
      <w:r>
        <w:rPr>
          <w:rFonts w:ascii="宋体" w:hAnsi="宋体" w:eastAsia="宋体" w:cs="宋体"/>
          <w:spacing w:val="-8"/>
          <w:sz w:val="24"/>
          <w:szCs w:val="24"/>
        </w:rPr>
        <w:t>）；</w:t>
      </w:r>
    </w:p>
    <w:p w14:paraId="58245185">
      <w:pPr>
        <w:spacing w:before="167" w:line="232" w:lineRule="auto"/>
        <w:ind w:left="487"/>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）《环境影响评价技术导则 输变电》（</w:t>
      </w:r>
      <w:r>
        <w:rPr>
          <w:rFonts w:ascii="Times New Roman" w:hAnsi="Times New Roman" w:eastAsia="Times New Roman" w:cs="Times New Roman"/>
          <w:spacing w:val="-1"/>
          <w:sz w:val="24"/>
          <w:szCs w:val="24"/>
        </w:rPr>
        <w:t>HJ24-2020</w:t>
      </w:r>
      <w:r>
        <w:rPr>
          <w:rFonts w:ascii="宋体" w:hAnsi="宋体" w:eastAsia="宋体" w:cs="宋体"/>
          <w:spacing w:val="6"/>
          <w:sz w:val="24"/>
          <w:szCs w:val="24"/>
        </w:rPr>
        <w:t>）；</w:t>
      </w:r>
    </w:p>
    <w:p w14:paraId="19CE69B3">
      <w:pPr>
        <w:spacing w:before="167" w:line="233" w:lineRule="auto"/>
        <w:ind w:left="487"/>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）《电磁环境控制限值》（</w:t>
      </w:r>
      <w:r>
        <w:rPr>
          <w:rFonts w:ascii="Times New Roman" w:hAnsi="Times New Roman" w:eastAsia="Times New Roman" w:cs="Times New Roman"/>
          <w:spacing w:val="-1"/>
          <w:sz w:val="24"/>
          <w:szCs w:val="24"/>
        </w:rPr>
        <w:t>GB8702-2014</w:t>
      </w:r>
      <w:r>
        <w:rPr>
          <w:rFonts w:ascii="宋体" w:hAnsi="宋体" w:eastAsia="宋体" w:cs="宋体"/>
          <w:spacing w:val="-10"/>
          <w:sz w:val="24"/>
          <w:szCs w:val="24"/>
        </w:rPr>
        <w:t>）；</w:t>
      </w:r>
    </w:p>
    <w:p w14:paraId="67401691">
      <w:pPr>
        <w:spacing w:before="165" w:line="233" w:lineRule="auto"/>
        <w:ind w:left="487"/>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4</w:t>
      </w:r>
      <w:r>
        <w:rPr>
          <w:rFonts w:ascii="宋体" w:hAnsi="宋体" w:eastAsia="宋体" w:cs="宋体"/>
          <w:spacing w:val="-1"/>
          <w:sz w:val="24"/>
          <w:szCs w:val="24"/>
        </w:rPr>
        <w:t>）《输变电建设项目环境保护技术要求》（</w:t>
      </w:r>
      <w:r>
        <w:rPr>
          <w:rFonts w:ascii="Times New Roman" w:hAnsi="Times New Roman" w:eastAsia="Times New Roman" w:cs="Times New Roman"/>
          <w:spacing w:val="-1"/>
          <w:sz w:val="24"/>
          <w:szCs w:val="24"/>
        </w:rPr>
        <w:t>HJ1113-2020</w:t>
      </w:r>
      <w:r>
        <w:rPr>
          <w:rFonts w:ascii="宋体" w:hAnsi="宋体" w:eastAsia="宋体" w:cs="宋体"/>
          <w:spacing w:val="-7"/>
          <w:sz w:val="24"/>
          <w:szCs w:val="24"/>
        </w:rPr>
        <w:t>）；</w:t>
      </w:r>
    </w:p>
    <w:p w14:paraId="679E113F">
      <w:pPr>
        <w:spacing w:before="165" w:line="233" w:lineRule="auto"/>
        <w:ind w:left="487"/>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5</w:t>
      </w:r>
      <w:r>
        <w:rPr>
          <w:rFonts w:ascii="宋体" w:hAnsi="宋体" w:eastAsia="宋体" w:cs="宋体"/>
          <w:spacing w:val="-1"/>
          <w:sz w:val="24"/>
          <w:szCs w:val="24"/>
        </w:rPr>
        <w:t>）《交流输变电工程电磁环境监测方法》（</w:t>
      </w:r>
      <w:r>
        <w:rPr>
          <w:rFonts w:ascii="Times New Roman" w:hAnsi="Times New Roman" w:eastAsia="Times New Roman" w:cs="Times New Roman"/>
          <w:spacing w:val="-1"/>
          <w:sz w:val="24"/>
          <w:szCs w:val="24"/>
        </w:rPr>
        <w:t>HJ681-2013</w:t>
      </w:r>
      <w:r>
        <w:rPr>
          <w:rFonts w:ascii="宋体" w:hAnsi="宋体" w:eastAsia="宋体" w:cs="宋体"/>
          <w:spacing w:val="-2"/>
          <w:sz w:val="24"/>
          <w:szCs w:val="24"/>
        </w:rPr>
        <w:t>）。</w:t>
      </w:r>
    </w:p>
    <w:p w14:paraId="63A5BBB5">
      <w:pPr>
        <w:spacing w:before="165" w:line="233" w:lineRule="auto"/>
        <w:ind w:left="489"/>
        <w:rPr>
          <w:rFonts w:ascii="宋体" w:hAnsi="宋体" w:eastAsia="宋体" w:cs="宋体"/>
          <w:sz w:val="24"/>
          <w:szCs w:val="24"/>
        </w:rPr>
      </w:pPr>
      <w:r>
        <w:rPr>
          <w:rFonts w:ascii="Times New Roman" w:hAnsi="Times New Roman" w:eastAsia="Times New Roman" w:cs="Times New Roman"/>
          <w:b/>
          <w:bCs/>
          <w:spacing w:val="-3"/>
          <w:sz w:val="24"/>
          <w:szCs w:val="24"/>
        </w:rPr>
        <w:t xml:space="preserve">1.2.3 </w:t>
      </w:r>
      <w:r>
        <w:rPr>
          <w:rFonts w:ascii="宋体" w:hAnsi="宋体" w:eastAsia="宋体" w:cs="宋体"/>
          <w:b/>
          <w:bCs/>
          <w:spacing w:val="-3"/>
          <w:sz w:val="24"/>
          <w:szCs w:val="24"/>
        </w:rPr>
        <w:t>相关技术资料</w:t>
      </w:r>
    </w:p>
    <w:p w14:paraId="48B987AF">
      <w:pPr>
        <w:spacing w:before="165" w:line="360" w:lineRule="auto"/>
        <w:ind w:left="1" w:firstLine="485"/>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）《渝昆高铁迤车牵</w:t>
      </w:r>
      <w:r>
        <w:rPr>
          <w:rFonts w:ascii="宋体" w:hAnsi="宋体" w:eastAsia="宋体" w:cs="宋体"/>
          <w:spacing w:val="-43"/>
          <w:sz w:val="24"/>
          <w:szCs w:val="24"/>
        </w:rPr>
        <w:t xml:space="preserve"> </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23"/>
          <w:w w:val="101"/>
          <w:sz w:val="24"/>
          <w:szCs w:val="24"/>
        </w:rPr>
        <w:t xml:space="preserve"> </w:t>
      </w:r>
      <w:r>
        <w:rPr>
          <w:rFonts w:ascii="宋体" w:hAnsi="宋体" w:eastAsia="宋体" w:cs="宋体"/>
          <w:spacing w:val="-1"/>
          <w:sz w:val="24"/>
          <w:szCs w:val="24"/>
        </w:rPr>
        <w:t>外部供电工程初步设计总说明书》中国电建集团贵州电力设计研究院有限公司，</w:t>
      </w:r>
      <w:r>
        <w:rPr>
          <w:rFonts w:ascii="Times New Roman" w:hAnsi="Times New Roman" w:eastAsia="Times New Roman" w:cs="Times New Roman"/>
          <w:spacing w:val="-1"/>
          <w:sz w:val="24"/>
          <w:szCs w:val="24"/>
        </w:rPr>
        <w:t>2025.2</w:t>
      </w:r>
      <w:r>
        <w:rPr>
          <w:rFonts w:ascii="宋体" w:hAnsi="宋体" w:eastAsia="宋体" w:cs="宋体"/>
          <w:spacing w:val="-1"/>
          <w:sz w:val="24"/>
          <w:szCs w:val="24"/>
        </w:rPr>
        <w:t>；</w:t>
      </w:r>
    </w:p>
    <w:p w14:paraId="0F9F31E1">
      <w:pPr>
        <w:spacing w:before="2" w:line="360" w:lineRule="auto"/>
        <w:ind w:firstLine="487"/>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）曲靖市发展和改革委员会《关于渝昆高铁迤车牵</w:t>
      </w:r>
      <w:r>
        <w:rPr>
          <w:rFonts w:ascii="宋体" w:hAnsi="宋体" w:eastAsia="宋体" w:cs="宋体"/>
          <w:spacing w:val="-43"/>
          <w:sz w:val="24"/>
          <w:szCs w:val="24"/>
        </w:rPr>
        <w:t xml:space="preserve"> </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24"/>
          <w:sz w:val="24"/>
          <w:szCs w:val="24"/>
        </w:rPr>
        <w:t xml:space="preserve"> </w:t>
      </w:r>
      <w:r>
        <w:rPr>
          <w:rFonts w:ascii="宋体" w:hAnsi="宋体" w:eastAsia="宋体" w:cs="宋体"/>
          <w:spacing w:val="-1"/>
          <w:sz w:val="24"/>
          <w:szCs w:val="24"/>
        </w:rPr>
        <w:t>外部供电工程核准的</w:t>
      </w:r>
      <w:r>
        <w:rPr>
          <w:rFonts w:ascii="宋体" w:hAnsi="宋体" w:eastAsia="宋体" w:cs="宋体"/>
          <w:spacing w:val="-3"/>
          <w:sz w:val="24"/>
          <w:szCs w:val="24"/>
        </w:rPr>
        <w:t>批复》（曲发改基础〔</w:t>
      </w:r>
      <w:r>
        <w:rPr>
          <w:rFonts w:ascii="Times New Roman" w:hAnsi="Times New Roman" w:eastAsia="Times New Roman" w:cs="Times New Roman"/>
          <w:spacing w:val="-3"/>
          <w:sz w:val="24"/>
          <w:szCs w:val="24"/>
        </w:rPr>
        <w:t>2025</w:t>
      </w:r>
      <w:r>
        <w:rPr>
          <w:rFonts w:ascii="宋体" w:hAnsi="宋体" w:eastAsia="宋体" w:cs="宋体"/>
          <w:spacing w:val="-3"/>
          <w:sz w:val="24"/>
          <w:szCs w:val="24"/>
        </w:rPr>
        <w:t>〕</w:t>
      </w:r>
      <w:r>
        <w:rPr>
          <w:rFonts w:ascii="Times New Roman" w:hAnsi="Times New Roman" w:eastAsia="Times New Roman" w:cs="Times New Roman"/>
          <w:spacing w:val="-3"/>
          <w:sz w:val="24"/>
          <w:szCs w:val="24"/>
        </w:rPr>
        <w:t>23</w:t>
      </w:r>
      <w:r>
        <w:rPr>
          <w:rFonts w:ascii="Times New Roman" w:hAnsi="Times New Roman" w:eastAsia="Times New Roman" w:cs="Times New Roman"/>
          <w:spacing w:val="32"/>
          <w:w w:val="101"/>
          <w:sz w:val="24"/>
          <w:szCs w:val="24"/>
        </w:rPr>
        <w:t xml:space="preserve"> </w:t>
      </w:r>
      <w:r>
        <w:rPr>
          <w:rFonts w:ascii="宋体" w:hAnsi="宋体" w:eastAsia="宋体" w:cs="宋体"/>
          <w:spacing w:val="-3"/>
          <w:sz w:val="24"/>
          <w:szCs w:val="24"/>
        </w:rPr>
        <w:t>号）。</w:t>
      </w:r>
    </w:p>
    <w:p w14:paraId="57BC0DFE">
      <w:pPr>
        <w:spacing w:before="55" w:line="232" w:lineRule="auto"/>
        <w:ind w:left="10"/>
        <w:rPr>
          <w:rFonts w:ascii="宋体" w:hAnsi="宋体" w:eastAsia="宋体" w:cs="宋体"/>
          <w:sz w:val="28"/>
          <w:szCs w:val="28"/>
        </w:rPr>
      </w:pPr>
      <w:bookmarkStart w:id="12" w:name="bookmark19"/>
      <w:bookmarkEnd w:id="12"/>
      <w:r>
        <w:rPr>
          <w:rFonts w:ascii="Times New Roman" w:hAnsi="Times New Roman" w:eastAsia="Times New Roman" w:cs="Times New Roman"/>
          <w:b/>
          <w:bCs/>
          <w:spacing w:val="-3"/>
          <w:sz w:val="28"/>
          <w:szCs w:val="28"/>
        </w:rPr>
        <w:t xml:space="preserve">1.2 </w:t>
      </w:r>
      <w:r>
        <w:rPr>
          <w:rFonts w:ascii="宋体" w:hAnsi="宋体" w:eastAsia="宋体" w:cs="宋体"/>
          <w:b/>
          <w:bCs/>
          <w:spacing w:val="-3"/>
          <w:sz w:val="28"/>
          <w:szCs w:val="28"/>
        </w:rPr>
        <w:t>评价因子、等级、范围</w:t>
      </w:r>
    </w:p>
    <w:p w14:paraId="6EE09D38">
      <w:pPr>
        <w:spacing w:before="216" w:line="232" w:lineRule="auto"/>
        <w:ind w:left="487"/>
        <w:rPr>
          <w:rFonts w:ascii="宋体" w:hAnsi="宋体" w:eastAsia="宋体" w:cs="宋体"/>
          <w:sz w:val="24"/>
          <w:szCs w:val="24"/>
        </w:rPr>
      </w:pPr>
      <w:r>
        <w:rPr>
          <w:rFonts w:ascii="宋体" w:hAnsi="宋体" w:eastAsia="宋体" w:cs="宋体"/>
          <w:b/>
          <w:bCs/>
          <w:spacing w:val="-6"/>
          <w:sz w:val="24"/>
          <w:szCs w:val="24"/>
        </w:rPr>
        <w:t>（</w:t>
      </w:r>
      <w:r>
        <w:rPr>
          <w:rFonts w:ascii="Times New Roman" w:hAnsi="Times New Roman" w:eastAsia="Times New Roman" w:cs="Times New Roman"/>
          <w:b/>
          <w:bCs/>
          <w:spacing w:val="-6"/>
          <w:sz w:val="24"/>
          <w:szCs w:val="24"/>
        </w:rPr>
        <w:t>1</w:t>
      </w:r>
      <w:r>
        <w:rPr>
          <w:rFonts w:ascii="宋体" w:hAnsi="宋体" w:eastAsia="宋体" w:cs="宋体"/>
          <w:b/>
          <w:bCs/>
          <w:spacing w:val="-6"/>
          <w:sz w:val="24"/>
          <w:szCs w:val="24"/>
        </w:rPr>
        <w:t>）评价因子</w:t>
      </w:r>
    </w:p>
    <w:p w14:paraId="36375E5E">
      <w:pPr>
        <w:spacing w:before="166" w:line="351" w:lineRule="auto"/>
        <w:ind w:left="1" w:right="15" w:firstLine="479"/>
        <w:rPr>
          <w:rFonts w:ascii="宋体" w:hAnsi="宋体" w:eastAsia="宋体" w:cs="宋体"/>
          <w:sz w:val="24"/>
          <w:szCs w:val="24"/>
        </w:rPr>
      </w:pPr>
      <w:r>
        <w:rPr>
          <w:rFonts w:ascii="宋体" w:hAnsi="宋体" w:eastAsia="宋体" w:cs="宋体"/>
          <w:spacing w:val="-5"/>
          <w:sz w:val="24"/>
          <w:szCs w:val="24"/>
        </w:rPr>
        <w:t>根据《环境影响评价技术导则</w:t>
      </w:r>
      <w:r>
        <w:rPr>
          <w:rFonts w:ascii="宋体" w:hAnsi="宋体" w:eastAsia="宋体" w:cs="宋体"/>
          <w:spacing w:val="32"/>
          <w:sz w:val="24"/>
          <w:szCs w:val="24"/>
        </w:rPr>
        <w:t xml:space="preserve"> </w:t>
      </w:r>
      <w:r>
        <w:rPr>
          <w:rFonts w:ascii="宋体" w:hAnsi="宋体" w:eastAsia="宋体" w:cs="宋体"/>
          <w:spacing w:val="-5"/>
          <w:sz w:val="24"/>
          <w:szCs w:val="24"/>
        </w:rPr>
        <w:t>输变电》（</w:t>
      </w:r>
      <w:r>
        <w:rPr>
          <w:rFonts w:ascii="Times New Roman" w:hAnsi="Times New Roman" w:eastAsia="Times New Roman" w:cs="Times New Roman"/>
          <w:spacing w:val="-5"/>
          <w:sz w:val="24"/>
          <w:szCs w:val="24"/>
        </w:rPr>
        <w:t>HJ24-2020</w:t>
      </w:r>
      <w:r>
        <w:rPr>
          <w:rFonts w:ascii="宋体" w:hAnsi="宋体" w:eastAsia="宋体" w:cs="宋体"/>
          <w:spacing w:val="-62"/>
          <w:sz w:val="24"/>
          <w:szCs w:val="24"/>
        </w:rPr>
        <w:t>），</w:t>
      </w:r>
      <w:r>
        <w:rPr>
          <w:rFonts w:ascii="宋体" w:hAnsi="宋体" w:eastAsia="宋体" w:cs="宋体"/>
          <w:spacing w:val="-6"/>
          <w:sz w:val="24"/>
          <w:szCs w:val="24"/>
        </w:rPr>
        <w:t>确定本项目电磁环境主要环</w:t>
      </w:r>
      <w:r>
        <w:rPr>
          <w:rFonts w:ascii="宋体" w:hAnsi="宋体" w:eastAsia="宋体" w:cs="宋体"/>
          <w:spacing w:val="-3"/>
          <w:sz w:val="24"/>
          <w:szCs w:val="24"/>
        </w:rPr>
        <w:t>境影响评价因子为工频电场、工频磁场。</w:t>
      </w:r>
    </w:p>
    <w:p w14:paraId="35402190">
      <w:pPr>
        <w:spacing w:before="23" w:line="232" w:lineRule="auto"/>
        <w:ind w:left="487"/>
        <w:rPr>
          <w:rFonts w:ascii="宋体" w:hAnsi="宋体" w:eastAsia="宋体" w:cs="宋体"/>
          <w:sz w:val="24"/>
          <w:szCs w:val="24"/>
        </w:rPr>
      </w:pPr>
      <w:r>
        <w:rPr>
          <w:rFonts w:ascii="宋体" w:hAnsi="宋体" w:eastAsia="宋体" w:cs="宋体"/>
          <w:b/>
          <w:bCs/>
          <w:spacing w:val="-6"/>
          <w:sz w:val="24"/>
          <w:szCs w:val="24"/>
        </w:rPr>
        <w:t>（</w:t>
      </w:r>
      <w:r>
        <w:rPr>
          <w:rFonts w:ascii="Times New Roman" w:hAnsi="Times New Roman" w:eastAsia="Times New Roman" w:cs="Times New Roman"/>
          <w:b/>
          <w:bCs/>
          <w:spacing w:val="-6"/>
          <w:sz w:val="24"/>
          <w:szCs w:val="24"/>
        </w:rPr>
        <w:t>2</w:t>
      </w:r>
      <w:r>
        <w:rPr>
          <w:rFonts w:ascii="宋体" w:hAnsi="宋体" w:eastAsia="宋体" w:cs="宋体"/>
          <w:b/>
          <w:bCs/>
          <w:spacing w:val="-6"/>
          <w:sz w:val="24"/>
          <w:szCs w:val="24"/>
        </w:rPr>
        <w:t>）评价等级</w:t>
      </w:r>
    </w:p>
    <w:p w14:paraId="7ADB6377">
      <w:pPr>
        <w:spacing w:line="232" w:lineRule="auto"/>
        <w:rPr>
          <w:rFonts w:ascii="宋体" w:hAnsi="宋体" w:eastAsia="宋体" w:cs="宋体"/>
          <w:sz w:val="24"/>
          <w:szCs w:val="24"/>
        </w:rPr>
        <w:sectPr>
          <w:footerReference r:id="rId92" w:type="default"/>
          <w:pgSz w:w="11907" w:h="16841"/>
          <w:pgMar w:top="400" w:right="1414" w:bottom="1126" w:left="1427" w:header="0" w:footer="925" w:gutter="0"/>
          <w:cols w:space="720" w:num="1"/>
        </w:sectPr>
      </w:pPr>
    </w:p>
    <w:p w14:paraId="7499FE07">
      <w:pPr>
        <w:spacing w:line="249" w:lineRule="auto"/>
        <w:rPr>
          <w:rFonts w:ascii="Arial"/>
          <w:sz w:val="21"/>
        </w:rPr>
      </w:pPr>
    </w:p>
    <w:p w14:paraId="3E2A7BA0">
      <w:pPr>
        <w:spacing w:line="249" w:lineRule="auto"/>
        <w:rPr>
          <w:rFonts w:ascii="Arial"/>
          <w:sz w:val="21"/>
        </w:rPr>
      </w:pPr>
    </w:p>
    <w:p w14:paraId="12D64620">
      <w:pPr>
        <w:spacing w:line="249" w:lineRule="auto"/>
        <w:rPr>
          <w:rFonts w:ascii="Arial"/>
          <w:sz w:val="21"/>
        </w:rPr>
      </w:pPr>
    </w:p>
    <w:p w14:paraId="39DBAF53">
      <w:pPr>
        <w:spacing w:line="249" w:lineRule="auto"/>
        <w:rPr>
          <w:rFonts w:ascii="Arial"/>
          <w:sz w:val="21"/>
        </w:rPr>
      </w:pPr>
    </w:p>
    <w:p w14:paraId="1B41D98B">
      <w:pPr>
        <w:spacing w:line="250" w:lineRule="auto"/>
        <w:rPr>
          <w:rFonts w:ascii="Arial"/>
          <w:sz w:val="21"/>
        </w:rPr>
      </w:pPr>
    </w:p>
    <w:p w14:paraId="1E302DB8">
      <w:pPr>
        <w:spacing w:before="78" w:line="335" w:lineRule="auto"/>
        <w:ind w:left="15" w:right="104" w:firstLine="477"/>
        <w:rPr>
          <w:rFonts w:ascii="宋体" w:hAnsi="宋体" w:eastAsia="宋体" w:cs="宋体"/>
          <w:sz w:val="24"/>
          <w:szCs w:val="24"/>
        </w:rPr>
      </w:pPr>
      <w:r>
        <w:rPr>
          <w:rFonts w:ascii="宋体" w:hAnsi="宋体" w:eastAsia="宋体" w:cs="宋体"/>
          <w:spacing w:val="-8"/>
          <w:sz w:val="24"/>
          <w:szCs w:val="24"/>
        </w:rPr>
        <w:t>本项目为输变电工程，根据《环境影响评价技术导则</w:t>
      </w:r>
      <w:r>
        <w:rPr>
          <w:rFonts w:ascii="宋体" w:hAnsi="宋体" w:eastAsia="宋体" w:cs="宋体"/>
          <w:spacing w:val="31"/>
          <w:sz w:val="24"/>
          <w:szCs w:val="24"/>
        </w:rPr>
        <w:t xml:space="preserve"> </w:t>
      </w:r>
      <w:r>
        <w:rPr>
          <w:rFonts w:ascii="宋体" w:hAnsi="宋体" w:eastAsia="宋体" w:cs="宋体"/>
          <w:spacing w:val="-8"/>
          <w:sz w:val="24"/>
          <w:szCs w:val="24"/>
        </w:rPr>
        <w:t>输变电》（</w:t>
      </w:r>
      <w:r>
        <w:rPr>
          <w:rFonts w:ascii="Times New Roman" w:hAnsi="Times New Roman" w:eastAsia="Times New Roman" w:cs="Times New Roman"/>
          <w:spacing w:val="-8"/>
          <w:sz w:val="24"/>
          <w:szCs w:val="24"/>
        </w:rPr>
        <w:t>HJ24-</w:t>
      </w:r>
      <w:r>
        <w:rPr>
          <w:rFonts w:ascii="Times New Roman" w:hAnsi="Times New Roman" w:eastAsia="Times New Roman" w:cs="Times New Roman"/>
          <w:spacing w:val="-9"/>
          <w:sz w:val="24"/>
          <w:szCs w:val="24"/>
        </w:rPr>
        <w:t>2020</w:t>
      </w:r>
      <w:r>
        <w:rPr>
          <w:rFonts w:ascii="宋体" w:hAnsi="宋体" w:eastAsia="宋体" w:cs="宋体"/>
          <w:spacing w:val="-9"/>
          <w:sz w:val="24"/>
          <w:szCs w:val="24"/>
        </w:rPr>
        <w:t>）中的相</w:t>
      </w:r>
      <w:r>
        <w:rPr>
          <w:rFonts w:ascii="宋体" w:hAnsi="宋体" w:eastAsia="宋体" w:cs="宋体"/>
          <w:spacing w:val="-3"/>
          <w:sz w:val="24"/>
          <w:szCs w:val="24"/>
        </w:rPr>
        <w:t>关规定，本项目电磁环境评价等级判定见下表。</w:t>
      </w:r>
    </w:p>
    <w:p w14:paraId="1A037304">
      <w:pPr>
        <w:spacing w:line="229" w:lineRule="auto"/>
        <w:ind w:left="3007"/>
        <w:rPr>
          <w:rFonts w:ascii="宋体" w:hAnsi="宋体" w:eastAsia="宋体" w:cs="宋体"/>
          <w:sz w:val="21"/>
          <w:szCs w:val="21"/>
        </w:rPr>
      </w:pPr>
      <w:r>
        <w:rPr>
          <w:rFonts w:ascii="宋体" w:hAnsi="宋体" w:eastAsia="宋体" w:cs="宋体"/>
          <w:b/>
          <w:bCs/>
          <w:spacing w:val="-5"/>
          <w:sz w:val="21"/>
          <w:szCs w:val="21"/>
        </w:rPr>
        <w:t>表</w:t>
      </w:r>
      <w:r>
        <w:rPr>
          <w:rFonts w:ascii="宋体" w:hAnsi="宋体" w:eastAsia="宋体" w:cs="宋体"/>
          <w:spacing w:val="-33"/>
          <w:sz w:val="21"/>
          <w:szCs w:val="21"/>
        </w:rPr>
        <w:t xml:space="preserve"> </w:t>
      </w:r>
      <w:r>
        <w:rPr>
          <w:rFonts w:ascii="Times New Roman" w:hAnsi="Times New Roman" w:eastAsia="Times New Roman" w:cs="Times New Roman"/>
          <w:b/>
          <w:bCs/>
          <w:spacing w:val="-5"/>
          <w:sz w:val="21"/>
          <w:szCs w:val="21"/>
        </w:rPr>
        <w:t>1-1</w:t>
      </w:r>
      <w:r>
        <w:rPr>
          <w:rFonts w:ascii="Times New Roman" w:hAnsi="Times New Roman" w:eastAsia="Times New Roman" w:cs="Times New Roman"/>
          <w:b/>
          <w:bCs/>
          <w:spacing w:val="8"/>
          <w:sz w:val="21"/>
          <w:szCs w:val="21"/>
        </w:rPr>
        <w:t xml:space="preserve">    </w:t>
      </w:r>
      <w:r>
        <w:rPr>
          <w:rFonts w:ascii="宋体" w:hAnsi="宋体" w:eastAsia="宋体" w:cs="宋体"/>
          <w:b/>
          <w:bCs/>
          <w:spacing w:val="-5"/>
          <w:sz w:val="21"/>
          <w:szCs w:val="21"/>
        </w:rPr>
        <w:t>电磁环境评价等级判定表</w:t>
      </w: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3"/>
        <w:gridCol w:w="1077"/>
        <w:gridCol w:w="1216"/>
        <w:gridCol w:w="4232"/>
        <w:gridCol w:w="1845"/>
      </w:tblGrid>
      <w:tr w14:paraId="54BEB7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703" w:type="dxa"/>
            <w:vAlign w:val="top"/>
          </w:tcPr>
          <w:p w14:paraId="7C6D340E">
            <w:pPr>
              <w:pStyle w:val="6"/>
              <w:spacing w:before="55" w:line="221" w:lineRule="auto"/>
              <w:ind w:left="147"/>
            </w:pPr>
            <w:r>
              <w:rPr>
                <w:b/>
                <w:bCs/>
                <w:spacing w:val="-5"/>
              </w:rPr>
              <w:t>分类</w:t>
            </w:r>
          </w:p>
        </w:tc>
        <w:tc>
          <w:tcPr>
            <w:tcW w:w="1077" w:type="dxa"/>
            <w:vAlign w:val="top"/>
          </w:tcPr>
          <w:p w14:paraId="2DFD4256">
            <w:pPr>
              <w:pStyle w:val="6"/>
              <w:spacing w:before="55" w:line="221" w:lineRule="auto"/>
              <w:ind w:left="143"/>
            </w:pPr>
            <w:r>
              <w:rPr>
                <w:b/>
                <w:bCs/>
                <w:spacing w:val="-8"/>
              </w:rPr>
              <w:t>电压等级</w:t>
            </w:r>
          </w:p>
        </w:tc>
        <w:tc>
          <w:tcPr>
            <w:tcW w:w="1216" w:type="dxa"/>
            <w:vAlign w:val="top"/>
          </w:tcPr>
          <w:p w14:paraId="1F9F6AD4">
            <w:pPr>
              <w:pStyle w:val="6"/>
              <w:spacing w:before="56" w:line="221" w:lineRule="auto"/>
              <w:ind w:left="403"/>
            </w:pPr>
            <w:r>
              <w:rPr>
                <w:b/>
                <w:bCs/>
                <w:spacing w:val="-5"/>
              </w:rPr>
              <w:t>工程</w:t>
            </w:r>
          </w:p>
        </w:tc>
        <w:tc>
          <w:tcPr>
            <w:tcW w:w="4232" w:type="dxa"/>
            <w:vAlign w:val="top"/>
          </w:tcPr>
          <w:p w14:paraId="09210D28">
            <w:pPr>
              <w:pStyle w:val="6"/>
              <w:spacing w:before="55" w:line="221" w:lineRule="auto"/>
              <w:ind w:left="1910"/>
            </w:pPr>
            <w:r>
              <w:rPr>
                <w:b/>
                <w:bCs/>
                <w:spacing w:val="-5"/>
              </w:rPr>
              <w:t>条件</w:t>
            </w:r>
          </w:p>
        </w:tc>
        <w:tc>
          <w:tcPr>
            <w:tcW w:w="1845" w:type="dxa"/>
            <w:vAlign w:val="top"/>
          </w:tcPr>
          <w:p w14:paraId="1A47C00D">
            <w:pPr>
              <w:pStyle w:val="6"/>
              <w:spacing w:before="56" w:line="219" w:lineRule="auto"/>
              <w:ind w:left="292"/>
            </w:pPr>
            <w:r>
              <w:rPr>
                <w:b/>
                <w:bCs/>
                <w:spacing w:val="-3"/>
              </w:rPr>
              <w:t>评价工作等级</w:t>
            </w:r>
          </w:p>
        </w:tc>
      </w:tr>
      <w:tr w14:paraId="72F7CC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03" w:type="dxa"/>
            <w:vMerge w:val="restart"/>
            <w:tcBorders>
              <w:bottom w:val="nil"/>
            </w:tcBorders>
            <w:vAlign w:val="top"/>
          </w:tcPr>
          <w:p w14:paraId="71D8B30C">
            <w:pPr>
              <w:spacing w:line="305" w:lineRule="auto"/>
              <w:rPr>
                <w:rFonts w:ascii="Arial"/>
                <w:sz w:val="21"/>
              </w:rPr>
            </w:pPr>
          </w:p>
          <w:p w14:paraId="280CC0D2">
            <w:pPr>
              <w:spacing w:line="306" w:lineRule="auto"/>
              <w:rPr>
                <w:rFonts w:ascii="Arial"/>
                <w:sz w:val="21"/>
              </w:rPr>
            </w:pPr>
          </w:p>
          <w:p w14:paraId="16B581F9">
            <w:pPr>
              <w:pStyle w:val="6"/>
              <w:spacing w:before="69" w:line="222" w:lineRule="auto"/>
              <w:ind w:left="149"/>
            </w:pPr>
            <w:r>
              <w:rPr>
                <w:spacing w:val="-3"/>
              </w:rPr>
              <w:t>交流</w:t>
            </w:r>
          </w:p>
        </w:tc>
        <w:tc>
          <w:tcPr>
            <w:tcW w:w="1077" w:type="dxa"/>
            <w:vMerge w:val="restart"/>
            <w:tcBorders>
              <w:bottom w:val="nil"/>
            </w:tcBorders>
            <w:vAlign w:val="top"/>
          </w:tcPr>
          <w:p w14:paraId="7380CB34">
            <w:pPr>
              <w:spacing w:line="327" w:lineRule="auto"/>
              <w:rPr>
                <w:rFonts w:ascii="Arial"/>
                <w:sz w:val="21"/>
              </w:rPr>
            </w:pPr>
          </w:p>
          <w:p w14:paraId="3891FEDC">
            <w:pPr>
              <w:spacing w:line="327" w:lineRule="auto"/>
              <w:rPr>
                <w:rFonts w:ascii="Arial"/>
                <w:sz w:val="21"/>
              </w:rPr>
            </w:pPr>
          </w:p>
          <w:p w14:paraId="454FCF26">
            <w:pPr>
              <w:spacing w:before="60" w:line="233" w:lineRule="auto"/>
              <w:ind w:left="25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220kV</w:t>
            </w:r>
          </w:p>
        </w:tc>
        <w:tc>
          <w:tcPr>
            <w:tcW w:w="1216" w:type="dxa"/>
            <w:vMerge w:val="restart"/>
            <w:tcBorders>
              <w:bottom w:val="nil"/>
            </w:tcBorders>
            <w:vAlign w:val="top"/>
          </w:tcPr>
          <w:p w14:paraId="3BDF45E3">
            <w:pPr>
              <w:spacing w:line="305" w:lineRule="auto"/>
              <w:rPr>
                <w:rFonts w:ascii="Arial"/>
                <w:sz w:val="21"/>
              </w:rPr>
            </w:pPr>
          </w:p>
          <w:p w14:paraId="0C8EDE1C">
            <w:pPr>
              <w:spacing w:line="306" w:lineRule="auto"/>
              <w:rPr>
                <w:rFonts w:ascii="Arial"/>
                <w:sz w:val="21"/>
              </w:rPr>
            </w:pPr>
          </w:p>
          <w:p w14:paraId="704F12B8">
            <w:pPr>
              <w:pStyle w:val="6"/>
              <w:spacing w:before="68" w:line="221" w:lineRule="auto"/>
              <w:ind w:left="190"/>
            </w:pPr>
            <w:r>
              <w:rPr>
                <w:spacing w:val="-1"/>
              </w:rPr>
              <w:t>输电线路</w:t>
            </w:r>
          </w:p>
        </w:tc>
        <w:tc>
          <w:tcPr>
            <w:tcW w:w="4232" w:type="dxa"/>
            <w:vAlign w:val="top"/>
          </w:tcPr>
          <w:p w14:paraId="0D9AFB0A">
            <w:pPr>
              <w:pStyle w:val="6"/>
              <w:spacing w:before="55" w:line="234" w:lineRule="auto"/>
              <w:ind w:left="127"/>
            </w:pPr>
            <w:r>
              <w:rPr>
                <w:rFonts w:ascii="Times New Roman" w:hAnsi="Times New Roman" w:eastAsia="Times New Roman" w:cs="Times New Roman"/>
                <w:spacing w:val="-4"/>
              </w:rPr>
              <w:t>1</w:t>
            </w:r>
            <w:r>
              <w:rPr>
                <w:spacing w:val="-4"/>
              </w:rPr>
              <w:t>、地下电缆</w:t>
            </w:r>
          </w:p>
          <w:p w14:paraId="1F863904">
            <w:pPr>
              <w:pStyle w:val="6"/>
              <w:spacing w:before="46" w:line="247" w:lineRule="auto"/>
              <w:ind w:left="135" w:right="178" w:hanging="28"/>
            </w:pPr>
            <w:r>
              <w:rPr>
                <w:rFonts w:ascii="Times New Roman" w:hAnsi="Times New Roman" w:eastAsia="Times New Roman" w:cs="Times New Roman"/>
                <w:spacing w:val="-2"/>
              </w:rPr>
              <w:t>2</w:t>
            </w:r>
            <w:r>
              <w:rPr>
                <w:spacing w:val="-2"/>
              </w:rPr>
              <w:t>、边导线地面投影外两侧各</w:t>
            </w:r>
            <w:r>
              <w:rPr>
                <w:spacing w:val="-14"/>
              </w:rPr>
              <w:t xml:space="preserve"> </w:t>
            </w:r>
            <w:r>
              <w:rPr>
                <w:rFonts w:ascii="Times New Roman" w:hAnsi="Times New Roman" w:eastAsia="Times New Roman" w:cs="Times New Roman"/>
                <w:spacing w:val="-2"/>
              </w:rPr>
              <w:t xml:space="preserve">15m </w:t>
            </w:r>
            <w:r>
              <w:rPr>
                <w:spacing w:val="-2"/>
              </w:rPr>
              <w:t>范围内无</w:t>
            </w:r>
            <w:r>
              <w:rPr>
                <w:spacing w:val="-3"/>
              </w:rPr>
              <w:t>电磁环境敏感目标的架空线</w:t>
            </w:r>
          </w:p>
        </w:tc>
        <w:tc>
          <w:tcPr>
            <w:tcW w:w="1845" w:type="dxa"/>
            <w:vAlign w:val="top"/>
          </w:tcPr>
          <w:p w14:paraId="0A23DB61">
            <w:pPr>
              <w:spacing w:line="296" w:lineRule="auto"/>
              <w:rPr>
                <w:rFonts w:ascii="Arial"/>
                <w:sz w:val="21"/>
              </w:rPr>
            </w:pPr>
          </w:p>
          <w:p w14:paraId="58516C5B">
            <w:pPr>
              <w:pStyle w:val="6"/>
              <w:spacing w:before="68" w:line="223" w:lineRule="auto"/>
              <w:ind w:left="715"/>
            </w:pPr>
            <w:r>
              <w:rPr>
                <w:spacing w:val="-2"/>
              </w:rPr>
              <w:t>三级</w:t>
            </w:r>
          </w:p>
        </w:tc>
      </w:tr>
      <w:tr w14:paraId="0FBAD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703" w:type="dxa"/>
            <w:vMerge w:val="continue"/>
            <w:tcBorders>
              <w:top w:val="nil"/>
            </w:tcBorders>
            <w:vAlign w:val="top"/>
          </w:tcPr>
          <w:p w14:paraId="0AD8CB61">
            <w:pPr>
              <w:rPr>
                <w:rFonts w:ascii="Arial"/>
                <w:sz w:val="21"/>
              </w:rPr>
            </w:pPr>
          </w:p>
        </w:tc>
        <w:tc>
          <w:tcPr>
            <w:tcW w:w="1077" w:type="dxa"/>
            <w:vMerge w:val="continue"/>
            <w:tcBorders>
              <w:top w:val="nil"/>
            </w:tcBorders>
            <w:vAlign w:val="top"/>
          </w:tcPr>
          <w:p w14:paraId="7DB214C5">
            <w:pPr>
              <w:rPr>
                <w:rFonts w:ascii="Arial"/>
                <w:sz w:val="21"/>
              </w:rPr>
            </w:pPr>
          </w:p>
        </w:tc>
        <w:tc>
          <w:tcPr>
            <w:tcW w:w="1216" w:type="dxa"/>
            <w:vMerge w:val="continue"/>
            <w:tcBorders>
              <w:top w:val="nil"/>
            </w:tcBorders>
            <w:vAlign w:val="top"/>
          </w:tcPr>
          <w:p w14:paraId="2CC7CDCB">
            <w:pPr>
              <w:rPr>
                <w:rFonts w:ascii="Arial"/>
                <w:sz w:val="21"/>
              </w:rPr>
            </w:pPr>
          </w:p>
        </w:tc>
        <w:tc>
          <w:tcPr>
            <w:tcW w:w="4232" w:type="dxa"/>
            <w:vAlign w:val="top"/>
          </w:tcPr>
          <w:p w14:paraId="067EDF79">
            <w:pPr>
              <w:pStyle w:val="6"/>
              <w:spacing w:before="55" w:line="249" w:lineRule="auto"/>
              <w:ind w:left="110" w:right="259"/>
            </w:pPr>
            <w:r>
              <w:rPr>
                <w:b/>
                <w:bCs/>
                <w:spacing w:val="-3"/>
              </w:rPr>
              <w:t>边导线地面投影外两侧各</w:t>
            </w:r>
            <w:r>
              <w:rPr>
                <w:spacing w:val="-22"/>
              </w:rPr>
              <w:t xml:space="preserve"> </w:t>
            </w:r>
            <w:r>
              <w:rPr>
                <w:rFonts w:ascii="Times New Roman" w:hAnsi="Times New Roman" w:eastAsia="Times New Roman" w:cs="Times New Roman"/>
                <w:b/>
                <w:bCs/>
                <w:spacing w:val="-3"/>
              </w:rPr>
              <w:t xml:space="preserve">15m </w:t>
            </w:r>
            <w:r>
              <w:rPr>
                <w:b/>
                <w:bCs/>
                <w:spacing w:val="-3"/>
              </w:rPr>
              <w:t>范围内有电</w:t>
            </w:r>
            <w:r>
              <w:rPr>
                <w:b/>
                <w:bCs/>
                <w:spacing w:val="-2"/>
              </w:rPr>
              <w:t>磁环境敏感目标的架空线</w:t>
            </w:r>
          </w:p>
        </w:tc>
        <w:tc>
          <w:tcPr>
            <w:tcW w:w="1845" w:type="dxa"/>
            <w:vAlign w:val="top"/>
          </w:tcPr>
          <w:p w14:paraId="062A0717">
            <w:pPr>
              <w:pStyle w:val="6"/>
              <w:spacing w:before="211" w:line="223" w:lineRule="auto"/>
              <w:ind w:left="719"/>
            </w:pPr>
            <w:r>
              <w:rPr>
                <w:b/>
                <w:bCs/>
                <w:spacing w:val="-5"/>
              </w:rPr>
              <w:t>二级</w:t>
            </w:r>
          </w:p>
        </w:tc>
      </w:tr>
    </w:tbl>
    <w:p w14:paraId="36B881FD">
      <w:pPr>
        <w:spacing w:before="116" w:line="360" w:lineRule="auto"/>
        <w:ind w:left="57" w:right="85" w:firstLine="435"/>
        <w:rPr>
          <w:rFonts w:ascii="宋体" w:hAnsi="宋体" w:eastAsia="宋体" w:cs="宋体"/>
          <w:sz w:val="24"/>
          <w:szCs w:val="24"/>
        </w:rPr>
      </w:pPr>
      <w:r>
        <w:rPr>
          <w:rFonts w:ascii="宋体" w:hAnsi="宋体" w:eastAsia="宋体" w:cs="宋体"/>
          <w:spacing w:val="-2"/>
          <w:sz w:val="24"/>
          <w:szCs w:val="24"/>
        </w:rPr>
        <w:t>本项目</w:t>
      </w:r>
      <w:r>
        <w:rPr>
          <w:rFonts w:ascii="宋体" w:hAnsi="宋体" w:eastAsia="宋体" w:cs="宋体"/>
          <w:spacing w:val="-38"/>
          <w:sz w:val="24"/>
          <w:szCs w:val="24"/>
        </w:rPr>
        <w:t xml:space="preserve">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25"/>
          <w:sz w:val="24"/>
          <w:szCs w:val="24"/>
        </w:rPr>
        <w:t xml:space="preserve"> </w:t>
      </w:r>
      <w:r>
        <w:rPr>
          <w:rFonts w:ascii="宋体" w:hAnsi="宋体" w:eastAsia="宋体" w:cs="宋体"/>
          <w:spacing w:val="-2"/>
          <w:sz w:val="24"/>
          <w:szCs w:val="24"/>
        </w:rPr>
        <w:t xml:space="preserve">输电线路边导线地面投影外两侧各 </w:t>
      </w:r>
      <w:r>
        <w:rPr>
          <w:rFonts w:ascii="Times New Roman" w:hAnsi="Times New Roman" w:eastAsia="Times New Roman" w:cs="Times New Roman"/>
          <w:spacing w:val="-2"/>
          <w:sz w:val="24"/>
          <w:szCs w:val="24"/>
        </w:rPr>
        <w:t>15m</w:t>
      </w:r>
      <w:r>
        <w:rPr>
          <w:rFonts w:ascii="Times New Roman" w:hAnsi="Times New Roman" w:eastAsia="Times New Roman" w:cs="Times New Roman"/>
          <w:spacing w:val="32"/>
          <w:w w:val="101"/>
          <w:sz w:val="24"/>
          <w:szCs w:val="24"/>
        </w:rPr>
        <w:t xml:space="preserve"> </w:t>
      </w:r>
      <w:r>
        <w:rPr>
          <w:rFonts w:ascii="宋体" w:hAnsi="宋体" w:eastAsia="宋体" w:cs="宋体"/>
          <w:spacing w:val="-2"/>
          <w:sz w:val="24"/>
          <w:szCs w:val="24"/>
        </w:rPr>
        <w:t>范围内有电磁环境敏感保护</w:t>
      </w:r>
      <w:r>
        <w:rPr>
          <w:rFonts w:ascii="宋体" w:hAnsi="宋体" w:eastAsia="宋体" w:cs="宋体"/>
          <w:spacing w:val="-3"/>
          <w:sz w:val="24"/>
          <w:szCs w:val="24"/>
        </w:rPr>
        <w:t>目标，按照</w:t>
      </w:r>
      <w:r>
        <w:rPr>
          <w:rFonts w:ascii="宋体" w:hAnsi="宋体" w:eastAsia="宋体" w:cs="宋体"/>
          <w:spacing w:val="-40"/>
          <w:sz w:val="24"/>
          <w:szCs w:val="24"/>
        </w:rPr>
        <w:t xml:space="preserve"> </w:t>
      </w:r>
      <w:r>
        <w:rPr>
          <w:rFonts w:ascii="Times New Roman" w:hAnsi="Times New Roman" w:eastAsia="Times New Roman" w:cs="Times New Roman"/>
          <w:spacing w:val="-3"/>
          <w:sz w:val="24"/>
          <w:szCs w:val="24"/>
        </w:rPr>
        <w:t>HJ24-2020</w:t>
      </w:r>
      <w:r>
        <w:rPr>
          <w:rFonts w:ascii="Times New Roman" w:hAnsi="Times New Roman" w:eastAsia="Times New Roman" w:cs="Times New Roman"/>
          <w:spacing w:val="32"/>
          <w:sz w:val="24"/>
          <w:szCs w:val="24"/>
        </w:rPr>
        <w:t xml:space="preserve"> </w:t>
      </w:r>
      <w:r>
        <w:rPr>
          <w:rFonts w:ascii="宋体" w:hAnsi="宋体" w:eastAsia="宋体" w:cs="宋体"/>
          <w:spacing w:val="-3"/>
          <w:sz w:val="24"/>
          <w:szCs w:val="24"/>
        </w:rPr>
        <w:t>的要求，本项目输电线路电磁环境影响评价工作等级为二级。</w:t>
      </w:r>
    </w:p>
    <w:p w14:paraId="2C04F187">
      <w:pPr>
        <w:spacing w:before="1" w:line="231" w:lineRule="auto"/>
        <w:ind w:left="498"/>
        <w:rPr>
          <w:rFonts w:ascii="宋体" w:hAnsi="宋体" w:eastAsia="宋体" w:cs="宋体"/>
          <w:sz w:val="24"/>
          <w:szCs w:val="24"/>
        </w:rPr>
      </w:pPr>
      <w:r>
        <w:rPr>
          <w:rFonts w:ascii="宋体" w:hAnsi="宋体" w:eastAsia="宋体" w:cs="宋体"/>
          <w:b/>
          <w:bCs/>
          <w:spacing w:val="-7"/>
          <w:sz w:val="24"/>
          <w:szCs w:val="24"/>
        </w:rPr>
        <w:t>（</w:t>
      </w:r>
      <w:r>
        <w:rPr>
          <w:rFonts w:ascii="Times New Roman" w:hAnsi="Times New Roman" w:eastAsia="Times New Roman" w:cs="Times New Roman"/>
          <w:b/>
          <w:bCs/>
          <w:spacing w:val="-7"/>
          <w:sz w:val="24"/>
          <w:szCs w:val="24"/>
        </w:rPr>
        <w:t>2</w:t>
      </w:r>
      <w:r>
        <w:rPr>
          <w:rFonts w:ascii="宋体" w:hAnsi="宋体" w:eastAsia="宋体" w:cs="宋体"/>
          <w:b/>
          <w:bCs/>
          <w:spacing w:val="-7"/>
          <w:sz w:val="24"/>
          <w:szCs w:val="24"/>
        </w:rPr>
        <w:t>）评价范围</w:t>
      </w:r>
    </w:p>
    <w:p w14:paraId="04F52A4A">
      <w:pPr>
        <w:spacing w:before="166" w:line="232" w:lineRule="auto"/>
        <w:jc w:val="right"/>
        <w:rPr>
          <w:rFonts w:ascii="宋体" w:hAnsi="宋体" w:eastAsia="宋体" w:cs="宋体"/>
          <w:sz w:val="24"/>
          <w:szCs w:val="24"/>
        </w:rPr>
      </w:pPr>
      <w:r>
        <w:rPr>
          <w:rFonts w:ascii="宋体" w:hAnsi="宋体" w:eastAsia="宋体" w:cs="宋体"/>
          <w:spacing w:val="-3"/>
          <w:sz w:val="24"/>
          <w:szCs w:val="24"/>
        </w:rPr>
        <w:t>电磁环境评价范围为</w:t>
      </w:r>
      <w:r>
        <w:rPr>
          <w:rFonts w:ascii="宋体" w:hAnsi="宋体" w:eastAsia="宋体" w:cs="宋体"/>
          <w:spacing w:val="-66"/>
          <w:sz w:val="24"/>
          <w:szCs w:val="24"/>
        </w:rPr>
        <w:t xml:space="preserve"> </w:t>
      </w:r>
      <w:r>
        <w:rPr>
          <w:rFonts w:ascii="Times New Roman" w:hAnsi="Times New Roman" w:eastAsia="Times New Roman" w:cs="Times New Roman"/>
          <w:spacing w:val="-3"/>
          <w:sz w:val="24"/>
          <w:szCs w:val="24"/>
        </w:rPr>
        <w:t xml:space="preserve">220kV </w:t>
      </w:r>
      <w:r>
        <w:rPr>
          <w:rFonts w:ascii="宋体" w:hAnsi="宋体" w:eastAsia="宋体" w:cs="宋体"/>
          <w:spacing w:val="-3"/>
          <w:sz w:val="24"/>
          <w:szCs w:val="24"/>
        </w:rPr>
        <w:t>架空线路边导线地面投影</w:t>
      </w:r>
      <w:r>
        <w:rPr>
          <w:rFonts w:ascii="宋体" w:hAnsi="宋体" w:eastAsia="宋体" w:cs="宋体"/>
          <w:spacing w:val="-4"/>
          <w:sz w:val="24"/>
          <w:szCs w:val="24"/>
        </w:rPr>
        <w:t>外两侧各</w:t>
      </w:r>
      <w:r>
        <w:rPr>
          <w:rFonts w:ascii="宋体" w:hAnsi="宋体" w:eastAsia="宋体" w:cs="宋体"/>
          <w:spacing w:val="-67"/>
          <w:sz w:val="24"/>
          <w:szCs w:val="24"/>
        </w:rPr>
        <w:t xml:space="preserve"> </w:t>
      </w:r>
      <w:r>
        <w:rPr>
          <w:rFonts w:ascii="Times New Roman" w:hAnsi="Times New Roman" w:eastAsia="Times New Roman" w:cs="Times New Roman"/>
          <w:spacing w:val="-4"/>
          <w:sz w:val="24"/>
          <w:szCs w:val="24"/>
        </w:rPr>
        <w:t>40m</w:t>
      </w:r>
      <w:r>
        <w:rPr>
          <w:rFonts w:ascii="Times New Roman" w:hAnsi="Times New Roman" w:eastAsia="Times New Roman" w:cs="Times New Roman"/>
          <w:spacing w:val="27"/>
          <w:sz w:val="24"/>
          <w:szCs w:val="24"/>
        </w:rPr>
        <w:t xml:space="preserve"> </w:t>
      </w:r>
      <w:r>
        <w:rPr>
          <w:rFonts w:ascii="宋体" w:hAnsi="宋体" w:eastAsia="宋体" w:cs="宋体"/>
          <w:spacing w:val="-4"/>
          <w:sz w:val="24"/>
          <w:szCs w:val="24"/>
        </w:rPr>
        <w:t>内的带状区域。</w:t>
      </w:r>
    </w:p>
    <w:p w14:paraId="2DDD5185">
      <w:pPr>
        <w:spacing w:before="222" w:line="235" w:lineRule="auto"/>
        <w:ind w:left="20"/>
        <w:rPr>
          <w:rFonts w:ascii="宋体" w:hAnsi="宋体" w:eastAsia="宋体" w:cs="宋体"/>
          <w:sz w:val="28"/>
          <w:szCs w:val="28"/>
        </w:rPr>
      </w:pPr>
      <w:bookmarkStart w:id="13" w:name="bookmark20"/>
      <w:bookmarkEnd w:id="13"/>
      <w:r>
        <w:rPr>
          <w:rFonts w:ascii="Times New Roman" w:hAnsi="Times New Roman" w:eastAsia="Times New Roman" w:cs="Times New Roman"/>
          <w:b/>
          <w:bCs/>
          <w:spacing w:val="-7"/>
          <w:sz w:val="28"/>
          <w:szCs w:val="28"/>
        </w:rPr>
        <w:t>1.3</w:t>
      </w:r>
      <w:r>
        <w:rPr>
          <w:rFonts w:ascii="Times New Roman" w:hAnsi="Times New Roman" w:eastAsia="Times New Roman" w:cs="Times New Roman"/>
          <w:b/>
          <w:bCs/>
          <w:spacing w:val="42"/>
          <w:sz w:val="28"/>
          <w:szCs w:val="28"/>
        </w:rPr>
        <w:t xml:space="preserve"> </w:t>
      </w:r>
      <w:r>
        <w:rPr>
          <w:rFonts w:ascii="宋体" w:hAnsi="宋体" w:eastAsia="宋体" w:cs="宋体"/>
          <w:b/>
          <w:bCs/>
          <w:spacing w:val="-7"/>
          <w:sz w:val="28"/>
          <w:szCs w:val="28"/>
        </w:rPr>
        <w:t>电磁环境保护目标</w:t>
      </w:r>
    </w:p>
    <w:p w14:paraId="6405DE4D">
      <w:pPr>
        <w:spacing w:before="210" w:line="348" w:lineRule="auto"/>
        <w:ind w:left="11" w:right="82" w:firstLine="480"/>
        <w:jc w:val="both"/>
        <w:rPr>
          <w:rFonts w:ascii="宋体" w:hAnsi="宋体" w:eastAsia="宋体" w:cs="宋体"/>
          <w:sz w:val="24"/>
          <w:szCs w:val="24"/>
        </w:rPr>
      </w:pPr>
      <w:r>
        <w:rPr>
          <w:rFonts w:ascii="宋体" w:hAnsi="宋体" w:eastAsia="宋体" w:cs="宋体"/>
          <w:spacing w:val="-6"/>
          <w:sz w:val="24"/>
          <w:szCs w:val="24"/>
        </w:rPr>
        <w:t>根据《环境影响评价技术导则 输变电》（</w:t>
      </w:r>
      <w:r>
        <w:rPr>
          <w:rFonts w:ascii="Times New Roman" w:hAnsi="Times New Roman" w:eastAsia="Times New Roman" w:cs="Times New Roman"/>
          <w:spacing w:val="-6"/>
          <w:sz w:val="24"/>
          <w:szCs w:val="24"/>
        </w:rPr>
        <w:t>HJ24-2020</w:t>
      </w:r>
      <w:r>
        <w:rPr>
          <w:rFonts w:ascii="宋体" w:hAnsi="宋体" w:eastAsia="宋体" w:cs="宋体"/>
          <w:spacing w:val="-6"/>
          <w:sz w:val="24"/>
          <w:szCs w:val="24"/>
        </w:rPr>
        <w:t>）的规定，</w:t>
      </w:r>
      <w:r>
        <w:rPr>
          <w:rFonts w:ascii="Times New Roman" w:hAnsi="Times New Roman" w:eastAsia="Times New Roman" w:cs="Times New Roman"/>
          <w:spacing w:val="-6"/>
          <w:sz w:val="24"/>
          <w:szCs w:val="24"/>
        </w:rPr>
        <w:t xml:space="preserve">220kV </w:t>
      </w:r>
      <w:r>
        <w:rPr>
          <w:rFonts w:ascii="宋体" w:hAnsi="宋体" w:eastAsia="宋体" w:cs="宋体"/>
          <w:spacing w:val="-6"/>
          <w:sz w:val="24"/>
          <w:szCs w:val="24"/>
        </w:rPr>
        <w:t>输</w:t>
      </w:r>
      <w:r>
        <w:rPr>
          <w:rFonts w:ascii="宋体" w:hAnsi="宋体" w:eastAsia="宋体" w:cs="宋体"/>
          <w:spacing w:val="-7"/>
          <w:sz w:val="24"/>
          <w:szCs w:val="24"/>
        </w:rPr>
        <w:t>电线路电磁</w:t>
      </w:r>
      <w:r>
        <w:rPr>
          <w:rFonts w:ascii="宋体" w:hAnsi="宋体" w:eastAsia="宋体" w:cs="宋体"/>
          <w:spacing w:val="-2"/>
          <w:sz w:val="24"/>
          <w:szCs w:val="24"/>
        </w:rPr>
        <w:t>环境影响评价范围为：架空线路边导线地面投影外两侧各</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40m</w:t>
      </w:r>
      <w:r>
        <w:rPr>
          <w:rFonts w:ascii="宋体" w:hAnsi="宋体" w:eastAsia="宋体" w:cs="宋体"/>
          <w:spacing w:val="-2"/>
          <w:sz w:val="24"/>
          <w:szCs w:val="24"/>
        </w:rPr>
        <w:t>。项目输电线路路径选定时已尽量避让沿线村庄等居民聚居地；根据现场调查，项目输电线路边导线地面投影外</w:t>
      </w:r>
      <w:r>
        <w:rPr>
          <w:rFonts w:ascii="宋体" w:hAnsi="宋体" w:eastAsia="宋体" w:cs="宋体"/>
          <w:spacing w:val="-3"/>
          <w:sz w:val="24"/>
          <w:szCs w:val="24"/>
        </w:rPr>
        <w:t>两侧各</w:t>
      </w:r>
      <w:r>
        <w:rPr>
          <w:rFonts w:ascii="宋体" w:hAnsi="宋体" w:eastAsia="宋体" w:cs="宋体"/>
          <w:spacing w:val="-56"/>
          <w:sz w:val="24"/>
          <w:szCs w:val="24"/>
        </w:rPr>
        <w:t xml:space="preserve"> </w:t>
      </w:r>
      <w:r>
        <w:rPr>
          <w:rFonts w:ascii="Times New Roman" w:hAnsi="Times New Roman" w:eastAsia="Times New Roman" w:cs="Times New Roman"/>
          <w:spacing w:val="-3"/>
          <w:sz w:val="24"/>
          <w:szCs w:val="24"/>
        </w:rPr>
        <w:t>40m</w:t>
      </w:r>
      <w:r>
        <w:rPr>
          <w:rFonts w:ascii="Times New Roman" w:hAnsi="Times New Roman" w:eastAsia="Times New Roman" w:cs="Times New Roman"/>
          <w:spacing w:val="29"/>
          <w:w w:val="101"/>
          <w:sz w:val="24"/>
          <w:szCs w:val="24"/>
        </w:rPr>
        <w:t xml:space="preserve"> </w:t>
      </w:r>
      <w:r>
        <w:rPr>
          <w:rFonts w:ascii="宋体" w:hAnsi="宋体" w:eastAsia="宋体" w:cs="宋体"/>
          <w:spacing w:val="-3"/>
          <w:sz w:val="24"/>
          <w:szCs w:val="24"/>
        </w:rPr>
        <w:t>的电磁环境评价范围内的保护目标见下表。</w:t>
      </w:r>
    </w:p>
    <w:p w14:paraId="674DFBAF">
      <w:pPr>
        <w:spacing w:line="229" w:lineRule="auto"/>
        <w:ind w:left="3007"/>
        <w:rPr>
          <w:rFonts w:ascii="宋体" w:hAnsi="宋体" w:eastAsia="宋体" w:cs="宋体"/>
          <w:sz w:val="21"/>
          <w:szCs w:val="21"/>
        </w:rPr>
      </w:pPr>
      <w:r>
        <w:rPr>
          <w:rFonts w:ascii="宋体" w:hAnsi="宋体" w:eastAsia="宋体" w:cs="宋体"/>
          <w:b/>
          <w:bCs/>
          <w:spacing w:val="-5"/>
          <w:sz w:val="21"/>
          <w:szCs w:val="21"/>
        </w:rPr>
        <w:t>表</w:t>
      </w:r>
      <w:r>
        <w:rPr>
          <w:rFonts w:ascii="宋体" w:hAnsi="宋体" w:eastAsia="宋体" w:cs="宋体"/>
          <w:spacing w:val="-33"/>
          <w:sz w:val="21"/>
          <w:szCs w:val="21"/>
        </w:rPr>
        <w:t xml:space="preserve"> </w:t>
      </w:r>
      <w:r>
        <w:rPr>
          <w:rFonts w:ascii="Times New Roman" w:hAnsi="Times New Roman" w:eastAsia="Times New Roman" w:cs="Times New Roman"/>
          <w:b/>
          <w:bCs/>
          <w:spacing w:val="-5"/>
          <w:sz w:val="21"/>
          <w:szCs w:val="21"/>
        </w:rPr>
        <w:t>1-2</w:t>
      </w:r>
      <w:r>
        <w:rPr>
          <w:rFonts w:ascii="Times New Roman" w:hAnsi="Times New Roman" w:eastAsia="Times New Roman" w:cs="Times New Roman"/>
          <w:b/>
          <w:bCs/>
          <w:spacing w:val="8"/>
          <w:sz w:val="21"/>
          <w:szCs w:val="21"/>
        </w:rPr>
        <w:t xml:space="preserve">    </w:t>
      </w:r>
      <w:r>
        <w:rPr>
          <w:rFonts w:ascii="宋体" w:hAnsi="宋体" w:eastAsia="宋体" w:cs="宋体"/>
          <w:b/>
          <w:bCs/>
          <w:spacing w:val="-5"/>
          <w:sz w:val="21"/>
          <w:szCs w:val="21"/>
        </w:rPr>
        <w:t>电磁环境保护目标一览表</w:t>
      </w:r>
    </w:p>
    <w:tbl>
      <w:tblPr>
        <w:tblStyle w:val="5"/>
        <w:tblW w:w="9068"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84"/>
        <w:gridCol w:w="1759"/>
        <w:gridCol w:w="1020"/>
        <w:gridCol w:w="3665"/>
        <w:gridCol w:w="840"/>
      </w:tblGrid>
      <w:tr w14:paraId="6FC5F9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784" w:type="dxa"/>
            <w:vAlign w:val="top"/>
          </w:tcPr>
          <w:p w14:paraId="3F591D03">
            <w:pPr>
              <w:pStyle w:val="6"/>
              <w:spacing w:before="212" w:line="221" w:lineRule="auto"/>
              <w:ind w:left="476"/>
            </w:pPr>
            <w:r>
              <w:rPr>
                <w:b/>
                <w:bCs/>
                <w:spacing w:val="-4"/>
              </w:rPr>
              <w:t>保护目标</w:t>
            </w:r>
          </w:p>
        </w:tc>
        <w:tc>
          <w:tcPr>
            <w:tcW w:w="1759" w:type="dxa"/>
            <w:vAlign w:val="top"/>
          </w:tcPr>
          <w:p w14:paraId="1037721C">
            <w:pPr>
              <w:pStyle w:val="6"/>
              <w:spacing w:before="212" w:line="221" w:lineRule="auto"/>
              <w:ind w:left="464"/>
            </w:pPr>
            <w:r>
              <w:rPr>
                <w:b/>
                <w:bCs/>
                <w:spacing w:val="-4"/>
              </w:rPr>
              <w:t>方位距离</w:t>
            </w:r>
          </w:p>
        </w:tc>
        <w:tc>
          <w:tcPr>
            <w:tcW w:w="1020" w:type="dxa"/>
            <w:vAlign w:val="top"/>
          </w:tcPr>
          <w:p w14:paraId="5B83DAB4">
            <w:pPr>
              <w:pStyle w:val="6"/>
              <w:spacing w:before="55" w:line="221" w:lineRule="auto"/>
              <w:ind w:left="200"/>
            </w:pPr>
            <w:r>
              <w:rPr>
                <w:b/>
                <w:bCs/>
                <w:spacing w:val="-4"/>
              </w:rPr>
              <w:t>最低导</w:t>
            </w:r>
          </w:p>
          <w:p w14:paraId="51555B95">
            <w:pPr>
              <w:pStyle w:val="6"/>
              <w:spacing w:before="60" w:line="221" w:lineRule="auto"/>
              <w:ind w:left="200"/>
            </w:pPr>
            <w:r>
              <w:rPr>
                <w:b/>
                <w:bCs/>
                <w:spacing w:val="-4"/>
              </w:rPr>
              <w:t>线高度</w:t>
            </w:r>
          </w:p>
        </w:tc>
        <w:tc>
          <w:tcPr>
            <w:tcW w:w="3665" w:type="dxa"/>
            <w:vAlign w:val="top"/>
          </w:tcPr>
          <w:p w14:paraId="2B306653">
            <w:pPr>
              <w:pStyle w:val="6"/>
              <w:spacing w:before="212" w:line="219" w:lineRule="auto"/>
              <w:ind w:left="360"/>
            </w:pPr>
            <w:r>
              <w:rPr>
                <w:b/>
                <w:bCs/>
                <w:spacing w:val="-3"/>
              </w:rPr>
              <w:t>评价范围内保护目标特征、功能</w:t>
            </w:r>
          </w:p>
        </w:tc>
        <w:tc>
          <w:tcPr>
            <w:tcW w:w="840" w:type="dxa"/>
            <w:vAlign w:val="top"/>
          </w:tcPr>
          <w:p w14:paraId="15F8D98C">
            <w:pPr>
              <w:pStyle w:val="6"/>
              <w:spacing w:before="56" w:line="221" w:lineRule="auto"/>
              <w:ind w:left="214"/>
            </w:pPr>
            <w:r>
              <w:rPr>
                <w:b/>
                <w:bCs/>
                <w:spacing w:val="-4"/>
              </w:rPr>
              <w:t>保护</w:t>
            </w:r>
          </w:p>
          <w:p w14:paraId="1707441E">
            <w:pPr>
              <w:pStyle w:val="6"/>
              <w:spacing w:before="60" w:line="222" w:lineRule="auto"/>
              <w:ind w:left="214"/>
            </w:pPr>
            <w:r>
              <w:rPr>
                <w:b/>
                <w:bCs/>
                <w:spacing w:val="-4"/>
              </w:rPr>
              <w:t>要求</w:t>
            </w:r>
          </w:p>
        </w:tc>
      </w:tr>
      <w:tr w14:paraId="46873C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28" w:type="dxa"/>
            <w:gridSpan w:val="4"/>
            <w:vAlign w:val="top"/>
          </w:tcPr>
          <w:p w14:paraId="63DD409B">
            <w:pPr>
              <w:pStyle w:val="6"/>
              <w:spacing w:before="51" w:line="224" w:lineRule="auto"/>
              <w:ind w:left="116"/>
            </w:pPr>
            <w:r>
              <w:rPr>
                <w:rFonts w:ascii="Times New Roman" w:hAnsi="Times New Roman" w:eastAsia="Times New Roman" w:cs="Times New Roman"/>
                <w:b/>
                <w:bCs/>
                <w:spacing w:val="-5"/>
              </w:rPr>
              <w:t>C</w:t>
            </w:r>
            <w:r>
              <w:rPr>
                <w:rFonts w:ascii="Times New Roman" w:hAnsi="Times New Roman" w:eastAsia="Times New Roman" w:cs="Times New Roman"/>
                <w:b/>
                <w:bCs/>
                <w:spacing w:val="27"/>
                <w:w w:val="101"/>
              </w:rPr>
              <w:t xml:space="preserve"> </w:t>
            </w:r>
            <w:r>
              <w:rPr>
                <w:b/>
                <w:bCs/>
                <w:spacing w:val="-5"/>
              </w:rPr>
              <w:t>回</w:t>
            </w:r>
          </w:p>
        </w:tc>
        <w:tc>
          <w:tcPr>
            <w:tcW w:w="840" w:type="dxa"/>
            <w:vMerge w:val="restart"/>
            <w:tcBorders>
              <w:bottom w:val="nil"/>
            </w:tcBorders>
            <w:vAlign w:val="top"/>
          </w:tcPr>
          <w:p w14:paraId="56778603">
            <w:pPr>
              <w:spacing w:line="241" w:lineRule="auto"/>
              <w:rPr>
                <w:rFonts w:ascii="Arial"/>
                <w:sz w:val="21"/>
              </w:rPr>
            </w:pPr>
          </w:p>
          <w:p w14:paraId="1BB0FFEF">
            <w:pPr>
              <w:spacing w:line="241" w:lineRule="auto"/>
              <w:rPr>
                <w:rFonts w:ascii="Arial"/>
                <w:sz w:val="21"/>
              </w:rPr>
            </w:pPr>
          </w:p>
          <w:p w14:paraId="397D8551">
            <w:pPr>
              <w:spacing w:line="241" w:lineRule="auto"/>
              <w:rPr>
                <w:rFonts w:ascii="Arial"/>
                <w:sz w:val="21"/>
              </w:rPr>
            </w:pPr>
          </w:p>
          <w:p w14:paraId="13C1FB85">
            <w:pPr>
              <w:spacing w:line="241" w:lineRule="auto"/>
              <w:rPr>
                <w:rFonts w:ascii="Arial"/>
                <w:sz w:val="21"/>
              </w:rPr>
            </w:pPr>
          </w:p>
          <w:p w14:paraId="044F3FD2">
            <w:pPr>
              <w:spacing w:line="241" w:lineRule="auto"/>
              <w:rPr>
                <w:rFonts w:ascii="Arial"/>
                <w:sz w:val="21"/>
              </w:rPr>
            </w:pPr>
          </w:p>
          <w:p w14:paraId="3A025224">
            <w:pPr>
              <w:spacing w:line="241" w:lineRule="auto"/>
              <w:rPr>
                <w:rFonts w:ascii="Arial"/>
                <w:sz w:val="21"/>
              </w:rPr>
            </w:pPr>
          </w:p>
          <w:p w14:paraId="1F46F977">
            <w:pPr>
              <w:spacing w:line="241" w:lineRule="auto"/>
              <w:rPr>
                <w:rFonts w:ascii="Arial"/>
                <w:sz w:val="21"/>
              </w:rPr>
            </w:pPr>
          </w:p>
          <w:p w14:paraId="435991F1">
            <w:pPr>
              <w:spacing w:line="242" w:lineRule="auto"/>
              <w:rPr>
                <w:rFonts w:ascii="Arial"/>
                <w:sz w:val="21"/>
              </w:rPr>
            </w:pPr>
          </w:p>
          <w:p w14:paraId="4EBF510D">
            <w:pPr>
              <w:spacing w:before="60" w:line="184" w:lineRule="auto"/>
              <w:ind w:left="2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EB</w:t>
            </w:r>
          </w:p>
        </w:tc>
      </w:tr>
      <w:tr w14:paraId="2A17B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784" w:type="dxa"/>
            <w:vAlign w:val="top"/>
          </w:tcPr>
          <w:p w14:paraId="79B5BDA6">
            <w:pPr>
              <w:pStyle w:val="6"/>
              <w:spacing w:before="51" w:line="249" w:lineRule="auto"/>
              <w:ind w:left="378" w:right="151" w:hanging="210"/>
            </w:pPr>
            <w:r>
              <w:rPr>
                <w:spacing w:val="-2"/>
              </w:rPr>
              <w:t>乐业镇黑山村大</w:t>
            </w:r>
            <w:r>
              <w:rPr>
                <w:spacing w:val="-3"/>
              </w:rPr>
              <w:t>黑山居民点</w:t>
            </w:r>
          </w:p>
        </w:tc>
        <w:tc>
          <w:tcPr>
            <w:tcW w:w="1759" w:type="dxa"/>
            <w:vAlign w:val="top"/>
          </w:tcPr>
          <w:p w14:paraId="02F38F24">
            <w:pPr>
              <w:pStyle w:val="6"/>
              <w:spacing w:before="51" w:line="249" w:lineRule="auto"/>
              <w:ind w:left="460" w:right="149" w:hanging="312"/>
              <w:rPr>
                <w:rFonts w:ascii="Times New Roman" w:hAnsi="Times New Roman" w:eastAsia="Times New Roman" w:cs="Times New Roman"/>
              </w:rPr>
            </w:pPr>
            <w:r>
              <w:rPr>
                <w:spacing w:val="-3"/>
              </w:rPr>
              <w:t>边导线南侧，最近处</w:t>
            </w:r>
            <w:r>
              <w:rPr>
                <w:spacing w:val="-43"/>
              </w:rPr>
              <w:t xml:space="preserve"> </w:t>
            </w:r>
            <w:r>
              <w:rPr>
                <w:rFonts w:ascii="Times New Roman" w:hAnsi="Times New Roman" w:eastAsia="Times New Roman" w:cs="Times New Roman"/>
                <w:spacing w:val="-3"/>
              </w:rPr>
              <w:t>37m</w:t>
            </w:r>
          </w:p>
        </w:tc>
        <w:tc>
          <w:tcPr>
            <w:tcW w:w="1020" w:type="dxa"/>
            <w:vAlign w:val="top"/>
          </w:tcPr>
          <w:p w14:paraId="417A472D">
            <w:pPr>
              <w:pStyle w:val="6"/>
              <w:spacing w:before="52" w:line="264" w:lineRule="auto"/>
              <w:ind w:left="303" w:right="189" w:hanging="100"/>
              <w:rPr>
                <w:rFonts w:ascii="Times New Roman" w:hAnsi="Times New Roman" w:eastAsia="Times New Roman" w:cs="Times New Roman"/>
              </w:rPr>
            </w:pPr>
            <w:r>
              <w:rPr>
                <w:spacing w:val="-3"/>
              </w:rPr>
              <w:t>不低于</w:t>
            </w:r>
            <w:r>
              <w:rPr>
                <w:rFonts w:ascii="Times New Roman" w:hAnsi="Times New Roman" w:eastAsia="Times New Roman" w:cs="Times New Roman"/>
                <w:spacing w:val="-2"/>
              </w:rPr>
              <w:t>9.5m</w:t>
            </w:r>
          </w:p>
        </w:tc>
        <w:tc>
          <w:tcPr>
            <w:tcW w:w="3665" w:type="dxa"/>
            <w:vAlign w:val="top"/>
          </w:tcPr>
          <w:p w14:paraId="390023E2">
            <w:pPr>
              <w:pStyle w:val="6"/>
              <w:spacing w:before="208" w:line="234" w:lineRule="auto"/>
              <w:ind w:left="485"/>
            </w:pPr>
            <w:r>
              <w:rPr>
                <w:rFonts w:ascii="Times New Roman" w:hAnsi="Times New Roman" w:eastAsia="Times New Roman" w:cs="Times New Roman"/>
                <w:spacing w:val="-3"/>
              </w:rPr>
              <w:t xml:space="preserve">1 </w:t>
            </w:r>
            <w:r>
              <w:rPr>
                <w:spacing w:val="-3"/>
              </w:rPr>
              <w:t>户，</w:t>
            </w:r>
            <w:r>
              <w:rPr>
                <w:rFonts w:ascii="Times New Roman" w:hAnsi="Times New Roman" w:eastAsia="Times New Roman" w:cs="Times New Roman"/>
                <w:spacing w:val="-3"/>
              </w:rPr>
              <w:t xml:space="preserve">2 </w:t>
            </w:r>
            <w:r>
              <w:rPr>
                <w:spacing w:val="-3"/>
              </w:rPr>
              <w:t>层平顶，高</w:t>
            </w:r>
            <w:r>
              <w:rPr>
                <w:spacing w:val="-32"/>
              </w:rPr>
              <w:t xml:space="preserve"> </w:t>
            </w:r>
            <w:r>
              <w:rPr>
                <w:rFonts w:ascii="Times New Roman" w:hAnsi="Times New Roman" w:eastAsia="Times New Roman" w:cs="Times New Roman"/>
                <w:spacing w:val="-3"/>
              </w:rPr>
              <w:t>7m</w:t>
            </w:r>
            <w:r>
              <w:rPr>
                <w:spacing w:val="-3"/>
              </w:rPr>
              <w:t>，住宅</w:t>
            </w:r>
          </w:p>
        </w:tc>
        <w:tc>
          <w:tcPr>
            <w:tcW w:w="840" w:type="dxa"/>
            <w:vMerge w:val="continue"/>
            <w:tcBorders>
              <w:top w:val="nil"/>
              <w:bottom w:val="nil"/>
            </w:tcBorders>
            <w:vAlign w:val="top"/>
          </w:tcPr>
          <w:p w14:paraId="149044B6">
            <w:pPr>
              <w:rPr>
                <w:rFonts w:ascii="Arial"/>
                <w:sz w:val="21"/>
              </w:rPr>
            </w:pPr>
          </w:p>
        </w:tc>
      </w:tr>
      <w:tr w14:paraId="6B0A9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1784" w:type="dxa"/>
            <w:vAlign w:val="top"/>
          </w:tcPr>
          <w:p w14:paraId="3D5903EF">
            <w:pPr>
              <w:pStyle w:val="6"/>
              <w:spacing w:before="55" w:line="248" w:lineRule="auto"/>
              <w:ind w:left="479" w:right="151" w:hanging="311"/>
            </w:pPr>
            <w:r>
              <w:rPr>
                <w:spacing w:val="-2"/>
              </w:rPr>
              <w:t>乐业镇黑山村坝上居民点</w:t>
            </w:r>
          </w:p>
        </w:tc>
        <w:tc>
          <w:tcPr>
            <w:tcW w:w="1759" w:type="dxa"/>
            <w:vAlign w:val="top"/>
          </w:tcPr>
          <w:p w14:paraId="4A0ECD5C">
            <w:pPr>
              <w:pStyle w:val="6"/>
              <w:spacing w:before="55" w:line="248" w:lineRule="auto"/>
              <w:ind w:left="460" w:right="149" w:hanging="312"/>
              <w:rPr>
                <w:rFonts w:ascii="Times New Roman" w:hAnsi="Times New Roman" w:eastAsia="Times New Roman" w:cs="Times New Roman"/>
              </w:rPr>
            </w:pPr>
            <w:r>
              <w:rPr>
                <w:spacing w:val="-3"/>
              </w:rPr>
              <w:t>边导线东侧，最</w:t>
            </w:r>
            <w:r>
              <w:rPr>
                <w:spacing w:val="-6"/>
              </w:rPr>
              <w:t>近处</w:t>
            </w:r>
            <w:r>
              <w:rPr>
                <w:spacing w:val="-28"/>
              </w:rPr>
              <w:t xml:space="preserve"> </w:t>
            </w:r>
            <w:r>
              <w:rPr>
                <w:rFonts w:ascii="Times New Roman" w:hAnsi="Times New Roman" w:eastAsia="Times New Roman" w:cs="Times New Roman"/>
                <w:spacing w:val="-6"/>
              </w:rPr>
              <w:t>17m</w:t>
            </w:r>
          </w:p>
        </w:tc>
        <w:tc>
          <w:tcPr>
            <w:tcW w:w="1020" w:type="dxa"/>
            <w:vAlign w:val="top"/>
          </w:tcPr>
          <w:p w14:paraId="6F1B65DA">
            <w:pPr>
              <w:pStyle w:val="6"/>
              <w:spacing w:before="56" w:line="263" w:lineRule="auto"/>
              <w:ind w:left="303" w:right="189" w:hanging="100"/>
              <w:rPr>
                <w:rFonts w:ascii="Times New Roman" w:hAnsi="Times New Roman" w:eastAsia="Times New Roman" w:cs="Times New Roman"/>
              </w:rPr>
            </w:pPr>
            <w:r>
              <w:rPr>
                <w:spacing w:val="-3"/>
              </w:rPr>
              <w:t>不低于</w:t>
            </w:r>
            <w:r>
              <w:rPr>
                <w:rFonts w:ascii="Times New Roman" w:hAnsi="Times New Roman" w:eastAsia="Times New Roman" w:cs="Times New Roman"/>
                <w:spacing w:val="-2"/>
              </w:rPr>
              <w:t>9.5m</w:t>
            </w:r>
          </w:p>
        </w:tc>
        <w:tc>
          <w:tcPr>
            <w:tcW w:w="3665" w:type="dxa"/>
            <w:vAlign w:val="top"/>
          </w:tcPr>
          <w:p w14:paraId="2611C327">
            <w:pPr>
              <w:pStyle w:val="6"/>
              <w:spacing w:before="55" w:line="248" w:lineRule="auto"/>
              <w:ind w:left="861" w:right="164" w:hanging="685"/>
            </w:pPr>
            <w:r>
              <w:rPr>
                <w:rFonts w:ascii="Times New Roman" w:hAnsi="Times New Roman" w:eastAsia="Times New Roman" w:cs="Times New Roman"/>
                <w:spacing w:val="-3"/>
              </w:rPr>
              <w:t xml:space="preserve">3 </w:t>
            </w:r>
            <w:r>
              <w:rPr>
                <w:spacing w:val="-3"/>
              </w:rPr>
              <w:t>户，</w:t>
            </w:r>
            <w:r>
              <w:rPr>
                <w:rFonts w:ascii="Times New Roman" w:hAnsi="Times New Roman" w:eastAsia="Times New Roman" w:cs="Times New Roman"/>
                <w:spacing w:val="-3"/>
              </w:rPr>
              <w:t xml:space="preserve">1 </w:t>
            </w:r>
            <w:r>
              <w:rPr>
                <w:spacing w:val="-3"/>
              </w:rPr>
              <w:t>层，高</w:t>
            </w:r>
            <w:r>
              <w:rPr>
                <w:spacing w:val="-28"/>
              </w:rPr>
              <w:t xml:space="preserve"> </w:t>
            </w:r>
            <w:r>
              <w:rPr>
                <w:rFonts w:ascii="Times New Roman" w:hAnsi="Times New Roman" w:eastAsia="Times New Roman" w:cs="Times New Roman"/>
                <w:spacing w:val="-3"/>
              </w:rPr>
              <w:t>3.5~4m</w:t>
            </w:r>
            <w:r>
              <w:rPr>
                <w:spacing w:val="-3"/>
              </w:rPr>
              <w:t>，最近为</w:t>
            </w:r>
            <w:r>
              <w:rPr>
                <w:spacing w:val="-28"/>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9"/>
              </w:rPr>
              <w:t xml:space="preserve"> </w:t>
            </w:r>
            <w:r>
              <w:rPr>
                <w:spacing w:val="-3"/>
              </w:rPr>
              <w:t>层</w:t>
            </w:r>
            <w:r>
              <w:rPr>
                <w:spacing w:val="-2"/>
              </w:rPr>
              <w:t>平顶</w:t>
            </w:r>
            <w:r>
              <w:rPr>
                <w:spacing w:val="-36"/>
              </w:rPr>
              <w:t xml:space="preserve"> </w:t>
            </w:r>
            <w:r>
              <w:rPr>
                <w:rFonts w:ascii="Times New Roman" w:hAnsi="Times New Roman" w:eastAsia="Times New Roman" w:cs="Times New Roman"/>
                <w:spacing w:val="-2"/>
              </w:rPr>
              <w:t>3.5m</w:t>
            </w:r>
            <w:r>
              <w:rPr>
                <w:spacing w:val="-2"/>
              </w:rPr>
              <w:t>，均为住宅</w:t>
            </w:r>
          </w:p>
        </w:tc>
        <w:tc>
          <w:tcPr>
            <w:tcW w:w="840" w:type="dxa"/>
            <w:vMerge w:val="continue"/>
            <w:tcBorders>
              <w:top w:val="nil"/>
              <w:bottom w:val="nil"/>
            </w:tcBorders>
            <w:vAlign w:val="top"/>
          </w:tcPr>
          <w:p w14:paraId="5A790ED5">
            <w:pPr>
              <w:rPr>
                <w:rFonts w:ascii="Arial"/>
                <w:sz w:val="21"/>
              </w:rPr>
            </w:pPr>
          </w:p>
        </w:tc>
      </w:tr>
      <w:tr w14:paraId="5D7512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228" w:type="dxa"/>
            <w:gridSpan w:val="4"/>
            <w:vAlign w:val="top"/>
          </w:tcPr>
          <w:p w14:paraId="754A6169">
            <w:pPr>
              <w:pStyle w:val="6"/>
              <w:spacing w:before="53" w:line="222" w:lineRule="auto"/>
              <w:ind w:left="110"/>
            </w:pPr>
            <w:r>
              <w:rPr>
                <w:rFonts w:ascii="Times New Roman" w:hAnsi="Times New Roman" w:eastAsia="Times New Roman" w:cs="Times New Roman"/>
                <w:b/>
                <w:bCs/>
                <w:spacing w:val="-3"/>
              </w:rPr>
              <w:t>D</w:t>
            </w:r>
            <w:r>
              <w:rPr>
                <w:rFonts w:ascii="Times New Roman" w:hAnsi="Times New Roman" w:eastAsia="Times New Roman" w:cs="Times New Roman"/>
                <w:b/>
                <w:bCs/>
                <w:spacing w:val="28"/>
                <w:w w:val="101"/>
              </w:rPr>
              <w:t xml:space="preserve"> </w:t>
            </w:r>
            <w:r>
              <w:rPr>
                <w:b/>
                <w:bCs/>
                <w:spacing w:val="-3"/>
              </w:rPr>
              <w:t>回</w:t>
            </w:r>
          </w:p>
        </w:tc>
        <w:tc>
          <w:tcPr>
            <w:tcW w:w="840" w:type="dxa"/>
            <w:vMerge w:val="continue"/>
            <w:tcBorders>
              <w:top w:val="nil"/>
              <w:bottom w:val="nil"/>
            </w:tcBorders>
            <w:vAlign w:val="top"/>
          </w:tcPr>
          <w:p w14:paraId="5F611CB3">
            <w:pPr>
              <w:rPr>
                <w:rFonts w:ascii="Arial"/>
                <w:sz w:val="21"/>
              </w:rPr>
            </w:pPr>
          </w:p>
        </w:tc>
      </w:tr>
      <w:tr w14:paraId="09B34C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784" w:type="dxa"/>
            <w:vAlign w:val="top"/>
          </w:tcPr>
          <w:p w14:paraId="7C972FDC">
            <w:pPr>
              <w:pStyle w:val="6"/>
              <w:spacing w:before="53" w:line="248" w:lineRule="auto"/>
              <w:ind w:left="477" w:right="151" w:hanging="317"/>
            </w:pPr>
            <w:r>
              <w:rPr>
                <w:spacing w:val="-1"/>
              </w:rPr>
              <w:t>迤车镇索桥村后</w:t>
            </w:r>
            <w:r>
              <w:rPr>
                <w:spacing w:val="-2"/>
              </w:rPr>
              <w:t>沟居民点</w:t>
            </w:r>
          </w:p>
        </w:tc>
        <w:tc>
          <w:tcPr>
            <w:tcW w:w="1759" w:type="dxa"/>
            <w:vAlign w:val="top"/>
          </w:tcPr>
          <w:p w14:paraId="7542B757">
            <w:pPr>
              <w:pStyle w:val="6"/>
              <w:spacing w:before="53" w:line="248" w:lineRule="auto"/>
              <w:ind w:left="512" w:right="149" w:hanging="364"/>
              <w:rPr>
                <w:rFonts w:ascii="Times New Roman" w:hAnsi="Times New Roman" w:eastAsia="Times New Roman" w:cs="Times New Roman"/>
              </w:rPr>
            </w:pPr>
            <w:r>
              <w:rPr>
                <w:spacing w:val="-3"/>
              </w:rPr>
              <w:t>边导线两侧，最</w:t>
            </w:r>
            <w:r>
              <w:rPr>
                <w:spacing w:val="-2"/>
              </w:rPr>
              <w:t>近处</w:t>
            </w:r>
            <w:r>
              <w:rPr>
                <w:spacing w:val="-44"/>
              </w:rPr>
              <w:t xml:space="preserve"> </w:t>
            </w:r>
            <w:r>
              <w:rPr>
                <w:rFonts w:ascii="Times New Roman" w:hAnsi="Times New Roman" w:eastAsia="Times New Roman" w:cs="Times New Roman"/>
                <w:spacing w:val="-2"/>
              </w:rPr>
              <w:t>9m</w:t>
            </w:r>
          </w:p>
        </w:tc>
        <w:tc>
          <w:tcPr>
            <w:tcW w:w="1020" w:type="dxa"/>
            <w:vAlign w:val="top"/>
          </w:tcPr>
          <w:p w14:paraId="074B4481">
            <w:pPr>
              <w:pStyle w:val="6"/>
              <w:spacing w:before="54" w:line="263" w:lineRule="auto"/>
              <w:ind w:left="384" w:right="189" w:hanging="181"/>
              <w:rPr>
                <w:rFonts w:ascii="Times New Roman" w:hAnsi="Times New Roman" w:eastAsia="Times New Roman" w:cs="Times New Roman"/>
              </w:rPr>
            </w:pPr>
            <w:r>
              <w:rPr>
                <w:spacing w:val="-3"/>
              </w:rPr>
              <w:t>不低于</w:t>
            </w:r>
            <w:r>
              <w:rPr>
                <w:rFonts w:ascii="Times New Roman" w:hAnsi="Times New Roman" w:eastAsia="Times New Roman" w:cs="Times New Roman"/>
                <w:spacing w:val="-3"/>
              </w:rPr>
              <w:t>8m</w:t>
            </w:r>
          </w:p>
        </w:tc>
        <w:tc>
          <w:tcPr>
            <w:tcW w:w="3665" w:type="dxa"/>
            <w:vAlign w:val="top"/>
          </w:tcPr>
          <w:p w14:paraId="2ECBBC31">
            <w:pPr>
              <w:pStyle w:val="6"/>
              <w:spacing w:before="54" w:line="234" w:lineRule="auto"/>
              <w:ind w:left="144"/>
            </w:pPr>
            <w:r>
              <w:rPr>
                <w:rFonts w:ascii="Times New Roman" w:hAnsi="Times New Roman" w:eastAsia="Times New Roman" w:cs="Times New Roman"/>
                <w:spacing w:val="-1"/>
              </w:rPr>
              <w:t xml:space="preserve">7 </w:t>
            </w:r>
            <w:r>
              <w:rPr>
                <w:spacing w:val="-1"/>
              </w:rPr>
              <w:t>户，</w:t>
            </w:r>
            <w:r>
              <w:rPr>
                <w:rFonts w:ascii="Times New Roman" w:hAnsi="Times New Roman" w:eastAsia="Times New Roman" w:cs="Times New Roman"/>
                <w:spacing w:val="-1"/>
              </w:rPr>
              <w:t xml:space="preserve">1~2 </w:t>
            </w:r>
            <w:r>
              <w:rPr>
                <w:spacing w:val="-1"/>
              </w:rPr>
              <w:t>层，高</w:t>
            </w:r>
            <w:r>
              <w:rPr>
                <w:spacing w:val="-33"/>
              </w:rPr>
              <w:t xml:space="preserve"> </w:t>
            </w:r>
            <w:r>
              <w:rPr>
                <w:rFonts w:ascii="Times New Roman" w:hAnsi="Times New Roman" w:eastAsia="Times New Roman" w:cs="Times New Roman"/>
                <w:spacing w:val="-1"/>
              </w:rPr>
              <w:t>4~7m</w:t>
            </w:r>
            <w:r>
              <w:rPr>
                <w:spacing w:val="-1"/>
              </w:rPr>
              <w:t>，最近为</w:t>
            </w:r>
            <w:r>
              <w:rPr>
                <w:spacing w:val="-48"/>
              </w:rPr>
              <w:t xml:space="preserve"> </w:t>
            </w:r>
            <w:r>
              <w:rPr>
                <w:rFonts w:ascii="Times New Roman" w:hAnsi="Times New Roman" w:eastAsia="Times New Roman" w:cs="Times New Roman"/>
                <w:spacing w:val="-1"/>
              </w:rPr>
              <w:t xml:space="preserve">2 </w:t>
            </w:r>
            <w:r>
              <w:rPr>
                <w:spacing w:val="-1"/>
              </w:rPr>
              <w:t>层</w:t>
            </w:r>
          </w:p>
          <w:p w14:paraId="2CD04D29">
            <w:pPr>
              <w:pStyle w:val="6"/>
              <w:spacing w:before="45" w:line="221" w:lineRule="auto"/>
              <w:ind w:left="941"/>
            </w:pPr>
            <w:r>
              <w:rPr>
                <w:spacing w:val="-2"/>
              </w:rPr>
              <w:t>平顶</w:t>
            </w:r>
            <w:r>
              <w:rPr>
                <w:spacing w:val="-40"/>
              </w:rPr>
              <w:t xml:space="preserve"> </w:t>
            </w:r>
            <w:r>
              <w:rPr>
                <w:rFonts w:ascii="Times New Roman" w:hAnsi="Times New Roman" w:eastAsia="Times New Roman" w:cs="Times New Roman"/>
                <w:spacing w:val="-2"/>
              </w:rPr>
              <w:t>7m</w:t>
            </w:r>
            <w:r>
              <w:rPr>
                <w:spacing w:val="-2"/>
              </w:rPr>
              <w:t>，均为住宅</w:t>
            </w:r>
          </w:p>
        </w:tc>
        <w:tc>
          <w:tcPr>
            <w:tcW w:w="840" w:type="dxa"/>
            <w:vMerge w:val="continue"/>
            <w:tcBorders>
              <w:top w:val="nil"/>
              <w:bottom w:val="nil"/>
            </w:tcBorders>
            <w:vAlign w:val="top"/>
          </w:tcPr>
          <w:p w14:paraId="244F28FE">
            <w:pPr>
              <w:rPr>
                <w:rFonts w:ascii="Arial"/>
                <w:sz w:val="21"/>
              </w:rPr>
            </w:pPr>
          </w:p>
        </w:tc>
      </w:tr>
      <w:tr w14:paraId="65EDD7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228" w:type="dxa"/>
            <w:gridSpan w:val="4"/>
            <w:vAlign w:val="top"/>
          </w:tcPr>
          <w:p w14:paraId="3BE60E89">
            <w:pPr>
              <w:pStyle w:val="6"/>
              <w:spacing w:before="55" w:line="221" w:lineRule="auto"/>
              <w:ind w:left="112"/>
            </w:pPr>
            <w:r>
              <w:rPr>
                <w:rFonts w:ascii="Times New Roman" w:hAnsi="Times New Roman" w:eastAsia="Times New Roman" w:cs="Times New Roman"/>
                <w:b/>
                <w:bCs/>
                <w:spacing w:val="-3"/>
              </w:rPr>
              <w:t>E</w:t>
            </w:r>
            <w:r>
              <w:rPr>
                <w:rFonts w:ascii="Times New Roman" w:hAnsi="Times New Roman" w:eastAsia="Times New Roman" w:cs="Times New Roman"/>
                <w:b/>
                <w:bCs/>
                <w:spacing w:val="27"/>
                <w:w w:val="101"/>
              </w:rPr>
              <w:t xml:space="preserve"> </w:t>
            </w:r>
            <w:r>
              <w:rPr>
                <w:b/>
                <w:bCs/>
                <w:spacing w:val="-3"/>
              </w:rPr>
              <w:t>回</w:t>
            </w:r>
          </w:p>
        </w:tc>
        <w:tc>
          <w:tcPr>
            <w:tcW w:w="840" w:type="dxa"/>
            <w:vMerge w:val="continue"/>
            <w:tcBorders>
              <w:top w:val="nil"/>
              <w:bottom w:val="nil"/>
            </w:tcBorders>
            <w:vAlign w:val="top"/>
          </w:tcPr>
          <w:p w14:paraId="6157BC9F">
            <w:pPr>
              <w:rPr>
                <w:rFonts w:ascii="Arial"/>
                <w:sz w:val="21"/>
              </w:rPr>
            </w:pPr>
          </w:p>
        </w:tc>
      </w:tr>
      <w:tr w14:paraId="3D75F6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784" w:type="dxa"/>
            <w:vAlign w:val="top"/>
          </w:tcPr>
          <w:p w14:paraId="1A26BED3">
            <w:pPr>
              <w:pStyle w:val="6"/>
              <w:spacing w:before="56" w:line="247" w:lineRule="auto"/>
              <w:ind w:left="478" w:right="151" w:hanging="310"/>
            </w:pPr>
            <w:r>
              <w:rPr>
                <w:spacing w:val="-2"/>
              </w:rPr>
              <w:t>乐业镇黑山村小街居民点</w:t>
            </w:r>
          </w:p>
        </w:tc>
        <w:tc>
          <w:tcPr>
            <w:tcW w:w="1759" w:type="dxa"/>
            <w:vAlign w:val="top"/>
          </w:tcPr>
          <w:p w14:paraId="52F33E94">
            <w:pPr>
              <w:pStyle w:val="6"/>
              <w:spacing w:before="56" w:line="247" w:lineRule="auto"/>
              <w:ind w:left="460" w:right="149" w:hanging="312"/>
              <w:rPr>
                <w:rFonts w:ascii="Times New Roman" w:hAnsi="Times New Roman" w:eastAsia="Times New Roman" w:cs="Times New Roman"/>
              </w:rPr>
            </w:pPr>
            <w:r>
              <w:rPr>
                <w:spacing w:val="-3"/>
              </w:rPr>
              <w:t>边导线南侧，最</w:t>
            </w:r>
            <w:r>
              <w:rPr>
                <w:spacing w:val="-2"/>
              </w:rPr>
              <w:t>近处</w:t>
            </w:r>
            <w:r>
              <w:rPr>
                <w:spacing w:val="-49"/>
              </w:rPr>
              <w:t xml:space="preserve"> </w:t>
            </w:r>
            <w:r>
              <w:rPr>
                <w:rFonts w:ascii="Times New Roman" w:hAnsi="Times New Roman" w:eastAsia="Times New Roman" w:cs="Times New Roman"/>
                <w:spacing w:val="-2"/>
              </w:rPr>
              <w:t>40m</w:t>
            </w:r>
          </w:p>
        </w:tc>
        <w:tc>
          <w:tcPr>
            <w:tcW w:w="1020" w:type="dxa"/>
            <w:vAlign w:val="top"/>
          </w:tcPr>
          <w:p w14:paraId="38135D7D">
            <w:pPr>
              <w:pStyle w:val="6"/>
              <w:spacing w:before="54" w:line="263" w:lineRule="auto"/>
              <w:ind w:left="384" w:right="189" w:hanging="181"/>
              <w:rPr>
                <w:rFonts w:ascii="Times New Roman" w:hAnsi="Times New Roman" w:eastAsia="Times New Roman" w:cs="Times New Roman"/>
              </w:rPr>
            </w:pPr>
            <w:r>
              <w:rPr>
                <w:spacing w:val="-3"/>
              </w:rPr>
              <w:t>不低于</w:t>
            </w:r>
            <w:r>
              <w:rPr>
                <w:rFonts w:ascii="Times New Roman" w:hAnsi="Times New Roman" w:eastAsia="Times New Roman" w:cs="Times New Roman"/>
                <w:spacing w:val="-3"/>
              </w:rPr>
              <w:t>8m</w:t>
            </w:r>
          </w:p>
        </w:tc>
        <w:tc>
          <w:tcPr>
            <w:tcW w:w="3665" w:type="dxa"/>
            <w:vAlign w:val="top"/>
          </w:tcPr>
          <w:p w14:paraId="37D61D0F">
            <w:pPr>
              <w:pStyle w:val="6"/>
              <w:spacing w:before="211" w:line="234" w:lineRule="auto"/>
              <w:ind w:left="485"/>
            </w:pPr>
            <w:r>
              <w:rPr>
                <w:rFonts w:ascii="Times New Roman" w:hAnsi="Times New Roman" w:eastAsia="Times New Roman" w:cs="Times New Roman"/>
                <w:spacing w:val="-3"/>
              </w:rPr>
              <w:t xml:space="preserve">1 </w:t>
            </w:r>
            <w:r>
              <w:rPr>
                <w:spacing w:val="-3"/>
              </w:rPr>
              <w:t>户，</w:t>
            </w:r>
            <w:r>
              <w:rPr>
                <w:rFonts w:ascii="Times New Roman" w:hAnsi="Times New Roman" w:eastAsia="Times New Roman" w:cs="Times New Roman"/>
                <w:spacing w:val="-3"/>
              </w:rPr>
              <w:t xml:space="preserve">1 </w:t>
            </w:r>
            <w:r>
              <w:rPr>
                <w:spacing w:val="-3"/>
              </w:rPr>
              <w:t>层坡顶，高</w:t>
            </w:r>
            <w:r>
              <w:rPr>
                <w:spacing w:val="-32"/>
              </w:rPr>
              <w:t xml:space="preserve"> </w:t>
            </w:r>
            <w:r>
              <w:rPr>
                <w:rFonts w:ascii="Times New Roman" w:hAnsi="Times New Roman" w:eastAsia="Times New Roman" w:cs="Times New Roman"/>
                <w:spacing w:val="-3"/>
              </w:rPr>
              <w:t>4m</w:t>
            </w:r>
            <w:r>
              <w:rPr>
                <w:spacing w:val="-3"/>
              </w:rPr>
              <w:t>，住宅</w:t>
            </w:r>
          </w:p>
        </w:tc>
        <w:tc>
          <w:tcPr>
            <w:tcW w:w="840" w:type="dxa"/>
            <w:vMerge w:val="continue"/>
            <w:tcBorders>
              <w:top w:val="nil"/>
              <w:bottom w:val="nil"/>
            </w:tcBorders>
            <w:vAlign w:val="top"/>
          </w:tcPr>
          <w:p w14:paraId="77533735">
            <w:pPr>
              <w:rPr>
                <w:rFonts w:ascii="Arial"/>
                <w:sz w:val="21"/>
              </w:rPr>
            </w:pPr>
          </w:p>
        </w:tc>
      </w:tr>
      <w:tr w14:paraId="7AD668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1784" w:type="dxa"/>
            <w:vAlign w:val="top"/>
          </w:tcPr>
          <w:p w14:paraId="29A25FD0">
            <w:pPr>
              <w:pStyle w:val="6"/>
              <w:spacing w:before="56" w:line="250" w:lineRule="auto"/>
              <w:ind w:left="477" w:right="151" w:hanging="317"/>
            </w:pPr>
            <w:r>
              <w:rPr>
                <w:spacing w:val="-1"/>
              </w:rPr>
              <w:t>迤车镇索桥村后</w:t>
            </w:r>
            <w:r>
              <w:rPr>
                <w:spacing w:val="-2"/>
              </w:rPr>
              <w:t>沟居民点</w:t>
            </w:r>
          </w:p>
        </w:tc>
        <w:tc>
          <w:tcPr>
            <w:tcW w:w="1759" w:type="dxa"/>
            <w:vAlign w:val="top"/>
          </w:tcPr>
          <w:p w14:paraId="7604B24A">
            <w:pPr>
              <w:pStyle w:val="6"/>
              <w:spacing w:before="56" w:line="250" w:lineRule="auto"/>
              <w:ind w:left="512" w:right="149" w:hanging="364"/>
              <w:rPr>
                <w:rFonts w:ascii="Times New Roman" w:hAnsi="Times New Roman" w:eastAsia="Times New Roman" w:cs="Times New Roman"/>
              </w:rPr>
            </w:pPr>
            <w:r>
              <w:rPr>
                <w:spacing w:val="-3"/>
              </w:rPr>
              <w:t>边导线北侧，最</w:t>
            </w:r>
            <w:r>
              <w:rPr>
                <w:spacing w:val="-2"/>
              </w:rPr>
              <w:t>近处</w:t>
            </w:r>
            <w:r>
              <w:rPr>
                <w:spacing w:val="-48"/>
              </w:rPr>
              <w:t xml:space="preserve"> </w:t>
            </w:r>
            <w:r>
              <w:rPr>
                <w:rFonts w:ascii="Times New Roman" w:hAnsi="Times New Roman" w:eastAsia="Times New Roman" w:cs="Times New Roman"/>
                <w:spacing w:val="-2"/>
              </w:rPr>
              <w:t>4m</w:t>
            </w:r>
          </w:p>
        </w:tc>
        <w:tc>
          <w:tcPr>
            <w:tcW w:w="1020" w:type="dxa"/>
            <w:vAlign w:val="top"/>
          </w:tcPr>
          <w:p w14:paraId="0FF14BA6">
            <w:pPr>
              <w:pStyle w:val="6"/>
              <w:spacing w:before="54" w:line="266" w:lineRule="auto"/>
              <w:ind w:left="302" w:right="189" w:hanging="99"/>
              <w:rPr>
                <w:rFonts w:ascii="Times New Roman" w:hAnsi="Times New Roman" w:eastAsia="Times New Roman" w:cs="Times New Roman"/>
              </w:rPr>
            </w:pPr>
            <w:r>
              <w:rPr>
                <w:spacing w:val="-3"/>
              </w:rPr>
              <w:t>不低于</w:t>
            </w:r>
            <w:r>
              <w:rPr>
                <w:rFonts w:ascii="Times New Roman" w:hAnsi="Times New Roman" w:eastAsia="Times New Roman" w:cs="Times New Roman"/>
                <w:spacing w:val="-2"/>
              </w:rPr>
              <w:t>7.5m</w:t>
            </w:r>
          </w:p>
        </w:tc>
        <w:tc>
          <w:tcPr>
            <w:tcW w:w="3665" w:type="dxa"/>
            <w:vAlign w:val="top"/>
          </w:tcPr>
          <w:p w14:paraId="0DCDEAA4">
            <w:pPr>
              <w:pStyle w:val="6"/>
              <w:spacing w:before="56" w:line="250" w:lineRule="auto"/>
              <w:ind w:left="759" w:right="188" w:hanging="566"/>
            </w:pPr>
            <w:r>
              <w:rPr>
                <w:rFonts w:ascii="Times New Roman" w:hAnsi="Times New Roman" w:eastAsia="Times New Roman" w:cs="Times New Roman"/>
                <w:spacing w:val="-2"/>
              </w:rPr>
              <w:t xml:space="preserve">4 </w:t>
            </w:r>
            <w:r>
              <w:rPr>
                <w:spacing w:val="-2"/>
              </w:rPr>
              <w:t>户，</w:t>
            </w:r>
            <w:r>
              <w:rPr>
                <w:rFonts w:ascii="Times New Roman" w:hAnsi="Times New Roman" w:eastAsia="Times New Roman" w:cs="Times New Roman"/>
                <w:spacing w:val="-2"/>
              </w:rPr>
              <w:t xml:space="preserve">1~2 </w:t>
            </w:r>
            <w:r>
              <w:rPr>
                <w:spacing w:val="-2"/>
              </w:rPr>
              <w:t>层，高</w:t>
            </w:r>
            <w:r>
              <w:rPr>
                <w:spacing w:val="-34"/>
              </w:rPr>
              <w:t xml:space="preserve"> </w:t>
            </w:r>
            <w:r>
              <w:rPr>
                <w:rFonts w:ascii="Times New Roman" w:hAnsi="Times New Roman" w:eastAsia="Times New Roman" w:cs="Times New Roman"/>
                <w:spacing w:val="-2"/>
              </w:rPr>
              <w:t>3.5~7m</w:t>
            </w:r>
            <w:r>
              <w:rPr>
                <w:spacing w:val="-2"/>
              </w:rPr>
              <w:t>，最近为</w:t>
            </w:r>
            <w:r>
              <w:rPr>
                <w:spacing w:val="-28"/>
              </w:rPr>
              <w:t xml:space="preserve"> </w:t>
            </w:r>
            <w:r>
              <w:rPr>
                <w:rFonts w:ascii="Times New Roman" w:hAnsi="Times New Roman" w:eastAsia="Times New Roman" w:cs="Times New Roman"/>
                <w:spacing w:val="-2"/>
              </w:rPr>
              <w:t>1</w:t>
            </w:r>
            <w:r>
              <w:rPr>
                <w:spacing w:val="-2"/>
              </w:rPr>
              <w:t>层平顶</w:t>
            </w:r>
            <w:r>
              <w:rPr>
                <w:spacing w:val="-35"/>
              </w:rPr>
              <w:t xml:space="preserve"> </w:t>
            </w:r>
            <w:r>
              <w:rPr>
                <w:rFonts w:ascii="Times New Roman" w:hAnsi="Times New Roman" w:eastAsia="Times New Roman" w:cs="Times New Roman"/>
                <w:spacing w:val="-2"/>
              </w:rPr>
              <w:t>3.5m</w:t>
            </w:r>
            <w:r>
              <w:rPr>
                <w:spacing w:val="-2"/>
              </w:rPr>
              <w:t>，均为住宅</w:t>
            </w:r>
          </w:p>
        </w:tc>
        <w:tc>
          <w:tcPr>
            <w:tcW w:w="840" w:type="dxa"/>
            <w:vMerge w:val="continue"/>
            <w:tcBorders>
              <w:top w:val="nil"/>
            </w:tcBorders>
            <w:vAlign w:val="top"/>
          </w:tcPr>
          <w:p w14:paraId="57271178">
            <w:pPr>
              <w:rPr>
                <w:rFonts w:ascii="Arial"/>
                <w:sz w:val="21"/>
              </w:rPr>
            </w:pPr>
          </w:p>
        </w:tc>
      </w:tr>
    </w:tbl>
    <w:p w14:paraId="59C13321">
      <w:pPr>
        <w:spacing w:before="65" w:line="321" w:lineRule="auto"/>
        <w:ind w:left="9" w:right="90"/>
        <w:jc w:val="both"/>
        <w:rPr>
          <w:rFonts w:ascii="宋体" w:hAnsi="宋体" w:eastAsia="宋体" w:cs="宋体"/>
          <w:sz w:val="18"/>
          <w:szCs w:val="18"/>
        </w:rPr>
      </w:pPr>
      <w:r>
        <w:rPr>
          <w:rFonts w:ascii="宋体" w:hAnsi="宋体" w:eastAsia="宋体" w:cs="宋体"/>
          <w:spacing w:val="1"/>
          <w:sz w:val="18"/>
          <w:szCs w:val="18"/>
        </w:rPr>
        <w:t>注：①本工程环境保护目标是根据当前设计阶段提供的路径调查确定，方位及最近距离也是根据当前设计阶段提供的路径估算，均可能随工程的不断深化而变化，建议下阶段进一步优化设计线路走线，尽量让线路远离居民敏感目</w:t>
      </w:r>
      <w:r>
        <w:rPr>
          <w:rFonts w:ascii="宋体" w:hAnsi="宋体" w:eastAsia="宋体" w:cs="宋体"/>
          <w:spacing w:val="-2"/>
          <w:sz w:val="18"/>
          <w:szCs w:val="18"/>
        </w:rPr>
        <w:t>标；②</w:t>
      </w:r>
      <w:r>
        <w:rPr>
          <w:rFonts w:ascii="Times New Roman" w:hAnsi="Times New Roman" w:eastAsia="Times New Roman" w:cs="Times New Roman"/>
          <w:spacing w:val="-2"/>
          <w:sz w:val="18"/>
          <w:szCs w:val="18"/>
        </w:rPr>
        <w:t>E</w:t>
      </w:r>
      <w:r>
        <w:rPr>
          <w:rFonts w:ascii="宋体" w:hAnsi="宋体" w:eastAsia="宋体" w:cs="宋体"/>
          <w:spacing w:val="-2"/>
          <w:sz w:val="18"/>
          <w:szCs w:val="18"/>
        </w:rPr>
        <w:t>—工频电场强度，</w:t>
      </w:r>
      <w:r>
        <w:rPr>
          <w:rFonts w:ascii="Times New Roman" w:hAnsi="Times New Roman" w:eastAsia="Times New Roman" w:cs="Times New Roman"/>
          <w:spacing w:val="-2"/>
          <w:sz w:val="18"/>
          <w:szCs w:val="18"/>
        </w:rPr>
        <w:t>B</w:t>
      </w:r>
      <w:r>
        <w:rPr>
          <w:rFonts w:ascii="宋体" w:hAnsi="宋体" w:eastAsia="宋体" w:cs="宋体"/>
          <w:spacing w:val="-2"/>
          <w:sz w:val="18"/>
          <w:szCs w:val="18"/>
        </w:rPr>
        <w:t>—工频磁感应强度；</w:t>
      </w:r>
      <w:r>
        <w:rPr>
          <w:rFonts w:ascii="Times New Roman" w:hAnsi="Times New Roman" w:eastAsia="Times New Roman" w:cs="Times New Roman"/>
          <w:spacing w:val="-2"/>
          <w:sz w:val="18"/>
          <w:szCs w:val="18"/>
        </w:rPr>
        <w:t>E</w:t>
      </w:r>
      <w:r>
        <w:rPr>
          <w:rFonts w:ascii="宋体" w:hAnsi="宋体" w:eastAsia="宋体" w:cs="宋体"/>
          <w:spacing w:val="-2"/>
          <w:sz w:val="18"/>
          <w:szCs w:val="18"/>
        </w:rPr>
        <w:t>、</w:t>
      </w:r>
      <w:r>
        <w:rPr>
          <w:rFonts w:ascii="Times New Roman" w:hAnsi="Times New Roman" w:eastAsia="Times New Roman" w:cs="Times New Roman"/>
          <w:spacing w:val="-2"/>
          <w:sz w:val="18"/>
          <w:szCs w:val="18"/>
        </w:rPr>
        <w:t xml:space="preserve">B </w:t>
      </w:r>
      <w:r>
        <w:rPr>
          <w:rFonts w:ascii="宋体" w:hAnsi="宋体" w:eastAsia="宋体" w:cs="宋体"/>
          <w:spacing w:val="-2"/>
          <w:sz w:val="18"/>
          <w:szCs w:val="18"/>
        </w:rPr>
        <w:t>执行《电磁环境控制限值》中公众曝露电场强度</w:t>
      </w:r>
      <w:r>
        <w:rPr>
          <w:rFonts w:ascii="宋体" w:hAnsi="宋体" w:eastAsia="宋体" w:cs="宋体"/>
          <w:spacing w:val="-26"/>
          <w:sz w:val="18"/>
          <w:szCs w:val="18"/>
        </w:rPr>
        <w:t xml:space="preserve"> </w:t>
      </w:r>
      <w:r>
        <w:rPr>
          <w:rFonts w:ascii="Times New Roman" w:hAnsi="Times New Roman" w:eastAsia="Times New Roman" w:cs="Times New Roman"/>
          <w:spacing w:val="-2"/>
          <w:sz w:val="18"/>
          <w:szCs w:val="18"/>
        </w:rPr>
        <w:t>4kV/m</w:t>
      </w:r>
      <w:r>
        <w:rPr>
          <w:rFonts w:ascii="宋体" w:hAnsi="宋体" w:eastAsia="宋体" w:cs="宋体"/>
          <w:spacing w:val="-2"/>
          <w:sz w:val="18"/>
          <w:szCs w:val="18"/>
        </w:rPr>
        <w:t>、磁感</w:t>
      </w:r>
    </w:p>
    <w:p w14:paraId="69E268C0">
      <w:pPr>
        <w:spacing w:line="321" w:lineRule="auto"/>
        <w:rPr>
          <w:rFonts w:ascii="宋体" w:hAnsi="宋体" w:eastAsia="宋体" w:cs="宋体"/>
          <w:sz w:val="18"/>
          <w:szCs w:val="18"/>
        </w:rPr>
        <w:sectPr>
          <w:footerReference r:id="rId93" w:type="default"/>
          <w:pgSz w:w="11907" w:h="16841"/>
          <w:pgMar w:top="400" w:right="1328" w:bottom="1126" w:left="1416" w:header="0" w:footer="925" w:gutter="0"/>
          <w:cols w:space="720" w:num="1"/>
        </w:sectPr>
      </w:pPr>
    </w:p>
    <w:p w14:paraId="2C3FDE49">
      <w:pPr>
        <w:spacing w:line="243" w:lineRule="auto"/>
        <w:rPr>
          <w:rFonts w:ascii="Arial"/>
          <w:sz w:val="21"/>
        </w:rPr>
      </w:pPr>
    </w:p>
    <w:p w14:paraId="61AC73B8">
      <w:pPr>
        <w:spacing w:line="243" w:lineRule="auto"/>
        <w:rPr>
          <w:rFonts w:ascii="Arial"/>
          <w:sz w:val="21"/>
        </w:rPr>
      </w:pPr>
    </w:p>
    <w:p w14:paraId="1C1DCDC0">
      <w:pPr>
        <w:spacing w:line="243" w:lineRule="auto"/>
        <w:rPr>
          <w:rFonts w:ascii="Arial"/>
          <w:sz w:val="21"/>
        </w:rPr>
      </w:pPr>
    </w:p>
    <w:p w14:paraId="479889DC">
      <w:pPr>
        <w:spacing w:line="243" w:lineRule="auto"/>
        <w:rPr>
          <w:rFonts w:ascii="Arial"/>
          <w:sz w:val="21"/>
        </w:rPr>
      </w:pPr>
    </w:p>
    <w:p w14:paraId="7371D21A">
      <w:pPr>
        <w:spacing w:line="244" w:lineRule="auto"/>
        <w:rPr>
          <w:rFonts w:ascii="Arial"/>
          <w:sz w:val="21"/>
        </w:rPr>
      </w:pPr>
    </w:p>
    <w:p w14:paraId="56ED81B5">
      <w:pPr>
        <w:spacing w:before="58" w:line="212" w:lineRule="auto"/>
        <w:rPr>
          <w:rFonts w:ascii="宋体" w:hAnsi="宋体" w:eastAsia="宋体" w:cs="宋体"/>
          <w:sz w:val="18"/>
          <w:szCs w:val="18"/>
        </w:rPr>
      </w:pPr>
      <w:r>
        <w:rPr>
          <w:rFonts w:ascii="宋体" w:hAnsi="宋体" w:eastAsia="宋体" w:cs="宋体"/>
          <w:spacing w:val="-6"/>
          <w:sz w:val="18"/>
          <w:szCs w:val="18"/>
        </w:rPr>
        <w:t>应强度</w:t>
      </w:r>
      <w:r>
        <w:rPr>
          <w:rFonts w:ascii="宋体" w:hAnsi="宋体" w:eastAsia="宋体" w:cs="宋体"/>
          <w:spacing w:val="-16"/>
          <w:sz w:val="18"/>
          <w:szCs w:val="18"/>
        </w:rPr>
        <w:t xml:space="preserve"> </w:t>
      </w:r>
      <w:r>
        <w:rPr>
          <w:rFonts w:ascii="Times New Roman" w:hAnsi="Times New Roman" w:eastAsia="Times New Roman" w:cs="Times New Roman"/>
          <w:spacing w:val="-6"/>
          <w:sz w:val="18"/>
          <w:szCs w:val="18"/>
        </w:rPr>
        <w:t>100μT</w:t>
      </w:r>
      <w:r>
        <w:rPr>
          <w:rFonts w:ascii="Times New Roman" w:hAnsi="Times New Roman" w:eastAsia="Times New Roman" w:cs="Times New Roman"/>
          <w:spacing w:val="23"/>
          <w:sz w:val="18"/>
          <w:szCs w:val="18"/>
        </w:rPr>
        <w:t xml:space="preserve"> </w:t>
      </w:r>
      <w:r>
        <w:rPr>
          <w:rFonts w:ascii="宋体" w:hAnsi="宋体" w:eastAsia="宋体" w:cs="宋体"/>
          <w:spacing w:val="-6"/>
          <w:sz w:val="18"/>
          <w:szCs w:val="18"/>
        </w:rPr>
        <w:t>的要求。</w:t>
      </w:r>
    </w:p>
    <w:p w14:paraId="3F58DF8B">
      <w:pPr>
        <w:spacing w:before="211" w:line="232" w:lineRule="auto"/>
        <w:ind w:left="11"/>
        <w:rPr>
          <w:rFonts w:ascii="宋体" w:hAnsi="宋体" w:eastAsia="宋体" w:cs="宋体"/>
          <w:sz w:val="28"/>
          <w:szCs w:val="28"/>
        </w:rPr>
      </w:pPr>
      <w:bookmarkStart w:id="14" w:name="bookmark21"/>
      <w:bookmarkEnd w:id="14"/>
      <w:r>
        <w:rPr>
          <w:rFonts w:ascii="Times New Roman" w:hAnsi="Times New Roman" w:eastAsia="Times New Roman" w:cs="Times New Roman"/>
          <w:b/>
          <w:bCs/>
          <w:spacing w:val="-4"/>
          <w:sz w:val="28"/>
          <w:szCs w:val="28"/>
        </w:rPr>
        <w:t xml:space="preserve">1.4 </w:t>
      </w:r>
      <w:r>
        <w:rPr>
          <w:rFonts w:ascii="宋体" w:hAnsi="宋体" w:eastAsia="宋体" w:cs="宋体"/>
          <w:b/>
          <w:bCs/>
          <w:spacing w:val="-4"/>
          <w:sz w:val="28"/>
          <w:szCs w:val="28"/>
        </w:rPr>
        <w:t>评价标准</w:t>
      </w:r>
    </w:p>
    <w:p w14:paraId="3CFB57EC">
      <w:pPr>
        <w:spacing w:before="213" w:line="358" w:lineRule="auto"/>
        <w:ind w:left="5" w:firstLine="477"/>
        <w:jc w:val="both"/>
        <w:rPr>
          <w:rFonts w:ascii="宋体" w:hAnsi="宋体" w:eastAsia="宋体" w:cs="宋体"/>
          <w:sz w:val="24"/>
          <w:szCs w:val="24"/>
        </w:rPr>
      </w:pPr>
      <w:r>
        <w:rPr>
          <w:rFonts w:ascii="宋体" w:hAnsi="宋体" w:eastAsia="宋体" w:cs="宋体"/>
          <w:spacing w:val="-5"/>
          <w:sz w:val="24"/>
          <w:szCs w:val="24"/>
        </w:rPr>
        <w:t>根据《电磁环境控制限值》（</w:t>
      </w:r>
      <w:r>
        <w:rPr>
          <w:rFonts w:ascii="Times New Roman" w:hAnsi="Times New Roman" w:eastAsia="Times New Roman" w:cs="Times New Roman"/>
          <w:spacing w:val="-5"/>
          <w:sz w:val="24"/>
          <w:szCs w:val="24"/>
        </w:rPr>
        <w:t>GB8702-2014</w:t>
      </w:r>
      <w:r>
        <w:rPr>
          <w:rFonts w:ascii="宋体" w:hAnsi="宋体" w:eastAsia="宋体" w:cs="宋体"/>
          <w:spacing w:val="-58"/>
          <w:sz w:val="24"/>
          <w:szCs w:val="24"/>
        </w:rPr>
        <w:t>），</w:t>
      </w:r>
      <w:r>
        <w:rPr>
          <w:rFonts w:ascii="Times New Roman" w:hAnsi="Times New Roman" w:eastAsia="Times New Roman" w:cs="Times New Roman"/>
          <w:spacing w:val="-5"/>
          <w:sz w:val="24"/>
          <w:szCs w:val="24"/>
        </w:rPr>
        <w:t xml:space="preserve">50Hz </w:t>
      </w:r>
      <w:r>
        <w:rPr>
          <w:rFonts w:ascii="宋体" w:hAnsi="宋体" w:eastAsia="宋体" w:cs="宋体"/>
          <w:spacing w:val="-5"/>
          <w:sz w:val="24"/>
          <w:szCs w:val="24"/>
        </w:rPr>
        <w:t>频率下，环境中工频电场强度的</w:t>
      </w:r>
      <w:r>
        <w:rPr>
          <w:rFonts w:ascii="宋体" w:hAnsi="宋体" w:eastAsia="宋体" w:cs="宋体"/>
          <w:spacing w:val="-2"/>
          <w:sz w:val="24"/>
          <w:szCs w:val="24"/>
        </w:rPr>
        <w:t>公众曝露控制限值为</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4kV/m</w:t>
      </w:r>
      <w:r>
        <w:rPr>
          <w:rFonts w:ascii="宋体" w:hAnsi="宋体" w:eastAsia="宋体" w:cs="宋体"/>
          <w:spacing w:val="-2"/>
          <w:sz w:val="24"/>
          <w:szCs w:val="24"/>
        </w:rPr>
        <w:t>，工频磁感应强度的公众曝露控制限值为</w:t>
      </w:r>
      <w:r>
        <w:rPr>
          <w:rFonts w:ascii="宋体" w:hAnsi="宋体" w:eastAsia="宋体" w:cs="宋体"/>
          <w:spacing w:val="-31"/>
          <w:sz w:val="24"/>
          <w:szCs w:val="24"/>
        </w:rPr>
        <w:t xml:space="preserve"> </w:t>
      </w:r>
      <w:r>
        <w:rPr>
          <w:rFonts w:ascii="Times New Roman" w:hAnsi="Times New Roman" w:eastAsia="Times New Roman" w:cs="Times New Roman"/>
          <w:spacing w:val="-2"/>
          <w:sz w:val="24"/>
          <w:szCs w:val="24"/>
        </w:rPr>
        <w:t>100µT</w:t>
      </w:r>
      <w:r>
        <w:rPr>
          <w:rFonts w:ascii="宋体" w:hAnsi="宋体" w:eastAsia="宋体" w:cs="宋体"/>
          <w:spacing w:val="-2"/>
          <w:sz w:val="24"/>
          <w:szCs w:val="24"/>
        </w:rPr>
        <w:t>。架空</w:t>
      </w:r>
      <w:r>
        <w:rPr>
          <w:rFonts w:ascii="宋体" w:hAnsi="宋体" w:eastAsia="宋体" w:cs="宋体"/>
          <w:spacing w:val="-3"/>
          <w:sz w:val="24"/>
          <w:szCs w:val="24"/>
        </w:rPr>
        <w:t>输电</w:t>
      </w:r>
      <w:r>
        <w:rPr>
          <w:rFonts w:ascii="宋体" w:hAnsi="宋体" w:eastAsia="宋体" w:cs="宋体"/>
          <w:spacing w:val="-1"/>
          <w:sz w:val="24"/>
          <w:szCs w:val="24"/>
        </w:rPr>
        <w:t>线路下的耕地、园地、牧草地、畜禽饲养地、养殖水面、</w:t>
      </w:r>
      <w:r>
        <w:rPr>
          <w:rFonts w:ascii="宋体" w:hAnsi="宋体" w:eastAsia="宋体" w:cs="宋体"/>
          <w:spacing w:val="-2"/>
          <w:sz w:val="24"/>
          <w:szCs w:val="24"/>
        </w:rPr>
        <w:t>道路等场所，其频率</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50Hz</w:t>
      </w:r>
      <w:r>
        <w:rPr>
          <w:rFonts w:ascii="Times New Roman" w:hAnsi="Times New Roman" w:eastAsia="Times New Roman" w:cs="Times New Roman"/>
          <w:spacing w:val="43"/>
          <w:sz w:val="24"/>
          <w:szCs w:val="24"/>
        </w:rPr>
        <w:t xml:space="preserve"> </w:t>
      </w:r>
      <w:r>
        <w:rPr>
          <w:rFonts w:ascii="宋体" w:hAnsi="宋体" w:eastAsia="宋体" w:cs="宋体"/>
          <w:spacing w:val="-2"/>
          <w:sz w:val="24"/>
          <w:szCs w:val="24"/>
        </w:rPr>
        <w:t>的</w:t>
      </w:r>
      <w:r>
        <w:rPr>
          <w:rFonts w:ascii="宋体" w:hAnsi="宋体" w:eastAsia="宋体" w:cs="宋体"/>
          <w:spacing w:val="-3"/>
          <w:sz w:val="24"/>
          <w:szCs w:val="24"/>
        </w:rPr>
        <w:t>电场强度控制限值为</w:t>
      </w:r>
      <w:r>
        <w:rPr>
          <w:rFonts w:ascii="宋体" w:hAnsi="宋体" w:eastAsia="宋体" w:cs="宋体"/>
          <w:spacing w:val="-25"/>
          <w:sz w:val="24"/>
          <w:szCs w:val="24"/>
        </w:rPr>
        <w:t xml:space="preserve"> </w:t>
      </w:r>
      <w:r>
        <w:rPr>
          <w:rFonts w:ascii="Times New Roman" w:hAnsi="Times New Roman" w:eastAsia="Times New Roman" w:cs="Times New Roman"/>
          <w:spacing w:val="-3"/>
          <w:sz w:val="24"/>
          <w:szCs w:val="24"/>
        </w:rPr>
        <w:t>10kV/m</w:t>
      </w:r>
      <w:r>
        <w:rPr>
          <w:rFonts w:ascii="宋体" w:hAnsi="宋体" w:eastAsia="宋体" w:cs="宋体"/>
          <w:spacing w:val="-3"/>
          <w:sz w:val="24"/>
          <w:szCs w:val="24"/>
        </w:rPr>
        <w:t>。</w:t>
      </w:r>
    </w:p>
    <w:p w14:paraId="6A4A9CFD">
      <w:pPr>
        <w:spacing w:line="358" w:lineRule="auto"/>
        <w:rPr>
          <w:rFonts w:ascii="宋体" w:hAnsi="宋体" w:eastAsia="宋体" w:cs="宋体"/>
          <w:sz w:val="24"/>
          <w:szCs w:val="24"/>
        </w:rPr>
        <w:sectPr>
          <w:footerReference r:id="rId94" w:type="default"/>
          <w:pgSz w:w="11907" w:h="16841"/>
          <w:pgMar w:top="400" w:right="1414" w:bottom="1126" w:left="1425" w:header="0" w:footer="925" w:gutter="0"/>
          <w:cols w:space="720" w:num="1"/>
        </w:sectPr>
      </w:pPr>
    </w:p>
    <w:p w14:paraId="7E9390C5">
      <w:pPr>
        <w:spacing w:line="252" w:lineRule="auto"/>
        <w:rPr>
          <w:rFonts w:ascii="Arial"/>
          <w:sz w:val="21"/>
        </w:rPr>
      </w:pPr>
    </w:p>
    <w:p w14:paraId="0B043EF0">
      <w:pPr>
        <w:spacing w:line="252" w:lineRule="auto"/>
        <w:rPr>
          <w:rFonts w:ascii="Arial"/>
          <w:sz w:val="21"/>
        </w:rPr>
      </w:pPr>
    </w:p>
    <w:p w14:paraId="276BA67F">
      <w:pPr>
        <w:spacing w:line="252" w:lineRule="auto"/>
        <w:rPr>
          <w:rFonts w:ascii="Arial"/>
          <w:sz w:val="21"/>
        </w:rPr>
      </w:pPr>
    </w:p>
    <w:p w14:paraId="08D1918D">
      <w:pPr>
        <w:spacing w:line="252" w:lineRule="auto"/>
        <w:rPr>
          <w:rFonts w:ascii="Arial"/>
          <w:sz w:val="21"/>
        </w:rPr>
      </w:pPr>
    </w:p>
    <w:p w14:paraId="12A244FC">
      <w:pPr>
        <w:spacing w:line="252" w:lineRule="auto"/>
        <w:rPr>
          <w:rFonts w:ascii="Arial"/>
          <w:sz w:val="21"/>
        </w:rPr>
      </w:pPr>
    </w:p>
    <w:p w14:paraId="279E4984">
      <w:pPr>
        <w:spacing w:before="101" w:line="239" w:lineRule="auto"/>
        <w:ind w:left="2"/>
        <w:rPr>
          <w:rFonts w:ascii="宋体" w:hAnsi="宋体" w:eastAsia="宋体" w:cs="宋体"/>
          <w:sz w:val="31"/>
          <w:szCs w:val="31"/>
        </w:rPr>
      </w:pPr>
      <w:bookmarkStart w:id="15" w:name="bookmark22"/>
      <w:bookmarkEnd w:id="15"/>
      <w:r>
        <w:rPr>
          <w:rFonts w:ascii="Times New Roman" w:hAnsi="Times New Roman" w:eastAsia="Times New Roman" w:cs="Times New Roman"/>
          <w:b/>
          <w:bCs/>
          <w:spacing w:val="3"/>
          <w:sz w:val="31"/>
          <w:szCs w:val="31"/>
        </w:rPr>
        <w:t>2</w:t>
      </w:r>
      <w:r>
        <w:rPr>
          <w:rFonts w:ascii="宋体" w:hAnsi="宋体" w:eastAsia="宋体" w:cs="宋体"/>
          <w:b/>
          <w:bCs/>
          <w:spacing w:val="3"/>
          <w:sz w:val="31"/>
          <w:szCs w:val="31"/>
        </w:rPr>
        <w:t>、工程概况</w:t>
      </w:r>
    </w:p>
    <w:p w14:paraId="388D2F0F">
      <w:pPr>
        <w:spacing w:before="188" w:line="358" w:lineRule="auto"/>
        <w:ind w:firstLine="488"/>
        <w:jc w:val="both"/>
        <w:rPr>
          <w:rFonts w:ascii="宋体" w:hAnsi="宋体" w:eastAsia="宋体" w:cs="宋体"/>
          <w:sz w:val="24"/>
          <w:szCs w:val="24"/>
        </w:rPr>
      </w:pPr>
      <w:r>
        <w:rPr>
          <w:rFonts w:ascii="宋体" w:hAnsi="宋体" w:eastAsia="宋体" w:cs="宋体"/>
          <w:spacing w:val="-4"/>
          <w:sz w:val="24"/>
          <w:szCs w:val="24"/>
        </w:rPr>
        <w:t>项目全线位于云南省曲靖市会泽县迤车镇及</w:t>
      </w:r>
      <w:r>
        <w:rPr>
          <w:rFonts w:ascii="宋体" w:hAnsi="宋体" w:eastAsia="宋体" w:cs="宋体"/>
          <w:spacing w:val="-5"/>
          <w:sz w:val="24"/>
          <w:szCs w:val="24"/>
        </w:rPr>
        <w:t>乐业镇，</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回线路分别为：乐业变</w:t>
      </w:r>
      <w:r>
        <w:rPr>
          <w:rFonts w:ascii="Times New Roman" w:hAnsi="Times New Roman" w:eastAsia="Times New Roman" w:cs="Times New Roman"/>
          <w:spacing w:val="-5"/>
          <w:sz w:val="24"/>
          <w:szCs w:val="24"/>
        </w:rPr>
        <w:t>~</w:t>
      </w:r>
      <w:r>
        <w:rPr>
          <w:rFonts w:ascii="宋体" w:hAnsi="宋体" w:eastAsia="宋体" w:cs="宋体"/>
          <w:spacing w:val="-5"/>
          <w:sz w:val="24"/>
          <w:szCs w:val="24"/>
        </w:rPr>
        <w:t>迤车</w:t>
      </w:r>
      <w:r>
        <w:rPr>
          <w:rFonts w:ascii="宋体" w:hAnsi="宋体" w:eastAsia="宋体" w:cs="宋体"/>
          <w:spacing w:val="-2"/>
          <w:sz w:val="24"/>
          <w:szCs w:val="24"/>
        </w:rPr>
        <w:t>变</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 xml:space="preserve">220kV </w:t>
      </w:r>
      <w:r>
        <w:rPr>
          <w:rFonts w:ascii="宋体" w:hAnsi="宋体" w:eastAsia="宋体" w:cs="宋体"/>
          <w:spacing w:val="-2"/>
          <w:sz w:val="24"/>
          <w:szCs w:val="24"/>
        </w:rPr>
        <w:t>线路（</w:t>
      </w:r>
      <w:r>
        <w:rPr>
          <w:rFonts w:ascii="Times New Roman" w:hAnsi="Times New Roman" w:eastAsia="Times New Roman" w:cs="Times New Roman"/>
          <w:spacing w:val="-2"/>
          <w:sz w:val="24"/>
          <w:szCs w:val="24"/>
        </w:rPr>
        <w:t>C</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回）、迤车变</w:t>
      </w:r>
      <w:r>
        <w:rPr>
          <w:rFonts w:ascii="Times New Roman" w:hAnsi="Times New Roman" w:eastAsia="Times New Roman" w:cs="Times New Roman"/>
          <w:spacing w:val="-2"/>
          <w:sz w:val="24"/>
          <w:szCs w:val="24"/>
        </w:rPr>
        <w:t>~</w:t>
      </w:r>
      <w:r>
        <w:rPr>
          <w:rFonts w:ascii="宋体" w:hAnsi="宋体" w:eastAsia="宋体" w:cs="宋体"/>
          <w:spacing w:val="-2"/>
          <w:sz w:val="24"/>
          <w:szCs w:val="24"/>
        </w:rPr>
        <w:t>迤车牵引变</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 xml:space="preserve">220kV </w:t>
      </w:r>
      <w:r>
        <w:rPr>
          <w:rFonts w:ascii="宋体" w:hAnsi="宋体" w:eastAsia="宋体" w:cs="宋体"/>
          <w:spacing w:val="-2"/>
          <w:sz w:val="24"/>
          <w:szCs w:val="24"/>
        </w:rPr>
        <w:t>线路（</w:t>
      </w:r>
      <w:r>
        <w:rPr>
          <w:rFonts w:ascii="Times New Roman" w:hAnsi="Times New Roman" w:eastAsia="Times New Roman" w:cs="Times New Roman"/>
          <w:spacing w:val="-2"/>
          <w:sz w:val="24"/>
          <w:szCs w:val="24"/>
        </w:rPr>
        <w:t>D</w:t>
      </w:r>
      <w:r>
        <w:rPr>
          <w:rFonts w:ascii="Times New Roman" w:hAnsi="Times New Roman" w:eastAsia="Times New Roman" w:cs="Times New Roman"/>
          <w:spacing w:val="33"/>
          <w:w w:val="101"/>
          <w:sz w:val="24"/>
          <w:szCs w:val="24"/>
        </w:rPr>
        <w:t xml:space="preserve"> </w:t>
      </w:r>
      <w:r>
        <w:rPr>
          <w:rFonts w:ascii="宋体" w:hAnsi="宋体" w:eastAsia="宋体" w:cs="宋体"/>
          <w:spacing w:val="-2"/>
          <w:sz w:val="24"/>
          <w:szCs w:val="24"/>
        </w:rPr>
        <w:t>回）、</w:t>
      </w:r>
      <w:r>
        <w:rPr>
          <w:rFonts w:ascii="Times New Roman" w:hAnsi="Times New Roman" w:eastAsia="Times New Roman" w:cs="Times New Roman"/>
          <w:spacing w:val="-2"/>
          <w:sz w:val="24"/>
          <w:szCs w:val="24"/>
        </w:rPr>
        <w:t xml:space="preserve">220kV </w:t>
      </w:r>
      <w:r>
        <w:rPr>
          <w:rFonts w:ascii="宋体" w:hAnsi="宋体" w:eastAsia="宋体" w:cs="宋体"/>
          <w:spacing w:val="-2"/>
          <w:sz w:val="24"/>
          <w:szCs w:val="24"/>
        </w:rPr>
        <w:t>者迤Ⅰ</w:t>
      </w:r>
      <w:r>
        <w:rPr>
          <w:rFonts w:ascii="宋体" w:hAnsi="宋体" w:eastAsia="宋体" w:cs="宋体"/>
          <w:spacing w:val="-3"/>
          <w:sz w:val="24"/>
          <w:szCs w:val="24"/>
        </w:rPr>
        <w:t>回线</w:t>
      </w:r>
      <w:r>
        <w:rPr>
          <w:rFonts w:ascii="宋体" w:hAnsi="宋体" w:eastAsia="宋体" w:cs="宋体"/>
          <w:spacing w:val="-5"/>
          <w:sz w:val="24"/>
          <w:szCs w:val="24"/>
        </w:rPr>
        <w:t>改接入迤车牵引变</w:t>
      </w:r>
      <w:r>
        <w:rPr>
          <w:rFonts w:ascii="宋体" w:hAnsi="宋体" w:eastAsia="宋体" w:cs="宋体"/>
          <w:spacing w:val="-46"/>
          <w:sz w:val="24"/>
          <w:szCs w:val="24"/>
        </w:rPr>
        <w:t xml:space="preserve"> </w:t>
      </w:r>
      <w:r>
        <w:rPr>
          <w:rFonts w:ascii="Times New Roman" w:hAnsi="Times New Roman" w:eastAsia="Times New Roman" w:cs="Times New Roman"/>
          <w:spacing w:val="-5"/>
          <w:sz w:val="24"/>
          <w:szCs w:val="24"/>
        </w:rPr>
        <w:t xml:space="preserve">220kV </w:t>
      </w:r>
      <w:r>
        <w:rPr>
          <w:rFonts w:ascii="宋体" w:hAnsi="宋体" w:eastAsia="宋体" w:cs="宋体"/>
          <w:spacing w:val="-5"/>
          <w:sz w:val="24"/>
          <w:szCs w:val="24"/>
        </w:rPr>
        <w:t>线路（</w:t>
      </w:r>
      <w:r>
        <w:rPr>
          <w:rFonts w:ascii="Times New Roman" w:hAnsi="Times New Roman" w:eastAsia="Times New Roman" w:cs="Times New Roman"/>
          <w:spacing w:val="-5"/>
          <w:sz w:val="24"/>
          <w:szCs w:val="24"/>
        </w:rPr>
        <w:t>E</w:t>
      </w:r>
      <w:r>
        <w:rPr>
          <w:rFonts w:ascii="Times New Roman" w:hAnsi="Times New Roman" w:eastAsia="Times New Roman" w:cs="Times New Roman"/>
          <w:spacing w:val="32"/>
          <w:w w:val="101"/>
          <w:sz w:val="24"/>
          <w:szCs w:val="24"/>
        </w:rPr>
        <w:t xml:space="preserve"> </w:t>
      </w:r>
      <w:r>
        <w:rPr>
          <w:rFonts w:ascii="宋体" w:hAnsi="宋体" w:eastAsia="宋体" w:cs="宋体"/>
          <w:spacing w:val="-5"/>
          <w:sz w:val="24"/>
          <w:szCs w:val="24"/>
        </w:rPr>
        <w:t>回）。</w:t>
      </w:r>
      <w:r>
        <w:rPr>
          <w:rFonts w:ascii="Times New Roman" w:hAnsi="Times New Roman" w:eastAsia="Times New Roman" w:cs="Times New Roman"/>
          <w:spacing w:val="-5"/>
          <w:sz w:val="24"/>
          <w:szCs w:val="24"/>
        </w:rPr>
        <w:t>C</w:t>
      </w:r>
      <w:r>
        <w:rPr>
          <w:rFonts w:ascii="Times New Roman" w:hAnsi="Times New Roman" w:eastAsia="Times New Roman" w:cs="Times New Roman"/>
          <w:spacing w:val="33"/>
          <w:w w:val="101"/>
          <w:sz w:val="24"/>
          <w:szCs w:val="24"/>
        </w:rPr>
        <w:t xml:space="preserve"> </w:t>
      </w:r>
      <w:r>
        <w:rPr>
          <w:rFonts w:ascii="宋体" w:hAnsi="宋体" w:eastAsia="宋体" w:cs="宋体"/>
          <w:spacing w:val="-5"/>
          <w:sz w:val="24"/>
          <w:szCs w:val="24"/>
        </w:rPr>
        <w:t>回起点为</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500kV</w:t>
      </w:r>
      <w:r>
        <w:rPr>
          <w:rFonts w:ascii="Times New Roman" w:hAnsi="Times New Roman" w:eastAsia="Times New Roman" w:cs="Times New Roman"/>
          <w:spacing w:val="16"/>
          <w:sz w:val="24"/>
          <w:szCs w:val="24"/>
        </w:rPr>
        <w:t xml:space="preserve"> </w:t>
      </w:r>
      <w:r>
        <w:rPr>
          <w:rFonts w:ascii="宋体" w:hAnsi="宋体" w:eastAsia="宋体" w:cs="宋体"/>
          <w:spacing w:val="-5"/>
          <w:sz w:val="24"/>
          <w:szCs w:val="24"/>
        </w:rPr>
        <w:t>乐业变，位于会泽县乐业镇</w:t>
      </w:r>
      <w:r>
        <w:rPr>
          <w:rFonts w:ascii="宋体" w:hAnsi="宋体" w:eastAsia="宋体" w:cs="宋体"/>
          <w:spacing w:val="-2"/>
          <w:sz w:val="24"/>
          <w:szCs w:val="24"/>
        </w:rPr>
        <w:t>北方</w:t>
      </w:r>
      <w:r>
        <w:rPr>
          <w:rFonts w:ascii="宋体" w:hAnsi="宋体" w:eastAsia="宋体" w:cs="宋体"/>
          <w:spacing w:val="-30"/>
          <w:sz w:val="24"/>
          <w:szCs w:val="24"/>
        </w:rPr>
        <w:t xml:space="preserve"> </w:t>
      </w:r>
      <w:r>
        <w:rPr>
          <w:rFonts w:ascii="Times New Roman" w:hAnsi="Times New Roman" w:eastAsia="Times New Roman" w:cs="Times New Roman"/>
          <w:spacing w:val="-2"/>
          <w:sz w:val="24"/>
          <w:szCs w:val="24"/>
        </w:rPr>
        <w:t>1.3km</w:t>
      </w:r>
      <w:r>
        <w:rPr>
          <w:rFonts w:ascii="宋体" w:hAnsi="宋体" w:eastAsia="宋体" w:cs="宋体"/>
          <w:spacing w:val="-2"/>
          <w:sz w:val="24"/>
          <w:szCs w:val="24"/>
        </w:rPr>
        <w:t>，终点为</w:t>
      </w:r>
      <w:r>
        <w:rPr>
          <w:rFonts w:ascii="宋体" w:hAnsi="宋体" w:eastAsia="宋体" w:cs="宋体"/>
          <w:spacing w:val="-39"/>
          <w:sz w:val="24"/>
          <w:szCs w:val="24"/>
        </w:rPr>
        <w:t xml:space="preserve"> </w:t>
      </w:r>
      <w:r>
        <w:rPr>
          <w:rFonts w:ascii="Times New Roman" w:hAnsi="Times New Roman" w:eastAsia="Times New Roman" w:cs="Times New Roman"/>
          <w:spacing w:val="-2"/>
          <w:sz w:val="24"/>
          <w:szCs w:val="24"/>
        </w:rPr>
        <w:t xml:space="preserve">220kV </w:t>
      </w:r>
      <w:r>
        <w:rPr>
          <w:rFonts w:ascii="宋体" w:hAnsi="宋体" w:eastAsia="宋体" w:cs="宋体"/>
          <w:spacing w:val="-2"/>
          <w:sz w:val="24"/>
          <w:szCs w:val="24"/>
        </w:rPr>
        <w:t>迤车变</w:t>
      </w:r>
      <w:r>
        <w:rPr>
          <w:rFonts w:ascii="宋体" w:hAnsi="宋体" w:eastAsia="宋体" w:cs="宋体"/>
          <w:spacing w:val="-3"/>
          <w:sz w:val="24"/>
          <w:szCs w:val="24"/>
        </w:rPr>
        <w:t>电站，位于会泽县迤车镇黑山村西侧</w:t>
      </w:r>
      <w:r>
        <w:rPr>
          <w:rFonts w:ascii="宋体" w:hAnsi="宋体" w:eastAsia="宋体" w:cs="宋体"/>
          <w:spacing w:val="-52"/>
          <w:sz w:val="24"/>
          <w:szCs w:val="24"/>
        </w:rPr>
        <w:t xml:space="preserve"> </w:t>
      </w:r>
      <w:r>
        <w:rPr>
          <w:rFonts w:ascii="Times New Roman" w:hAnsi="Times New Roman" w:eastAsia="Times New Roman" w:cs="Times New Roman"/>
          <w:spacing w:val="-3"/>
          <w:sz w:val="24"/>
          <w:szCs w:val="24"/>
        </w:rPr>
        <w:t>2.</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1km</w:t>
      </w:r>
      <w:r>
        <w:rPr>
          <w:rFonts w:ascii="宋体" w:hAnsi="宋体" w:eastAsia="宋体" w:cs="宋体"/>
          <w:spacing w:val="-3"/>
          <w:sz w:val="24"/>
          <w:szCs w:val="24"/>
        </w:rPr>
        <w:t>；</w:t>
      </w:r>
      <w:r>
        <w:rPr>
          <w:rFonts w:ascii="Times New Roman" w:hAnsi="Times New Roman" w:eastAsia="Times New Roman" w:cs="Times New Roman"/>
          <w:spacing w:val="-3"/>
          <w:sz w:val="24"/>
          <w:szCs w:val="24"/>
        </w:rPr>
        <w:t>D</w:t>
      </w:r>
      <w:r>
        <w:rPr>
          <w:rFonts w:ascii="Times New Roman" w:hAnsi="Times New Roman" w:eastAsia="Times New Roman" w:cs="Times New Roman"/>
          <w:spacing w:val="35"/>
          <w:w w:val="101"/>
          <w:sz w:val="24"/>
          <w:szCs w:val="24"/>
        </w:rPr>
        <w:t xml:space="preserve"> </w:t>
      </w:r>
      <w:r>
        <w:rPr>
          <w:rFonts w:ascii="宋体" w:hAnsi="宋体" w:eastAsia="宋体" w:cs="宋体"/>
          <w:spacing w:val="-3"/>
          <w:sz w:val="24"/>
          <w:szCs w:val="24"/>
        </w:rPr>
        <w:t>回起</w:t>
      </w:r>
      <w:r>
        <w:rPr>
          <w:rFonts w:ascii="宋体" w:hAnsi="宋体" w:eastAsia="宋体" w:cs="宋体"/>
          <w:spacing w:val="-2"/>
          <w:sz w:val="24"/>
          <w:szCs w:val="24"/>
        </w:rPr>
        <w:t>点为</w:t>
      </w:r>
      <w:r>
        <w:rPr>
          <w:rFonts w:ascii="宋体" w:hAnsi="宋体" w:eastAsia="宋体" w:cs="宋体"/>
          <w:spacing w:val="-15"/>
          <w:sz w:val="24"/>
          <w:szCs w:val="24"/>
        </w:rPr>
        <w:t xml:space="preserve">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32"/>
          <w:w w:val="101"/>
          <w:sz w:val="24"/>
          <w:szCs w:val="24"/>
        </w:rPr>
        <w:t xml:space="preserve"> </w:t>
      </w:r>
      <w:r>
        <w:rPr>
          <w:rFonts w:ascii="宋体" w:hAnsi="宋体" w:eastAsia="宋体" w:cs="宋体"/>
          <w:spacing w:val="-2"/>
          <w:sz w:val="24"/>
          <w:szCs w:val="24"/>
        </w:rPr>
        <w:t>迤车变电站，终点为</w:t>
      </w:r>
      <w:r>
        <w:rPr>
          <w:rFonts w:ascii="宋体" w:hAnsi="宋体" w:eastAsia="宋体" w:cs="宋体"/>
          <w:spacing w:val="-31"/>
          <w:sz w:val="24"/>
          <w:szCs w:val="24"/>
        </w:rPr>
        <w:t xml:space="preserve">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32"/>
          <w:w w:val="101"/>
          <w:sz w:val="24"/>
          <w:szCs w:val="24"/>
        </w:rPr>
        <w:t xml:space="preserve"> </w:t>
      </w:r>
      <w:r>
        <w:rPr>
          <w:rFonts w:ascii="宋体" w:hAnsi="宋体" w:eastAsia="宋体" w:cs="宋体"/>
          <w:spacing w:val="-2"/>
          <w:sz w:val="24"/>
          <w:szCs w:val="24"/>
        </w:rPr>
        <w:t>迤车牵引站，位于会泽县迤车镇；</w:t>
      </w:r>
      <w:r>
        <w:rPr>
          <w:rFonts w:ascii="Times New Roman" w:hAnsi="Times New Roman" w:eastAsia="Times New Roman" w:cs="Times New Roman"/>
          <w:spacing w:val="-2"/>
          <w:sz w:val="24"/>
          <w:szCs w:val="24"/>
        </w:rPr>
        <w:t>E</w:t>
      </w:r>
      <w:r>
        <w:rPr>
          <w:rFonts w:ascii="Times New Roman" w:hAnsi="Times New Roman" w:eastAsia="Times New Roman" w:cs="Times New Roman"/>
          <w:spacing w:val="57"/>
          <w:sz w:val="24"/>
          <w:szCs w:val="24"/>
        </w:rPr>
        <w:t xml:space="preserve"> </w:t>
      </w:r>
      <w:r>
        <w:rPr>
          <w:rFonts w:ascii="宋体" w:hAnsi="宋体" w:eastAsia="宋体" w:cs="宋体"/>
          <w:spacing w:val="-2"/>
          <w:sz w:val="24"/>
          <w:szCs w:val="24"/>
        </w:rPr>
        <w:t>回起点为</w:t>
      </w:r>
      <w:r>
        <w:rPr>
          <w:rFonts w:ascii="Times New Roman" w:hAnsi="Times New Roman" w:eastAsia="Times New Roman" w:cs="Times New Roman"/>
          <w:spacing w:val="-1"/>
          <w:sz w:val="24"/>
          <w:szCs w:val="24"/>
        </w:rPr>
        <w:t xml:space="preserve">220kV </w:t>
      </w:r>
      <w:r>
        <w:rPr>
          <w:rFonts w:ascii="宋体" w:hAnsi="宋体" w:eastAsia="宋体" w:cs="宋体"/>
          <w:spacing w:val="-1"/>
          <w:sz w:val="24"/>
          <w:szCs w:val="24"/>
        </w:rPr>
        <w:t>者迤Ⅰ回线</w:t>
      </w:r>
      <w:r>
        <w:rPr>
          <w:rFonts w:ascii="宋体" w:hAnsi="宋体" w:eastAsia="宋体" w:cs="宋体"/>
          <w:spacing w:val="-35"/>
          <w:sz w:val="24"/>
          <w:szCs w:val="24"/>
        </w:rPr>
        <w:t xml:space="preserve"> </w:t>
      </w:r>
      <w:r>
        <w:rPr>
          <w:rFonts w:ascii="Times New Roman" w:hAnsi="Times New Roman" w:eastAsia="Times New Roman" w:cs="Times New Roman"/>
          <w:spacing w:val="-1"/>
          <w:sz w:val="24"/>
          <w:szCs w:val="24"/>
        </w:rPr>
        <w:t>68#</w:t>
      </w:r>
      <w:r>
        <w:rPr>
          <w:rFonts w:ascii="宋体" w:hAnsi="宋体" w:eastAsia="宋体" w:cs="宋体"/>
          <w:spacing w:val="-1"/>
          <w:sz w:val="24"/>
          <w:szCs w:val="24"/>
        </w:rPr>
        <w:t>塔，位于会泽县迤车镇黑山村西北侧</w:t>
      </w:r>
      <w:r>
        <w:rPr>
          <w:rFonts w:ascii="宋体" w:hAnsi="宋体" w:eastAsia="宋体" w:cs="宋体"/>
          <w:spacing w:val="-48"/>
          <w:sz w:val="24"/>
          <w:szCs w:val="24"/>
        </w:rPr>
        <w:t xml:space="preserve"> </w:t>
      </w:r>
      <w:r>
        <w:rPr>
          <w:rFonts w:ascii="Times New Roman" w:hAnsi="Times New Roman" w:eastAsia="Times New Roman" w:cs="Times New Roman"/>
          <w:spacing w:val="-1"/>
          <w:sz w:val="24"/>
          <w:szCs w:val="24"/>
        </w:rPr>
        <w:t>0.2km</w:t>
      </w:r>
      <w:r>
        <w:rPr>
          <w:rFonts w:ascii="宋体" w:hAnsi="宋体" w:eastAsia="宋体" w:cs="宋体"/>
          <w:spacing w:val="-1"/>
          <w:sz w:val="24"/>
          <w:szCs w:val="24"/>
        </w:rPr>
        <w:t>，终点为</w:t>
      </w:r>
      <w:r>
        <w:rPr>
          <w:rFonts w:ascii="宋体" w:hAnsi="宋体" w:eastAsia="宋体" w:cs="宋体"/>
          <w:spacing w:val="-41"/>
          <w:sz w:val="24"/>
          <w:szCs w:val="24"/>
        </w:rPr>
        <w:t xml:space="preserve"> </w:t>
      </w:r>
      <w:r>
        <w:rPr>
          <w:rFonts w:ascii="Times New Roman" w:hAnsi="Times New Roman" w:eastAsia="Times New Roman" w:cs="Times New Roman"/>
          <w:spacing w:val="-1"/>
          <w:sz w:val="24"/>
          <w:szCs w:val="24"/>
        </w:rPr>
        <w:t xml:space="preserve">220kV </w:t>
      </w:r>
      <w:r>
        <w:rPr>
          <w:rFonts w:ascii="宋体" w:hAnsi="宋体" w:eastAsia="宋体" w:cs="宋体"/>
          <w:spacing w:val="-1"/>
          <w:sz w:val="24"/>
          <w:szCs w:val="24"/>
        </w:rPr>
        <w:t>迤车</w:t>
      </w:r>
      <w:r>
        <w:rPr>
          <w:rFonts w:ascii="宋体" w:hAnsi="宋体" w:eastAsia="宋体" w:cs="宋体"/>
          <w:spacing w:val="-2"/>
          <w:sz w:val="24"/>
          <w:szCs w:val="24"/>
        </w:rPr>
        <w:t>牵引站。</w:t>
      </w:r>
    </w:p>
    <w:p w14:paraId="6BAAEA84">
      <w:pPr>
        <w:spacing w:before="14" w:line="360" w:lineRule="auto"/>
        <w:ind w:left="2" w:firstLine="485"/>
        <w:jc w:val="both"/>
        <w:rPr>
          <w:rFonts w:ascii="宋体" w:hAnsi="宋体" w:eastAsia="宋体" w:cs="宋体"/>
          <w:sz w:val="24"/>
          <w:szCs w:val="24"/>
        </w:rPr>
      </w:pPr>
      <w:r>
        <w:rPr>
          <w:rFonts w:ascii="宋体" w:hAnsi="宋体" w:eastAsia="宋体" w:cs="宋体"/>
          <w:spacing w:val="-5"/>
          <w:sz w:val="24"/>
          <w:szCs w:val="24"/>
        </w:rPr>
        <w:t>项目建设</w:t>
      </w:r>
      <w:r>
        <w:rPr>
          <w:rFonts w:ascii="宋体" w:hAnsi="宋体" w:eastAsia="宋体" w:cs="宋体"/>
          <w:spacing w:val="-50"/>
          <w:sz w:val="24"/>
          <w:szCs w:val="24"/>
        </w:rPr>
        <w:t xml:space="preserve"> </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32"/>
          <w:w w:val="101"/>
          <w:sz w:val="24"/>
          <w:szCs w:val="24"/>
        </w:rPr>
        <w:t xml:space="preserve"> </w:t>
      </w:r>
      <w:r>
        <w:rPr>
          <w:rFonts w:ascii="宋体" w:hAnsi="宋体" w:eastAsia="宋体" w:cs="宋体"/>
          <w:spacing w:val="-5"/>
          <w:sz w:val="24"/>
          <w:szCs w:val="24"/>
        </w:rPr>
        <w:t>回输电线路，分别为：乐业变</w:t>
      </w:r>
      <w:r>
        <w:rPr>
          <w:rFonts w:ascii="Times New Roman" w:hAnsi="Times New Roman" w:eastAsia="Times New Roman" w:cs="Times New Roman"/>
          <w:spacing w:val="-5"/>
          <w:sz w:val="24"/>
          <w:szCs w:val="24"/>
        </w:rPr>
        <w:t>~</w:t>
      </w:r>
      <w:r>
        <w:rPr>
          <w:rFonts w:ascii="宋体" w:hAnsi="宋体" w:eastAsia="宋体" w:cs="宋体"/>
          <w:spacing w:val="-5"/>
          <w:sz w:val="24"/>
          <w:szCs w:val="24"/>
        </w:rPr>
        <w:t>迤车变</w:t>
      </w:r>
      <w:r>
        <w:rPr>
          <w:rFonts w:ascii="宋体" w:hAnsi="宋体" w:eastAsia="宋体" w:cs="宋体"/>
          <w:spacing w:val="-55"/>
          <w:sz w:val="24"/>
          <w:szCs w:val="24"/>
        </w:rPr>
        <w:t xml:space="preserve"> </w:t>
      </w:r>
      <w:r>
        <w:rPr>
          <w:rFonts w:ascii="Times New Roman" w:hAnsi="Times New Roman" w:eastAsia="Times New Roman" w:cs="Times New Roman"/>
          <w:spacing w:val="-5"/>
          <w:sz w:val="24"/>
          <w:szCs w:val="24"/>
        </w:rPr>
        <w:t xml:space="preserve">220kV </w:t>
      </w:r>
      <w:r>
        <w:rPr>
          <w:rFonts w:ascii="宋体" w:hAnsi="宋体" w:eastAsia="宋体" w:cs="宋体"/>
          <w:spacing w:val="-5"/>
          <w:sz w:val="24"/>
          <w:szCs w:val="24"/>
        </w:rPr>
        <w:t>线路（</w:t>
      </w:r>
      <w:r>
        <w:rPr>
          <w:rFonts w:ascii="Times New Roman" w:hAnsi="Times New Roman" w:eastAsia="Times New Roman" w:cs="Times New Roman"/>
          <w:spacing w:val="-5"/>
          <w:sz w:val="24"/>
          <w:szCs w:val="24"/>
        </w:rPr>
        <w:t>C</w:t>
      </w:r>
      <w:r>
        <w:rPr>
          <w:rFonts w:ascii="Times New Roman" w:hAnsi="Times New Roman" w:eastAsia="Times New Roman" w:cs="Times New Roman"/>
          <w:spacing w:val="34"/>
          <w:sz w:val="24"/>
          <w:szCs w:val="24"/>
        </w:rPr>
        <w:t xml:space="preserve"> </w:t>
      </w:r>
      <w:r>
        <w:rPr>
          <w:rFonts w:ascii="宋体" w:hAnsi="宋体" w:eastAsia="宋体" w:cs="宋体"/>
          <w:spacing w:val="-5"/>
          <w:sz w:val="24"/>
          <w:szCs w:val="24"/>
        </w:rPr>
        <w:t>回）、迤车变</w:t>
      </w:r>
      <w:r>
        <w:rPr>
          <w:rFonts w:ascii="Times New Roman" w:hAnsi="Times New Roman" w:eastAsia="Times New Roman" w:cs="Times New Roman"/>
          <w:spacing w:val="-5"/>
          <w:sz w:val="24"/>
          <w:szCs w:val="24"/>
        </w:rPr>
        <w:t>~</w:t>
      </w:r>
      <w:r>
        <w:rPr>
          <w:rFonts w:ascii="宋体" w:hAnsi="宋体" w:eastAsia="宋体" w:cs="宋体"/>
          <w:spacing w:val="-5"/>
          <w:sz w:val="24"/>
          <w:szCs w:val="24"/>
        </w:rPr>
        <w:t>迤</w:t>
      </w:r>
      <w:r>
        <w:rPr>
          <w:rFonts w:ascii="宋体" w:hAnsi="宋体" w:eastAsia="宋体" w:cs="宋体"/>
          <w:spacing w:val="-2"/>
          <w:sz w:val="24"/>
          <w:szCs w:val="24"/>
        </w:rPr>
        <w:t>车牵引变</w:t>
      </w:r>
      <w:r>
        <w:rPr>
          <w:rFonts w:ascii="宋体" w:hAnsi="宋体" w:eastAsia="宋体" w:cs="宋体"/>
          <w:spacing w:val="-12"/>
          <w:sz w:val="24"/>
          <w:szCs w:val="24"/>
        </w:rPr>
        <w:t xml:space="preserve">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42"/>
          <w:w w:val="101"/>
          <w:sz w:val="24"/>
          <w:szCs w:val="24"/>
        </w:rPr>
        <w:t xml:space="preserve"> </w:t>
      </w:r>
      <w:r>
        <w:rPr>
          <w:rFonts w:ascii="宋体" w:hAnsi="宋体" w:eastAsia="宋体" w:cs="宋体"/>
          <w:spacing w:val="-2"/>
          <w:sz w:val="24"/>
          <w:szCs w:val="24"/>
        </w:rPr>
        <w:t>线路（</w:t>
      </w:r>
      <w:r>
        <w:rPr>
          <w:rFonts w:ascii="Times New Roman" w:hAnsi="Times New Roman" w:eastAsia="Times New Roman" w:cs="Times New Roman"/>
          <w:spacing w:val="-2"/>
          <w:sz w:val="24"/>
          <w:szCs w:val="24"/>
        </w:rPr>
        <w:t xml:space="preserve">D  </w:t>
      </w:r>
      <w:r>
        <w:rPr>
          <w:rFonts w:ascii="宋体" w:hAnsi="宋体" w:eastAsia="宋体" w:cs="宋体"/>
          <w:spacing w:val="-2"/>
          <w:sz w:val="24"/>
          <w:szCs w:val="24"/>
        </w:rPr>
        <w:t>回）、</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42"/>
          <w:w w:val="101"/>
          <w:sz w:val="24"/>
          <w:szCs w:val="24"/>
        </w:rPr>
        <w:t xml:space="preserve"> </w:t>
      </w:r>
      <w:r>
        <w:rPr>
          <w:rFonts w:ascii="宋体" w:hAnsi="宋体" w:eastAsia="宋体" w:cs="宋体"/>
          <w:spacing w:val="-2"/>
          <w:sz w:val="24"/>
          <w:szCs w:val="24"/>
        </w:rPr>
        <w:t>者迤Ⅰ回线改接入迤车牵引变</w:t>
      </w:r>
      <w:r>
        <w:rPr>
          <w:rFonts w:ascii="宋体" w:hAnsi="宋体" w:eastAsia="宋体" w:cs="宋体"/>
          <w:spacing w:val="-23"/>
          <w:sz w:val="24"/>
          <w:szCs w:val="24"/>
        </w:rPr>
        <w:t xml:space="preserve">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43"/>
          <w:sz w:val="24"/>
          <w:szCs w:val="24"/>
        </w:rPr>
        <w:t xml:space="preserve"> </w:t>
      </w:r>
      <w:r>
        <w:rPr>
          <w:rFonts w:ascii="宋体" w:hAnsi="宋体" w:eastAsia="宋体" w:cs="宋体"/>
          <w:spacing w:val="-2"/>
          <w:sz w:val="24"/>
          <w:szCs w:val="24"/>
        </w:rPr>
        <w:t>线路（</w:t>
      </w:r>
      <w:r>
        <w:rPr>
          <w:rFonts w:ascii="Times New Roman" w:hAnsi="Times New Roman" w:eastAsia="Times New Roman" w:cs="Times New Roman"/>
          <w:spacing w:val="-2"/>
          <w:sz w:val="24"/>
          <w:szCs w:val="24"/>
        </w:rPr>
        <w:t>E</w:t>
      </w:r>
      <w:r>
        <w:rPr>
          <w:rFonts w:ascii="宋体" w:hAnsi="宋体" w:eastAsia="宋体" w:cs="宋体"/>
          <w:spacing w:val="-2"/>
          <w:sz w:val="24"/>
          <w:szCs w:val="24"/>
        </w:rPr>
        <w:t>回）。线路总长约</w:t>
      </w:r>
      <w:r>
        <w:rPr>
          <w:rFonts w:ascii="宋体" w:hAnsi="宋体" w:eastAsia="宋体" w:cs="宋体"/>
          <w:spacing w:val="-54"/>
          <w:sz w:val="24"/>
          <w:szCs w:val="24"/>
        </w:rPr>
        <w:t xml:space="preserve"> </w:t>
      </w:r>
      <w:r>
        <w:rPr>
          <w:rFonts w:ascii="Times New Roman" w:hAnsi="Times New Roman" w:eastAsia="Times New Roman" w:cs="Times New Roman"/>
          <w:spacing w:val="-2"/>
          <w:sz w:val="24"/>
          <w:szCs w:val="24"/>
        </w:rPr>
        <w:t>21.5km</w:t>
      </w:r>
      <w:r>
        <w:rPr>
          <w:rFonts w:ascii="宋体" w:hAnsi="宋体" w:eastAsia="宋体" w:cs="宋体"/>
          <w:spacing w:val="-2"/>
          <w:sz w:val="24"/>
          <w:szCs w:val="24"/>
        </w:rPr>
        <w:t>，全线单、双回路混合架设，导线采用</w:t>
      </w:r>
      <w:r>
        <w:rPr>
          <w:rFonts w:ascii="宋体" w:hAnsi="宋体" w:eastAsia="宋体" w:cs="宋体"/>
          <w:spacing w:val="-54"/>
          <w:sz w:val="24"/>
          <w:szCs w:val="24"/>
        </w:rPr>
        <w:t xml:space="preserve"> </w:t>
      </w:r>
      <w:r>
        <w:rPr>
          <w:rFonts w:ascii="Times New Roman" w:hAnsi="Times New Roman" w:eastAsia="Times New Roman" w:cs="Times New Roman"/>
          <w:spacing w:val="-2"/>
          <w:sz w:val="24"/>
          <w:szCs w:val="24"/>
        </w:rPr>
        <w:t>JL/LB20A-</w:t>
      </w:r>
      <w:r>
        <w:rPr>
          <w:rFonts w:ascii="Times New Roman" w:hAnsi="Times New Roman" w:eastAsia="Times New Roman" w:cs="Times New Roman"/>
          <w:spacing w:val="-3"/>
          <w:sz w:val="24"/>
          <w:szCs w:val="24"/>
        </w:rPr>
        <w:t xml:space="preserve">400/50 </w:t>
      </w:r>
      <w:r>
        <w:rPr>
          <w:rFonts w:ascii="宋体" w:hAnsi="宋体" w:eastAsia="宋体" w:cs="宋体"/>
          <w:spacing w:val="-3"/>
          <w:sz w:val="24"/>
          <w:szCs w:val="24"/>
        </w:rPr>
        <w:t>铝包</w:t>
      </w:r>
      <w:r>
        <w:rPr>
          <w:rFonts w:ascii="宋体" w:hAnsi="宋体" w:eastAsia="宋体" w:cs="宋体"/>
          <w:spacing w:val="-1"/>
          <w:sz w:val="24"/>
          <w:szCs w:val="24"/>
        </w:rPr>
        <w:t xml:space="preserve">钢芯铝绞线，地线一根为 </w:t>
      </w:r>
      <w:r>
        <w:rPr>
          <w:rFonts w:ascii="Times New Roman" w:hAnsi="Times New Roman" w:eastAsia="Times New Roman" w:cs="Times New Roman"/>
          <w:spacing w:val="-1"/>
          <w:sz w:val="24"/>
          <w:szCs w:val="24"/>
        </w:rPr>
        <w:t>OPGW</w:t>
      </w:r>
      <w:r>
        <w:rPr>
          <w:rFonts w:ascii="Times New Roman" w:hAnsi="Times New Roman" w:eastAsia="Times New Roman" w:cs="Times New Roman"/>
          <w:spacing w:val="56"/>
          <w:sz w:val="24"/>
          <w:szCs w:val="24"/>
        </w:rPr>
        <w:t xml:space="preserve"> </w:t>
      </w:r>
      <w:r>
        <w:rPr>
          <w:rFonts w:ascii="宋体" w:hAnsi="宋体" w:eastAsia="宋体" w:cs="宋体"/>
          <w:spacing w:val="-1"/>
          <w:sz w:val="24"/>
          <w:szCs w:val="24"/>
        </w:rPr>
        <w:t>光缆，一根为铝包钢绞线。新建线路全部采用自立式角钢塔，共</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 xml:space="preserve">54 </w:t>
      </w:r>
      <w:r>
        <w:rPr>
          <w:rFonts w:ascii="宋体" w:hAnsi="宋体" w:eastAsia="宋体" w:cs="宋体"/>
          <w:spacing w:val="-1"/>
          <w:sz w:val="24"/>
          <w:szCs w:val="24"/>
        </w:rPr>
        <w:t>基。本项目需对</w:t>
      </w:r>
      <w:r>
        <w:rPr>
          <w:rFonts w:ascii="宋体" w:hAnsi="宋体" w:eastAsia="宋体" w:cs="宋体"/>
          <w:spacing w:val="-43"/>
          <w:sz w:val="24"/>
          <w:szCs w:val="24"/>
        </w:rPr>
        <w:t xml:space="preserve"> </w:t>
      </w:r>
      <w:r>
        <w:rPr>
          <w:rFonts w:ascii="Times New Roman" w:hAnsi="Times New Roman" w:eastAsia="Times New Roman" w:cs="Times New Roman"/>
          <w:spacing w:val="-1"/>
          <w:sz w:val="24"/>
          <w:szCs w:val="24"/>
        </w:rPr>
        <w:t>500kV</w:t>
      </w:r>
      <w:r>
        <w:rPr>
          <w:rFonts w:ascii="Times New Roman" w:hAnsi="Times New Roman" w:eastAsia="Times New Roman" w:cs="Times New Roman"/>
          <w:spacing w:val="22"/>
          <w:sz w:val="24"/>
          <w:szCs w:val="24"/>
        </w:rPr>
        <w:t xml:space="preserve"> </w:t>
      </w:r>
      <w:r>
        <w:rPr>
          <w:rFonts w:ascii="宋体" w:hAnsi="宋体" w:eastAsia="宋体" w:cs="宋体"/>
          <w:spacing w:val="-1"/>
          <w:sz w:val="24"/>
          <w:szCs w:val="24"/>
        </w:rPr>
        <w:t>乐业变出线间隔、</w:t>
      </w:r>
      <w:r>
        <w:rPr>
          <w:rFonts w:ascii="Times New Roman" w:hAnsi="Times New Roman" w:eastAsia="Times New Roman" w:cs="Times New Roman"/>
          <w:spacing w:val="-1"/>
          <w:sz w:val="24"/>
          <w:szCs w:val="24"/>
        </w:rPr>
        <w:t xml:space="preserve">220kV </w:t>
      </w:r>
      <w:r>
        <w:rPr>
          <w:rFonts w:ascii="宋体" w:hAnsi="宋体" w:eastAsia="宋体" w:cs="宋体"/>
          <w:spacing w:val="-1"/>
          <w:sz w:val="24"/>
          <w:szCs w:val="24"/>
        </w:rPr>
        <w:t>迤车变出线间隔进行扩</w:t>
      </w:r>
      <w:r>
        <w:rPr>
          <w:rFonts w:ascii="宋体" w:hAnsi="宋体" w:eastAsia="宋体" w:cs="宋体"/>
          <w:spacing w:val="-3"/>
          <w:sz w:val="24"/>
          <w:szCs w:val="24"/>
        </w:rPr>
        <w:t>建，</w:t>
      </w:r>
      <w:r>
        <w:rPr>
          <w:rFonts w:ascii="Times New Roman" w:hAnsi="Times New Roman" w:eastAsia="Times New Roman" w:cs="Times New Roman"/>
          <w:spacing w:val="-3"/>
          <w:sz w:val="24"/>
          <w:szCs w:val="24"/>
        </w:rPr>
        <w:t xml:space="preserve">220kV </w:t>
      </w:r>
      <w:r>
        <w:rPr>
          <w:rFonts w:ascii="宋体" w:hAnsi="宋体" w:eastAsia="宋体" w:cs="宋体"/>
          <w:spacing w:val="-3"/>
          <w:sz w:val="24"/>
          <w:szCs w:val="24"/>
        </w:rPr>
        <w:t>迤车牵引站仅进行接线。</w:t>
      </w:r>
    </w:p>
    <w:p w14:paraId="49EC954D">
      <w:pPr>
        <w:spacing w:line="218" w:lineRule="auto"/>
        <w:ind w:left="489"/>
        <w:rPr>
          <w:rFonts w:ascii="宋体" w:hAnsi="宋体" w:eastAsia="宋体" w:cs="宋体"/>
          <w:sz w:val="24"/>
          <w:szCs w:val="24"/>
        </w:rPr>
      </w:pPr>
      <w:r>
        <w:rPr>
          <w:rFonts w:ascii="宋体" w:hAnsi="宋体" w:eastAsia="宋体" w:cs="宋体"/>
          <w:b/>
          <w:bCs/>
          <w:spacing w:val="-3"/>
          <w:sz w:val="24"/>
          <w:szCs w:val="24"/>
        </w:rPr>
        <w:t>详见报告表正文</w:t>
      </w:r>
      <w:r>
        <w:rPr>
          <w:rFonts w:ascii="Times New Roman" w:hAnsi="Times New Roman" w:eastAsia="Times New Roman" w:cs="Times New Roman"/>
          <w:b/>
          <w:bCs/>
          <w:spacing w:val="-3"/>
          <w:sz w:val="24"/>
          <w:szCs w:val="24"/>
        </w:rPr>
        <w:t>-</w:t>
      </w:r>
      <w:r>
        <w:rPr>
          <w:rFonts w:ascii="宋体" w:hAnsi="宋体" w:eastAsia="宋体" w:cs="宋体"/>
          <w:b/>
          <w:bCs/>
          <w:spacing w:val="-3"/>
          <w:sz w:val="24"/>
          <w:szCs w:val="24"/>
        </w:rPr>
        <w:t>二、建设内容。</w:t>
      </w:r>
    </w:p>
    <w:p w14:paraId="0F3CEDBA">
      <w:pPr>
        <w:spacing w:line="218" w:lineRule="auto"/>
        <w:rPr>
          <w:rFonts w:ascii="宋体" w:hAnsi="宋体" w:eastAsia="宋体" w:cs="宋体"/>
          <w:sz w:val="24"/>
          <w:szCs w:val="24"/>
        </w:rPr>
        <w:sectPr>
          <w:footerReference r:id="rId95" w:type="default"/>
          <w:pgSz w:w="11907" w:h="16841"/>
          <w:pgMar w:top="400" w:right="1413" w:bottom="1126" w:left="1423" w:header="0" w:footer="925" w:gutter="0"/>
          <w:cols w:space="720" w:num="1"/>
        </w:sectPr>
      </w:pPr>
    </w:p>
    <w:p w14:paraId="12773C2D">
      <w:pPr>
        <w:spacing w:line="251" w:lineRule="auto"/>
        <w:rPr>
          <w:rFonts w:ascii="Arial"/>
          <w:sz w:val="21"/>
        </w:rPr>
      </w:pPr>
    </w:p>
    <w:p w14:paraId="6F2C6B56">
      <w:pPr>
        <w:spacing w:line="252" w:lineRule="auto"/>
        <w:rPr>
          <w:rFonts w:ascii="Arial"/>
          <w:sz w:val="21"/>
        </w:rPr>
      </w:pPr>
    </w:p>
    <w:p w14:paraId="40D46901">
      <w:pPr>
        <w:spacing w:line="252" w:lineRule="auto"/>
        <w:rPr>
          <w:rFonts w:ascii="Arial"/>
          <w:sz w:val="21"/>
        </w:rPr>
      </w:pPr>
    </w:p>
    <w:p w14:paraId="11EC9BD7">
      <w:pPr>
        <w:spacing w:line="252" w:lineRule="auto"/>
        <w:rPr>
          <w:rFonts w:ascii="Arial"/>
          <w:sz w:val="21"/>
        </w:rPr>
      </w:pPr>
    </w:p>
    <w:p w14:paraId="27D88ACF">
      <w:pPr>
        <w:spacing w:line="252" w:lineRule="auto"/>
        <w:rPr>
          <w:rFonts w:ascii="Arial"/>
          <w:sz w:val="21"/>
        </w:rPr>
      </w:pPr>
    </w:p>
    <w:p w14:paraId="332E9F88">
      <w:pPr>
        <w:spacing w:before="101" w:line="238" w:lineRule="auto"/>
        <w:ind w:left="7"/>
        <w:rPr>
          <w:rFonts w:ascii="宋体" w:hAnsi="宋体" w:eastAsia="宋体" w:cs="宋体"/>
          <w:sz w:val="31"/>
          <w:szCs w:val="31"/>
        </w:rPr>
      </w:pPr>
      <w:bookmarkStart w:id="16" w:name="bookmark24"/>
      <w:bookmarkEnd w:id="16"/>
      <w:bookmarkStart w:id="17" w:name="bookmark23"/>
      <w:bookmarkEnd w:id="17"/>
      <w:r>
        <w:rPr>
          <w:rFonts w:ascii="Times New Roman" w:hAnsi="Times New Roman" w:eastAsia="Times New Roman" w:cs="Times New Roman"/>
          <w:b/>
          <w:bCs/>
          <w:spacing w:val="3"/>
          <w:sz w:val="31"/>
          <w:szCs w:val="31"/>
        </w:rPr>
        <w:t>3</w:t>
      </w:r>
      <w:r>
        <w:rPr>
          <w:rFonts w:ascii="Times New Roman" w:hAnsi="Times New Roman" w:eastAsia="Times New Roman" w:cs="Times New Roman"/>
          <w:b/>
          <w:bCs/>
          <w:spacing w:val="-39"/>
          <w:sz w:val="31"/>
          <w:szCs w:val="31"/>
        </w:rPr>
        <w:t xml:space="preserve"> </w:t>
      </w:r>
      <w:r>
        <w:rPr>
          <w:rFonts w:ascii="宋体" w:hAnsi="宋体" w:eastAsia="宋体" w:cs="宋体"/>
          <w:b/>
          <w:bCs/>
          <w:spacing w:val="3"/>
          <w:sz w:val="31"/>
          <w:szCs w:val="31"/>
        </w:rPr>
        <w:t>、电磁环境现状评价</w:t>
      </w:r>
    </w:p>
    <w:p w14:paraId="4654D2C8">
      <w:pPr>
        <w:spacing w:before="243" w:line="233" w:lineRule="auto"/>
        <w:ind w:left="6"/>
        <w:rPr>
          <w:rFonts w:ascii="宋体" w:hAnsi="宋体" w:eastAsia="宋体" w:cs="宋体"/>
          <w:sz w:val="28"/>
          <w:szCs w:val="28"/>
        </w:rPr>
      </w:pPr>
      <w:r>
        <w:rPr>
          <w:rFonts w:ascii="Times New Roman" w:hAnsi="Times New Roman" w:eastAsia="Times New Roman" w:cs="Times New Roman"/>
          <w:b/>
          <w:bCs/>
          <w:spacing w:val="-2"/>
          <w:sz w:val="28"/>
          <w:szCs w:val="28"/>
        </w:rPr>
        <w:t xml:space="preserve">3.1 </w:t>
      </w:r>
      <w:r>
        <w:rPr>
          <w:rFonts w:ascii="宋体" w:hAnsi="宋体" w:eastAsia="宋体" w:cs="宋体"/>
          <w:b/>
          <w:bCs/>
          <w:spacing w:val="-2"/>
          <w:sz w:val="28"/>
          <w:szCs w:val="28"/>
        </w:rPr>
        <w:t>监测布点</w:t>
      </w:r>
    </w:p>
    <w:p w14:paraId="087D10EC">
      <w:pPr>
        <w:spacing w:before="213" w:line="233" w:lineRule="auto"/>
        <w:ind w:left="500"/>
        <w:rPr>
          <w:rFonts w:ascii="宋体" w:hAnsi="宋体" w:eastAsia="宋体" w:cs="宋体"/>
          <w:sz w:val="24"/>
          <w:szCs w:val="24"/>
        </w:rPr>
      </w:pPr>
      <w:r>
        <w:rPr>
          <w:rFonts w:ascii="宋体" w:hAnsi="宋体" w:eastAsia="宋体" w:cs="宋体"/>
          <w:b/>
          <w:bCs/>
          <w:spacing w:val="-7"/>
          <w:sz w:val="24"/>
          <w:szCs w:val="24"/>
        </w:rPr>
        <w:t>（</w:t>
      </w:r>
      <w:r>
        <w:rPr>
          <w:rFonts w:ascii="Times New Roman" w:hAnsi="Times New Roman" w:eastAsia="Times New Roman" w:cs="Times New Roman"/>
          <w:b/>
          <w:bCs/>
          <w:spacing w:val="-7"/>
          <w:sz w:val="24"/>
          <w:szCs w:val="24"/>
        </w:rPr>
        <w:t>1</w:t>
      </w:r>
      <w:r>
        <w:rPr>
          <w:rFonts w:ascii="宋体" w:hAnsi="宋体" w:eastAsia="宋体" w:cs="宋体"/>
          <w:b/>
          <w:bCs/>
          <w:spacing w:val="-7"/>
          <w:sz w:val="24"/>
          <w:szCs w:val="24"/>
        </w:rPr>
        <w:t>）布点原则</w:t>
      </w:r>
    </w:p>
    <w:p w14:paraId="7574FCB1">
      <w:pPr>
        <w:spacing w:before="163" w:line="358" w:lineRule="auto"/>
        <w:ind w:left="12" w:right="4" w:firstLine="479"/>
        <w:jc w:val="both"/>
        <w:rPr>
          <w:rFonts w:ascii="宋体" w:hAnsi="宋体" w:eastAsia="宋体" w:cs="宋体"/>
          <w:sz w:val="24"/>
          <w:szCs w:val="24"/>
        </w:rPr>
      </w:pPr>
      <w:r>
        <w:rPr>
          <w:rFonts w:ascii="宋体" w:hAnsi="宋体" w:eastAsia="宋体" w:cs="宋体"/>
          <w:spacing w:val="-6"/>
          <w:sz w:val="24"/>
          <w:szCs w:val="24"/>
        </w:rPr>
        <w:t>根据《环境影响评价技术导则</w:t>
      </w:r>
      <w:r>
        <w:rPr>
          <w:rFonts w:ascii="宋体" w:hAnsi="宋体" w:eastAsia="宋体" w:cs="宋体"/>
          <w:spacing w:val="31"/>
          <w:sz w:val="24"/>
          <w:szCs w:val="24"/>
        </w:rPr>
        <w:t xml:space="preserve"> </w:t>
      </w:r>
      <w:r>
        <w:rPr>
          <w:rFonts w:ascii="宋体" w:hAnsi="宋体" w:eastAsia="宋体" w:cs="宋体"/>
          <w:spacing w:val="-6"/>
          <w:sz w:val="24"/>
          <w:szCs w:val="24"/>
        </w:rPr>
        <w:t>输变电》（</w:t>
      </w:r>
      <w:r>
        <w:rPr>
          <w:rFonts w:ascii="Times New Roman" w:hAnsi="Times New Roman" w:eastAsia="Times New Roman" w:cs="Times New Roman"/>
          <w:spacing w:val="-6"/>
          <w:sz w:val="24"/>
          <w:szCs w:val="24"/>
        </w:rPr>
        <w:t>HJ24-2020</w:t>
      </w:r>
      <w:r>
        <w:rPr>
          <w:rFonts w:ascii="宋体" w:hAnsi="宋体" w:eastAsia="宋体" w:cs="宋体"/>
          <w:spacing w:val="-42"/>
          <w:sz w:val="24"/>
          <w:szCs w:val="24"/>
        </w:rPr>
        <w:t>），</w:t>
      </w:r>
      <w:r>
        <w:rPr>
          <w:rFonts w:ascii="宋体" w:hAnsi="宋体" w:eastAsia="宋体" w:cs="宋体"/>
          <w:spacing w:val="-6"/>
          <w:sz w:val="24"/>
          <w:szCs w:val="24"/>
        </w:rPr>
        <w:t>电磁环境敏感目标的布点方</w:t>
      </w:r>
      <w:r>
        <w:rPr>
          <w:rFonts w:ascii="宋体" w:hAnsi="宋体" w:eastAsia="宋体" w:cs="宋体"/>
          <w:spacing w:val="-2"/>
          <w:sz w:val="24"/>
          <w:szCs w:val="24"/>
        </w:rPr>
        <w:t>法以定点监测为主；对于无电磁环境敏感目标的输电线路，需对沿线电磁环境现状进行</w:t>
      </w:r>
      <w:r>
        <w:rPr>
          <w:rFonts w:ascii="宋体" w:hAnsi="宋体" w:eastAsia="宋体" w:cs="宋体"/>
          <w:spacing w:val="-4"/>
          <w:sz w:val="24"/>
          <w:szCs w:val="24"/>
        </w:rPr>
        <w:t xml:space="preserve">监测，尽量沿线路路径均匀布点（路径长度范围小于 </w:t>
      </w:r>
      <w:r>
        <w:rPr>
          <w:rFonts w:ascii="Times New Roman" w:hAnsi="Times New Roman" w:eastAsia="Times New Roman" w:cs="Times New Roman"/>
          <w:spacing w:val="-4"/>
          <w:sz w:val="24"/>
          <w:szCs w:val="24"/>
        </w:rPr>
        <w:t>100km</w:t>
      </w:r>
      <w:r>
        <w:rPr>
          <w:rFonts w:ascii="宋体" w:hAnsi="宋体" w:eastAsia="宋体" w:cs="宋体"/>
          <w:spacing w:val="-4"/>
          <w:sz w:val="24"/>
          <w:szCs w:val="24"/>
        </w:rPr>
        <w:t xml:space="preserve">，最少测点数量为 </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32"/>
          <w:sz w:val="24"/>
          <w:szCs w:val="24"/>
        </w:rPr>
        <w:t xml:space="preserve"> </w:t>
      </w:r>
      <w:r>
        <w:rPr>
          <w:rFonts w:ascii="宋体" w:hAnsi="宋体" w:eastAsia="宋体" w:cs="宋体"/>
          <w:spacing w:val="-4"/>
          <w:sz w:val="24"/>
          <w:szCs w:val="24"/>
        </w:rPr>
        <w:t>个</w:t>
      </w:r>
      <w:r>
        <w:rPr>
          <w:rFonts w:ascii="宋体" w:hAnsi="宋体" w:eastAsia="宋体" w:cs="宋体"/>
          <w:spacing w:val="-36"/>
          <w:sz w:val="24"/>
          <w:szCs w:val="24"/>
        </w:rPr>
        <w:t>），</w:t>
      </w:r>
      <w:r>
        <w:rPr>
          <w:rFonts w:ascii="宋体" w:hAnsi="宋体" w:eastAsia="宋体" w:cs="宋体"/>
          <w:spacing w:val="-3"/>
          <w:sz w:val="24"/>
          <w:szCs w:val="24"/>
        </w:rPr>
        <w:t>兼顾行政区、环境特征及各子工程的代表性。</w:t>
      </w:r>
    </w:p>
    <w:p w14:paraId="3E249B21">
      <w:pPr>
        <w:spacing w:before="12" w:line="233" w:lineRule="auto"/>
        <w:ind w:left="500"/>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2</w:t>
      </w:r>
      <w:r>
        <w:rPr>
          <w:rFonts w:ascii="宋体" w:hAnsi="宋体" w:eastAsia="宋体" w:cs="宋体"/>
          <w:b/>
          <w:bCs/>
          <w:spacing w:val="-4"/>
          <w:sz w:val="24"/>
          <w:szCs w:val="24"/>
        </w:rPr>
        <w:t>）监测布点及合理性</w:t>
      </w:r>
    </w:p>
    <w:p w14:paraId="0F759B98">
      <w:pPr>
        <w:spacing w:before="166" w:line="357" w:lineRule="auto"/>
        <w:ind w:left="24" w:right="4" w:firstLine="468"/>
        <w:jc w:val="both"/>
        <w:rPr>
          <w:rFonts w:ascii="宋体" w:hAnsi="宋体" w:eastAsia="宋体" w:cs="宋体"/>
          <w:sz w:val="24"/>
          <w:szCs w:val="24"/>
        </w:rPr>
      </w:pPr>
      <w:r>
        <w:rPr>
          <w:rFonts w:ascii="宋体" w:hAnsi="宋体" w:eastAsia="宋体" w:cs="宋体"/>
          <w:spacing w:val="-2"/>
          <w:sz w:val="24"/>
          <w:szCs w:val="24"/>
        </w:rPr>
        <w:t>本次现状监测选择在电磁环境影响相对敏感、与线路边导线距离最近的建筑物处布</w:t>
      </w:r>
      <w:r>
        <w:rPr>
          <w:rFonts w:ascii="宋体" w:hAnsi="宋体" w:eastAsia="宋体" w:cs="宋体"/>
          <w:spacing w:val="-3"/>
          <w:sz w:val="24"/>
          <w:szCs w:val="24"/>
        </w:rPr>
        <w:t>点监测，还在</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回输电线路的出线侧、改接点及与现有线路交叉点具备监测条件处设置</w:t>
      </w:r>
      <w:r>
        <w:rPr>
          <w:rFonts w:ascii="宋体" w:hAnsi="宋体" w:eastAsia="宋体" w:cs="宋体"/>
          <w:spacing w:val="-2"/>
          <w:sz w:val="24"/>
          <w:szCs w:val="24"/>
        </w:rPr>
        <w:t>了监测点。监测数据能够反映拟建线路沿线的电磁环境现</w:t>
      </w:r>
      <w:r>
        <w:rPr>
          <w:rFonts w:ascii="宋体" w:hAnsi="宋体" w:eastAsia="宋体" w:cs="宋体"/>
          <w:spacing w:val="-3"/>
          <w:sz w:val="24"/>
          <w:szCs w:val="24"/>
        </w:rPr>
        <w:t>状。</w:t>
      </w:r>
    </w:p>
    <w:p w14:paraId="7E5362E4">
      <w:pPr>
        <w:spacing w:before="12" w:line="362" w:lineRule="auto"/>
        <w:ind w:left="11" w:right="4" w:firstLine="480"/>
        <w:rPr>
          <w:rFonts w:ascii="宋体" w:hAnsi="宋体" w:eastAsia="宋体" w:cs="宋体"/>
          <w:sz w:val="24"/>
          <w:szCs w:val="24"/>
        </w:rPr>
      </w:pPr>
      <w:r>
        <w:rPr>
          <w:rFonts w:ascii="宋体" w:hAnsi="宋体" w:eastAsia="宋体" w:cs="宋体"/>
          <w:spacing w:val="-2"/>
          <w:sz w:val="24"/>
          <w:szCs w:val="24"/>
        </w:rPr>
        <w:t>本次现状监测点位布设符合导则要求，且具有一定代表性，基本能反映项目区电磁</w:t>
      </w:r>
      <w:r>
        <w:rPr>
          <w:rFonts w:ascii="宋体" w:hAnsi="宋体" w:eastAsia="宋体" w:cs="宋体"/>
          <w:spacing w:val="-8"/>
          <w:sz w:val="24"/>
          <w:szCs w:val="24"/>
        </w:rPr>
        <w:t>环境现状。</w:t>
      </w:r>
    </w:p>
    <w:p w14:paraId="23BB3AE0">
      <w:pPr>
        <w:spacing w:before="51" w:line="234" w:lineRule="auto"/>
        <w:ind w:left="6"/>
        <w:rPr>
          <w:rFonts w:ascii="宋体" w:hAnsi="宋体" w:eastAsia="宋体" w:cs="宋体"/>
          <w:sz w:val="28"/>
          <w:szCs w:val="28"/>
        </w:rPr>
      </w:pPr>
      <w:bookmarkStart w:id="18" w:name="bookmark25"/>
      <w:bookmarkEnd w:id="18"/>
      <w:r>
        <w:rPr>
          <w:rFonts w:ascii="Times New Roman" w:hAnsi="Times New Roman" w:eastAsia="Times New Roman" w:cs="Times New Roman"/>
          <w:b/>
          <w:bCs/>
          <w:spacing w:val="-2"/>
          <w:sz w:val="28"/>
          <w:szCs w:val="28"/>
        </w:rPr>
        <w:t xml:space="preserve">3.2 </w:t>
      </w:r>
      <w:r>
        <w:rPr>
          <w:rFonts w:ascii="宋体" w:hAnsi="宋体" w:eastAsia="宋体" w:cs="宋体"/>
          <w:b/>
          <w:bCs/>
          <w:spacing w:val="-2"/>
          <w:sz w:val="28"/>
          <w:szCs w:val="28"/>
        </w:rPr>
        <w:t>监测期间气象条件</w:t>
      </w:r>
    </w:p>
    <w:p w14:paraId="46366952">
      <w:pPr>
        <w:spacing w:before="212" w:line="220" w:lineRule="auto"/>
        <w:ind w:left="492"/>
        <w:rPr>
          <w:rFonts w:ascii="宋体" w:hAnsi="宋体" w:eastAsia="宋体" w:cs="宋体"/>
          <w:sz w:val="24"/>
          <w:szCs w:val="24"/>
        </w:rPr>
      </w:pPr>
      <w:r>
        <w:rPr>
          <w:rFonts w:ascii="宋体" w:hAnsi="宋体" w:eastAsia="宋体" w:cs="宋体"/>
          <w:spacing w:val="-3"/>
          <w:sz w:val="24"/>
          <w:szCs w:val="24"/>
        </w:rPr>
        <w:t>监测点位气象条件见下表。</w:t>
      </w:r>
    </w:p>
    <w:p w14:paraId="59E3ECF2">
      <w:pPr>
        <w:spacing w:before="119" w:line="229" w:lineRule="auto"/>
        <w:ind w:left="3324"/>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8"/>
          <w:sz w:val="21"/>
          <w:szCs w:val="21"/>
        </w:rPr>
        <w:t xml:space="preserve"> </w:t>
      </w:r>
      <w:r>
        <w:rPr>
          <w:rFonts w:ascii="Times New Roman" w:hAnsi="Times New Roman" w:eastAsia="Times New Roman" w:cs="Times New Roman"/>
          <w:b/>
          <w:bCs/>
          <w:spacing w:val="-2"/>
          <w:sz w:val="21"/>
          <w:szCs w:val="21"/>
        </w:rPr>
        <w:t xml:space="preserve">3-1    </w:t>
      </w:r>
      <w:r>
        <w:rPr>
          <w:rFonts w:ascii="宋体" w:hAnsi="宋体" w:eastAsia="宋体" w:cs="宋体"/>
          <w:b/>
          <w:bCs/>
          <w:spacing w:val="-2"/>
          <w:sz w:val="21"/>
          <w:szCs w:val="21"/>
        </w:rPr>
        <w:t>监测点位气象条件</w:t>
      </w: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027"/>
        <w:gridCol w:w="1518"/>
        <w:gridCol w:w="2349"/>
        <w:gridCol w:w="3179"/>
      </w:tblGrid>
      <w:tr w14:paraId="684E9C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2027" w:type="dxa"/>
            <w:vAlign w:val="top"/>
          </w:tcPr>
          <w:p w14:paraId="5DE44AF0">
            <w:pPr>
              <w:pStyle w:val="6"/>
              <w:spacing w:before="56" w:line="221" w:lineRule="auto"/>
              <w:ind w:left="599"/>
            </w:pPr>
            <w:r>
              <w:rPr>
                <w:b/>
                <w:bCs/>
                <w:spacing w:val="-4"/>
              </w:rPr>
              <w:t>监测日期</w:t>
            </w:r>
          </w:p>
        </w:tc>
        <w:tc>
          <w:tcPr>
            <w:tcW w:w="1518" w:type="dxa"/>
            <w:vAlign w:val="top"/>
          </w:tcPr>
          <w:p w14:paraId="40F0BE9A">
            <w:pPr>
              <w:pStyle w:val="6"/>
              <w:spacing w:before="56" w:line="221" w:lineRule="auto"/>
              <w:ind w:left="553"/>
            </w:pPr>
            <w:r>
              <w:rPr>
                <w:b/>
                <w:bCs/>
                <w:spacing w:val="-5"/>
              </w:rPr>
              <w:t>天气</w:t>
            </w:r>
          </w:p>
        </w:tc>
        <w:tc>
          <w:tcPr>
            <w:tcW w:w="2349" w:type="dxa"/>
            <w:vAlign w:val="top"/>
          </w:tcPr>
          <w:p w14:paraId="3491219B">
            <w:pPr>
              <w:pStyle w:val="6"/>
              <w:spacing w:before="56" w:line="222" w:lineRule="auto"/>
              <w:ind w:left="644"/>
            </w:pPr>
            <w:r>
              <w:rPr>
                <w:b/>
                <w:bCs/>
                <w:spacing w:val="18"/>
              </w:rPr>
              <w:t>温度(</w:t>
            </w:r>
            <w:r>
              <w:rPr>
                <w:rFonts w:ascii="Times New Roman" w:hAnsi="Times New Roman" w:eastAsia="Times New Roman" w:cs="Times New Roman"/>
                <w:b/>
                <w:bCs/>
                <w:spacing w:val="18"/>
              </w:rPr>
              <w:t>℃</w:t>
            </w:r>
            <w:r>
              <w:rPr>
                <w:b/>
                <w:bCs/>
                <w:spacing w:val="18"/>
              </w:rPr>
              <w:t>)</w:t>
            </w:r>
          </w:p>
        </w:tc>
        <w:tc>
          <w:tcPr>
            <w:tcW w:w="3179" w:type="dxa"/>
            <w:vAlign w:val="top"/>
          </w:tcPr>
          <w:p w14:paraId="61CFA606">
            <w:pPr>
              <w:pStyle w:val="6"/>
              <w:spacing w:before="56" w:line="222" w:lineRule="auto"/>
              <w:ind w:left="696"/>
            </w:pPr>
            <w:r>
              <w:rPr>
                <w:b/>
                <w:bCs/>
                <w:spacing w:val="-2"/>
              </w:rPr>
              <w:t>相对湿度（</w:t>
            </w:r>
            <w:r>
              <w:rPr>
                <w:rFonts w:ascii="Times New Roman" w:hAnsi="Times New Roman" w:eastAsia="Times New Roman" w:cs="Times New Roman"/>
                <w:b/>
                <w:bCs/>
                <w:spacing w:val="-2"/>
              </w:rPr>
              <w:t>RH%</w:t>
            </w:r>
            <w:r>
              <w:rPr>
                <w:b/>
                <w:bCs/>
                <w:spacing w:val="-2"/>
              </w:rPr>
              <w:t>）</w:t>
            </w:r>
          </w:p>
        </w:tc>
      </w:tr>
      <w:tr w14:paraId="1B80D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027" w:type="dxa"/>
            <w:vAlign w:val="top"/>
          </w:tcPr>
          <w:p w14:paraId="466D1E8C">
            <w:pPr>
              <w:spacing w:before="90" w:line="219"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2025.4.10~4.11</w:t>
            </w:r>
          </w:p>
        </w:tc>
        <w:tc>
          <w:tcPr>
            <w:tcW w:w="1518" w:type="dxa"/>
            <w:vAlign w:val="top"/>
          </w:tcPr>
          <w:p w14:paraId="4A14DA55">
            <w:pPr>
              <w:pStyle w:val="6"/>
              <w:spacing w:before="56" w:line="221" w:lineRule="auto"/>
              <w:ind w:left="665"/>
            </w:pPr>
            <w:r>
              <w:t>晴</w:t>
            </w:r>
          </w:p>
        </w:tc>
        <w:tc>
          <w:tcPr>
            <w:tcW w:w="2349" w:type="dxa"/>
            <w:vAlign w:val="top"/>
          </w:tcPr>
          <w:p w14:paraId="0305DAAF">
            <w:pPr>
              <w:spacing w:before="90" w:line="219" w:lineRule="auto"/>
              <w:ind w:left="74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22.6~32.2</w:t>
            </w:r>
          </w:p>
        </w:tc>
        <w:tc>
          <w:tcPr>
            <w:tcW w:w="3179" w:type="dxa"/>
            <w:vAlign w:val="top"/>
          </w:tcPr>
          <w:p w14:paraId="3BECE71B">
            <w:pPr>
              <w:spacing w:before="90" w:line="219" w:lineRule="auto"/>
              <w:ind w:left="1262"/>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13~29.3</w:t>
            </w:r>
          </w:p>
        </w:tc>
      </w:tr>
    </w:tbl>
    <w:p w14:paraId="2215EFE2">
      <w:pPr>
        <w:spacing w:before="172" w:line="233" w:lineRule="auto"/>
        <w:ind w:left="6"/>
        <w:rPr>
          <w:rFonts w:ascii="宋体" w:hAnsi="宋体" w:eastAsia="宋体" w:cs="宋体"/>
          <w:sz w:val="28"/>
          <w:szCs w:val="28"/>
        </w:rPr>
      </w:pPr>
      <w:bookmarkStart w:id="19" w:name="bookmark26"/>
      <w:bookmarkEnd w:id="19"/>
      <w:r>
        <w:rPr>
          <w:rFonts w:ascii="Times New Roman" w:hAnsi="Times New Roman" w:eastAsia="Times New Roman" w:cs="Times New Roman"/>
          <w:b/>
          <w:bCs/>
          <w:spacing w:val="-2"/>
          <w:sz w:val="28"/>
          <w:szCs w:val="28"/>
        </w:rPr>
        <w:t xml:space="preserve">3.3 </w:t>
      </w:r>
      <w:r>
        <w:rPr>
          <w:rFonts w:ascii="宋体" w:hAnsi="宋体" w:eastAsia="宋体" w:cs="宋体"/>
          <w:b/>
          <w:bCs/>
          <w:spacing w:val="-2"/>
          <w:sz w:val="28"/>
          <w:szCs w:val="28"/>
        </w:rPr>
        <w:t>监测方法及依据</w:t>
      </w:r>
    </w:p>
    <w:p w14:paraId="674C1CDE">
      <w:pPr>
        <w:spacing w:before="214" w:line="361" w:lineRule="auto"/>
        <w:ind w:left="492" w:right="2884"/>
        <w:rPr>
          <w:rFonts w:ascii="宋体" w:hAnsi="宋体" w:eastAsia="宋体" w:cs="宋体"/>
          <w:sz w:val="24"/>
          <w:szCs w:val="24"/>
        </w:rPr>
      </w:pPr>
      <w:r>
        <w:rPr>
          <w:rFonts w:ascii="宋体" w:hAnsi="宋体" w:eastAsia="宋体" w:cs="宋体"/>
          <w:spacing w:val="-10"/>
          <w:sz w:val="24"/>
          <w:szCs w:val="24"/>
        </w:rPr>
        <w:t>《交流输变电工程电磁环境监测方法》（</w:t>
      </w:r>
      <w:r>
        <w:rPr>
          <w:rFonts w:ascii="Times New Roman" w:hAnsi="Times New Roman" w:eastAsia="Times New Roman" w:cs="Times New Roman"/>
          <w:spacing w:val="-10"/>
          <w:sz w:val="24"/>
          <w:szCs w:val="24"/>
        </w:rPr>
        <w:t>HJ681-2013</w:t>
      </w:r>
      <w:r>
        <w:rPr>
          <w:rFonts w:ascii="宋体" w:hAnsi="宋体" w:eastAsia="宋体" w:cs="宋体"/>
          <w:spacing w:val="-10"/>
          <w:sz w:val="24"/>
          <w:szCs w:val="24"/>
        </w:rPr>
        <w:t>）。</w:t>
      </w:r>
      <w:r>
        <w:rPr>
          <w:rFonts w:ascii="宋体" w:hAnsi="宋体" w:eastAsia="宋体" w:cs="宋体"/>
          <w:spacing w:val="13"/>
          <w:sz w:val="24"/>
          <w:szCs w:val="24"/>
        </w:rPr>
        <w:t xml:space="preserve"> </w:t>
      </w:r>
      <w:r>
        <w:rPr>
          <w:rFonts w:ascii="宋体" w:hAnsi="宋体" w:eastAsia="宋体" w:cs="宋体"/>
          <w:spacing w:val="-9"/>
          <w:sz w:val="24"/>
          <w:szCs w:val="24"/>
        </w:rPr>
        <w:t>《电磁环境控制限值》（</w:t>
      </w:r>
      <w:r>
        <w:rPr>
          <w:rFonts w:ascii="Times New Roman" w:hAnsi="Times New Roman" w:eastAsia="Times New Roman" w:cs="Times New Roman"/>
          <w:spacing w:val="-9"/>
          <w:sz w:val="24"/>
          <w:szCs w:val="24"/>
        </w:rPr>
        <w:t>GB8702-2014</w:t>
      </w:r>
      <w:r>
        <w:rPr>
          <w:rFonts w:ascii="宋体" w:hAnsi="宋体" w:eastAsia="宋体" w:cs="宋体"/>
          <w:spacing w:val="-9"/>
          <w:sz w:val="24"/>
          <w:szCs w:val="24"/>
        </w:rPr>
        <w:t>）。</w:t>
      </w:r>
    </w:p>
    <w:p w14:paraId="67C521F4">
      <w:pPr>
        <w:spacing w:before="54" w:line="234" w:lineRule="auto"/>
        <w:ind w:left="6"/>
        <w:rPr>
          <w:rFonts w:ascii="宋体" w:hAnsi="宋体" w:eastAsia="宋体" w:cs="宋体"/>
          <w:sz w:val="28"/>
          <w:szCs w:val="28"/>
        </w:rPr>
      </w:pPr>
      <w:bookmarkStart w:id="20" w:name="bookmark27"/>
      <w:bookmarkEnd w:id="20"/>
      <w:r>
        <w:rPr>
          <w:rFonts w:ascii="Times New Roman" w:hAnsi="Times New Roman" w:eastAsia="Times New Roman" w:cs="Times New Roman"/>
          <w:b/>
          <w:bCs/>
          <w:spacing w:val="-2"/>
          <w:sz w:val="28"/>
          <w:szCs w:val="28"/>
        </w:rPr>
        <w:t xml:space="preserve">3.4 </w:t>
      </w:r>
      <w:r>
        <w:rPr>
          <w:rFonts w:ascii="宋体" w:hAnsi="宋体" w:eastAsia="宋体" w:cs="宋体"/>
          <w:b/>
          <w:bCs/>
          <w:spacing w:val="-2"/>
          <w:sz w:val="28"/>
          <w:szCs w:val="28"/>
        </w:rPr>
        <w:t>监测仪器</w:t>
      </w:r>
    </w:p>
    <w:p w14:paraId="5FA35566">
      <w:pPr>
        <w:spacing w:before="212" w:line="220" w:lineRule="auto"/>
        <w:ind w:left="492"/>
        <w:rPr>
          <w:rFonts w:ascii="宋体" w:hAnsi="宋体" w:eastAsia="宋体" w:cs="宋体"/>
          <w:sz w:val="24"/>
          <w:szCs w:val="24"/>
        </w:rPr>
      </w:pPr>
      <w:r>
        <w:rPr>
          <w:rFonts w:ascii="宋体" w:hAnsi="宋体" w:eastAsia="宋体" w:cs="宋体"/>
          <w:spacing w:val="-4"/>
          <w:sz w:val="24"/>
          <w:szCs w:val="24"/>
        </w:rPr>
        <w:t>监测仪器主要参数见下表。</w:t>
      </w:r>
    </w:p>
    <w:p w14:paraId="3441174A">
      <w:pPr>
        <w:spacing w:before="119" w:line="229" w:lineRule="auto"/>
        <w:ind w:left="3324"/>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8"/>
          <w:sz w:val="21"/>
          <w:szCs w:val="21"/>
        </w:rPr>
        <w:t xml:space="preserve"> </w:t>
      </w:r>
      <w:r>
        <w:rPr>
          <w:rFonts w:ascii="Times New Roman" w:hAnsi="Times New Roman" w:eastAsia="Times New Roman" w:cs="Times New Roman"/>
          <w:b/>
          <w:bCs/>
          <w:spacing w:val="-2"/>
          <w:sz w:val="21"/>
          <w:szCs w:val="21"/>
        </w:rPr>
        <w:t xml:space="preserve">3-2    </w:t>
      </w:r>
      <w:r>
        <w:rPr>
          <w:rFonts w:ascii="宋体" w:hAnsi="宋体" w:eastAsia="宋体" w:cs="宋体"/>
          <w:b/>
          <w:bCs/>
          <w:spacing w:val="-2"/>
          <w:sz w:val="21"/>
          <w:szCs w:val="21"/>
        </w:rPr>
        <w:t>监测仪器主要参数</w:t>
      </w:r>
    </w:p>
    <w:tbl>
      <w:tblPr>
        <w:tblStyle w:val="5"/>
        <w:tblW w:w="9068" w:type="dxa"/>
        <w:tblInd w:w="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71"/>
        <w:gridCol w:w="1706"/>
        <w:gridCol w:w="1396"/>
        <w:gridCol w:w="1552"/>
        <w:gridCol w:w="1862"/>
        <w:gridCol w:w="1281"/>
      </w:tblGrid>
      <w:tr w14:paraId="703244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271" w:type="dxa"/>
            <w:vAlign w:val="top"/>
          </w:tcPr>
          <w:p w14:paraId="4E9CB74D">
            <w:pPr>
              <w:pStyle w:val="6"/>
              <w:spacing w:before="55" w:line="222" w:lineRule="auto"/>
              <w:ind w:left="220"/>
            </w:pPr>
            <w:r>
              <w:rPr>
                <w:b/>
                <w:bCs/>
                <w:spacing w:val="-4"/>
              </w:rPr>
              <w:t>监测时间</w:t>
            </w:r>
          </w:p>
        </w:tc>
        <w:tc>
          <w:tcPr>
            <w:tcW w:w="1706" w:type="dxa"/>
            <w:vAlign w:val="top"/>
          </w:tcPr>
          <w:p w14:paraId="6C45AB8D">
            <w:pPr>
              <w:pStyle w:val="6"/>
              <w:spacing w:before="55" w:line="221" w:lineRule="auto"/>
              <w:ind w:left="437"/>
            </w:pPr>
            <w:r>
              <w:rPr>
                <w:b/>
                <w:bCs/>
                <w:spacing w:val="-4"/>
              </w:rPr>
              <w:t>监测仪器</w:t>
            </w:r>
          </w:p>
        </w:tc>
        <w:tc>
          <w:tcPr>
            <w:tcW w:w="1396" w:type="dxa"/>
            <w:vAlign w:val="top"/>
          </w:tcPr>
          <w:p w14:paraId="0EDC9C65">
            <w:pPr>
              <w:pStyle w:val="6"/>
              <w:spacing w:before="55" w:line="221" w:lineRule="auto"/>
              <w:ind w:left="282"/>
            </w:pPr>
            <w:r>
              <w:rPr>
                <w:b/>
                <w:bCs/>
                <w:spacing w:val="-4"/>
              </w:rPr>
              <w:t>仪器编号</w:t>
            </w:r>
          </w:p>
        </w:tc>
        <w:tc>
          <w:tcPr>
            <w:tcW w:w="1552" w:type="dxa"/>
            <w:vAlign w:val="top"/>
          </w:tcPr>
          <w:p w14:paraId="7506CC03">
            <w:pPr>
              <w:pStyle w:val="6"/>
              <w:spacing w:before="56" w:line="221" w:lineRule="auto"/>
              <w:ind w:left="362"/>
            </w:pPr>
            <w:r>
              <w:rPr>
                <w:b/>
                <w:bCs/>
                <w:spacing w:val="-4"/>
              </w:rPr>
              <w:t>校准单位</w:t>
            </w:r>
          </w:p>
        </w:tc>
        <w:tc>
          <w:tcPr>
            <w:tcW w:w="1862" w:type="dxa"/>
            <w:vAlign w:val="top"/>
          </w:tcPr>
          <w:p w14:paraId="506D6C2A">
            <w:pPr>
              <w:pStyle w:val="6"/>
              <w:spacing w:before="55" w:line="220" w:lineRule="auto"/>
              <w:ind w:left="306"/>
            </w:pPr>
            <w:r>
              <w:rPr>
                <w:b/>
                <w:bCs/>
                <w:spacing w:val="-3"/>
              </w:rPr>
              <w:t>校准证书编号</w:t>
            </w:r>
          </w:p>
        </w:tc>
        <w:tc>
          <w:tcPr>
            <w:tcW w:w="1281" w:type="dxa"/>
            <w:vAlign w:val="top"/>
          </w:tcPr>
          <w:p w14:paraId="4224B3D9">
            <w:pPr>
              <w:pStyle w:val="6"/>
              <w:spacing w:before="56" w:line="221" w:lineRule="auto"/>
              <w:ind w:left="330"/>
            </w:pPr>
            <w:r>
              <w:rPr>
                <w:b/>
                <w:bCs/>
                <w:spacing w:val="-4"/>
              </w:rPr>
              <w:t>有效期</w:t>
            </w:r>
          </w:p>
        </w:tc>
      </w:tr>
      <w:tr w14:paraId="6FB80E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1271" w:type="dxa"/>
            <w:vAlign w:val="top"/>
          </w:tcPr>
          <w:p w14:paraId="27461A81">
            <w:pPr>
              <w:spacing w:before="88" w:line="233" w:lineRule="auto"/>
              <w:ind w:left="16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2025.4.</w:t>
            </w:r>
            <w:r>
              <w:rPr>
                <w:rFonts w:ascii="Times New Roman" w:hAnsi="Times New Roman" w:eastAsia="Times New Roman" w:cs="Times New Roman"/>
                <w:spacing w:val="-26"/>
                <w:sz w:val="21"/>
                <w:szCs w:val="21"/>
              </w:rPr>
              <w:t xml:space="preserve"> </w:t>
            </w:r>
            <w:r>
              <w:rPr>
                <w:rFonts w:ascii="Times New Roman" w:hAnsi="Times New Roman" w:eastAsia="Times New Roman" w:cs="Times New Roman"/>
                <w:spacing w:val="-3"/>
                <w:sz w:val="21"/>
                <w:szCs w:val="21"/>
              </w:rPr>
              <w:t>10~</w:t>
            </w:r>
          </w:p>
          <w:p w14:paraId="29A90148">
            <w:pPr>
              <w:spacing w:before="77" w:line="218" w:lineRule="auto"/>
              <w:ind w:left="45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4.11</w:t>
            </w:r>
          </w:p>
        </w:tc>
        <w:tc>
          <w:tcPr>
            <w:tcW w:w="1706" w:type="dxa"/>
            <w:vAlign w:val="top"/>
          </w:tcPr>
          <w:p w14:paraId="7EF17FB0">
            <w:pPr>
              <w:pStyle w:val="6"/>
              <w:spacing w:before="54" w:line="264" w:lineRule="auto"/>
              <w:ind w:left="479" w:right="113" w:hanging="333"/>
              <w:rPr>
                <w:rFonts w:ascii="Times New Roman" w:hAnsi="Times New Roman" w:eastAsia="Times New Roman" w:cs="Times New Roman"/>
              </w:rPr>
            </w:pPr>
            <w:r>
              <w:rPr>
                <w:spacing w:val="-5"/>
              </w:rPr>
              <w:t>电磁辐射分析仪</w:t>
            </w:r>
            <w:r>
              <w:rPr>
                <w:rFonts w:ascii="Times New Roman" w:hAnsi="Times New Roman" w:eastAsia="Times New Roman" w:cs="Times New Roman"/>
                <w:spacing w:val="-1"/>
              </w:rPr>
              <w:t>EH400X</w:t>
            </w:r>
          </w:p>
        </w:tc>
        <w:tc>
          <w:tcPr>
            <w:tcW w:w="1396" w:type="dxa"/>
            <w:vAlign w:val="top"/>
          </w:tcPr>
          <w:p w14:paraId="3A68DBDD">
            <w:pPr>
              <w:spacing w:before="90" w:line="189" w:lineRule="auto"/>
              <w:ind w:left="1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C109AL0000</w:t>
            </w:r>
          </w:p>
          <w:p w14:paraId="1C17C4F9">
            <w:pPr>
              <w:spacing w:before="120" w:line="218" w:lineRule="auto"/>
              <w:ind w:left="54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071</w:t>
            </w:r>
          </w:p>
        </w:tc>
        <w:tc>
          <w:tcPr>
            <w:tcW w:w="1552" w:type="dxa"/>
            <w:vAlign w:val="top"/>
          </w:tcPr>
          <w:p w14:paraId="68844D04">
            <w:pPr>
              <w:pStyle w:val="6"/>
              <w:spacing w:before="53" w:line="249" w:lineRule="auto"/>
              <w:ind w:left="466" w:right="139" w:hanging="294"/>
            </w:pPr>
            <w:r>
              <w:rPr>
                <w:spacing w:val="-5"/>
              </w:rPr>
              <w:t>中国计量科学</w:t>
            </w:r>
            <w:r>
              <w:rPr>
                <w:spacing w:val="-2"/>
              </w:rPr>
              <w:t>研究院</w:t>
            </w:r>
          </w:p>
        </w:tc>
        <w:tc>
          <w:tcPr>
            <w:tcW w:w="1862" w:type="dxa"/>
            <w:vAlign w:val="top"/>
          </w:tcPr>
          <w:p w14:paraId="0C2661CD">
            <w:pPr>
              <w:spacing w:before="242" w:line="193" w:lineRule="auto"/>
              <w:ind w:left="189"/>
              <w:rPr>
                <w:rFonts w:ascii="Times New Roman" w:hAnsi="Times New Roman" w:eastAsia="Times New Roman" w:cs="Times New Roman"/>
                <w:sz w:val="21"/>
                <w:szCs w:val="21"/>
              </w:rPr>
            </w:pPr>
            <w:r>
              <w:rPr>
                <w:rFonts w:ascii="Times New Roman" w:hAnsi="Times New Roman" w:eastAsia="Times New Roman" w:cs="Times New Roman"/>
                <w:sz w:val="21"/>
                <w:szCs w:val="21"/>
              </w:rPr>
              <w:t>XDdj2024-06231</w:t>
            </w:r>
          </w:p>
        </w:tc>
        <w:tc>
          <w:tcPr>
            <w:tcW w:w="1281" w:type="dxa"/>
            <w:vAlign w:val="top"/>
          </w:tcPr>
          <w:p w14:paraId="73D7A962">
            <w:pPr>
              <w:spacing w:before="244" w:line="233" w:lineRule="auto"/>
              <w:ind w:left="2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2025.9.8</w:t>
            </w:r>
          </w:p>
        </w:tc>
      </w:tr>
    </w:tbl>
    <w:p w14:paraId="07F37E9E">
      <w:pPr>
        <w:spacing w:before="171" w:line="235" w:lineRule="auto"/>
        <w:ind w:left="6"/>
        <w:rPr>
          <w:rFonts w:ascii="宋体" w:hAnsi="宋体" w:eastAsia="宋体" w:cs="宋体"/>
          <w:sz w:val="28"/>
          <w:szCs w:val="28"/>
        </w:rPr>
      </w:pPr>
      <w:bookmarkStart w:id="21" w:name="bookmark28"/>
      <w:bookmarkEnd w:id="21"/>
      <w:r>
        <w:rPr>
          <w:rFonts w:ascii="Times New Roman" w:hAnsi="Times New Roman" w:eastAsia="Times New Roman" w:cs="Times New Roman"/>
          <w:b/>
          <w:bCs/>
          <w:spacing w:val="-2"/>
          <w:sz w:val="28"/>
          <w:szCs w:val="28"/>
        </w:rPr>
        <w:t xml:space="preserve">3.5 </w:t>
      </w:r>
      <w:r>
        <w:rPr>
          <w:rFonts w:ascii="宋体" w:hAnsi="宋体" w:eastAsia="宋体" w:cs="宋体"/>
          <w:b/>
          <w:bCs/>
          <w:spacing w:val="-2"/>
          <w:sz w:val="28"/>
          <w:szCs w:val="28"/>
        </w:rPr>
        <w:t>监测结果</w:t>
      </w:r>
    </w:p>
    <w:p w14:paraId="53EB8781">
      <w:pPr>
        <w:spacing w:before="212" w:line="220" w:lineRule="auto"/>
        <w:ind w:left="492"/>
        <w:rPr>
          <w:rFonts w:ascii="宋体" w:hAnsi="宋体" w:eastAsia="宋体" w:cs="宋体"/>
          <w:sz w:val="24"/>
          <w:szCs w:val="24"/>
        </w:rPr>
      </w:pPr>
      <w:r>
        <w:rPr>
          <w:rFonts w:ascii="宋体" w:hAnsi="宋体" w:eastAsia="宋体" w:cs="宋体"/>
          <w:spacing w:val="-4"/>
          <w:sz w:val="24"/>
          <w:szCs w:val="24"/>
        </w:rPr>
        <w:t>监测结果见下表。</w:t>
      </w:r>
    </w:p>
    <w:p w14:paraId="186E3344">
      <w:pPr>
        <w:spacing w:line="220" w:lineRule="auto"/>
        <w:rPr>
          <w:rFonts w:ascii="宋体" w:hAnsi="宋体" w:eastAsia="宋体" w:cs="宋体"/>
          <w:sz w:val="24"/>
          <w:szCs w:val="24"/>
        </w:rPr>
        <w:sectPr>
          <w:footerReference r:id="rId96" w:type="default"/>
          <w:pgSz w:w="11907" w:h="16841"/>
          <w:pgMar w:top="400" w:right="1411" w:bottom="1126" w:left="1416" w:header="0" w:footer="925" w:gutter="0"/>
          <w:cols w:space="720" w:num="1"/>
        </w:sectPr>
      </w:pPr>
    </w:p>
    <w:p w14:paraId="702ADBAE">
      <w:pPr>
        <w:spacing w:line="297" w:lineRule="auto"/>
        <w:rPr>
          <w:rFonts w:ascii="Arial"/>
          <w:sz w:val="21"/>
        </w:rPr>
      </w:pPr>
    </w:p>
    <w:p w14:paraId="53977F4C">
      <w:pPr>
        <w:spacing w:line="298" w:lineRule="auto"/>
        <w:rPr>
          <w:rFonts w:ascii="Arial"/>
          <w:sz w:val="21"/>
        </w:rPr>
      </w:pPr>
    </w:p>
    <w:p w14:paraId="3E3255B7">
      <w:pPr>
        <w:spacing w:line="298" w:lineRule="auto"/>
        <w:rPr>
          <w:rFonts w:ascii="Arial"/>
          <w:sz w:val="21"/>
        </w:rPr>
      </w:pPr>
    </w:p>
    <w:p w14:paraId="3081B2FB">
      <w:pPr>
        <w:spacing w:line="298" w:lineRule="auto"/>
        <w:rPr>
          <w:rFonts w:ascii="Arial"/>
          <w:sz w:val="21"/>
        </w:rPr>
      </w:pPr>
    </w:p>
    <w:p w14:paraId="31F76EA9">
      <w:pPr>
        <w:spacing w:before="68" w:line="229" w:lineRule="auto"/>
        <w:ind w:left="2268"/>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2"/>
          <w:sz w:val="21"/>
          <w:szCs w:val="21"/>
        </w:rPr>
        <w:t xml:space="preserve"> </w:t>
      </w:r>
      <w:r>
        <w:rPr>
          <w:rFonts w:ascii="Times New Roman" w:hAnsi="Times New Roman" w:eastAsia="Times New Roman" w:cs="Times New Roman"/>
          <w:b/>
          <w:bCs/>
          <w:spacing w:val="-2"/>
          <w:sz w:val="21"/>
          <w:szCs w:val="21"/>
        </w:rPr>
        <w:t xml:space="preserve">3-3    </w:t>
      </w:r>
      <w:r>
        <w:rPr>
          <w:rFonts w:ascii="宋体" w:hAnsi="宋体" w:eastAsia="宋体" w:cs="宋体"/>
          <w:b/>
          <w:bCs/>
          <w:spacing w:val="-2"/>
          <w:sz w:val="21"/>
          <w:szCs w:val="21"/>
        </w:rPr>
        <w:t>工频电场强度、工频磁感应强度监测结果</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60"/>
        <w:gridCol w:w="4201"/>
        <w:gridCol w:w="2126"/>
        <w:gridCol w:w="1981"/>
      </w:tblGrid>
      <w:tr w14:paraId="5D1251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60" w:type="dxa"/>
            <w:vAlign w:val="top"/>
          </w:tcPr>
          <w:p w14:paraId="1DAD6F49">
            <w:pPr>
              <w:pStyle w:val="6"/>
              <w:spacing w:before="55" w:line="222" w:lineRule="auto"/>
              <w:ind w:left="172"/>
            </w:pPr>
            <w:r>
              <w:rPr>
                <w:b/>
                <w:bCs/>
                <w:spacing w:val="-4"/>
              </w:rPr>
              <w:t>序号</w:t>
            </w:r>
          </w:p>
        </w:tc>
        <w:tc>
          <w:tcPr>
            <w:tcW w:w="4201" w:type="dxa"/>
            <w:vAlign w:val="top"/>
          </w:tcPr>
          <w:p w14:paraId="4A7C67D4">
            <w:pPr>
              <w:pStyle w:val="6"/>
              <w:spacing w:before="55" w:line="222" w:lineRule="auto"/>
              <w:ind w:left="1685"/>
            </w:pPr>
            <w:r>
              <w:rPr>
                <w:b/>
                <w:bCs/>
                <w:spacing w:val="-4"/>
              </w:rPr>
              <w:t>监测点位</w:t>
            </w:r>
          </w:p>
        </w:tc>
        <w:tc>
          <w:tcPr>
            <w:tcW w:w="2126" w:type="dxa"/>
            <w:vAlign w:val="top"/>
          </w:tcPr>
          <w:p w14:paraId="53D5D62E">
            <w:pPr>
              <w:pStyle w:val="6"/>
              <w:spacing w:before="56" w:line="221" w:lineRule="auto"/>
              <w:ind w:left="268"/>
            </w:pPr>
            <w:r>
              <w:rPr>
                <w:b/>
                <w:bCs/>
                <w:spacing w:val="-5"/>
              </w:rPr>
              <w:t>电场强度（</w:t>
            </w:r>
            <w:r>
              <w:rPr>
                <w:rFonts w:ascii="Times New Roman" w:hAnsi="Times New Roman" w:eastAsia="Times New Roman" w:cs="Times New Roman"/>
                <w:b/>
                <w:bCs/>
                <w:spacing w:val="-5"/>
              </w:rPr>
              <w:t>V/m</w:t>
            </w:r>
            <w:r>
              <w:rPr>
                <w:b/>
                <w:bCs/>
                <w:spacing w:val="-5"/>
              </w:rPr>
              <w:t>）</w:t>
            </w:r>
          </w:p>
        </w:tc>
        <w:tc>
          <w:tcPr>
            <w:tcW w:w="1981" w:type="dxa"/>
            <w:vAlign w:val="top"/>
          </w:tcPr>
          <w:p w14:paraId="797D45D0">
            <w:pPr>
              <w:pStyle w:val="6"/>
              <w:spacing w:before="56" w:line="213" w:lineRule="auto"/>
              <w:ind w:left="127"/>
            </w:pPr>
            <w:r>
              <w:rPr>
                <w:b/>
                <w:bCs/>
                <w:spacing w:val="10"/>
              </w:rPr>
              <w:t>磁感应强度(</w:t>
            </w:r>
            <w:r>
              <w:rPr>
                <w:rFonts w:ascii="Times New Roman" w:hAnsi="Times New Roman" w:eastAsia="Times New Roman" w:cs="Times New Roman"/>
                <w:b/>
                <w:bCs/>
                <w:spacing w:val="10"/>
              </w:rPr>
              <w:t>μT</w:t>
            </w:r>
            <w:r>
              <w:rPr>
                <w:b/>
                <w:bCs/>
                <w:spacing w:val="10"/>
              </w:rPr>
              <w:t>）</w:t>
            </w:r>
          </w:p>
        </w:tc>
      </w:tr>
      <w:tr w14:paraId="5E4BD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60" w:type="dxa"/>
            <w:vAlign w:val="top"/>
          </w:tcPr>
          <w:p w14:paraId="21AFB46F">
            <w:pPr>
              <w:spacing w:before="90" w:line="189" w:lineRule="auto"/>
              <w:ind w:left="2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E1</w:t>
            </w:r>
          </w:p>
        </w:tc>
        <w:tc>
          <w:tcPr>
            <w:tcW w:w="4201" w:type="dxa"/>
            <w:vAlign w:val="top"/>
          </w:tcPr>
          <w:p w14:paraId="3D9502AD">
            <w:pPr>
              <w:pStyle w:val="6"/>
              <w:spacing w:before="53" w:line="220" w:lineRule="auto"/>
              <w:ind w:left="850"/>
            </w:pPr>
            <w:r>
              <w:rPr>
                <w:spacing w:val="-1"/>
              </w:rPr>
              <w:t>乐业镇黑山村大黑山居民点</w:t>
            </w:r>
          </w:p>
        </w:tc>
        <w:tc>
          <w:tcPr>
            <w:tcW w:w="2126" w:type="dxa"/>
            <w:vAlign w:val="top"/>
          </w:tcPr>
          <w:p w14:paraId="2BC57F97">
            <w:pPr>
              <w:spacing w:before="88" w:line="219" w:lineRule="auto"/>
              <w:ind w:left="82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2.153</w:t>
            </w:r>
          </w:p>
        </w:tc>
        <w:tc>
          <w:tcPr>
            <w:tcW w:w="1981" w:type="dxa"/>
            <w:vAlign w:val="top"/>
          </w:tcPr>
          <w:p w14:paraId="55B73F60">
            <w:pPr>
              <w:spacing w:before="88" w:line="219" w:lineRule="auto"/>
              <w:ind w:left="75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0.012</w:t>
            </w:r>
          </w:p>
        </w:tc>
      </w:tr>
      <w:tr w14:paraId="54C14D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60" w:type="dxa"/>
            <w:vAlign w:val="top"/>
          </w:tcPr>
          <w:p w14:paraId="5DDC17DA">
            <w:pPr>
              <w:spacing w:before="88" w:line="189" w:lineRule="auto"/>
              <w:ind w:left="2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E2</w:t>
            </w:r>
          </w:p>
        </w:tc>
        <w:tc>
          <w:tcPr>
            <w:tcW w:w="4201" w:type="dxa"/>
            <w:vAlign w:val="top"/>
          </w:tcPr>
          <w:p w14:paraId="529C75E9">
            <w:pPr>
              <w:pStyle w:val="6"/>
              <w:spacing w:before="51" w:line="220" w:lineRule="auto"/>
              <w:ind w:left="956"/>
            </w:pPr>
            <w:r>
              <w:rPr>
                <w:spacing w:val="-1"/>
              </w:rPr>
              <w:t>乐业镇黑山村坝上居民点</w:t>
            </w:r>
          </w:p>
        </w:tc>
        <w:tc>
          <w:tcPr>
            <w:tcW w:w="2126" w:type="dxa"/>
            <w:vAlign w:val="top"/>
          </w:tcPr>
          <w:p w14:paraId="0ABC2DB8">
            <w:pPr>
              <w:spacing w:before="86" w:line="218" w:lineRule="auto"/>
              <w:ind w:left="8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0.471</w:t>
            </w:r>
          </w:p>
        </w:tc>
        <w:tc>
          <w:tcPr>
            <w:tcW w:w="1981" w:type="dxa"/>
            <w:vAlign w:val="top"/>
          </w:tcPr>
          <w:p w14:paraId="24C6314B">
            <w:pPr>
              <w:spacing w:before="86" w:line="218" w:lineRule="auto"/>
              <w:ind w:left="75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0.012</w:t>
            </w:r>
          </w:p>
        </w:tc>
      </w:tr>
      <w:tr w14:paraId="3EBFF0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60" w:type="dxa"/>
            <w:vAlign w:val="top"/>
          </w:tcPr>
          <w:p w14:paraId="6780A978">
            <w:pPr>
              <w:spacing w:before="88" w:line="189" w:lineRule="auto"/>
              <w:ind w:left="2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E3</w:t>
            </w:r>
          </w:p>
        </w:tc>
        <w:tc>
          <w:tcPr>
            <w:tcW w:w="4201" w:type="dxa"/>
            <w:vAlign w:val="top"/>
          </w:tcPr>
          <w:p w14:paraId="16C884CB">
            <w:pPr>
              <w:pStyle w:val="6"/>
              <w:spacing w:before="52" w:line="220" w:lineRule="auto"/>
              <w:ind w:left="956"/>
            </w:pPr>
            <w:r>
              <w:rPr>
                <w:spacing w:val="-1"/>
              </w:rPr>
              <w:t>乐业镇黑山村小街居民点</w:t>
            </w:r>
          </w:p>
        </w:tc>
        <w:tc>
          <w:tcPr>
            <w:tcW w:w="2126" w:type="dxa"/>
            <w:vAlign w:val="top"/>
          </w:tcPr>
          <w:p w14:paraId="11DED01E">
            <w:pPr>
              <w:spacing w:before="87" w:line="217" w:lineRule="auto"/>
              <w:ind w:left="8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0.457</w:t>
            </w:r>
          </w:p>
        </w:tc>
        <w:tc>
          <w:tcPr>
            <w:tcW w:w="1981" w:type="dxa"/>
            <w:vAlign w:val="top"/>
          </w:tcPr>
          <w:p w14:paraId="2F7D2429">
            <w:pPr>
              <w:spacing w:before="87" w:line="217" w:lineRule="auto"/>
              <w:ind w:left="75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0.014</w:t>
            </w:r>
          </w:p>
        </w:tc>
      </w:tr>
      <w:tr w14:paraId="69CD89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60" w:type="dxa"/>
            <w:vAlign w:val="top"/>
          </w:tcPr>
          <w:p w14:paraId="2DD49761">
            <w:pPr>
              <w:spacing w:before="89" w:line="189" w:lineRule="auto"/>
              <w:ind w:left="2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E4</w:t>
            </w:r>
          </w:p>
        </w:tc>
        <w:tc>
          <w:tcPr>
            <w:tcW w:w="4201" w:type="dxa"/>
            <w:vAlign w:val="top"/>
          </w:tcPr>
          <w:p w14:paraId="4D845FEC">
            <w:pPr>
              <w:pStyle w:val="6"/>
              <w:spacing w:before="52" w:line="220" w:lineRule="auto"/>
              <w:ind w:left="948"/>
            </w:pPr>
            <w:r>
              <w:rPr>
                <w:spacing w:val="-1"/>
              </w:rPr>
              <w:t>迤车镇索桥村后沟居民点</w:t>
            </w:r>
          </w:p>
        </w:tc>
        <w:tc>
          <w:tcPr>
            <w:tcW w:w="2126" w:type="dxa"/>
            <w:vAlign w:val="top"/>
          </w:tcPr>
          <w:p w14:paraId="1404CC18">
            <w:pPr>
              <w:spacing w:before="87" w:line="217" w:lineRule="auto"/>
              <w:ind w:left="8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0.665</w:t>
            </w:r>
          </w:p>
        </w:tc>
        <w:tc>
          <w:tcPr>
            <w:tcW w:w="1981" w:type="dxa"/>
            <w:vAlign w:val="top"/>
          </w:tcPr>
          <w:p w14:paraId="2B13F63C">
            <w:pPr>
              <w:spacing w:before="87" w:line="217" w:lineRule="auto"/>
              <w:ind w:left="75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0.045</w:t>
            </w:r>
          </w:p>
        </w:tc>
      </w:tr>
      <w:tr w14:paraId="050BF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60" w:type="dxa"/>
            <w:vAlign w:val="top"/>
          </w:tcPr>
          <w:p w14:paraId="1D4E3205">
            <w:pPr>
              <w:spacing w:before="92" w:line="186" w:lineRule="auto"/>
              <w:ind w:left="2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E5</w:t>
            </w:r>
          </w:p>
        </w:tc>
        <w:tc>
          <w:tcPr>
            <w:tcW w:w="4201" w:type="dxa"/>
            <w:vAlign w:val="top"/>
          </w:tcPr>
          <w:p w14:paraId="62BEE897">
            <w:pPr>
              <w:pStyle w:val="6"/>
              <w:spacing w:before="52" w:line="221" w:lineRule="auto"/>
              <w:ind w:left="1164"/>
            </w:pPr>
            <w:r>
              <w:rPr>
                <w:spacing w:val="-13"/>
              </w:rPr>
              <w:t>原者迤</w:t>
            </w:r>
            <w:r>
              <w:rPr>
                <w:spacing w:val="-28"/>
              </w:rPr>
              <w:t xml:space="preserve"> </w:t>
            </w:r>
            <w:r>
              <w:rPr>
                <w:spacing w:val="-13"/>
              </w:rPr>
              <w:t>Ⅰ</w:t>
            </w:r>
            <w:r>
              <w:rPr>
                <w:spacing w:val="-76"/>
              </w:rPr>
              <w:t xml:space="preserve"> </w:t>
            </w:r>
            <w:r>
              <w:rPr>
                <w:spacing w:val="-13"/>
              </w:rPr>
              <w:t>回改接点处</w:t>
            </w:r>
          </w:p>
        </w:tc>
        <w:tc>
          <w:tcPr>
            <w:tcW w:w="2126" w:type="dxa"/>
            <w:vAlign w:val="top"/>
          </w:tcPr>
          <w:p w14:paraId="6315BE1D">
            <w:pPr>
              <w:spacing w:before="88" w:line="216" w:lineRule="auto"/>
              <w:ind w:left="7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29.971</w:t>
            </w:r>
          </w:p>
        </w:tc>
        <w:tc>
          <w:tcPr>
            <w:tcW w:w="1981" w:type="dxa"/>
            <w:vAlign w:val="top"/>
          </w:tcPr>
          <w:p w14:paraId="5B959A8A">
            <w:pPr>
              <w:spacing w:before="88" w:line="216" w:lineRule="auto"/>
              <w:ind w:left="75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0.331</w:t>
            </w:r>
          </w:p>
        </w:tc>
      </w:tr>
      <w:tr w14:paraId="7B858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60" w:type="dxa"/>
            <w:vAlign w:val="top"/>
          </w:tcPr>
          <w:p w14:paraId="4AFA7E7C">
            <w:pPr>
              <w:spacing w:before="90" w:line="189" w:lineRule="auto"/>
              <w:ind w:left="2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E6</w:t>
            </w:r>
          </w:p>
        </w:tc>
        <w:tc>
          <w:tcPr>
            <w:tcW w:w="4201" w:type="dxa"/>
            <w:vAlign w:val="top"/>
          </w:tcPr>
          <w:p w14:paraId="1555094F">
            <w:pPr>
              <w:pStyle w:val="6"/>
              <w:spacing w:before="53" w:line="222" w:lineRule="auto"/>
              <w:ind w:left="1268"/>
            </w:pPr>
            <w:r>
              <w:rPr>
                <w:spacing w:val="-2"/>
              </w:rPr>
              <w:t>与者迤Ⅱ回交叉点</w:t>
            </w:r>
          </w:p>
        </w:tc>
        <w:tc>
          <w:tcPr>
            <w:tcW w:w="2126" w:type="dxa"/>
            <w:vAlign w:val="top"/>
          </w:tcPr>
          <w:p w14:paraId="4799BBE8">
            <w:pPr>
              <w:spacing w:before="88" w:line="216" w:lineRule="auto"/>
              <w:ind w:left="74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154.887</w:t>
            </w:r>
          </w:p>
        </w:tc>
        <w:tc>
          <w:tcPr>
            <w:tcW w:w="1981" w:type="dxa"/>
            <w:vAlign w:val="top"/>
          </w:tcPr>
          <w:p w14:paraId="6FC00ED9">
            <w:pPr>
              <w:spacing w:before="88" w:line="216" w:lineRule="auto"/>
              <w:ind w:left="75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0.024</w:t>
            </w:r>
          </w:p>
        </w:tc>
      </w:tr>
      <w:tr w14:paraId="2AF01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60" w:type="dxa"/>
            <w:vAlign w:val="top"/>
          </w:tcPr>
          <w:p w14:paraId="0819A098">
            <w:pPr>
              <w:spacing w:before="98" w:line="184" w:lineRule="auto"/>
              <w:ind w:left="2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E7</w:t>
            </w:r>
          </w:p>
        </w:tc>
        <w:tc>
          <w:tcPr>
            <w:tcW w:w="4201" w:type="dxa"/>
            <w:vAlign w:val="top"/>
          </w:tcPr>
          <w:p w14:paraId="7944E555">
            <w:pPr>
              <w:pStyle w:val="6"/>
              <w:spacing w:before="56" w:line="222" w:lineRule="auto"/>
              <w:ind w:left="1295"/>
              <w:rPr>
                <w:rFonts w:ascii="Times New Roman" w:hAnsi="Times New Roman" w:eastAsia="Times New Roman" w:cs="Times New Roman"/>
              </w:rPr>
            </w:pPr>
            <w:r>
              <w:rPr>
                <w:spacing w:val="-2"/>
              </w:rPr>
              <w:t>与大迤线交叉点</w:t>
            </w:r>
            <w:r>
              <w:rPr>
                <w:spacing w:val="-24"/>
              </w:rPr>
              <w:t xml:space="preserve"> </w:t>
            </w:r>
            <w:r>
              <w:rPr>
                <w:rFonts w:ascii="Times New Roman" w:hAnsi="Times New Roman" w:eastAsia="Times New Roman" w:cs="Times New Roman"/>
                <w:spacing w:val="-2"/>
              </w:rPr>
              <w:t>1</w:t>
            </w:r>
          </w:p>
        </w:tc>
        <w:tc>
          <w:tcPr>
            <w:tcW w:w="2126" w:type="dxa"/>
            <w:vAlign w:val="top"/>
          </w:tcPr>
          <w:p w14:paraId="48C35FF2">
            <w:pPr>
              <w:spacing w:before="91" w:line="216" w:lineRule="auto"/>
              <w:ind w:left="69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1104.920</w:t>
            </w:r>
          </w:p>
        </w:tc>
        <w:tc>
          <w:tcPr>
            <w:tcW w:w="1981" w:type="dxa"/>
            <w:vAlign w:val="top"/>
          </w:tcPr>
          <w:p w14:paraId="70D0C730">
            <w:pPr>
              <w:spacing w:before="91" w:line="216" w:lineRule="auto"/>
              <w:ind w:left="75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0.052</w:t>
            </w:r>
          </w:p>
        </w:tc>
      </w:tr>
      <w:tr w14:paraId="0F6552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60" w:type="dxa"/>
            <w:vAlign w:val="top"/>
          </w:tcPr>
          <w:p w14:paraId="7631C25F">
            <w:pPr>
              <w:spacing w:before="93" w:line="187" w:lineRule="auto"/>
              <w:ind w:left="2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E8</w:t>
            </w:r>
          </w:p>
        </w:tc>
        <w:tc>
          <w:tcPr>
            <w:tcW w:w="4201" w:type="dxa"/>
            <w:vAlign w:val="top"/>
          </w:tcPr>
          <w:p w14:paraId="1C868267">
            <w:pPr>
              <w:pStyle w:val="6"/>
              <w:spacing w:before="54" w:line="221" w:lineRule="auto"/>
              <w:ind w:left="1295"/>
              <w:rPr>
                <w:rFonts w:ascii="Times New Roman" w:hAnsi="Times New Roman" w:eastAsia="Times New Roman" w:cs="Times New Roman"/>
              </w:rPr>
            </w:pPr>
            <w:r>
              <w:rPr>
                <w:spacing w:val="-2"/>
              </w:rPr>
              <w:t>与大迤线交叉点</w:t>
            </w:r>
            <w:r>
              <w:rPr>
                <w:spacing w:val="-45"/>
              </w:rPr>
              <w:t xml:space="preserve"> </w:t>
            </w:r>
            <w:r>
              <w:rPr>
                <w:rFonts w:ascii="Times New Roman" w:hAnsi="Times New Roman" w:eastAsia="Times New Roman" w:cs="Times New Roman"/>
                <w:spacing w:val="-2"/>
              </w:rPr>
              <w:t>2</w:t>
            </w:r>
          </w:p>
        </w:tc>
        <w:tc>
          <w:tcPr>
            <w:tcW w:w="2126" w:type="dxa"/>
            <w:vAlign w:val="top"/>
          </w:tcPr>
          <w:p w14:paraId="26ADB12F">
            <w:pPr>
              <w:spacing w:before="89" w:line="215" w:lineRule="auto"/>
              <w:ind w:left="7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290.780</w:t>
            </w:r>
          </w:p>
        </w:tc>
        <w:tc>
          <w:tcPr>
            <w:tcW w:w="1981" w:type="dxa"/>
            <w:vAlign w:val="top"/>
          </w:tcPr>
          <w:p w14:paraId="36B5D75D">
            <w:pPr>
              <w:spacing w:before="89" w:line="215" w:lineRule="auto"/>
              <w:ind w:left="75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0.041</w:t>
            </w:r>
          </w:p>
        </w:tc>
      </w:tr>
      <w:tr w14:paraId="24D0C9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60" w:type="dxa"/>
            <w:vAlign w:val="top"/>
          </w:tcPr>
          <w:p w14:paraId="73ADF8FE">
            <w:pPr>
              <w:spacing w:before="93" w:line="187" w:lineRule="auto"/>
              <w:ind w:left="2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E9</w:t>
            </w:r>
          </w:p>
        </w:tc>
        <w:tc>
          <w:tcPr>
            <w:tcW w:w="4201" w:type="dxa"/>
            <w:vAlign w:val="top"/>
          </w:tcPr>
          <w:p w14:paraId="2B538533">
            <w:pPr>
              <w:pStyle w:val="6"/>
              <w:spacing w:before="54" w:line="221" w:lineRule="auto"/>
              <w:ind w:left="1295"/>
              <w:rPr>
                <w:rFonts w:ascii="Times New Roman" w:hAnsi="Times New Roman" w:eastAsia="Times New Roman" w:cs="Times New Roman"/>
              </w:rPr>
            </w:pPr>
            <w:r>
              <w:rPr>
                <w:spacing w:val="-2"/>
              </w:rPr>
              <w:t>与大迤线交叉点</w:t>
            </w:r>
            <w:r>
              <w:rPr>
                <w:spacing w:val="-40"/>
              </w:rPr>
              <w:t xml:space="preserve"> </w:t>
            </w:r>
            <w:r>
              <w:rPr>
                <w:rFonts w:ascii="Times New Roman" w:hAnsi="Times New Roman" w:eastAsia="Times New Roman" w:cs="Times New Roman"/>
                <w:spacing w:val="-2"/>
              </w:rPr>
              <w:t>3</w:t>
            </w:r>
          </w:p>
        </w:tc>
        <w:tc>
          <w:tcPr>
            <w:tcW w:w="2126" w:type="dxa"/>
            <w:vAlign w:val="top"/>
          </w:tcPr>
          <w:p w14:paraId="0852EDC0">
            <w:pPr>
              <w:spacing w:before="90" w:line="214" w:lineRule="auto"/>
              <w:ind w:left="7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663.049</w:t>
            </w:r>
          </w:p>
        </w:tc>
        <w:tc>
          <w:tcPr>
            <w:tcW w:w="1981" w:type="dxa"/>
            <w:vAlign w:val="top"/>
          </w:tcPr>
          <w:p w14:paraId="213276C5">
            <w:pPr>
              <w:spacing w:before="90" w:line="214" w:lineRule="auto"/>
              <w:ind w:left="75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0.042</w:t>
            </w:r>
          </w:p>
        </w:tc>
      </w:tr>
      <w:tr w14:paraId="40BBB0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60" w:type="dxa"/>
            <w:vAlign w:val="top"/>
          </w:tcPr>
          <w:p w14:paraId="46439641">
            <w:pPr>
              <w:spacing w:before="94" w:line="187" w:lineRule="auto"/>
              <w:ind w:left="21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E10</w:t>
            </w:r>
          </w:p>
        </w:tc>
        <w:tc>
          <w:tcPr>
            <w:tcW w:w="4201" w:type="dxa"/>
            <w:vAlign w:val="top"/>
          </w:tcPr>
          <w:p w14:paraId="7F2063F4">
            <w:pPr>
              <w:pStyle w:val="6"/>
              <w:spacing w:before="55" w:line="221" w:lineRule="auto"/>
              <w:ind w:left="1295"/>
              <w:rPr>
                <w:rFonts w:ascii="Times New Roman" w:hAnsi="Times New Roman" w:eastAsia="Times New Roman" w:cs="Times New Roman"/>
              </w:rPr>
            </w:pPr>
            <w:r>
              <w:rPr>
                <w:spacing w:val="-2"/>
              </w:rPr>
              <w:t>与赖迤线交叉点</w:t>
            </w:r>
            <w:r>
              <w:rPr>
                <w:spacing w:val="-24"/>
              </w:rPr>
              <w:t xml:space="preserve"> </w:t>
            </w:r>
            <w:r>
              <w:rPr>
                <w:rFonts w:ascii="Times New Roman" w:hAnsi="Times New Roman" w:eastAsia="Times New Roman" w:cs="Times New Roman"/>
                <w:spacing w:val="-2"/>
              </w:rPr>
              <w:t>1</w:t>
            </w:r>
          </w:p>
        </w:tc>
        <w:tc>
          <w:tcPr>
            <w:tcW w:w="2126" w:type="dxa"/>
            <w:vAlign w:val="top"/>
          </w:tcPr>
          <w:p w14:paraId="1926532F">
            <w:pPr>
              <w:spacing w:before="90" w:line="215" w:lineRule="auto"/>
              <w:ind w:left="7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246.716</w:t>
            </w:r>
          </w:p>
        </w:tc>
        <w:tc>
          <w:tcPr>
            <w:tcW w:w="1981" w:type="dxa"/>
            <w:vAlign w:val="top"/>
          </w:tcPr>
          <w:p w14:paraId="108F5278">
            <w:pPr>
              <w:spacing w:before="90" w:line="215" w:lineRule="auto"/>
              <w:ind w:left="77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1.669</w:t>
            </w:r>
          </w:p>
        </w:tc>
      </w:tr>
      <w:tr w14:paraId="64258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60" w:type="dxa"/>
            <w:vAlign w:val="top"/>
          </w:tcPr>
          <w:p w14:paraId="5A8FB06F">
            <w:pPr>
              <w:spacing w:before="94" w:line="187" w:lineRule="auto"/>
              <w:ind w:left="21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E11</w:t>
            </w:r>
          </w:p>
        </w:tc>
        <w:tc>
          <w:tcPr>
            <w:tcW w:w="4201" w:type="dxa"/>
            <w:vAlign w:val="top"/>
          </w:tcPr>
          <w:p w14:paraId="55C35545">
            <w:pPr>
              <w:pStyle w:val="6"/>
              <w:spacing w:before="55" w:line="220" w:lineRule="auto"/>
              <w:ind w:left="1295"/>
              <w:rPr>
                <w:rFonts w:ascii="Times New Roman" w:hAnsi="Times New Roman" w:eastAsia="Times New Roman" w:cs="Times New Roman"/>
              </w:rPr>
            </w:pPr>
            <w:r>
              <w:rPr>
                <w:spacing w:val="-2"/>
              </w:rPr>
              <w:t>与赖迤线交叉点</w:t>
            </w:r>
            <w:r>
              <w:rPr>
                <w:spacing w:val="-45"/>
              </w:rPr>
              <w:t xml:space="preserve"> </w:t>
            </w:r>
            <w:r>
              <w:rPr>
                <w:rFonts w:ascii="Times New Roman" w:hAnsi="Times New Roman" w:eastAsia="Times New Roman" w:cs="Times New Roman"/>
                <w:spacing w:val="-2"/>
              </w:rPr>
              <w:t>2</w:t>
            </w:r>
          </w:p>
        </w:tc>
        <w:tc>
          <w:tcPr>
            <w:tcW w:w="2126" w:type="dxa"/>
            <w:vAlign w:val="top"/>
          </w:tcPr>
          <w:p w14:paraId="7A47EBB0">
            <w:pPr>
              <w:spacing w:before="90" w:line="214" w:lineRule="auto"/>
              <w:ind w:left="7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291.167</w:t>
            </w:r>
          </w:p>
        </w:tc>
        <w:tc>
          <w:tcPr>
            <w:tcW w:w="1981" w:type="dxa"/>
            <w:vAlign w:val="top"/>
          </w:tcPr>
          <w:p w14:paraId="442BA851">
            <w:pPr>
              <w:spacing w:before="90" w:line="214" w:lineRule="auto"/>
              <w:ind w:left="77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1.457</w:t>
            </w:r>
          </w:p>
        </w:tc>
      </w:tr>
      <w:tr w14:paraId="436F4E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760" w:type="dxa"/>
            <w:vAlign w:val="top"/>
          </w:tcPr>
          <w:p w14:paraId="2348F1C2">
            <w:pPr>
              <w:spacing w:before="95" w:line="187" w:lineRule="auto"/>
              <w:ind w:left="21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E12</w:t>
            </w:r>
          </w:p>
        </w:tc>
        <w:tc>
          <w:tcPr>
            <w:tcW w:w="4201" w:type="dxa"/>
            <w:vAlign w:val="top"/>
          </w:tcPr>
          <w:p w14:paraId="4C4548CF">
            <w:pPr>
              <w:pStyle w:val="6"/>
              <w:spacing w:before="56" w:line="220" w:lineRule="auto"/>
              <w:ind w:left="1263"/>
            </w:pPr>
            <w:r>
              <w:rPr>
                <w:spacing w:val="-1"/>
              </w:rPr>
              <w:t>迤车牵引站站址处</w:t>
            </w:r>
          </w:p>
        </w:tc>
        <w:tc>
          <w:tcPr>
            <w:tcW w:w="2126" w:type="dxa"/>
            <w:vAlign w:val="top"/>
          </w:tcPr>
          <w:p w14:paraId="7CAEDA0E">
            <w:pPr>
              <w:spacing w:before="91" w:line="221" w:lineRule="auto"/>
              <w:ind w:left="8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0.467</w:t>
            </w:r>
          </w:p>
        </w:tc>
        <w:tc>
          <w:tcPr>
            <w:tcW w:w="1981" w:type="dxa"/>
            <w:vAlign w:val="top"/>
          </w:tcPr>
          <w:p w14:paraId="2154E983">
            <w:pPr>
              <w:spacing w:before="91" w:line="221" w:lineRule="auto"/>
              <w:ind w:left="76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0.011</w:t>
            </w:r>
          </w:p>
        </w:tc>
      </w:tr>
    </w:tbl>
    <w:p w14:paraId="687012DB">
      <w:pPr>
        <w:spacing w:before="113" w:line="344" w:lineRule="auto"/>
        <w:ind w:left="5" w:right="84" w:firstLine="486"/>
        <w:jc w:val="both"/>
        <w:rPr>
          <w:rFonts w:ascii="宋体" w:hAnsi="宋体" w:eastAsia="宋体" w:cs="宋体"/>
          <w:sz w:val="24"/>
          <w:szCs w:val="24"/>
        </w:rPr>
      </w:pPr>
      <w:r>
        <w:rPr>
          <w:rFonts w:ascii="Times New Roman" w:hAnsi="Times New Roman" w:eastAsia="Times New Roman" w:cs="Times New Roman"/>
          <w:spacing w:val="-2"/>
          <w:sz w:val="24"/>
          <w:szCs w:val="24"/>
        </w:rPr>
        <w:t>500kV</w:t>
      </w:r>
      <w:r>
        <w:rPr>
          <w:rFonts w:ascii="Times New Roman" w:hAnsi="Times New Roman" w:eastAsia="Times New Roman" w:cs="Times New Roman"/>
          <w:spacing w:val="28"/>
          <w:sz w:val="24"/>
          <w:szCs w:val="24"/>
        </w:rPr>
        <w:t xml:space="preserve"> </w:t>
      </w:r>
      <w:r>
        <w:rPr>
          <w:rFonts w:ascii="宋体" w:hAnsi="宋体" w:eastAsia="宋体" w:cs="宋体"/>
          <w:spacing w:val="-2"/>
          <w:sz w:val="24"/>
          <w:szCs w:val="24"/>
        </w:rPr>
        <w:t>乐业变站址、</w:t>
      </w:r>
      <w:r>
        <w:rPr>
          <w:rFonts w:ascii="Times New Roman" w:hAnsi="Times New Roman" w:eastAsia="Times New Roman" w:cs="Times New Roman"/>
          <w:spacing w:val="-2"/>
          <w:sz w:val="24"/>
          <w:szCs w:val="24"/>
        </w:rPr>
        <w:t xml:space="preserve">220kV </w:t>
      </w:r>
      <w:r>
        <w:rPr>
          <w:rFonts w:ascii="宋体" w:hAnsi="宋体" w:eastAsia="宋体" w:cs="宋体"/>
          <w:spacing w:val="-2"/>
          <w:sz w:val="24"/>
          <w:szCs w:val="24"/>
        </w:rPr>
        <w:t>迤车变厂界电磁环境现状引用已批复的《</w:t>
      </w:r>
      <w:r>
        <w:rPr>
          <w:rFonts w:ascii="Times New Roman" w:hAnsi="Times New Roman" w:eastAsia="Times New Roman" w:cs="Times New Roman"/>
          <w:spacing w:val="-2"/>
          <w:sz w:val="24"/>
          <w:szCs w:val="24"/>
        </w:rPr>
        <w:t>500kV</w:t>
      </w:r>
      <w:r>
        <w:rPr>
          <w:rFonts w:ascii="Times New Roman" w:hAnsi="Times New Roman" w:eastAsia="Times New Roman" w:cs="Times New Roman"/>
          <w:spacing w:val="16"/>
          <w:w w:val="101"/>
          <w:sz w:val="24"/>
          <w:szCs w:val="24"/>
        </w:rPr>
        <w:t xml:space="preserve"> </w:t>
      </w:r>
      <w:r>
        <w:rPr>
          <w:rFonts w:ascii="宋体" w:hAnsi="宋体" w:eastAsia="宋体" w:cs="宋体"/>
          <w:spacing w:val="-2"/>
          <w:sz w:val="24"/>
          <w:szCs w:val="24"/>
        </w:rPr>
        <w:t>乐业变</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41"/>
          <w:sz w:val="24"/>
          <w:szCs w:val="24"/>
        </w:rPr>
        <w:t xml:space="preserve"> </w:t>
      </w:r>
      <w:r>
        <w:rPr>
          <w:rFonts w:ascii="宋体" w:hAnsi="宋体" w:eastAsia="宋体" w:cs="宋体"/>
          <w:spacing w:val="-1"/>
          <w:sz w:val="24"/>
          <w:szCs w:val="24"/>
        </w:rPr>
        <w:t>接入系统工程环境影响报告表》中的现状监测数据，监测时间</w:t>
      </w:r>
      <w:r>
        <w:rPr>
          <w:rFonts w:ascii="宋体" w:hAnsi="宋体" w:eastAsia="宋体" w:cs="宋体"/>
          <w:spacing w:val="-22"/>
          <w:sz w:val="24"/>
          <w:szCs w:val="24"/>
        </w:rPr>
        <w:t xml:space="preserve"> </w:t>
      </w:r>
      <w:r>
        <w:rPr>
          <w:rFonts w:ascii="Times New Roman" w:hAnsi="Times New Roman" w:eastAsia="Times New Roman" w:cs="Times New Roman"/>
          <w:spacing w:val="-1"/>
          <w:sz w:val="24"/>
          <w:szCs w:val="24"/>
        </w:rPr>
        <w:t>2024.9.2~9.3</w:t>
      </w:r>
      <w:r>
        <w:rPr>
          <w:rFonts w:ascii="Times New Roman" w:hAnsi="Times New Roman" w:eastAsia="Times New Roman" w:cs="Times New Roman"/>
          <w:spacing w:val="-31"/>
          <w:sz w:val="24"/>
          <w:szCs w:val="24"/>
        </w:rPr>
        <w:t xml:space="preserve"> </w:t>
      </w:r>
      <w:r>
        <w:rPr>
          <w:rFonts w:ascii="宋体" w:hAnsi="宋体" w:eastAsia="宋体" w:cs="宋体"/>
          <w:spacing w:val="-1"/>
          <w:sz w:val="24"/>
          <w:szCs w:val="24"/>
        </w:rPr>
        <w:t>，监</w:t>
      </w:r>
      <w:r>
        <w:rPr>
          <w:rFonts w:ascii="宋体" w:hAnsi="宋体" w:eastAsia="宋体" w:cs="宋体"/>
          <w:spacing w:val="-3"/>
          <w:sz w:val="24"/>
          <w:szCs w:val="24"/>
        </w:rPr>
        <w:t>测报告见附件，监测数据见下表。</w:t>
      </w:r>
    </w:p>
    <w:p w14:paraId="252A269D">
      <w:pPr>
        <w:spacing w:line="229" w:lineRule="auto"/>
        <w:ind w:left="2691"/>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5"/>
          <w:sz w:val="21"/>
          <w:szCs w:val="21"/>
        </w:rPr>
        <w:t xml:space="preserve"> </w:t>
      </w:r>
      <w:r>
        <w:rPr>
          <w:rFonts w:ascii="Times New Roman" w:hAnsi="Times New Roman" w:eastAsia="Times New Roman" w:cs="Times New Roman"/>
          <w:b/>
          <w:bCs/>
          <w:spacing w:val="-2"/>
          <w:sz w:val="21"/>
          <w:szCs w:val="21"/>
        </w:rPr>
        <w:t xml:space="preserve">3-4    </w:t>
      </w:r>
      <w:r>
        <w:rPr>
          <w:rFonts w:ascii="宋体" w:hAnsi="宋体" w:eastAsia="宋体" w:cs="宋体"/>
          <w:b/>
          <w:bCs/>
          <w:spacing w:val="-2"/>
          <w:sz w:val="21"/>
          <w:szCs w:val="21"/>
        </w:rPr>
        <w:t>引用项目电磁环境现状监测结果</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3544"/>
        <w:gridCol w:w="1417"/>
        <w:gridCol w:w="1418"/>
        <w:gridCol w:w="1982"/>
      </w:tblGrid>
      <w:tr w14:paraId="640DB9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707" w:type="dxa"/>
            <w:vAlign w:val="top"/>
          </w:tcPr>
          <w:p w14:paraId="427252D1">
            <w:pPr>
              <w:pStyle w:val="6"/>
              <w:spacing w:before="211" w:line="222" w:lineRule="auto"/>
              <w:ind w:left="146"/>
            </w:pPr>
            <w:r>
              <w:rPr>
                <w:b/>
                <w:bCs/>
                <w:spacing w:val="-4"/>
              </w:rPr>
              <w:t>序号</w:t>
            </w:r>
          </w:p>
        </w:tc>
        <w:tc>
          <w:tcPr>
            <w:tcW w:w="3544" w:type="dxa"/>
            <w:vAlign w:val="top"/>
          </w:tcPr>
          <w:p w14:paraId="27C2E317">
            <w:pPr>
              <w:pStyle w:val="6"/>
              <w:spacing w:before="211" w:line="222" w:lineRule="auto"/>
              <w:ind w:left="1356"/>
            </w:pPr>
            <w:r>
              <w:rPr>
                <w:b/>
                <w:bCs/>
                <w:spacing w:val="-4"/>
              </w:rPr>
              <w:t>监测点位</w:t>
            </w:r>
          </w:p>
        </w:tc>
        <w:tc>
          <w:tcPr>
            <w:tcW w:w="1417" w:type="dxa"/>
            <w:vAlign w:val="top"/>
          </w:tcPr>
          <w:p w14:paraId="6C2871C0">
            <w:pPr>
              <w:pStyle w:val="6"/>
              <w:spacing w:before="55" w:line="249" w:lineRule="auto"/>
              <w:ind w:left="316" w:right="283"/>
            </w:pPr>
            <w:r>
              <w:rPr>
                <w:b/>
                <w:bCs/>
                <w:spacing w:val="-10"/>
              </w:rPr>
              <w:t>电场强度</w:t>
            </w:r>
            <w:r>
              <w:rPr>
                <w:b/>
                <w:bCs/>
                <w:spacing w:val="-4"/>
              </w:rPr>
              <w:t>（</w:t>
            </w:r>
            <w:r>
              <w:rPr>
                <w:rFonts w:ascii="Times New Roman" w:hAnsi="Times New Roman" w:eastAsia="Times New Roman" w:cs="Times New Roman"/>
                <w:b/>
                <w:bCs/>
                <w:spacing w:val="-4"/>
              </w:rPr>
              <w:t>V/m</w:t>
            </w:r>
            <w:r>
              <w:rPr>
                <w:b/>
                <w:bCs/>
                <w:spacing w:val="-4"/>
              </w:rPr>
              <w:t>）</w:t>
            </w:r>
          </w:p>
        </w:tc>
        <w:tc>
          <w:tcPr>
            <w:tcW w:w="1418" w:type="dxa"/>
            <w:vAlign w:val="top"/>
          </w:tcPr>
          <w:p w14:paraId="5BE9A3A5">
            <w:pPr>
              <w:pStyle w:val="6"/>
              <w:spacing w:before="55" w:line="249" w:lineRule="auto"/>
              <w:ind w:left="483" w:right="177" w:hanging="296"/>
            </w:pPr>
            <w:r>
              <w:rPr>
                <w:b/>
                <w:bCs/>
                <w:spacing w:val="-3"/>
              </w:rPr>
              <w:t>磁感应强度</w:t>
            </w:r>
            <w:r>
              <w:rPr>
                <w:b/>
                <w:bCs/>
                <w:spacing w:val="-4"/>
              </w:rPr>
              <w:t>(</w:t>
            </w:r>
            <w:r>
              <w:rPr>
                <w:rFonts w:ascii="Times New Roman" w:hAnsi="Times New Roman" w:eastAsia="Times New Roman" w:cs="Times New Roman"/>
                <w:b/>
                <w:bCs/>
                <w:spacing w:val="-4"/>
              </w:rPr>
              <w:t>μT</w:t>
            </w:r>
            <w:r>
              <w:rPr>
                <w:b/>
                <w:bCs/>
                <w:spacing w:val="-4"/>
              </w:rPr>
              <w:t>）</w:t>
            </w:r>
          </w:p>
        </w:tc>
        <w:tc>
          <w:tcPr>
            <w:tcW w:w="1982" w:type="dxa"/>
            <w:vAlign w:val="top"/>
          </w:tcPr>
          <w:p w14:paraId="03F6F586">
            <w:pPr>
              <w:pStyle w:val="6"/>
              <w:spacing w:before="211" w:line="222" w:lineRule="auto"/>
              <w:ind w:left="788"/>
            </w:pPr>
            <w:r>
              <w:rPr>
                <w:b/>
                <w:bCs/>
                <w:spacing w:val="-5"/>
              </w:rPr>
              <w:t>备注</w:t>
            </w:r>
          </w:p>
        </w:tc>
      </w:tr>
      <w:tr w14:paraId="09B7EA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7" w:type="dxa"/>
            <w:vAlign w:val="top"/>
          </w:tcPr>
          <w:p w14:paraId="2A824CA0">
            <w:pPr>
              <w:spacing w:before="94" w:line="184" w:lineRule="auto"/>
              <w:ind w:left="23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E7</w:t>
            </w:r>
          </w:p>
        </w:tc>
        <w:tc>
          <w:tcPr>
            <w:tcW w:w="3544" w:type="dxa"/>
            <w:vAlign w:val="top"/>
          </w:tcPr>
          <w:p w14:paraId="7BBD9B86">
            <w:pPr>
              <w:pStyle w:val="6"/>
              <w:spacing w:before="52" w:line="220" w:lineRule="auto"/>
              <w:ind w:left="621"/>
            </w:pPr>
            <w:r>
              <w:rPr>
                <w:spacing w:val="-2"/>
              </w:rPr>
              <w:t>本项目出线处（迤车侧）</w:t>
            </w:r>
          </w:p>
        </w:tc>
        <w:tc>
          <w:tcPr>
            <w:tcW w:w="1417" w:type="dxa"/>
            <w:vAlign w:val="top"/>
          </w:tcPr>
          <w:p w14:paraId="49ADF8E3">
            <w:pPr>
              <w:spacing w:before="87" w:line="217" w:lineRule="auto"/>
              <w:ind w:left="492"/>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12.91</w:t>
            </w:r>
          </w:p>
        </w:tc>
        <w:tc>
          <w:tcPr>
            <w:tcW w:w="1418" w:type="dxa"/>
            <w:vAlign w:val="top"/>
          </w:tcPr>
          <w:p w14:paraId="1E5AC658">
            <w:pPr>
              <w:spacing w:before="87" w:line="217" w:lineRule="auto"/>
              <w:ind w:left="4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0.0990</w:t>
            </w:r>
          </w:p>
        </w:tc>
        <w:tc>
          <w:tcPr>
            <w:tcW w:w="1982" w:type="dxa"/>
            <w:vAlign w:val="top"/>
          </w:tcPr>
          <w:p w14:paraId="1C6E49FC">
            <w:pPr>
              <w:pStyle w:val="6"/>
              <w:spacing w:before="52" w:line="221" w:lineRule="auto"/>
              <w:ind w:left="161"/>
            </w:pPr>
            <w:r>
              <w:rPr>
                <w:rFonts w:ascii="Times New Roman" w:hAnsi="Times New Roman" w:eastAsia="Times New Roman" w:cs="Times New Roman"/>
                <w:spacing w:val="-3"/>
              </w:rPr>
              <w:t>500kV</w:t>
            </w:r>
            <w:r>
              <w:rPr>
                <w:rFonts w:ascii="Times New Roman" w:hAnsi="Times New Roman" w:eastAsia="Times New Roman" w:cs="Times New Roman"/>
                <w:spacing w:val="22"/>
              </w:rPr>
              <w:t xml:space="preserve"> </w:t>
            </w:r>
            <w:r>
              <w:rPr>
                <w:spacing w:val="-3"/>
              </w:rPr>
              <w:t>乐业变厂界</w:t>
            </w:r>
          </w:p>
        </w:tc>
      </w:tr>
      <w:tr w14:paraId="379409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07" w:type="dxa"/>
            <w:vAlign w:val="top"/>
          </w:tcPr>
          <w:p w14:paraId="35504640">
            <w:pPr>
              <w:spacing w:before="91" w:line="187" w:lineRule="auto"/>
              <w:ind w:left="23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E8</w:t>
            </w:r>
          </w:p>
        </w:tc>
        <w:tc>
          <w:tcPr>
            <w:tcW w:w="3544" w:type="dxa"/>
            <w:vAlign w:val="top"/>
          </w:tcPr>
          <w:p w14:paraId="3753B9EA">
            <w:pPr>
              <w:pStyle w:val="6"/>
              <w:spacing w:before="53" w:line="220" w:lineRule="auto"/>
              <w:ind w:left="621"/>
            </w:pPr>
            <w:r>
              <w:rPr>
                <w:spacing w:val="-2"/>
              </w:rPr>
              <w:t>本项目出线处（者海侧）</w:t>
            </w:r>
          </w:p>
        </w:tc>
        <w:tc>
          <w:tcPr>
            <w:tcW w:w="1417" w:type="dxa"/>
            <w:vAlign w:val="top"/>
          </w:tcPr>
          <w:p w14:paraId="63CC9156">
            <w:pPr>
              <w:spacing w:before="88" w:line="217" w:lineRule="auto"/>
              <w:ind w:left="497"/>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11.40</w:t>
            </w:r>
          </w:p>
        </w:tc>
        <w:tc>
          <w:tcPr>
            <w:tcW w:w="1418" w:type="dxa"/>
            <w:vAlign w:val="top"/>
          </w:tcPr>
          <w:p w14:paraId="365E001A">
            <w:pPr>
              <w:spacing w:before="88" w:line="217" w:lineRule="auto"/>
              <w:ind w:left="4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0.0966</w:t>
            </w:r>
          </w:p>
        </w:tc>
        <w:tc>
          <w:tcPr>
            <w:tcW w:w="1982" w:type="dxa"/>
            <w:vAlign w:val="top"/>
          </w:tcPr>
          <w:p w14:paraId="762BF69C">
            <w:pPr>
              <w:pStyle w:val="6"/>
              <w:spacing w:before="53" w:line="221" w:lineRule="auto"/>
              <w:ind w:left="161"/>
            </w:pPr>
            <w:r>
              <w:rPr>
                <w:rFonts w:ascii="Times New Roman" w:hAnsi="Times New Roman" w:eastAsia="Times New Roman" w:cs="Times New Roman"/>
                <w:spacing w:val="-3"/>
              </w:rPr>
              <w:t>500kV</w:t>
            </w:r>
            <w:r>
              <w:rPr>
                <w:rFonts w:ascii="Times New Roman" w:hAnsi="Times New Roman" w:eastAsia="Times New Roman" w:cs="Times New Roman"/>
                <w:spacing w:val="22"/>
              </w:rPr>
              <w:t xml:space="preserve"> </w:t>
            </w:r>
            <w:r>
              <w:rPr>
                <w:spacing w:val="-3"/>
              </w:rPr>
              <w:t>乐业变厂界</w:t>
            </w:r>
          </w:p>
        </w:tc>
      </w:tr>
      <w:tr w14:paraId="6F5A0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7" w:type="dxa"/>
            <w:vAlign w:val="top"/>
          </w:tcPr>
          <w:p w14:paraId="68BAD92F">
            <w:pPr>
              <w:spacing w:before="91" w:line="187" w:lineRule="auto"/>
              <w:ind w:left="23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E9</w:t>
            </w:r>
          </w:p>
        </w:tc>
        <w:tc>
          <w:tcPr>
            <w:tcW w:w="3544" w:type="dxa"/>
            <w:vAlign w:val="top"/>
          </w:tcPr>
          <w:p w14:paraId="1B0AFE3F">
            <w:pPr>
              <w:pStyle w:val="6"/>
              <w:spacing w:before="52" w:line="221" w:lineRule="auto"/>
              <w:ind w:left="725"/>
            </w:pPr>
            <w:r>
              <w:rPr>
                <w:rFonts w:ascii="Times New Roman" w:hAnsi="Times New Roman" w:eastAsia="Times New Roman" w:cs="Times New Roman"/>
                <w:spacing w:val="-1"/>
              </w:rPr>
              <w:t xml:space="preserve">220kV </w:t>
            </w:r>
            <w:r>
              <w:rPr>
                <w:spacing w:val="-1"/>
              </w:rPr>
              <w:t>迤车变厂界东侧</w:t>
            </w:r>
          </w:p>
        </w:tc>
        <w:tc>
          <w:tcPr>
            <w:tcW w:w="1417" w:type="dxa"/>
            <w:vAlign w:val="top"/>
          </w:tcPr>
          <w:p w14:paraId="52BEDAF8">
            <w:pPr>
              <w:spacing w:before="88" w:line="216" w:lineRule="auto"/>
              <w:ind w:left="44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1099.4</w:t>
            </w:r>
          </w:p>
        </w:tc>
        <w:tc>
          <w:tcPr>
            <w:tcW w:w="1418" w:type="dxa"/>
            <w:vAlign w:val="top"/>
          </w:tcPr>
          <w:p w14:paraId="778F30F7">
            <w:pPr>
              <w:spacing w:before="88" w:line="216" w:lineRule="auto"/>
              <w:ind w:left="4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3.6077</w:t>
            </w:r>
          </w:p>
        </w:tc>
        <w:tc>
          <w:tcPr>
            <w:tcW w:w="1982" w:type="dxa"/>
            <w:vMerge w:val="restart"/>
            <w:tcBorders>
              <w:bottom w:val="nil"/>
            </w:tcBorders>
            <w:vAlign w:val="top"/>
          </w:tcPr>
          <w:p w14:paraId="7B412612">
            <w:pPr>
              <w:spacing w:line="313" w:lineRule="auto"/>
              <w:rPr>
                <w:rFonts w:ascii="Arial"/>
                <w:sz w:val="21"/>
              </w:rPr>
            </w:pPr>
          </w:p>
          <w:p w14:paraId="123DDE61">
            <w:pPr>
              <w:spacing w:line="313" w:lineRule="auto"/>
              <w:rPr>
                <w:rFonts w:ascii="Arial"/>
                <w:sz w:val="21"/>
              </w:rPr>
            </w:pPr>
          </w:p>
          <w:p w14:paraId="09F5FB81">
            <w:pPr>
              <w:pStyle w:val="6"/>
              <w:spacing w:before="68" w:line="221" w:lineRule="auto"/>
              <w:ind w:left="155"/>
            </w:pPr>
            <w:r>
              <w:rPr>
                <w:rFonts w:ascii="Times New Roman" w:hAnsi="Times New Roman" w:eastAsia="Times New Roman" w:cs="Times New Roman"/>
                <w:spacing w:val="-1"/>
              </w:rPr>
              <w:t xml:space="preserve">220kV </w:t>
            </w:r>
            <w:r>
              <w:rPr>
                <w:spacing w:val="-1"/>
              </w:rPr>
              <w:t>迤车变厂界</w:t>
            </w:r>
          </w:p>
        </w:tc>
      </w:tr>
      <w:tr w14:paraId="26F274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7" w:type="dxa"/>
            <w:vAlign w:val="top"/>
          </w:tcPr>
          <w:p w14:paraId="00638886">
            <w:pPr>
              <w:spacing w:before="92" w:line="187" w:lineRule="auto"/>
              <w:ind w:left="1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E10</w:t>
            </w:r>
          </w:p>
        </w:tc>
        <w:tc>
          <w:tcPr>
            <w:tcW w:w="3544" w:type="dxa"/>
            <w:vAlign w:val="top"/>
          </w:tcPr>
          <w:p w14:paraId="50B43791">
            <w:pPr>
              <w:pStyle w:val="6"/>
              <w:spacing w:before="53" w:line="221" w:lineRule="auto"/>
              <w:ind w:left="725"/>
            </w:pPr>
            <w:r>
              <w:rPr>
                <w:rFonts w:ascii="Times New Roman" w:hAnsi="Times New Roman" w:eastAsia="Times New Roman" w:cs="Times New Roman"/>
                <w:spacing w:val="-1"/>
              </w:rPr>
              <w:t xml:space="preserve">220kV </w:t>
            </w:r>
            <w:r>
              <w:rPr>
                <w:spacing w:val="-1"/>
              </w:rPr>
              <w:t>迤车变厂界南侧</w:t>
            </w:r>
          </w:p>
        </w:tc>
        <w:tc>
          <w:tcPr>
            <w:tcW w:w="1417" w:type="dxa"/>
            <w:vAlign w:val="top"/>
          </w:tcPr>
          <w:p w14:paraId="52A25046">
            <w:pPr>
              <w:spacing w:before="88" w:line="216"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2.652</w:t>
            </w:r>
          </w:p>
        </w:tc>
        <w:tc>
          <w:tcPr>
            <w:tcW w:w="1418" w:type="dxa"/>
            <w:vAlign w:val="top"/>
          </w:tcPr>
          <w:p w14:paraId="3A049C1E">
            <w:pPr>
              <w:spacing w:before="88" w:line="216"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0.1011</w:t>
            </w:r>
          </w:p>
        </w:tc>
        <w:tc>
          <w:tcPr>
            <w:tcW w:w="1982" w:type="dxa"/>
            <w:vMerge w:val="continue"/>
            <w:tcBorders>
              <w:top w:val="nil"/>
              <w:bottom w:val="nil"/>
            </w:tcBorders>
            <w:vAlign w:val="top"/>
          </w:tcPr>
          <w:p w14:paraId="7221C055">
            <w:pPr>
              <w:rPr>
                <w:rFonts w:ascii="Arial"/>
                <w:sz w:val="21"/>
              </w:rPr>
            </w:pPr>
          </w:p>
        </w:tc>
      </w:tr>
      <w:tr w14:paraId="212913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07" w:type="dxa"/>
            <w:vAlign w:val="top"/>
          </w:tcPr>
          <w:p w14:paraId="4DCB9867">
            <w:pPr>
              <w:spacing w:before="95" w:line="187" w:lineRule="auto"/>
              <w:ind w:left="1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E11</w:t>
            </w:r>
          </w:p>
        </w:tc>
        <w:tc>
          <w:tcPr>
            <w:tcW w:w="3544" w:type="dxa"/>
            <w:vAlign w:val="top"/>
          </w:tcPr>
          <w:p w14:paraId="37A2A445">
            <w:pPr>
              <w:pStyle w:val="6"/>
              <w:spacing w:before="56" w:line="221" w:lineRule="auto"/>
              <w:ind w:left="725"/>
            </w:pPr>
            <w:r>
              <w:rPr>
                <w:rFonts w:ascii="Times New Roman" w:hAnsi="Times New Roman" w:eastAsia="Times New Roman" w:cs="Times New Roman"/>
                <w:spacing w:val="-1"/>
              </w:rPr>
              <w:t xml:space="preserve">220kV </w:t>
            </w:r>
            <w:r>
              <w:rPr>
                <w:spacing w:val="-1"/>
              </w:rPr>
              <w:t>迤车变厂界西侧</w:t>
            </w:r>
          </w:p>
        </w:tc>
        <w:tc>
          <w:tcPr>
            <w:tcW w:w="1417" w:type="dxa"/>
            <w:vAlign w:val="top"/>
          </w:tcPr>
          <w:p w14:paraId="327D6842">
            <w:pPr>
              <w:spacing w:before="91" w:line="215" w:lineRule="auto"/>
              <w:ind w:left="47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4.184</w:t>
            </w:r>
          </w:p>
        </w:tc>
        <w:tc>
          <w:tcPr>
            <w:tcW w:w="1418" w:type="dxa"/>
            <w:vAlign w:val="top"/>
          </w:tcPr>
          <w:p w14:paraId="3FC23694">
            <w:pPr>
              <w:spacing w:before="91" w:line="215" w:lineRule="auto"/>
              <w:ind w:left="4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0.1222</w:t>
            </w:r>
          </w:p>
        </w:tc>
        <w:tc>
          <w:tcPr>
            <w:tcW w:w="1982" w:type="dxa"/>
            <w:vMerge w:val="continue"/>
            <w:tcBorders>
              <w:top w:val="nil"/>
              <w:bottom w:val="nil"/>
            </w:tcBorders>
            <w:vAlign w:val="top"/>
          </w:tcPr>
          <w:p w14:paraId="31D73266">
            <w:pPr>
              <w:rPr>
                <w:rFonts w:ascii="Arial"/>
                <w:sz w:val="21"/>
              </w:rPr>
            </w:pPr>
          </w:p>
        </w:tc>
      </w:tr>
      <w:tr w14:paraId="13B9B1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7" w:type="dxa"/>
            <w:vAlign w:val="top"/>
          </w:tcPr>
          <w:p w14:paraId="78763C55">
            <w:pPr>
              <w:spacing w:before="94" w:line="187" w:lineRule="auto"/>
              <w:ind w:left="1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E12</w:t>
            </w:r>
          </w:p>
        </w:tc>
        <w:tc>
          <w:tcPr>
            <w:tcW w:w="3544" w:type="dxa"/>
            <w:vAlign w:val="top"/>
          </w:tcPr>
          <w:p w14:paraId="59EF26B6">
            <w:pPr>
              <w:pStyle w:val="6"/>
              <w:spacing w:before="55" w:line="220" w:lineRule="auto"/>
              <w:ind w:left="725"/>
            </w:pPr>
            <w:r>
              <w:rPr>
                <w:rFonts w:ascii="Times New Roman" w:hAnsi="Times New Roman" w:eastAsia="Times New Roman" w:cs="Times New Roman"/>
                <w:spacing w:val="-1"/>
              </w:rPr>
              <w:t xml:space="preserve">220kV </w:t>
            </w:r>
            <w:r>
              <w:rPr>
                <w:spacing w:val="-1"/>
              </w:rPr>
              <w:t>迤车变厂界北侧</w:t>
            </w:r>
          </w:p>
        </w:tc>
        <w:tc>
          <w:tcPr>
            <w:tcW w:w="1417" w:type="dxa"/>
            <w:vAlign w:val="top"/>
          </w:tcPr>
          <w:p w14:paraId="1314E5EC">
            <w:pPr>
              <w:spacing w:before="90" w:line="214" w:lineRule="auto"/>
              <w:ind w:left="4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31.68</w:t>
            </w:r>
          </w:p>
        </w:tc>
        <w:tc>
          <w:tcPr>
            <w:tcW w:w="1418" w:type="dxa"/>
            <w:vAlign w:val="top"/>
          </w:tcPr>
          <w:p w14:paraId="4580D9CB">
            <w:pPr>
              <w:spacing w:before="90" w:line="214" w:lineRule="auto"/>
              <w:ind w:left="4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0.2054</w:t>
            </w:r>
          </w:p>
        </w:tc>
        <w:tc>
          <w:tcPr>
            <w:tcW w:w="1982" w:type="dxa"/>
            <w:vMerge w:val="continue"/>
            <w:tcBorders>
              <w:top w:val="nil"/>
              <w:bottom w:val="nil"/>
            </w:tcBorders>
            <w:vAlign w:val="top"/>
          </w:tcPr>
          <w:p w14:paraId="7B7B3313">
            <w:pPr>
              <w:rPr>
                <w:rFonts w:ascii="Arial"/>
                <w:sz w:val="21"/>
              </w:rPr>
            </w:pPr>
          </w:p>
        </w:tc>
      </w:tr>
      <w:tr w14:paraId="78F207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07" w:type="dxa"/>
            <w:vAlign w:val="top"/>
          </w:tcPr>
          <w:p w14:paraId="514A4269">
            <w:pPr>
              <w:spacing w:before="94" w:line="187" w:lineRule="auto"/>
              <w:ind w:left="1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E13</w:t>
            </w:r>
          </w:p>
        </w:tc>
        <w:tc>
          <w:tcPr>
            <w:tcW w:w="3544" w:type="dxa"/>
            <w:vAlign w:val="top"/>
          </w:tcPr>
          <w:p w14:paraId="5CAFD580">
            <w:pPr>
              <w:pStyle w:val="6"/>
              <w:spacing w:before="55" w:line="220" w:lineRule="auto"/>
              <w:ind w:left="410"/>
            </w:pPr>
            <w:r>
              <w:rPr>
                <w:rFonts w:ascii="Times New Roman" w:hAnsi="Times New Roman" w:eastAsia="Times New Roman" w:cs="Times New Roman"/>
                <w:spacing w:val="-1"/>
              </w:rPr>
              <w:t xml:space="preserve">220kV </w:t>
            </w:r>
            <w:r>
              <w:rPr>
                <w:spacing w:val="-1"/>
              </w:rPr>
              <w:t>迤车变本期改造间隔侧</w:t>
            </w:r>
          </w:p>
        </w:tc>
        <w:tc>
          <w:tcPr>
            <w:tcW w:w="1417" w:type="dxa"/>
            <w:vAlign w:val="top"/>
          </w:tcPr>
          <w:p w14:paraId="1FA8FC36">
            <w:pPr>
              <w:spacing w:before="90" w:line="219" w:lineRule="auto"/>
              <w:ind w:left="41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264.04</w:t>
            </w:r>
          </w:p>
        </w:tc>
        <w:tc>
          <w:tcPr>
            <w:tcW w:w="1418" w:type="dxa"/>
            <w:vAlign w:val="top"/>
          </w:tcPr>
          <w:p w14:paraId="2F5D0318">
            <w:pPr>
              <w:spacing w:before="90" w:line="219" w:lineRule="auto"/>
              <w:ind w:left="4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2.4128</w:t>
            </w:r>
          </w:p>
        </w:tc>
        <w:tc>
          <w:tcPr>
            <w:tcW w:w="1982" w:type="dxa"/>
            <w:vMerge w:val="continue"/>
            <w:tcBorders>
              <w:top w:val="nil"/>
            </w:tcBorders>
            <w:vAlign w:val="top"/>
          </w:tcPr>
          <w:p w14:paraId="15018126">
            <w:pPr>
              <w:rPr>
                <w:rFonts w:ascii="Arial"/>
                <w:sz w:val="21"/>
              </w:rPr>
            </w:pPr>
          </w:p>
        </w:tc>
      </w:tr>
    </w:tbl>
    <w:p w14:paraId="602CB512">
      <w:pPr>
        <w:spacing w:before="116" w:line="350" w:lineRule="auto"/>
        <w:ind w:left="10" w:firstLine="479"/>
        <w:rPr>
          <w:rFonts w:ascii="宋体" w:hAnsi="宋体" w:eastAsia="宋体" w:cs="宋体"/>
          <w:sz w:val="24"/>
          <w:szCs w:val="24"/>
        </w:rPr>
      </w:pPr>
      <w:r>
        <w:rPr>
          <w:rFonts w:ascii="宋体" w:hAnsi="宋体" w:eastAsia="宋体" w:cs="宋体"/>
          <w:spacing w:val="-1"/>
          <w:sz w:val="24"/>
          <w:szCs w:val="24"/>
        </w:rPr>
        <w:t xml:space="preserve">拟建输电线路电磁环境保护目标处工频电场强度在 </w:t>
      </w:r>
      <w:r>
        <w:rPr>
          <w:rFonts w:ascii="Times New Roman" w:hAnsi="Times New Roman" w:eastAsia="Times New Roman" w:cs="Times New Roman"/>
          <w:spacing w:val="-1"/>
          <w:sz w:val="24"/>
          <w:szCs w:val="24"/>
        </w:rPr>
        <w:t>0.457~2.</w:t>
      </w:r>
      <w:r>
        <w:rPr>
          <w:rFonts w:ascii="Times New Roman" w:hAnsi="Times New Roman" w:eastAsia="Times New Roman" w:cs="Times New Roman"/>
          <w:spacing w:val="-29"/>
          <w:sz w:val="24"/>
          <w:szCs w:val="24"/>
        </w:rPr>
        <w:t xml:space="preserve"> </w:t>
      </w:r>
      <w:r>
        <w:rPr>
          <w:rFonts w:ascii="Times New Roman" w:hAnsi="Times New Roman" w:eastAsia="Times New Roman" w:cs="Times New Roman"/>
          <w:spacing w:val="-1"/>
          <w:sz w:val="24"/>
          <w:szCs w:val="24"/>
        </w:rPr>
        <w:t xml:space="preserve">153V/m  </w:t>
      </w:r>
      <w:r>
        <w:rPr>
          <w:rFonts w:ascii="宋体" w:hAnsi="宋体" w:eastAsia="宋体" w:cs="宋体"/>
          <w:spacing w:val="-1"/>
          <w:sz w:val="24"/>
          <w:szCs w:val="24"/>
        </w:rPr>
        <w:t>之间，工频磁</w:t>
      </w:r>
      <w:r>
        <w:rPr>
          <w:rFonts w:ascii="宋体" w:hAnsi="宋体" w:eastAsia="宋体" w:cs="宋体"/>
          <w:spacing w:val="-4"/>
          <w:sz w:val="24"/>
          <w:szCs w:val="24"/>
        </w:rPr>
        <w:t xml:space="preserve">感应强度在 </w:t>
      </w:r>
      <w:r>
        <w:rPr>
          <w:rFonts w:ascii="Times New Roman" w:hAnsi="Times New Roman" w:eastAsia="Times New Roman" w:cs="Times New Roman"/>
          <w:spacing w:val="-4"/>
          <w:sz w:val="24"/>
          <w:szCs w:val="24"/>
        </w:rPr>
        <w:t>0.012~0.045µT</w:t>
      </w:r>
      <w:r>
        <w:rPr>
          <w:rFonts w:ascii="Times New Roman" w:hAnsi="Times New Roman" w:eastAsia="Times New Roman" w:cs="Times New Roman"/>
          <w:spacing w:val="60"/>
          <w:w w:val="101"/>
          <w:sz w:val="24"/>
          <w:szCs w:val="24"/>
        </w:rPr>
        <w:t xml:space="preserve"> </w:t>
      </w:r>
      <w:r>
        <w:rPr>
          <w:rFonts w:ascii="宋体" w:hAnsi="宋体" w:eastAsia="宋体" w:cs="宋体"/>
          <w:spacing w:val="-4"/>
          <w:sz w:val="24"/>
          <w:szCs w:val="24"/>
        </w:rPr>
        <w:t>之间，满足《电磁环境控制限值》（</w:t>
      </w:r>
      <w:r>
        <w:rPr>
          <w:rFonts w:ascii="Times New Roman" w:hAnsi="Times New Roman" w:eastAsia="Times New Roman" w:cs="Times New Roman"/>
          <w:spacing w:val="-4"/>
          <w:sz w:val="24"/>
          <w:szCs w:val="24"/>
        </w:rPr>
        <w:t>GB8702-2014</w:t>
      </w:r>
      <w:r>
        <w:rPr>
          <w:rFonts w:ascii="宋体" w:hAnsi="宋体" w:eastAsia="宋体" w:cs="宋体"/>
          <w:spacing w:val="-4"/>
          <w:sz w:val="24"/>
          <w:szCs w:val="24"/>
        </w:rPr>
        <w:t>）的要求。</w:t>
      </w:r>
    </w:p>
    <w:p w14:paraId="68A0CF1F">
      <w:pPr>
        <w:spacing w:before="26" w:line="355" w:lineRule="auto"/>
        <w:ind w:left="8" w:right="15" w:firstLine="482"/>
        <w:rPr>
          <w:rFonts w:ascii="宋体" w:hAnsi="宋体" w:eastAsia="宋体" w:cs="宋体"/>
          <w:sz w:val="24"/>
          <w:szCs w:val="24"/>
        </w:rPr>
      </w:pPr>
      <w:r>
        <w:rPr>
          <w:rFonts w:ascii="Times New Roman" w:hAnsi="Times New Roman" w:eastAsia="Times New Roman" w:cs="Times New Roman"/>
          <w:spacing w:val="3"/>
          <w:sz w:val="24"/>
          <w:szCs w:val="24"/>
        </w:rPr>
        <w:t>500</w:t>
      </w:r>
      <w:r>
        <w:rPr>
          <w:rFonts w:ascii="Times New Roman" w:hAnsi="Times New Roman" w:eastAsia="Times New Roman" w:cs="Times New Roman"/>
          <w:sz w:val="24"/>
          <w:szCs w:val="24"/>
        </w:rPr>
        <w:t>kV</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乐业变厂界处工频电场强度在</w:t>
      </w:r>
      <w:r>
        <w:rPr>
          <w:rFonts w:ascii="宋体" w:hAnsi="宋体" w:eastAsia="宋体" w:cs="宋体"/>
          <w:spacing w:val="36"/>
          <w:sz w:val="24"/>
          <w:szCs w:val="24"/>
        </w:rPr>
        <w:t xml:space="preserve"> </w:t>
      </w:r>
      <w:r>
        <w:rPr>
          <w:rFonts w:ascii="Times New Roman" w:hAnsi="Times New Roman" w:eastAsia="Times New Roman" w:cs="Times New Roman"/>
          <w:spacing w:val="3"/>
          <w:sz w:val="24"/>
          <w:szCs w:val="24"/>
        </w:rPr>
        <w:t xml:space="preserve">11.40~12.91V/m  </w:t>
      </w:r>
      <w:r>
        <w:rPr>
          <w:rFonts w:ascii="宋体" w:hAnsi="宋体" w:eastAsia="宋体" w:cs="宋体"/>
          <w:spacing w:val="3"/>
          <w:sz w:val="24"/>
          <w:szCs w:val="24"/>
        </w:rPr>
        <w:t>之间，</w:t>
      </w:r>
      <w:r>
        <w:rPr>
          <w:rFonts w:ascii="宋体" w:hAnsi="宋体" w:eastAsia="宋体" w:cs="宋体"/>
          <w:spacing w:val="2"/>
          <w:sz w:val="24"/>
          <w:szCs w:val="24"/>
        </w:rPr>
        <w:t>工频磁感应强度在</w:t>
      </w:r>
      <w:r>
        <w:rPr>
          <w:rFonts w:ascii="Times New Roman" w:hAnsi="Times New Roman" w:eastAsia="Times New Roman" w:cs="Times New Roman"/>
          <w:spacing w:val="-2"/>
          <w:sz w:val="24"/>
          <w:szCs w:val="24"/>
        </w:rPr>
        <w:t xml:space="preserve">0.0966~0.0990µT </w:t>
      </w:r>
      <w:r>
        <w:rPr>
          <w:rFonts w:ascii="宋体" w:hAnsi="宋体" w:eastAsia="宋体" w:cs="宋体"/>
          <w:spacing w:val="-2"/>
          <w:sz w:val="24"/>
          <w:szCs w:val="24"/>
        </w:rPr>
        <w:t>之间；</w:t>
      </w:r>
      <w:r>
        <w:rPr>
          <w:rFonts w:ascii="Times New Roman" w:hAnsi="Times New Roman" w:eastAsia="Times New Roman" w:cs="Times New Roman"/>
          <w:spacing w:val="-2"/>
          <w:sz w:val="24"/>
          <w:szCs w:val="24"/>
        </w:rPr>
        <w:t xml:space="preserve">220kV </w:t>
      </w:r>
      <w:r>
        <w:rPr>
          <w:rFonts w:ascii="宋体" w:hAnsi="宋体" w:eastAsia="宋体" w:cs="宋体"/>
          <w:spacing w:val="-2"/>
          <w:sz w:val="24"/>
          <w:szCs w:val="24"/>
        </w:rPr>
        <w:t>迤车变厂界处工频电场强度在</w:t>
      </w:r>
      <w:r>
        <w:rPr>
          <w:rFonts w:ascii="宋体" w:hAnsi="宋体" w:eastAsia="宋体" w:cs="宋体"/>
          <w:spacing w:val="-54"/>
          <w:sz w:val="24"/>
          <w:szCs w:val="24"/>
        </w:rPr>
        <w:t xml:space="preserve"> </w:t>
      </w:r>
      <w:r>
        <w:rPr>
          <w:rFonts w:ascii="Times New Roman" w:hAnsi="Times New Roman" w:eastAsia="Times New Roman" w:cs="Times New Roman"/>
          <w:spacing w:val="-2"/>
          <w:sz w:val="24"/>
          <w:szCs w:val="24"/>
        </w:rPr>
        <w:t>2.652~109</w:t>
      </w:r>
      <w:r>
        <w:rPr>
          <w:rFonts w:ascii="Times New Roman" w:hAnsi="Times New Roman" w:eastAsia="Times New Roman" w:cs="Times New Roman"/>
          <w:spacing w:val="-3"/>
          <w:sz w:val="24"/>
          <w:szCs w:val="24"/>
        </w:rPr>
        <w:t xml:space="preserve">9.4V/m </w:t>
      </w:r>
      <w:r>
        <w:rPr>
          <w:rFonts w:ascii="宋体" w:hAnsi="宋体" w:eastAsia="宋体" w:cs="宋体"/>
          <w:spacing w:val="-3"/>
          <w:sz w:val="24"/>
          <w:szCs w:val="24"/>
        </w:rPr>
        <w:t>之间，工频磁感应强度在</w:t>
      </w:r>
      <w:r>
        <w:rPr>
          <w:rFonts w:ascii="宋体" w:hAnsi="宋体" w:eastAsia="宋体" w:cs="宋体"/>
          <w:spacing w:val="-7"/>
          <w:sz w:val="24"/>
          <w:szCs w:val="24"/>
        </w:rPr>
        <w:t xml:space="preserve"> </w:t>
      </w:r>
      <w:r>
        <w:rPr>
          <w:rFonts w:ascii="Times New Roman" w:hAnsi="Times New Roman" w:eastAsia="Times New Roman" w:cs="Times New Roman"/>
          <w:spacing w:val="-3"/>
          <w:sz w:val="24"/>
          <w:szCs w:val="24"/>
        </w:rPr>
        <w:t>0.</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3"/>
          <w:sz w:val="24"/>
          <w:szCs w:val="24"/>
        </w:rPr>
        <w:t>1011~3.6077µT</w:t>
      </w:r>
      <w:r>
        <w:rPr>
          <w:rFonts w:ascii="Times New Roman" w:hAnsi="Times New Roman" w:eastAsia="Times New Roman" w:cs="Times New Roman"/>
          <w:spacing w:val="38"/>
          <w:sz w:val="24"/>
          <w:szCs w:val="24"/>
        </w:rPr>
        <w:t xml:space="preserve"> </w:t>
      </w:r>
      <w:r>
        <w:rPr>
          <w:rFonts w:ascii="宋体" w:hAnsi="宋体" w:eastAsia="宋体" w:cs="宋体"/>
          <w:spacing w:val="-3"/>
          <w:sz w:val="24"/>
          <w:szCs w:val="24"/>
        </w:rPr>
        <w:t>之间；迤车牵引站站址处工频电场强度为</w:t>
      </w:r>
      <w:r>
        <w:rPr>
          <w:rFonts w:ascii="宋体" w:hAnsi="宋体" w:eastAsia="宋体" w:cs="宋体"/>
          <w:spacing w:val="-24"/>
          <w:sz w:val="24"/>
          <w:szCs w:val="24"/>
        </w:rPr>
        <w:t xml:space="preserve"> </w:t>
      </w:r>
      <w:r>
        <w:rPr>
          <w:rFonts w:ascii="Times New Roman" w:hAnsi="Times New Roman" w:eastAsia="Times New Roman" w:cs="Times New Roman"/>
          <w:spacing w:val="-3"/>
          <w:sz w:val="24"/>
          <w:szCs w:val="24"/>
        </w:rPr>
        <w:t>0.467V/m</w:t>
      </w:r>
      <w:r>
        <w:rPr>
          <w:rFonts w:ascii="宋体" w:hAnsi="宋体" w:eastAsia="宋体" w:cs="宋体"/>
          <w:spacing w:val="-3"/>
          <w:sz w:val="24"/>
          <w:szCs w:val="24"/>
        </w:rPr>
        <w:t>，</w:t>
      </w:r>
      <w:r>
        <w:rPr>
          <w:rFonts w:ascii="宋体" w:hAnsi="宋体" w:eastAsia="宋体" w:cs="宋体"/>
          <w:spacing w:val="-9"/>
          <w:sz w:val="24"/>
          <w:szCs w:val="24"/>
        </w:rPr>
        <w:t>工频磁感应强度为</w:t>
      </w:r>
      <w:r>
        <w:rPr>
          <w:rFonts w:ascii="宋体" w:hAnsi="宋体" w:eastAsia="宋体" w:cs="宋体"/>
          <w:spacing w:val="-44"/>
          <w:sz w:val="24"/>
          <w:szCs w:val="24"/>
        </w:rPr>
        <w:t xml:space="preserve"> </w:t>
      </w:r>
      <w:r>
        <w:rPr>
          <w:rFonts w:ascii="Times New Roman" w:hAnsi="Times New Roman" w:eastAsia="Times New Roman" w:cs="Times New Roman"/>
          <w:spacing w:val="-9"/>
          <w:sz w:val="24"/>
          <w:szCs w:val="24"/>
        </w:rPr>
        <w:t>0.011µT</w:t>
      </w:r>
      <w:r>
        <w:rPr>
          <w:rFonts w:ascii="宋体" w:hAnsi="宋体" w:eastAsia="宋体" w:cs="宋体"/>
          <w:spacing w:val="-9"/>
          <w:sz w:val="24"/>
          <w:szCs w:val="24"/>
        </w:rPr>
        <w:t>；都可以满足《电磁环境控制限值》（</w:t>
      </w:r>
      <w:r>
        <w:rPr>
          <w:rFonts w:ascii="Times New Roman" w:hAnsi="Times New Roman" w:eastAsia="Times New Roman" w:cs="Times New Roman"/>
          <w:spacing w:val="-9"/>
          <w:sz w:val="24"/>
          <w:szCs w:val="24"/>
        </w:rPr>
        <w:t>GB8702-2014</w:t>
      </w:r>
      <w:r>
        <w:rPr>
          <w:rFonts w:ascii="宋体" w:hAnsi="宋体" w:eastAsia="宋体" w:cs="宋体"/>
          <w:spacing w:val="-9"/>
          <w:sz w:val="24"/>
          <w:szCs w:val="24"/>
        </w:rPr>
        <w:t>）的要求。</w:t>
      </w:r>
    </w:p>
    <w:p w14:paraId="5328DC70">
      <w:pPr>
        <w:spacing w:before="24" w:line="355" w:lineRule="auto"/>
        <w:ind w:left="28" w:right="80" w:firstLine="462"/>
        <w:rPr>
          <w:rFonts w:ascii="宋体" w:hAnsi="宋体" w:eastAsia="宋体" w:cs="宋体"/>
          <w:sz w:val="24"/>
          <w:szCs w:val="24"/>
        </w:rPr>
      </w:pPr>
      <w:r>
        <w:rPr>
          <w:rFonts w:ascii="宋体" w:hAnsi="宋体" w:eastAsia="宋体" w:cs="宋体"/>
          <w:sz w:val="24"/>
          <w:szCs w:val="24"/>
        </w:rPr>
        <w:t xml:space="preserve">本项目改接点、与现有电力线路交叉点处工频电场强度在 </w:t>
      </w:r>
      <w:r>
        <w:rPr>
          <w:rFonts w:ascii="Times New Roman" w:hAnsi="Times New Roman" w:eastAsia="Times New Roman" w:cs="Times New Roman"/>
          <w:sz w:val="24"/>
          <w:szCs w:val="24"/>
        </w:rPr>
        <w:t>29.971~11</w:t>
      </w:r>
      <w:r>
        <w:rPr>
          <w:rFonts w:ascii="Times New Roman" w:hAnsi="Times New Roman" w:eastAsia="Times New Roman" w:cs="Times New Roman"/>
          <w:spacing w:val="-1"/>
          <w:sz w:val="24"/>
          <w:szCs w:val="24"/>
        </w:rPr>
        <w:t xml:space="preserve">04.920V/m  </w:t>
      </w:r>
      <w:r>
        <w:rPr>
          <w:rFonts w:ascii="宋体" w:hAnsi="宋体" w:eastAsia="宋体" w:cs="宋体"/>
          <w:spacing w:val="-1"/>
          <w:sz w:val="24"/>
          <w:szCs w:val="24"/>
        </w:rPr>
        <w:t>之</w:t>
      </w:r>
      <w:r>
        <w:rPr>
          <w:rFonts w:ascii="宋体" w:hAnsi="宋体" w:eastAsia="宋体" w:cs="宋体"/>
          <w:spacing w:val="-8"/>
          <w:sz w:val="24"/>
          <w:szCs w:val="24"/>
        </w:rPr>
        <w:t>间，工频磁感应强度在</w:t>
      </w:r>
      <w:r>
        <w:rPr>
          <w:rFonts w:ascii="宋体" w:hAnsi="宋体" w:eastAsia="宋体" w:cs="宋体"/>
          <w:spacing w:val="-51"/>
          <w:sz w:val="24"/>
          <w:szCs w:val="24"/>
        </w:rPr>
        <w:t xml:space="preserve"> </w:t>
      </w:r>
      <w:r>
        <w:rPr>
          <w:rFonts w:ascii="Times New Roman" w:hAnsi="Times New Roman" w:eastAsia="Times New Roman" w:cs="Times New Roman"/>
          <w:spacing w:val="-8"/>
          <w:sz w:val="24"/>
          <w:szCs w:val="24"/>
        </w:rPr>
        <w:t xml:space="preserve">0.024~1.669µT </w:t>
      </w:r>
      <w:r>
        <w:rPr>
          <w:rFonts w:ascii="宋体" w:hAnsi="宋体" w:eastAsia="宋体" w:cs="宋体"/>
          <w:spacing w:val="-8"/>
          <w:sz w:val="24"/>
          <w:szCs w:val="24"/>
        </w:rPr>
        <w:t>之间，满足《电磁</w:t>
      </w:r>
      <w:r>
        <w:rPr>
          <w:rFonts w:ascii="宋体" w:hAnsi="宋体" w:eastAsia="宋体" w:cs="宋体"/>
          <w:spacing w:val="-9"/>
          <w:sz w:val="24"/>
          <w:szCs w:val="24"/>
        </w:rPr>
        <w:t>环境控制限值》（</w:t>
      </w:r>
      <w:r>
        <w:rPr>
          <w:rFonts w:ascii="Times New Roman" w:hAnsi="Times New Roman" w:eastAsia="Times New Roman" w:cs="Times New Roman"/>
          <w:spacing w:val="-9"/>
          <w:sz w:val="24"/>
          <w:szCs w:val="24"/>
        </w:rPr>
        <w:t>GB8702-2014</w:t>
      </w:r>
      <w:r>
        <w:rPr>
          <w:rFonts w:ascii="宋体" w:hAnsi="宋体" w:eastAsia="宋体" w:cs="宋体"/>
          <w:spacing w:val="-9"/>
          <w:sz w:val="24"/>
          <w:szCs w:val="24"/>
        </w:rPr>
        <w:t>）</w:t>
      </w:r>
      <w:r>
        <w:rPr>
          <w:rFonts w:ascii="宋体" w:hAnsi="宋体" w:eastAsia="宋体" w:cs="宋体"/>
          <w:spacing w:val="-12"/>
          <w:sz w:val="24"/>
          <w:szCs w:val="24"/>
        </w:rPr>
        <w:t>的要求。</w:t>
      </w:r>
    </w:p>
    <w:p w14:paraId="084B004B">
      <w:pPr>
        <w:spacing w:line="355" w:lineRule="auto"/>
        <w:rPr>
          <w:rFonts w:ascii="宋体" w:hAnsi="宋体" w:eastAsia="宋体" w:cs="宋体"/>
          <w:sz w:val="24"/>
          <w:szCs w:val="24"/>
        </w:rPr>
        <w:sectPr>
          <w:footerReference r:id="rId97" w:type="default"/>
          <w:pgSz w:w="11907" w:h="16841"/>
          <w:pgMar w:top="400" w:right="1331" w:bottom="1126" w:left="1418" w:header="0" w:footer="925" w:gutter="0"/>
          <w:cols w:space="720" w:num="1"/>
        </w:sectPr>
      </w:pPr>
    </w:p>
    <w:p w14:paraId="2FDA26BE">
      <w:pPr>
        <w:spacing w:line="251" w:lineRule="auto"/>
        <w:rPr>
          <w:rFonts w:ascii="Arial"/>
          <w:sz w:val="21"/>
        </w:rPr>
      </w:pPr>
    </w:p>
    <w:p w14:paraId="422E2374">
      <w:pPr>
        <w:spacing w:line="252" w:lineRule="auto"/>
        <w:rPr>
          <w:rFonts w:ascii="Arial"/>
          <w:sz w:val="21"/>
        </w:rPr>
      </w:pPr>
    </w:p>
    <w:p w14:paraId="521B8650">
      <w:pPr>
        <w:spacing w:line="252" w:lineRule="auto"/>
        <w:rPr>
          <w:rFonts w:ascii="Arial"/>
          <w:sz w:val="21"/>
        </w:rPr>
      </w:pPr>
    </w:p>
    <w:p w14:paraId="47AB9B6E">
      <w:pPr>
        <w:spacing w:line="252" w:lineRule="auto"/>
        <w:rPr>
          <w:rFonts w:ascii="Arial"/>
          <w:sz w:val="21"/>
        </w:rPr>
      </w:pPr>
    </w:p>
    <w:p w14:paraId="34446A99">
      <w:pPr>
        <w:spacing w:line="252" w:lineRule="auto"/>
        <w:rPr>
          <w:rFonts w:ascii="Arial"/>
          <w:sz w:val="21"/>
        </w:rPr>
      </w:pPr>
    </w:p>
    <w:p w14:paraId="608F03CA">
      <w:pPr>
        <w:spacing w:before="101" w:line="238" w:lineRule="auto"/>
        <w:rPr>
          <w:rFonts w:ascii="宋体" w:hAnsi="宋体" w:eastAsia="宋体" w:cs="宋体"/>
          <w:sz w:val="31"/>
          <w:szCs w:val="31"/>
        </w:rPr>
      </w:pPr>
      <w:bookmarkStart w:id="22" w:name="bookmark29"/>
      <w:bookmarkEnd w:id="22"/>
      <w:r>
        <w:rPr>
          <w:rFonts w:ascii="Times New Roman" w:hAnsi="Times New Roman" w:eastAsia="Times New Roman" w:cs="Times New Roman"/>
          <w:b/>
          <w:bCs/>
          <w:spacing w:val="3"/>
          <w:sz w:val="31"/>
          <w:szCs w:val="31"/>
        </w:rPr>
        <w:t>4</w:t>
      </w:r>
      <w:r>
        <w:rPr>
          <w:rFonts w:ascii="Times New Roman" w:hAnsi="Times New Roman" w:eastAsia="Times New Roman" w:cs="Times New Roman"/>
          <w:b/>
          <w:bCs/>
          <w:spacing w:val="-37"/>
          <w:sz w:val="31"/>
          <w:szCs w:val="31"/>
        </w:rPr>
        <w:t xml:space="preserve"> </w:t>
      </w:r>
      <w:r>
        <w:rPr>
          <w:rFonts w:ascii="宋体" w:hAnsi="宋体" w:eastAsia="宋体" w:cs="宋体"/>
          <w:b/>
          <w:bCs/>
          <w:spacing w:val="3"/>
          <w:sz w:val="31"/>
          <w:szCs w:val="31"/>
        </w:rPr>
        <w:t>、电磁环境预测与评价</w:t>
      </w:r>
    </w:p>
    <w:p w14:paraId="07694BAE">
      <w:pPr>
        <w:spacing w:before="187" w:line="351" w:lineRule="auto"/>
        <w:ind w:left="6" w:right="14" w:firstLine="476"/>
        <w:rPr>
          <w:rFonts w:ascii="宋体" w:hAnsi="宋体" w:eastAsia="宋体" w:cs="宋体"/>
          <w:sz w:val="24"/>
          <w:szCs w:val="24"/>
        </w:rPr>
      </w:pPr>
      <w:r>
        <w:rPr>
          <w:rFonts w:ascii="宋体" w:hAnsi="宋体" w:eastAsia="宋体" w:cs="宋体"/>
          <w:spacing w:val="-5"/>
          <w:sz w:val="24"/>
          <w:szCs w:val="24"/>
        </w:rPr>
        <w:t>根据《环境影响评价技术导则</w:t>
      </w:r>
      <w:r>
        <w:rPr>
          <w:rFonts w:ascii="宋体" w:hAnsi="宋体" w:eastAsia="宋体" w:cs="宋体"/>
          <w:spacing w:val="31"/>
          <w:sz w:val="24"/>
          <w:szCs w:val="24"/>
        </w:rPr>
        <w:t xml:space="preserve"> </w:t>
      </w:r>
      <w:r>
        <w:rPr>
          <w:rFonts w:ascii="宋体" w:hAnsi="宋体" w:eastAsia="宋体" w:cs="宋体"/>
          <w:spacing w:val="-5"/>
          <w:sz w:val="24"/>
          <w:szCs w:val="24"/>
        </w:rPr>
        <w:t>输变电》（</w:t>
      </w:r>
      <w:r>
        <w:rPr>
          <w:rFonts w:ascii="Times New Roman" w:hAnsi="Times New Roman" w:eastAsia="Times New Roman" w:cs="Times New Roman"/>
          <w:spacing w:val="-5"/>
          <w:sz w:val="24"/>
          <w:szCs w:val="24"/>
        </w:rPr>
        <w:t>HJ24-2020</w:t>
      </w:r>
      <w:r>
        <w:rPr>
          <w:rFonts w:ascii="宋体" w:hAnsi="宋体" w:eastAsia="宋体" w:cs="宋体"/>
          <w:spacing w:val="-62"/>
          <w:sz w:val="24"/>
          <w:szCs w:val="24"/>
        </w:rPr>
        <w:t>），</w:t>
      </w:r>
      <w:r>
        <w:rPr>
          <w:rFonts w:ascii="宋体" w:hAnsi="宋体" w:eastAsia="宋体" w:cs="宋体"/>
          <w:spacing w:val="-5"/>
          <w:sz w:val="24"/>
          <w:szCs w:val="24"/>
        </w:rPr>
        <w:t>对本项目</w:t>
      </w:r>
      <w:r>
        <w:rPr>
          <w:rFonts w:ascii="宋体" w:hAnsi="宋体" w:eastAsia="宋体" w:cs="宋体"/>
          <w:spacing w:val="-6"/>
          <w:sz w:val="24"/>
          <w:szCs w:val="24"/>
        </w:rPr>
        <w:t>的电磁环境影响进</w:t>
      </w:r>
      <w:r>
        <w:rPr>
          <w:rFonts w:ascii="宋体" w:hAnsi="宋体" w:eastAsia="宋体" w:cs="宋体"/>
          <w:spacing w:val="-1"/>
          <w:sz w:val="24"/>
          <w:szCs w:val="24"/>
        </w:rPr>
        <w:t>行评价。架空线路电磁环境影响预测采用模式预测的方式。</w:t>
      </w:r>
    </w:p>
    <w:p w14:paraId="484F933A">
      <w:pPr>
        <w:spacing w:before="80" w:line="232" w:lineRule="auto"/>
        <w:rPr>
          <w:rFonts w:ascii="宋体" w:hAnsi="宋体" w:eastAsia="宋体" w:cs="宋体"/>
          <w:sz w:val="28"/>
          <w:szCs w:val="28"/>
        </w:rPr>
      </w:pPr>
      <w:bookmarkStart w:id="23" w:name="bookmark30"/>
      <w:bookmarkEnd w:id="23"/>
      <w:r>
        <w:rPr>
          <w:rFonts w:ascii="Times New Roman" w:hAnsi="Times New Roman" w:eastAsia="Times New Roman" w:cs="Times New Roman"/>
          <w:b/>
          <w:bCs/>
          <w:spacing w:val="-2"/>
          <w:sz w:val="28"/>
          <w:szCs w:val="28"/>
        </w:rPr>
        <w:t xml:space="preserve">4.1 </w:t>
      </w:r>
      <w:r>
        <w:rPr>
          <w:rFonts w:ascii="宋体" w:hAnsi="宋体" w:eastAsia="宋体" w:cs="宋体"/>
          <w:b/>
          <w:bCs/>
          <w:spacing w:val="-2"/>
          <w:sz w:val="28"/>
          <w:szCs w:val="28"/>
        </w:rPr>
        <w:t>架空线路电磁环境影响预测与评价</w:t>
      </w:r>
    </w:p>
    <w:p w14:paraId="4CF8E424">
      <w:pPr>
        <w:spacing w:before="215" w:line="233" w:lineRule="auto"/>
        <w:ind w:left="491"/>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1</w:t>
      </w:r>
      <w:r>
        <w:rPr>
          <w:rFonts w:ascii="宋体" w:hAnsi="宋体" w:eastAsia="宋体" w:cs="宋体"/>
          <w:b/>
          <w:bCs/>
          <w:spacing w:val="-4"/>
          <w:sz w:val="24"/>
          <w:szCs w:val="24"/>
        </w:rPr>
        <w:t>）理论计算模式</w:t>
      </w:r>
    </w:p>
    <w:p w14:paraId="08C7DAA1">
      <w:pPr>
        <w:spacing w:before="165" w:line="360" w:lineRule="auto"/>
        <w:ind w:left="7" w:right="19" w:firstLine="476"/>
        <w:rPr>
          <w:rFonts w:ascii="宋体" w:hAnsi="宋体" w:eastAsia="宋体" w:cs="宋体"/>
          <w:sz w:val="24"/>
          <w:szCs w:val="24"/>
        </w:rPr>
      </w:pPr>
      <w:r>
        <w:rPr>
          <w:rFonts w:ascii="宋体" w:hAnsi="宋体" w:eastAsia="宋体" w:cs="宋体"/>
          <w:spacing w:val="-2"/>
          <w:sz w:val="24"/>
          <w:szCs w:val="24"/>
        </w:rPr>
        <w:t>本工程输电线路的工频电场、工频磁场影响预测计算将根据《环境影响评</w:t>
      </w:r>
      <w:r>
        <w:rPr>
          <w:rFonts w:ascii="宋体" w:hAnsi="宋体" w:eastAsia="宋体" w:cs="宋体"/>
          <w:spacing w:val="-3"/>
          <w:sz w:val="24"/>
          <w:szCs w:val="24"/>
        </w:rPr>
        <w:t>价技术导</w:t>
      </w:r>
      <w:r>
        <w:rPr>
          <w:rFonts w:ascii="宋体" w:hAnsi="宋体" w:eastAsia="宋体" w:cs="宋体"/>
          <w:spacing w:val="-6"/>
          <w:sz w:val="24"/>
          <w:szCs w:val="24"/>
        </w:rPr>
        <w:t>则 输变电》（</w:t>
      </w:r>
      <w:r>
        <w:rPr>
          <w:rFonts w:ascii="Times New Roman" w:hAnsi="Times New Roman" w:eastAsia="Times New Roman" w:cs="Times New Roman"/>
          <w:spacing w:val="-6"/>
          <w:sz w:val="24"/>
          <w:szCs w:val="24"/>
        </w:rPr>
        <w:t>HJ24-2020</w:t>
      </w:r>
      <w:r>
        <w:rPr>
          <w:rFonts w:ascii="宋体" w:hAnsi="宋体" w:eastAsia="宋体" w:cs="宋体"/>
          <w:spacing w:val="-6"/>
          <w:sz w:val="24"/>
          <w:szCs w:val="24"/>
        </w:rPr>
        <w:t>）附录</w:t>
      </w:r>
      <w:r>
        <w:rPr>
          <w:rFonts w:ascii="宋体" w:hAnsi="宋体" w:eastAsia="宋体" w:cs="宋体"/>
          <w:spacing w:val="-40"/>
          <w:sz w:val="24"/>
          <w:szCs w:val="24"/>
        </w:rPr>
        <w:t xml:space="preserve"> </w:t>
      </w:r>
      <w:r>
        <w:rPr>
          <w:rFonts w:ascii="Times New Roman" w:hAnsi="Times New Roman" w:eastAsia="Times New Roman" w:cs="Times New Roman"/>
          <w:spacing w:val="-6"/>
          <w:sz w:val="24"/>
          <w:szCs w:val="24"/>
        </w:rPr>
        <w:t>C</w:t>
      </w:r>
      <w:r>
        <w:rPr>
          <w:rFonts w:ascii="Times New Roman" w:hAnsi="Times New Roman" w:eastAsia="Times New Roman" w:cs="Times New Roman"/>
          <w:spacing w:val="-33"/>
          <w:sz w:val="24"/>
          <w:szCs w:val="24"/>
        </w:rPr>
        <w:t xml:space="preserve"> </w:t>
      </w:r>
      <w:r>
        <w:rPr>
          <w:rFonts w:ascii="宋体" w:hAnsi="宋体" w:eastAsia="宋体" w:cs="宋体"/>
          <w:spacing w:val="-7"/>
          <w:sz w:val="24"/>
          <w:szCs w:val="24"/>
        </w:rPr>
        <w:t>、</w:t>
      </w:r>
      <w:r>
        <w:rPr>
          <w:rFonts w:ascii="Times New Roman" w:hAnsi="Times New Roman" w:eastAsia="Times New Roman" w:cs="Times New Roman"/>
          <w:spacing w:val="-7"/>
          <w:sz w:val="24"/>
          <w:szCs w:val="24"/>
        </w:rPr>
        <w:t xml:space="preserve">D </w:t>
      </w:r>
      <w:r>
        <w:rPr>
          <w:rFonts w:ascii="宋体" w:hAnsi="宋体" w:eastAsia="宋体" w:cs="宋体"/>
          <w:spacing w:val="-7"/>
          <w:sz w:val="24"/>
          <w:szCs w:val="24"/>
        </w:rPr>
        <w:t>推荐的计算模式进行。</w:t>
      </w:r>
    </w:p>
    <w:p w14:paraId="5B77AA1C">
      <w:pPr>
        <w:spacing w:line="232" w:lineRule="auto"/>
        <w:ind w:left="501"/>
        <w:rPr>
          <w:rFonts w:ascii="宋体" w:hAnsi="宋体" w:eastAsia="宋体" w:cs="宋体"/>
          <w:sz w:val="24"/>
          <w:szCs w:val="24"/>
        </w:rPr>
      </w:pPr>
      <w:r>
        <w:rPr>
          <w:rFonts w:ascii="Times New Roman" w:hAnsi="Times New Roman" w:eastAsia="Times New Roman" w:cs="Times New Roman"/>
          <w:spacing w:val="-2"/>
          <w:sz w:val="24"/>
          <w:szCs w:val="24"/>
        </w:rPr>
        <w:t>1</w:t>
      </w:r>
      <w:r>
        <w:rPr>
          <w:rFonts w:ascii="宋体" w:hAnsi="宋体" w:eastAsia="宋体" w:cs="宋体"/>
          <w:spacing w:val="-2"/>
          <w:sz w:val="24"/>
          <w:szCs w:val="24"/>
        </w:rPr>
        <w:t>）高压交流架空输电线路下空间工频电场强度的计算（附录</w:t>
      </w:r>
      <w:r>
        <w:rPr>
          <w:rFonts w:ascii="宋体" w:hAnsi="宋体" w:eastAsia="宋体" w:cs="宋体"/>
          <w:spacing w:val="-30"/>
          <w:sz w:val="24"/>
          <w:szCs w:val="24"/>
        </w:rPr>
        <w:t xml:space="preserve"> </w:t>
      </w:r>
      <w:r>
        <w:rPr>
          <w:rFonts w:ascii="Times New Roman" w:hAnsi="Times New Roman" w:eastAsia="Times New Roman" w:cs="Times New Roman"/>
          <w:spacing w:val="-2"/>
          <w:sz w:val="24"/>
          <w:szCs w:val="24"/>
        </w:rPr>
        <w:t>C</w:t>
      </w:r>
      <w:r>
        <w:rPr>
          <w:rFonts w:ascii="宋体" w:hAnsi="宋体" w:eastAsia="宋体" w:cs="宋体"/>
          <w:spacing w:val="-2"/>
          <w:sz w:val="24"/>
          <w:szCs w:val="24"/>
        </w:rPr>
        <w:t>）</w:t>
      </w:r>
    </w:p>
    <w:p w14:paraId="42149B56">
      <w:pPr>
        <w:spacing w:before="166" w:line="217" w:lineRule="auto"/>
        <w:ind w:left="481"/>
        <w:rPr>
          <w:rFonts w:ascii="宋体" w:hAnsi="宋体" w:eastAsia="宋体" w:cs="宋体"/>
          <w:sz w:val="24"/>
          <w:szCs w:val="24"/>
        </w:rPr>
      </w:pPr>
      <w:r>
        <w:rPr>
          <w:rFonts w:ascii="宋体" w:hAnsi="宋体" w:eastAsia="宋体" w:cs="宋体"/>
          <w:spacing w:val="-1"/>
          <w:sz w:val="24"/>
          <w:szCs w:val="24"/>
        </w:rPr>
        <w:t>①单位长度导线上等效电荷的计算</w:t>
      </w:r>
    </w:p>
    <w:p w14:paraId="3BE77F39">
      <w:pPr>
        <w:spacing w:before="187" w:line="351" w:lineRule="auto"/>
        <w:ind w:left="2" w:right="57" w:firstLine="486"/>
        <w:rPr>
          <w:rFonts w:ascii="宋体" w:hAnsi="宋体" w:eastAsia="宋体" w:cs="宋体"/>
          <w:sz w:val="24"/>
          <w:szCs w:val="24"/>
        </w:rPr>
      </w:pPr>
      <w:r>
        <w:rPr>
          <w:rFonts w:ascii="宋体" w:hAnsi="宋体" w:eastAsia="宋体" w:cs="宋体"/>
          <w:spacing w:val="-2"/>
          <w:sz w:val="24"/>
          <w:szCs w:val="24"/>
        </w:rPr>
        <w:t>高压输电线上的等效电荷是线电荷，由于高压输电</w:t>
      </w:r>
      <w:r>
        <w:rPr>
          <w:rFonts w:ascii="宋体" w:hAnsi="宋体" w:eastAsia="宋体" w:cs="宋体"/>
          <w:spacing w:val="-3"/>
          <w:sz w:val="24"/>
          <w:szCs w:val="24"/>
        </w:rPr>
        <w:t>线半径</w:t>
      </w:r>
      <w:r>
        <w:rPr>
          <w:rFonts w:ascii="宋体" w:hAnsi="宋体" w:eastAsia="宋体" w:cs="宋体"/>
          <w:spacing w:val="-42"/>
          <w:sz w:val="24"/>
          <w:szCs w:val="24"/>
        </w:rPr>
        <w:t xml:space="preserve"> </w:t>
      </w:r>
      <w:r>
        <w:rPr>
          <w:rFonts w:ascii="Times New Roman" w:hAnsi="Times New Roman" w:eastAsia="Times New Roman" w:cs="Times New Roman"/>
          <w:i/>
          <w:iCs/>
          <w:spacing w:val="-3"/>
          <w:sz w:val="24"/>
          <w:szCs w:val="24"/>
        </w:rPr>
        <w:t>r</w:t>
      </w:r>
      <w:r>
        <w:rPr>
          <w:rFonts w:ascii="Times New Roman" w:hAnsi="Times New Roman" w:eastAsia="Times New Roman" w:cs="Times New Roman"/>
          <w:i/>
          <w:iCs/>
          <w:spacing w:val="18"/>
          <w:sz w:val="24"/>
          <w:szCs w:val="24"/>
        </w:rPr>
        <w:t xml:space="preserve"> </w:t>
      </w:r>
      <w:r>
        <w:rPr>
          <w:rFonts w:ascii="宋体" w:hAnsi="宋体" w:eastAsia="宋体" w:cs="宋体"/>
          <w:spacing w:val="-3"/>
          <w:sz w:val="24"/>
          <w:szCs w:val="24"/>
        </w:rPr>
        <w:t>远远小于架设高度</w:t>
      </w:r>
      <w:r>
        <w:rPr>
          <w:rFonts w:ascii="宋体" w:hAnsi="宋体" w:eastAsia="宋体" w:cs="宋体"/>
          <w:spacing w:val="-43"/>
          <w:sz w:val="24"/>
          <w:szCs w:val="24"/>
        </w:rPr>
        <w:t xml:space="preserve"> </w:t>
      </w:r>
      <w:r>
        <w:rPr>
          <w:rFonts w:ascii="Times New Roman" w:hAnsi="Times New Roman" w:eastAsia="Times New Roman" w:cs="Times New Roman"/>
          <w:i/>
          <w:iCs/>
          <w:spacing w:val="-3"/>
          <w:sz w:val="24"/>
          <w:szCs w:val="24"/>
        </w:rPr>
        <w:t>h</w:t>
      </w:r>
      <w:r>
        <w:rPr>
          <w:rFonts w:ascii="宋体" w:hAnsi="宋体" w:eastAsia="宋体" w:cs="宋体"/>
          <w:spacing w:val="-3"/>
          <w:sz w:val="24"/>
          <w:szCs w:val="24"/>
        </w:rPr>
        <w:t>，</w:t>
      </w:r>
      <w:r>
        <w:rPr>
          <w:rFonts w:ascii="宋体" w:hAnsi="宋体" w:eastAsia="宋体" w:cs="宋体"/>
          <w:spacing w:val="-2"/>
          <w:sz w:val="24"/>
          <w:szCs w:val="24"/>
        </w:rPr>
        <w:t>所以等效电荷的位置可以认为是在输电导线的几何中心。</w:t>
      </w:r>
    </w:p>
    <w:p w14:paraId="264F6284">
      <w:pPr>
        <w:spacing w:before="22" w:line="360" w:lineRule="auto"/>
        <w:ind w:left="4" w:right="3" w:firstLine="481"/>
        <w:rPr>
          <w:rFonts w:ascii="宋体" w:hAnsi="宋体" w:eastAsia="宋体" w:cs="宋体"/>
          <w:sz w:val="24"/>
          <w:szCs w:val="24"/>
        </w:rPr>
      </w:pPr>
      <w:r>
        <w:rPr>
          <w:rFonts w:ascii="宋体" w:hAnsi="宋体" w:eastAsia="宋体" w:cs="宋体"/>
          <w:spacing w:val="-2"/>
          <w:sz w:val="24"/>
          <w:szCs w:val="24"/>
        </w:rPr>
        <w:t>设输电线路为无限长并且平行于地面，地面可视为良导体，利用镜像法计算输电线</w:t>
      </w:r>
      <w:r>
        <w:rPr>
          <w:rFonts w:ascii="宋体" w:hAnsi="宋体" w:eastAsia="宋体" w:cs="宋体"/>
          <w:spacing w:val="-6"/>
          <w:sz w:val="24"/>
          <w:szCs w:val="24"/>
        </w:rPr>
        <w:t>上的等效电荷。</w:t>
      </w:r>
    </w:p>
    <w:p w14:paraId="37B89738">
      <w:pPr>
        <w:spacing w:before="1" w:line="219" w:lineRule="auto"/>
        <w:ind w:left="485"/>
        <w:rPr>
          <w:rFonts w:ascii="宋体" w:hAnsi="宋体" w:eastAsia="宋体" w:cs="宋体"/>
          <w:sz w:val="24"/>
          <w:szCs w:val="24"/>
        </w:rPr>
      </w:pPr>
      <w:r>
        <w:rPr>
          <w:rFonts w:ascii="宋体" w:hAnsi="宋体" w:eastAsia="宋体" w:cs="宋体"/>
          <w:spacing w:val="-2"/>
          <w:sz w:val="24"/>
          <w:szCs w:val="24"/>
        </w:rPr>
        <w:t>为了计算多导线线路中导线上的等效电荷，可</w:t>
      </w:r>
      <w:r>
        <w:rPr>
          <w:rFonts w:ascii="宋体" w:hAnsi="宋体" w:eastAsia="宋体" w:cs="宋体"/>
          <w:spacing w:val="-3"/>
          <w:sz w:val="24"/>
          <w:szCs w:val="24"/>
        </w:rPr>
        <w:t>写出下列矩阵方程：</w:t>
      </w:r>
    </w:p>
    <w:p w14:paraId="2A4C19A5">
      <w:pPr>
        <w:spacing w:before="151" w:line="1130" w:lineRule="exact"/>
        <w:ind w:left="1658"/>
      </w:pPr>
      <w:r>
        <w:rPr>
          <w:position w:val="-23"/>
        </w:rPr>
        <w:drawing>
          <wp:inline distT="0" distB="0" distL="0" distR="0">
            <wp:extent cx="3575050" cy="71691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220"/>
                    <a:stretch>
                      <a:fillRect/>
                    </a:stretch>
                  </pic:blipFill>
                  <pic:spPr>
                    <a:xfrm>
                      <a:off x="0" y="0"/>
                      <a:ext cx="3575253" cy="717390"/>
                    </a:xfrm>
                    <a:prstGeom prst="rect">
                      <a:avLst/>
                    </a:prstGeom>
                  </pic:spPr>
                </pic:pic>
              </a:graphicData>
            </a:graphic>
          </wp:inline>
        </w:drawing>
      </w:r>
    </w:p>
    <w:p w14:paraId="2051D6E8">
      <w:pPr>
        <w:spacing w:before="149" w:line="220" w:lineRule="auto"/>
        <w:ind w:left="487"/>
        <w:rPr>
          <w:rFonts w:ascii="宋体" w:hAnsi="宋体" w:eastAsia="宋体" w:cs="宋体"/>
          <w:sz w:val="24"/>
          <w:szCs w:val="24"/>
        </w:rPr>
      </w:pPr>
      <w:r>
        <w:rPr>
          <w:rFonts w:ascii="宋体" w:hAnsi="宋体" w:eastAsia="宋体" w:cs="宋体"/>
          <w:spacing w:val="-4"/>
          <w:sz w:val="24"/>
          <w:szCs w:val="24"/>
        </w:rPr>
        <w:t>式中：</w:t>
      </w:r>
      <w:r>
        <w:rPr>
          <w:rFonts w:ascii="Times New Roman" w:hAnsi="Times New Roman" w:eastAsia="Times New Roman" w:cs="Times New Roman"/>
          <w:i/>
          <w:iCs/>
          <w:spacing w:val="-4"/>
          <w:sz w:val="24"/>
          <w:szCs w:val="24"/>
        </w:rPr>
        <w:t>U</w:t>
      </w:r>
      <w:r>
        <w:rPr>
          <w:rFonts w:ascii="Times New Roman" w:hAnsi="Times New Roman" w:eastAsia="Times New Roman" w:cs="Times New Roman"/>
          <w:spacing w:val="-4"/>
          <w:sz w:val="24"/>
          <w:szCs w:val="24"/>
        </w:rPr>
        <w:t>——</w:t>
      </w:r>
      <w:r>
        <w:rPr>
          <w:rFonts w:ascii="宋体" w:hAnsi="宋体" w:eastAsia="宋体" w:cs="宋体"/>
          <w:spacing w:val="-4"/>
          <w:sz w:val="24"/>
          <w:szCs w:val="24"/>
        </w:rPr>
        <w:t>各导线对地电压的单列矩阵；</w:t>
      </w:r>
    </w:p>
    <w:p w14:paraId="4E26CD3F">
      <w:pPr>
        <w:spacing w:before="183" w:line="213" w:lineRule="auto"/>
        <w:ind w:left="1204"/>
        <w:rPr>
          <w:rFonts w:ascii="宋体" w:hAnsi="宋体" w:eastAsia="宋体" w:cs="宋体"/>
          <w:sz w:val="24"/>
          <w:szCs w:val="24"/>
        </w:rPr>
      </w:pPr>
      <w:r>
        <w:rPr>
          <w:rFonts w:ascii="Times New Roman" w:hAnsi="Times New Roman" w:eastAsia="Times New Roman" w:cs="Times New Roman"/>
          <w:i/>
          <w:iCs/>
          <w:spacing w:val="-4"/>
          <w:sz w:val="24"/>
          <w:szCs w:val="24"/>
        </w:rPr>
        <w:t>Q</w:t>
      </w:r>
      <w:r>
        <w:rPr>
          <w:rFonts w:ascii="Times New Roman" w:hAnsi="Times New Roman" w:eastAsia="Times New Roman" w:cs="Times New Roman"/>
          <w:spacing w:val="-4"/>
          <w:sz w:val="24"/>
          <w:szCs w:val="24"/>
        </w:rPr>
        <w:t>——</w:t>
      </w:r>
      <w:r>
        <w:rPr>
          <w:rFonts w:ascii="宋体" w:hAnsi="宋体" w:eastAsia="宋体" w:cs="宋体"/>
          <w:spacing w:val="-4"/>
          <w:sz w:val="24"/>
          <w:szCs w:val="24"/>
        </w:rPr>
        <w:t>各导线上等效电荷的单列矩阵；</w:t>
      </w:r>
    </w:p>
    <w:p w14:paraId="7AA60137">
      <w:pPr>
        <w:spacing w:before="191" w:line="233" w:lineRule="auto"/>
        <w:ind w:left="1185"/>
        <w:rPr>
          <w:rFonts w:ascii="宋体" w:hAnsi="宋体" w:eastAsia="宋体" w:cs="宋体"/>
          <w:sz w:val="24"/>
          <w:szCs w:val="24"/>
        </w:rPr>
      </w:pPr>
      <w:r>
        <w:rPr>
          <w:rFonts w:ascii="Times New Roman" w:hAnsi="Times New Roman" w:eastAsia="Times New Roman" w:cs="Times New Roman"/>
          <w:i/>
          <w:iCs/>
          <w:spacing w:val="-4"/>
          <w:sz w:val="24"/>
          <w:szCs w:val="24"/>
        </w:rPr>
        <w:t>λ</w:t>
      </w:r>
      <w:r>
        <w:rPr>
          <w:rFonts w:ascii="Times New Roman" w:hAnsi="Times New Roman" w:eastAsia="Times New Roman" w:cs="Times New Roman"/>
          <w:spacing w:val="-4"/>
          <w:sz w:val="24"/>
          <w:szCs w:val="24"/>
        </w:rPr>
        <w:t>——</w:t>
      </w:r>
      <w:r>
        <w:rPr>
          <w:rFonts w:ascii="宋体" w:hAnsi="宋体" w:eastAsia="宋体" w:cs="宋体"/>
          <w:spacing w:val="-4"/>
          <w:sz w:val="24"/>
          <w:szCs w:val="24"/>
        </w:rPr>
        <w:t>各导线的电位系数组成的</w:t>
      </w:r>
      <w:r>
        <w:rPr>
          <w:rFonts w:ascii="Times New Roman" w:hAnsi="Times New Roman" w:eastAsia="Times New Roman" w:cs="Times New Roman"/>
          <w:i/>
          <w:iCs/>
          <w:spacing w:val="-4"/>
          <w:sz w:val="24"/>
          <w:szCs w:val="24"/>
        </w:rPr>
        <w:t>m</w:t>
      </w:r>
      <w:r>
        <w:rPr>
          <w:rFonts w:ascii="Times New Roman" w:hAnsi="Times New Roman" w:eastAsia="Times New Roman" w:cs="Times New Roman"/>
          <w:i/>
          <w:iCs/>
          <w:spacing w:val="25"/>
          <w:w w:val="101"/>
          <w:sz w:val="24"/>
          <w:szCs w:val="24"/>
        </w:rPr>
        <w:t xml:space="preserve"> </w:t>
      </w:r>
      <w:r>
        <w:rPr>
          <w:rFonts w:ascii="宋体" w:hAnsi="宋体" w:eastAsia="宋体" w:cs="宋体"/>
          <w:spacing w:val="-4"/>
          <w:sz w:val="24"/>
          <w:szCs w:val="24"/>
        </w:rPr>
        <w:t>阶方阵（</w:t>
      </w:r>
      <w:r>
        <w:rPr>
          <w:rFonts w:ascii="Times New Roman" w:hAnsi="Times New Roman" w:eastAsia="Times New Roman" w:cs="Times New Roman"/>
          <w:i/>
          <w:iCs/>
          <w:spacing w:val="-4"/>
          <w:sz w:val="24"/>
          <w:szCs w:val="24"/>
        </w:rPr>
        <w:t>m</w:t>
      </w:r>
      <w:r>
        <w:rPr>
          <w:rFonts w:ascii="Times New Roman" w:hAnsi="Times New Roman" w:eastAsia="Times New Roman" w:cs="Times New Roman"/>
          <w:i/>
          <w:iCs/>
          <w:spacing w:val="14"/>
          <w:sz w:val="24"/>
          <w:szCs w:val="24"/>
        </w:rPr>
        <w:t xml:space="preserve"> </w:t>
      </w:r>
      <w:r>
        <w:rPr>
          <w:rFonts w:ascii="宋体" w:hAnsi="宋体" w:eastAsia="宋体" w:cs="宋体"/>
          <w:spacing w:val="-4"/>
          <w:sz w:val="24"/>
          <w:szCs w:val="24"/>
        </w:rPr>
        <w:t>为导线数目）。</w:t>
      </w:r>
    </w:p>
    <w:p w14:paraId="4DA20B25">
      <w:pPr>
        <w:spacing w:before="164" w:line="352" w:lineRule="auto"/>
        <w:ind w:left="2" w:right="2" w:firstLine="490"/>
        <w:rPr>
          <w:rFonts w:ascii="宋体" w:hAnsi="宋体" w:eastAsia="宋体" w:cs="宋体"/>
          <w:sz w:val="24"/>
          <w:szCs w:val="24"/>
        </w:rPr>
      </w:pPr>
      <w:r>
        <w:rPr>
          <w:rFonts w:ascii="Times New Roman" w:hAnsi="Times New Roman" w:eastAsia="Times New Roman" w:cs="Times New Roman"/>
          <w:spacing w:val="-2"/>
          <w:sz w:val="24"/>
          <w:szCs w:val="24"/>
        </w:rPr>
        <w:t>[</w:t>
      </w:r>
      <w:r>
        <w:rPr>
          <w:rFonts w:ascii="Times New Roman" w:hAnsi="Times New Roman" w:eastAsia="Times New Roman" w:cs="Times New Roman"/>
          <w:i/>
          <w:iCs/>
          <w:spacing w:val="-2"/>
          <w:sz w:val="24"/>
          <w:szCs w:val="24"/>
        </w:rPr>
        <w:t>U</w:t>
      </w:r>
      <w:r>
        <w:rPr>
          <w:rFonts w:ascii="Times New Roman" w:hAnsi="Times New Roman" w:eastAsia="Times New Roman" w:cs="Times New Roman"/>
          <w:spacing w:val="-2"/>
          <w:sz w:val="24"/>
          <w:szCs w:val="24"/>
        </w:rPr>
        <w:t>]</w:t>
      </w:r>
      <w:r>
        <w:rPr>
          <w:rFonts w:ascii="宋体" w:hAnsi="宋体" w:eastAsia="宋体" w:cs="宋体"/>
          <w:spacing w:val="-2"/>
          <w:sz w:val="24"/>
          <w:szCs w:val="24"/>
        </w:rPr>
        <w:t xml:space="preserve">矩阵可由送电线的电压和相位确定，从环境保护考虑以额定电压的 </w:t>
      </w:r>
      <w:r>
        <w:rPr>
          <w:rFonts w:ascii="Times New Roman" w:hAnsi="Times New Roman" w:eastAsia="Times New Roman" w:cs="Times New Roman"/>
          <w:spacing w:val="-2"/>
          <w:sz w:val="24"/>
          <w:szCs w:val="24"/>
        </w:rPr>
        <w:t>1.05</w:t>
      </w:r>
      <w:r>
        <w:rPr>
          <w:rFonts w:ascii="Times New Roman" w:hAnsi="Times New Roman" w:eastAsia="Times New Roman" w:cs="Times New Roman"/>
          <w:spacing w:val="39"/>
          <w:w w:val="101"/>
          <w:sz w:val="24"/>
          <w:szCs w:val="24"/>
        </w:rPr>
        <w:t xml:space="preserve"> </w:t>
      </w:r>
      <w:r>
        <w:rPr>
          <w:rFonts w:ascii="宋体" w:hAnsi="宋体" w:eastAsia="宋体" w:cs="宋体"/>
          <w:spacing w:val="-2"/>
          <w:sz w:val="24"/>
          <w:szCs w:val="24"/>
        </w:rPr>
        <w:t>倍作为</w:t>
      </w:r>
      <w:r>
        <w:rPr>
          <w:rFonts w:ascii="宋体" w:hAnsi="宋体" w:eastAsia="宋体" w:cs="宋体"/>
          <w:spacing w:val="-7"/>
          <w:sz w:val="24"/>
          <w:szCs w:val="24"/>
        </w:rPr>
        <w:t>计算电压。</w:t>
      </w:r>
    </w:p>
    <w:p w14:paraId="5967719A">
      <w:pPr>
        <w:spacing w:before="23" w:line="354" w:lineRule="auto"/>
        <w:ind w:left="8" w:firstLine="483"/>
        <w:jc w:val="both"/>
        <w:rPr>
          <w:rFonts w:ascii="宋体" w:hAnsi="宋体" w:eastAsia="宋体" w:cs="宋体"/>
          <w:sz w:val="24"/>
          <w:szCs w:val="24"/>
        </w:rPr>
      </w:pPr>
      <w:r>
        <w:rPr>
          <w:rFonts w:ascii="Times New Roman" w:hAnsi="Times New Roman" w:eastAsia="Times New Roman" w:cs="Times New Roman"/>
          <w:spacing w:val="-3"/>
          <w:sz w:val="24"/>
          <w:szCs w:val="24"/>
        </w:rPr>
        <w:t>[λ]</w:t>
      </w:r>
      <w:r>
        <w:rPr>
          <w:rFonts w:ascii="宋体" w:hAnsi="宋体" w:eastAsia="宋体" w:cs="宋体"/>
          <w:spacing w:val="-3"/>
          <w:sz w:val="24"/>
          <w:szCs w:val="24"/>
        </w:rPr>
        <w:t>矩阵由镜像原理求得。地面为电位等于零的平面，地面的感应电荷可由对应地面导线的镜像电荷代替，用</w:t>
      </w:r>
      <w:r>
        <w:rPr>
          <w:rFonts w:ascii="宋体" w:hAnsi="宋体" w:eastAsia="宋体" w:cs="宋体"/>
          <w:spacing w:val="-45"/>
          <w:sz w:val="24"/>
          <w:szCs w:val="24"/>
        </w:rPr>
        <w:t xml:space="preserve"> </w:t>
      </w:r>
      <w:r>
        <w:rPr>
          <w:rFonts w:ascii="Times New Roman" w:hAnsi="Times New Roman" w:eastAsia="Times New Roman" w:cs="Times New Roman"/>
          <w:i/>
          <w:iCs/>
          <w:spacing w:val="-3"/>
          <w:sz w:val="24"/>
          <w:szCs w:val="24"/>
        </w:rPr>
        <w:t>i</w:t>
      </w:r>
      <w:r>
        <w:rPr>
          <w:rFonts w:ascii="宋体" w:hAnsi="宋体" w:eastAsia="宋体" w:cs="宋体"/>
          <w:spacing w:val="-3"/>
          <w:sz w:val="24"/>
          <w:szCs w:val="24"/>
        </w:rPr>
        <w:t>，</w:t>
      </w:r>
      <w:r>
        <w:rPr>
          <w:rFonts w:ascii="Times New Roman" w:hAnsi="Times New Roman" w:eastAsia="Times New Roman" w:cs="Times New Roman"/>
          <w:i/>
          <w:iCs/>
          <w:spacing w:val="-3"/>
          <w:sz w:val="24"/>
          <w:szCs w:val="24"/>
        </w:rPr>
        <w:t>j</w:t>
      </w:r>
      <w:r>
        <w:rPr>
          <w:rFonts w:ascii="Times New Roman" w:hAnsi="Times New Roman" w:eastAsia="Times New Roman" w:cs="Times New Roman"/>
          <w:i/>
          <w:iCs/>
          <w:spacing w:val="-30"/>
          <w:sz w:val="24"/>
          <w:szCs w:val="24"/>
        </w:rPr>
        <w:t xml:space="preserve"> </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表示相互平行的实际导线，用</w:t>
      </w:r>
      <w:r>
        <w:rPr>
          <w:rFonts w:ascii="宋体" w:hAnsi="宋体" w:eastAsia="宋体" w:cs="宋体"/>
          <w:spacing w:val="-49"/>
          <w:sz w:val="24"/>
          <w:szCs w:val="24"/>
        </w:rPr>
        <w:t xml:space="preserve"> </w:t>
      </w:r>
      <w:r>
        <w:rPr>
          <w:rFonts w:ascii="Times New Roman" w:hAnsi="Times New Roman" w:eastAsia="Times New Roman" w:cs="Times New Roman"/>
          <w:i/>
          <w:iCs/>
          <w:spacing w:val="-3"/>
          <w:sz w:val="24"/>
          <w:szCs w:val="24"/>
        </w:rPr>
        <w:t>i</w:t>
      </w:r>
      <w:r>
        <w:rPr>
          <w:rFonts w:ascii="宋体" w:hAnsi="宋体" w:eastAsia="宋体" w:cs="宋体"/>
          <w:spacing w:val="-3"/>
          <w:sz w:val="24"/>
          <w:szCs w:val="24"/>
        </w:rPr>
        <w:t>′，</w:t>
      </w:r>
      <w:r>
        <w:rPr>
          <w:rFonts w:ascii="Times New Roman" w:hAnsi="Times New Roman" w:eastAsia="Times New Roman" w:cs="Times New Roman"/>
          <w:i/>
          <w:iCs/>
          <w:spacing w:val="-3"/>
          <w:sz w:val="24"/>
          <w:szCs w:val="24"/>
        </w:rPr>
        <w:t>j</w:t>
      </w:r>
      <w:r>
        <w:rPr>
          <w:rFonts w:ascii="宋体" w:hAnsi="宋体" w:eastAsia="宋体" w:cs="宋体"/>
          <w:spacing w:val="-3"/>
          <w:sz w:val="24"/>
          <w:szCs w:val="24"/>
        </w:rPr>
        <w:t>′，</w:t>
      </w:r>
      <w:r>
        <w:rPr>
          <w:rFonts w:ascii="Times New Roman" w:hAnsi="Times New Roman" w:eastAsia="Times New Roman" w:cs="Times New Roman"/>
          <w:spacing w:val="-3"/>
          <w:sz w:val="24"/>
          <w:szCs w:val="24"/>
        </w:rPr>
        <w:t xml:space="preserve">...  </w:t>
      </w:r>
      <w:r>
        <w:rPr>
          <w:rFonts w:ascii="宋体" w:hAnsi="宋体" w:eastAsia="宋体" w:cs="宋体"/>
          <w:spacing w:val="-3"/>
          <w:sz w:val="24"/>
          <w:szCs w:val="24"/>
        </w:rPr>
        <w:t>表示它们</w:t>
      </w:r>
      <w:r>
        <w:rPr>
          <w:rFonts w:ascii="宋体" w:hAnsi="宋体" w:eastAsia="宋体" w:cs="宋体"/>
          <w:spacing w:val="-6"/>
          <w:sz w:val="24"/>
          <w:szCs w:val="24"/>
        </w:rPr>
        <w:t>的镜像，电位系数可写为：</w:t>
      </w:r>
    </w:p>
    <w:p w14:paraId="701DF381">
      <w:pPr>
        <w:spacing w:before="10" w:line="463" w:lineRule="exact"/>
        <w:ind w:left="2740"/>
      </w:pPr>
      <w:r>
        <w:rPr>
          <w:position w:val="-9"/>
        </w:rPr>
        <w:drawing>
          <wp:inline distT="0" distB="0" distL="0" distR="0">
            <wp:extent cx="2185035" cy="29400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221"/>
                    <a:stretch>
                      <a:fillRect/>
                    </a:stretch>
                  </pic:blipFill>
                  <pic:spPr>
                    <a:xfrm>
                      <a:off x="0" y="0"/>
                      <a:ext cx="2185212" cy="294305"/>
                    </a:xfrm>
                    <a:prstGeom prst="rect">
                      <a:avLst/>
                    </a:prstGeom>
                  </pic:spPr>
                </pic:pic>
              </a:graphicData>
            </a:graphic>
          </wp:inline>
        </w:drawing>
      </w:r>
    </w:p>
    <w:p w14:paraId="3A4C615F">
      <w:pPr>
        <w:spacing w:before="137" w:line="480" w:lineRule="exact"/>
        <w:ind w:left="2721"/>
      </w:pPr>
      <w:r>
        <w:rPr>
          <w:position w:val="-10"/>
        </w:rPr>
        <w:drawing>
          <wp:inline distT="0" distB="0" distL="0" distR="0">
            <wp:extent cx="2209165" cy="304800"/>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222"/>
                    <a:stretch>
                      <a:fillRect/>
                    </a:stretch>
                  </pic:blipFill>
                  <pic:spPr>
                    <a:xfrm>
                      <a:off x="0" y="0"/>
                      <a:ext cx="2209596" cy="304973"/>
                    </a:xfrm>
                    <a:prstGeom prst="rect">
                      <a:avLst/>
                    </a:prstGeom>
                  </pic:spPr>
                </pic:pic>
              </a:graphicData>
            </a:graphic>
          </wp:inline>
        </w:drawing>
      </w:r>
    </w:p>
    <w:p w14:paraId="4241EF94">
      <w:pPr>
        <w:spacing w:before="253" w:line="186" w:lineRule="auto"/>
        <w:ind w:left="3067"/>
        <w:rPr>
          <w:rFonts w:ascii="宋体" w:hAnsi="宋体" w:eastAsia="宋体" w:cs="宋体"/>
          <w:sz w:val="24"/>
          <w:szCs w:val="24"/>
        </w:rPr>
      </w:pPr>
      <w:r>
        <w:rPr>
          <w:rFonts w:ascii="微软雅黑" w:hAnsi="微软雅黑" w:eastAsia="微软雅黑" w:cs="微软雅黑"/>
          <w:spacing w:val="1"/>
          <w:position w:val="1"/>
          <w:sz w:val="24"/>
          <w:szCs w:val="24"/>
        </w:rPr>
        <w:t>λ</w:t>
      </w:r>
      <w:r>
        <w:rPr>
          <w:rFonts w:ascii="微软雅黑" w:hAnsi="微软雅黑" w:eastAsia="微软雅黑" w:cs="微软雅黑"/>
          <w:position w:val="-3"/>
          <w:sz w:val="17"/>
          <w:szCs w:val="17"/>
        </w:rPr>
        <w:t>ij</w:t>
      </w:r>
      <w:r>
        <w:rPr>
          <w:rFonts w:ascii="微软雅黑" w:hAnsi="微软雅黑" w:eastAsia="微软雅黑" w:cs="微软雅黑"/>
          <w:spacing w:val="48"/>
          <w:position w:val="-3"/>
          <w:sz w:val="17"/>
          <w:szCs w:val="17"/>
        </w:rPr>
        <w:t xml:space="preserve"> </w:t>
      </w:r>
      <w:r>
        <w:rPr>
          <w:rFonts w:ascii="微软雅黑" w:hAnsi="微软雅黑" w:eastAsia="微软雅黑" w:cs="微软雅黑"/>
          <w:spacing w:val="1"/>
          <w:position w:val="1"/>
          <w:sz w:val="24"/>
          <w:szCs w:val="24"/>
        </w:rPr>
        <w:t>= λ</w:t>
      </w:r>
      <w:r>
        <w:rPr>
          <w:rFonts w:ascii="微软雅黑" w:hAnsi="微软雅黑" w:eastAsia="微软雅黑" w:cs="微软雅黑"/>
          <w:position w:val="-3"/>
          <w:sz w:val="17"/>
          <w:szCs w:val="17"/>
        </w:rPr>
        <w:t>ji</w:t>
      </w:r>
      <w:r>
        <w:rPr>
          <w:rFonts w:ascii="微软雅黑" w:hAnsi="微软雅黑" w:eastAsia="微软雅黑" w:cs="微软雅黑"/>
          <w:spacing w:val="1"/>
          <w:position w:val="-3"/>
          <w:sz w:val="17"/>
          <w:szCs w:val="17"/>
        </w:rPr>
        <w:t xml:space="preserve">   </w:t>
      </w:r>
      <w:r>
        <w:rPr>
          <w:rFonts w:ascii="Times New Roman" w:hAnsi="Times New Roman" w:eastAsia="Times New Roman" w:cs="Times New Roman"/>
          <w:spacing w:val="1"/>
          <w:position w:val="1"/>
          <w:sz w:val="24"/>
          <w:szCs w:val="24"/>
        </w:rPr>
        <w:t>···············</w:t>
      </w:r>
      <w:r>
        <w:rPr>
          <w:rFonts w:ascii="宋体" w:hAnsi="宋体" w:eastAsia="宋体" w:cs="宋体"/>
          <w:spacing w:val="1"/>
          <w:position w:val="1"/>
          <w:sz w:val="24"/>
          <w:szCs w:val="24"/>
        </w:rPr>
        <w:t>（</w:t>
      </w:r>
      <w:r>
        <w:rPr>
          <w:rFonts w:ascii="Times New Roman" w:hAnsi="Times New Roman" w:eastAsia="Times New Roman" w:cs="Times New Roman"/>
          <w:spacing w:val="1"/>
          <w:position w:val="1"/>
          <w:sz w:val="24"/>
          <w:szCs w:val="24"/>
        </w:rPr>
        <w:t>C4</w:t>
      </w:r>
      <w:r>
        <w:rPr>
          <w:rFonts w:ascii="宋体" w:hAnsi="宋体" w:eastAsia="宋体" w:cs="宋体"/>
          <w:spacing w:val="1"/>
          <w:position w:val="1"/>
          <w:sz w:val="24"/>
          <w:szCs w:val="24"/>
        </w:rPr>
        <w:t>）</w:t>
      </w:r>
    </w:p>
    <w:p w14:paraId="2A9D85AA">
      <w:pPr>
        <w:spacing w:line="186" w:lineRule="auto"/>
        <w:rPr>
          <w:rFonts w:ascii="宋体" w:hAnsi="宋体" w:eastAsia="宋体" w:cs="宋体"/>
          <w:sz w:val="24"/>
          <w:szCs w:val="24"/>
        </w:rPr>
        <w:sectPr>
          <w:footerReference r:id="rId98" w:type="default"/>
          <w:pgSz w:w="11907" w:h="16841"/>
          <w:pgMar w:top="400" w:right="1411" w:bottom="1126" w:left="1425" w:header="0" w:footer="925" w:gutter="0"/>
          <w:cols w:space="720" w:num="1"/>
        </w:sectPr>
      </w:pPr>
    </w:p>
    <w:p w14:paraId="5A60385A">
      <w:pPr>
        <w:spacing w:line="244" w:lineRule="auto"/>
        <w:rPr>
          <w:rFonts w:ascii="Arial"/>
          <w:sz w:val="21"/>
        </w:rPr>
      </w:pPr>
    </w:p>
    <w:p w14:paraId="2352A0E7">
      <w:pPr>
        <w:spacing w:line="245" w:lineRule="auto"/>
        <w:rPr>
          <w:rFonts w:ascii="Arial"/>
          <w:sz w:val="21"/>
        </w:rPr>
      </w:pPr>
    </w:p>
    <w:p w14:paraId="3C5708C5">
      <w:pPr>
        <w:spacing w:line="245" w:lineRule="auto"/>
        <w:rPr>
          <w:rFonts w:ascii="Arial"/>
          <w:sz w:val="21"/>
        </w:rPr>
      </w:pPr>
    </w:p>
    <w:p w14:paraId="39C2FBAE">
      <w:pPr>
        <w:spacing w:line="245" w:lineRule="auto"/>
        <w:rPr>
          <w:rFonts w:ascii="Arial"/>
          <w:sz w:val="21"/>
        </w:rPr>
      </w:pPr>
    </w:p>
    <w:p w14:paraId="4CBBE2FA">
      <w:pPr>
        <w:spacing w:line="245" w:lineRule="auto"/>
        <w:rPr>
          <w:rFonts w:ascii="Arial"/>
          <w:sz w:val="21"/>
        </w:rPr>
      </w:pPr>
    </w:p>
    <w:p w14:paraId="436F3861">
      <w:pPr>
        <w:spacing w:before="103"/>
        <w:ind w:left="484"/>
        <w:rPr>
          <w:rFonts w:ascii="宋体" w:hAnsi="宋体" w:eastAsia="宋体" w:cs="宋体"/>
          <w:sz w:val="24"/>
          <w:szCs w:val="24"/>
        </w:rPr>
      </w:pPr>
      <w:r>
        <w:rPr>
          <w:rFonts w:ascii="宋体" w:hAnsi="宋体" w:eastAsia="宋体" w:cs="宋体"/>
          <w:spacing w:val="1"/>
          <w:sz w:val="24"/>
          <w:szCs w:val="24"/>
        </w:rPr>
        <w:t>式中：</w:t>
      </w:r>
      <w:r>
        <w:rPr>
          <w:rFonts w:ascii="微软雅黑" w:hAnsi="微软雅黑" w:eastAsia="微软雅黑" w:cs="微软雅黑"/>
          <w:spacing w:val="1"/>
          <w:sz w:val="24"/>
          <w:szCs w:val="24"/>
        </w:rPr>
        <w:t>ε</w:t>
      </w:r>
      <w:r>
        <w:rPr>
          <w:rFonts w:ascii="微软雅黑" w:hAnsi="微软雅黑" w:eastAsia="微软雅黑" w:cs="微软雅黑"/>
          <w:spacing w:val="1"/>
          <w:position w:val="-4"/>
          <w:sz w:val="17"/>
          <w:szCs w:val="17"/>
        </w:rPr>
        <w:t>0</w:t>
      </w:r>
      <w:r>
        <w:rPr>
          <w:rFonts w:ascii="Times New Roman" w:hAnsi="Times New Roman" w:eastAsia="Times New Roman" w:cs="Times New Roman"/>
          <w:spacing w:val="1"/>
          <w:sz w:val="24"/>
          <w:szCs w:val="24"/>
        </w:rPr>
        <w:t>——</w:t>
      </w:r>
      <w:r>
        <w:rPr>
          <w:rFonts w:ascii="宋体" w:hAnsi="宋体" w:eastAsia="宋体" w:cs="宋体"/>
          <w:spacing w:val="1"/>
          <w:sz w:val="24"/>
          <w:szCs w:val="24"/>
        </w:rPr>
        <w:t>真空介电常数，</w:t>
      </w:r>
      <w:r>
        <w:rPr>
          <w:position w:val="-12"/>
          <w:sz w:val="24"/>
          <w:szCs w:val="24"/>
        </w:rPr>
        <w:drawing>
          <wp:inline distT="0" distB="0" distL="0" distR="0">
            <wp:extent cx="1009650" cy="27368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223"/>
                    <a:stretch>
                      <a:fillRect/>
                    </a:stretch>
                  </pic:blipFill>
                  <pic:spPr>
                    <a:xfrm>
                      <a:off x="0" y="0"/>
                      <a:ext cx="1010240" cy="274318"/>
                    </a:xfrm>
                    <a:prstGeom prst="rect">
                      <a:avLst/>
                    </a:prstGeom>
                  </pic:spPr>
                </pic:pic>
              </a:graphicData>
            </a:graphic>
          </wp:inline>
        </w:drawing>
      </w:r>
      <w:r>
        <w:rPr>
          <w:rFonts w:ascii="微软雅黑" w:hAnsi="微软雅黑" w:eastAsia="微软雅黑" w:cs="微软雅黑"/>
          <w:spacing w:val="1"/>
          <w:sz w:val="24"/>
          <w:szCs w:val="24"/>
        </w:rPr>
        <w:t>F/m</w:t>
      </w:r>
      <w:r>
        <w:rPr>
          <w:rFonts w:ascii="宋体" w:hAnsi="宋体" w:eastAsia="宋体" w:cs="宋体"/>
          <w:spacing w:val="1"/>
          <w:sz w:val="24"/>
          <w:szCs w:val="24"/>
        </w:rPr>
        <w:t>；</w:t>
      </w:r>
    </w:p>
    <w:p w14:paraId="076A1727">
      <w:pPr>
        <w:spacing w:before="188" w:line="340" w:lineRule="auto"/>
        <w:ind w:left="4" w:right="68" w:firstLine="1180"/>
        <w:rPr>
          <w:rFonts w:ascii="宋体" w:hAnsi="宋体" w:eastAsia="宋体" w:cs="宋体"/>
          <w:sz w:val="24"/>
          <w:szCs w:val="24"/>
        </w:rPr>
      </w:pPr>
      <w:r>
        <w:rPr>
          <w:rFonts w:ascii="Times New Roman" w:hAnsi="Times New Roman" w:eastAsia="Times New Roman" w:cs="Times New Roman"/>
          <w:i/>
          <w:iCs/>
          <w:spacing w:val="-1"/>
          <w:sz w:val="24"/>
          <w:szCs w:val="24"/>
        </w:rPr>
        <w:t>R</w:t>
      </w:r>
      <w:r>
        <w:rPr>
          <w:rFonts w:ascii="Times New Roman" w:hAnsi="Times New Roman" w:eastAsia="Times New Roman" w:cs="Times New Roman"/>
          <w:i/>
          <w:iCs/>
          <w:spacing w:val="-1"/>
          <w:position w:val="-1"/>
          <w:sz w:val="16"/>
          <w:szCs w:val="16"/>
        </w:rPr>
        <w:t>i</w:t>
      </w:r>
      <w:r>
        <w:rPr>
          <w:rFonts w:ascii="Times New Roman" w:hAnsi="Times New Roman" w:eastAsia="Times New Roman" w:cs="Times New Roman"/>
          <w:spacing w:val="-1"/>
          <w:sz w:val="24"/>
          <w:szCs w:val="24"/>
        </w:rPr>
        <w:t>——</w:t>
      </w:r>
      <w:r>
        <w:rPr>
          <w:rFonts w:ascii="宋体" w:hAnsi="宋体" w:eastAsia="宋体" w:cs="宋体"/>
          <w:spacing w:val="-1"/>
          <w:sz w:val="24"/>
          <w:szCs w:val="24"/>
        </w:rPr>
        <w:t>输电导线半径，对于分裂导线可用等效单根导线半径代入，</w:t>
      </w:r>
      <w:r>
        <w:rPr>
          <w:rFonts w:ascii="Times New Roman" w:hAnsi="Times New Roman" w:eastAsia="Times New Roman" w:cs="Times New Roman"/>
          <w:i/>
          <w:iCs/>
          <w:spacing w:val="-1"/>
          <w:sz w:val="24"/>
          <w:szCs w:val="24"/>
        </w:rPr>
        <w:t>R</w:t>
      </w:r>
      <w:r>
        <w:rPr>
          <w:rFonts w:ascii="Times New Roman" w:hAnsi="Times New Roman" w:eastAsia="Times New Roman" w:cs="Times New Roman"/>
          <w:i/>
          <w:iCs/>
          <w:spacing w:val="-1"/>
          <w:position w:val="-1"/>
          <w:sz w:val="16"/>
          <w:szCs w:val="16"/>
        </w:rPr>
        <w:t>i</w:t>
      </w:r>
      <w:r>
        <w:rPr>
          <w:rFonts w:ascii="Times New Roman" w:hAnsi="Times New Roman" w:eastAsia="Times New Roman" w:cs="Times New Roman"/>
          <w:i/>
          <w:iCs/>
          <w:spacing w:val="50"/>
          <w:w w:val="101"/>
          <w:position w:val="-1"/>
          <w:sz w:val="16"/>
          <w:szCs w:val="16"/>
        </w:rPr>
        <w:t xml:space="preserve"> </w:t>
      </w:r>
      <w:r>
        <w:rPr>
          <w:rFonts w:ascii="宋体" w:hAnsi="宋体" w:eastAsia="宋体" w:cs="宋体"/>
          <w:spacing w:val="-1"/>
          <w:sz w:val="24"/>
          <w:szCs w:val="24"/>
        </w:rPr>
        <w:t>的计算</w:t>
      </w:r>
      <w:r>
        <w:rPr>
          <w:rFonts w:ascii="宋体" w:hAnsi="宋体" w:eastAsia="宋体" w:cs="宋体"/>
          <w:spacing w:val="-16"/>
          <w:sz w:val="24"/>
          <w:szCs w:val="24"/>
        </w:rPr>
        <w:t>式为：</w:t>
      </w:r>
    </w:p>
    <w:p w14:paraId="142E9DB6">
      <w:pPr>
        <w:spacing w:line="540" w:lineRule="exact"/>
        <w:ind w:left="2846"/>
      </w:pPr>
      <w:r>
        <w:rPr>
          <w:position w:val="-11"/>
        </w:rPr>
        <w:drawing>
          <wp:inline distT="0" distB="0" distL="0" distR="0">
            <wp:extent cx="2052320" cy="342900"/>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224"/>
                    <a:stretch>
                      <a:fillRect/>
                    </a:stretch>
                  </pic:blipFill>
                  <pic:spPr>
                    <a:xfrm>
                      <a:off x="0" y="0"/>
                      <a:ext cx="2052472" cy="343052"/>
                    </a:xfrm>
                    <a:prstGeom prst="rect">
                      <a:avLst/>
                    </a:prstGeom>
                  </pic:spPr>
                </pic:pic>
              </a:graphicData>
            </a:graphic>
          </wp:inline>
        </w:drawing>
      </w:r>
    </w:p>
    <w:p w14:paraId="7C1A7EAF">
      <w:pPr>
        <w:spacing w:before="135" w:line="233" w:lineRule="auto"/>
        <w:ind w:left="484"/>
        <w:rPr>
          <w:rFonts w:ascii="宋体" w:hAnsi="宋体" w:eastAsia="宋体" w:cs="宋体"/>
          <w:sz w:val="24"/>
          <w:szCs w:val="24"/>
        </w:rPr>
      </w:pPr>
      <w:r>
        <w:rPr>
          <w:rFonts w:ascii="宋体" w:hAnsi="宋体" w:eastAsia="宋体" w:cs="宋体"/>
          <w:spacing w:val="-1"/>
          <w:sz w:val="24"/>
          <w:szCs w:val="24"/>
        </w:rPr>
        <w:t>式中：</w:t>
      </w:r>
      <w:r>
        <w:rPr>
          <w:rFonts w:ascii="Times New Roman" w:hAnsi="Times New Roman" w:eastAsia="Times New Roman" w:cs="Times New Roman"/>
          <w:i/>
          <w:iCs/>
          <w:spacing w:val="-1"/>
          <w:sz w:val="24"/>
          <w:szCs w:val="24"/>
        </w:rPr>
        <w:t>R</w:t>
      </w:r>
      <w:r>
        <w:rPr>
          <w:rFonts w:ascii="Times New Roman" w:hAnsi="Times New Roman" w:eastAsia="Times New Roman" w:cs="Times New Roman"/>
          <w:spacing w:val="-1"/>
          <w:sz w:val="24"/>
          <w:szCs w:val="24"/>
        </w:rPr>
        <w:t>——</w:t>
      </w:r>
      <w:r>
        <w:rPr>
          <w:rFonts w:ascii="宋体" w:hAnsi="宋体" w:eastAsia="宋体" w:cs="宋体"/>
          <w:spacing w:val="-1"/>
          <w:sz w:val="24"/>
          <w:szCs w:val="24"/>
        </w:rPr>
        <w:t>分裂导线半径，</w:t>
      </w:r>
      <w:r>
        <w:rPr>
          <w:rFonts w:ascii="Times New Roman" w:hAnsi="Times New Roman" w:eastAsia="Times New Roman" w:cs="Times New Roman"/>
          <w:spacing w:val="-1"/>
          <w:sz w:val="24"/>
          <w:szCs w:val="24"/>
        </w:rPr>
        <w:t>m</w:t>
      </w:r>
      <w:r>
        <w:rPr>
          <w:rFonts w:ascii="宋体" w:hAnsi="宋体" w:eastAsia="宋体" w:cs="宋体"/>
          <w:spacing w:val="-1"/>
          <w:sz w:val="24"/>
          <w:szCs w:val="24"/>
        </w:rPr>
        <w:t>；</w:t>
      </w:r>
    </w:p>
    <w:p w14:paraId="4F444B9F">
      <w:pPr>
        <w:spacing w:before="165" w:line="233" w:lineRule="auto"/>
        <w:ind w:left="1195"/>
        <w:rPr>
          <w:rFonts w:ascii="宋体" w:hAnsi="宋体" w:eastAsia="宋体" w:cs="宋体"/>
          <w:sz w:val="24"/>
          <w:szCs w:val="24"/>
        </w:rPr>
      </w:pPr>
      <w:r>
        <w:rPr>
          <w:rFonts w:ascii="Times New Roman" w:hAnsi="Times New Roman" w:eastAsia="Times New Roman" w:cs="Times New Roman"/>
          <w:i/>
          <w:iCs/>
          <w:spacing w:val="-6"/>
          <w:sz w:val="24"/>
          <w:szCs w:val="24"/>
        </w:rPr>
        <w:t>n</w:t>
      </w:r>
      <w:r>
        <w:rPr>
          <w:rFonts w:ascii="Times New Roman" w:hAnsi="Times New Roman" w:eastAsia="Times New Roman" w:cs="Times New Roman"/>
          <w:spacing w:val="-6"/>
          <w:sz w:val="24"/>
          <w:szCs w:val="24"/>
        </w:rPr>
        <w:t>——</w:t>
      </w:r>
      <w:r>
        <w:rPr>
          <w:rFonts w:ascii="宋体" w:hAnsi="宋体" w:eastAsia="宋体" w:cs="宋体"/>
          <w:spacing w:val="-6"/>
          <w:sz w:val="24"/>
          <w:szCs w:val="24"/>
        </w:rPr>
        <w:t>次导线根数；</w:t>
      </w:r>
    </w:p>
    <w:p w14:paraId="77D56678">
      <w:pPr>
        <w:spacing w:before="165" w:line="233" w:lineRule="auto"/>
        <w:ind w:left="1195"/>
        <w:rPr>
          <w:rFonts w:ascii="宋体" w:hAnsi="宋体" w:eastAsia="宋体" w:cs="宋体"/>
          <w:sz w:val="24"/>
          <w:szCs w:val="24"/>
        </w:rPr>
      </w:pPr>
      <w:r>
        <w:rPr>
          <w:rFonts w:ascii="Times New Roman" w:hAnsi="Times New Roman" w:eastAsia="Times New Roman" w:cs="Times New Roman"/>
          <w:i/>
          <w:iCs/>
          <w:spacing w:val="-1"/>
          <w:sz w:val="24"/>
          <w:szCs w:val="24"/>
        </w:rPr>
        <w:t>r</w:t>
      </w:r>
      <w:r>
        <w:rPr>
          <w:rFonts w:ascii="Times New Roman" w:hAnsi="Times New Roman" w:eastAsia="Times New Roman" w:cs="Times New Roman"/>
          <w:spacing w:val="-1"/>
          <w:sz w:val="24"/>
          <w:szCs w:val="24"/>
        </w:rPr>
        <w:t>——</w:t>
      </w:r>
      <w:r>
        <w:rPr>
          <w:rFonts w:ascii="宋体" w:hAnsi="宋体" w:eastAsia="宋体" w:cs="宋体"/>
          <w:spacing w:val="-1"/>
          <w:sz w:val="24"/>
          <w:szCs w:val="24"/>
        </w:rPr>
        <w:t>次导线半径，</w:t>
      </w:r>
      <w:r>
        <w:rPr>
          <w:rFonts w:ascii="Times New Roman" w:hAnsi="Times New Roman" w:eastAsia="Times New Roman" w:cs="Times New Roman"/>
          <w:spacing w:val="-1"/>
          <w:sz w:val="24"/>
          <w:szCs w:val="24"/>
        </w:rPr>
        <w:t>m</w:t>
      </w:r>
      <w:r>
        <w:rPr>
          <w:rFonts w:ascii="宋体" w:hAnsi="宋体" w:eastAsia="宋体" w:cs="宋体"/>
          <w:spacing w:val="-1"/>
          <w:sz w:val="24"/>
          <w:szCs w:val="24"/>
        </w:rPr>
        <w:t>；</w:t>
      </w:r>
    </w:p>
    <w:p w14:paraId="57CB6D3B">
      <w:pPr>
        <w:spacing w:before="165" w:line="213" w:lineRule="auto"/>
        <w:ind w:left="509"/>
        <w:rPr>
          <w:rFonts w:ascii="宋体" w:hAnsi="宋体" w:eastAsia="宋体" w:cs="宋体"/>
          <w:sz w:val="24"/>
          <w:szCs w:val="24"/>
        </w:rPr>
      </w:pPr>
      <w:r>
        <w:rPr>
          <w:rFonts w:ascii="宋体" w:hAnsi="宋体" w:eastAsia="宋体" w:cs="宋体"/>
          <w:spacing w:val="-2"/>
          <w:sz w:val="24"/>
          <w:szCs w:val="24"/>
        </w:rPr>
        <w:t>由</w:t>
      </w:r>
      <w:r>
        <w:rPr>
          <w:rFonts w:ascii="Times New Roman" w:hAnsi="Times New Roman" w:eastAsia="Times New Roman" w:cs="Times New Roman"/>
          <w:spacing w:val="-2"/>
          <w:sz w:val="24"/>
          <w:szCs w:val="24"/>
        </w:rPr>
        <w:t>[</w:t>
      </w:r>
      <w:r>
        <w:rPr>
          <w:rFonts w:ascii="Times New Roman" w:hAnsi="Times New Roman" w:eastAsia="Times New Roman" w:cs="Times New Roman"/>
          <w:i/>
          <w:iCs/>
          <w:spacing w:val="-2"/>
          <w:sz w:val="24"/>
          <w:szCs w:val="24"/>
        </w:rPr>
        <w:t>U</w:t>
      </w:r>
      <w:r>
        <w:rPr>
          <w:rFonts w:ascii="Times New Roman" w:hAnsi="Times New Roman" w:eastAsia="Times New Roman" w:cs="Times New Roman"/>
          <w:spacing w:val="-2"/>
          <w:sz w:val="24"/>
          <w:szCs w:val="24"/>
        </w:rPr>
        <w:t>]</w:t>
      </w:r>
      <w:r>
        <w:rPr>
          <w:rFonts w:ascii="宋体" w:hAnsi="宋体" w:eastAsia="宋体" w:cs="宋体"/>
          <w:spacing w:val="-2"/>
          <w:sz w:val="24"/>
          <w:szCs w:val="24"/>
        </w:rPr>
        <w:t>矩阵和</w:t>
      </w:r>
      <w:r>
        <w:rPr>
          <w:rFonts w:ascii="Times New Roman" w:hAnsi="Times New Roman" w:eastAsia="Times New Roman" w:cs="Times New Roman"/>
          <w:spacing w:val="-2"/>
          <w:sz w:val="24"/>
          <w:szCs w:val="24"/>
        </w:rPr>
        <w:t>[λ]</w:t>
      </w:r>
      <w:r>
        <w:rPr>
          <w:rFonts w:ascii="宋体" w:hAnsi="宋体" w:eastAsia="宋体" w:cs="宋体"/>
          <w:spacing w:val="-2"/>
          <w:sz w:val="24"/>
          <w:szCs w:val="24"/>
        </w:rPr>
        <w:t>矩阵，利用式（</w:t>
      </w:r>
      <w:r>
        <w:rPr>
          <w:rFonts w:ascii="Times New Roman" w:hAnsi="Times New Roman" w:eastAsia="Times New Roman" w:cs="Times New Roman"/>
          <w:spacing w:val="-2"/>
          <w:sz w:val="24"/>
          <w:szCs w:val="24"/>
        </w:rPr>
        <w:t>C1</w:t>
      </w:r>
      <w:r>
        <w:rPr>
          <w:rFonts w:ascii="宋体" w:hAnsi="宋体" w:eastAsia="宋体" w:cs="宋体"/>
          <w:spacing w:val="-2"/>
          <w:sz w:val="24"/>
          <w:szCs w:val="24"/>
        </w:rPr>
        <w:t>）即可解出</w:t>
      </w:r>
      <w:r>
        <w:rPr>
          <w:rFonts w:ascii="Times New Roman" w:hAnsi="Times New Roman" w:eastAsia="Times New Roman" w:cs="Times New Roman"/>
          <w:spacing w:val="-2"/>
          <w:sz w:val="24"/>
          <w:szCs w:val="24"/>
        </w:rPr>
        <w:t>[</w:t>
      </w:r>
      <w:r>
        <w:rPr>
          <w:rFonts w:ascii="Times New Roman" w:hAnsi="Times New Roman" w:eastAsia="Times New Roman" w:cs="Times New Roman"/>
          <w:i/>
          <w:iCs/>
          <w:spacing w:val="-2"/>
          <w:sz w:val="24"/>
          <w:szCs w:val="24"/>
        </w:rPr>
        <w:t>Q</w:t>
      </w:r>
      <w:r>
        <w:rPr>
          <w:rFonts w:ascii="Times New Roman" w:hAnsi="Times New Roman" w:eastAsia="Times New Roman" w:cs="Times New Roman"/>
          <w:spacing w:val="-2"/>
          <w:sz w:val="24"/>
          <w:szCs w:val="24"/>
        </w:rPr>
        <w:t>]</w:t>
      </w:r>
      <w:r>
        <w:rPr>
          <w:rFonts w:ascii="宋体" w:hAnsi="宋体" w:eastAsia="宋体" w:cs="宋体"/>
          <w:spacing w:val="-3"/>
          <w:sz w:val="24"/>
          <w:szCs w:val="24"/>
        </w:rPr>
        <w:t>矩阵。</w:t>
      </w:r>
    </w:p>
    <w:p w14:paraId="223C3EC9">
      <w:pPr>
        <w:tabs>
          <w:tab w:val="left" w:pos="2898"/>
        </w:tabs>
        <w:spacing w:before="192" w:line="215" w:lineRule="auto"/>
        <w:ind w:left="2763" w:hanging="2284"/>
        <w:rPr>
          <w:rFonts w:ascii="Arial" w:hAnsi="Arial" w:eastAsia="Arial" w:cs="Arial"/>
          <w:sz w:val="21"/>
          <w:szCs w:val="21"/>
        </w:rPr>
      </w:pPr>
      <w:r>
        <w:rPr>
          <w:rFonts w:ascii="宋体" w:hAnsi="宋体" w:eastAsia="宋体" w:cs="宋体"/>
          <w:sz w:val="24"/>
          <w:szCs w:val="24"/>
        </w:rPr>
        <w:t>对于三相交流线路，由于电压为时间向量，计算各相导线的电压时要用复数表示：</w:t>
      </w:r>
      <w:r>
        <w:rPr>
          <w:rFonts w:ascii="Arial" w:hAnsi="Arial" w:eastAsia="Arial" w:cs="Arial"/>
          <w:sz w:val="21"/>
          <w:szCs w:val="21"/>
          <w:u w:val="single" w:color="auto"/>
        </w:rPr>
        <w:tab/>
      </w:r>
    </w:p>
    <w:p w14:paraId="4A53B5C7">
      <w:pPr>
        <w:spacing w:line="182" w:lineRule="auto"/>
        <w:ind w:left="2739"/>
        <w:rPr>
          <w:rFonts w:ascii="宋体" w:hAnsi="宋体" w:eastAsia="宋体" w:cs="宋体"/>
          <w:sz w:val="24"/>
          <w:szCs w:val="24"/>
        </w:rPr>
      </w:pPr>
      <w:r>
        <w:rPr>
          <w:rFonts w:ascii="微软雅黑" w:hAnsi="微软雅黑" w:eastAsia="微软雅黑" w:cs="微软雅黑"/>
          <w:position w:val="1"/>
          <w:sz w:val="24"/>
          <w:szCs w:val="24"/>
        </w:rPr>
        <w:t>u</w:t>
      </w:r>
      <w:r>
        <w:rPr>
          <w:rFonts w:ascii="微软雅黑" w:hAnsi="微软雅黑" w:eastAsia="微软雅黑" w:cs="微软雅黑"/>
          <w:position w:val="-3"/>
          <w:sz w:val="17"/>
          <w:szCs w:val="17"/>
        </w:rPr>
        <w:t>l</w:t>
      </w:r>
      <w:r>
        <w:rPr>
          <w:rFonts w:ascii="微软雅黑" w:hAnsi="微软雅黑" w:eastAsia="微软雅黑" w:cs="微软雅黑"/>
          <w:spacing w:val="54"/>
          <w:w w:val="101"/>
          <w:position w:val="-3"/>
          <w:sz w:val="17"/>
          <w:szCs w:val="17"/>
        </w:rPr>
        <w:t xml:space="preserve"> </w:t>
      </w:r>
      <w:r>
        <w:rPr>
          <w:rFonts w:ascii="微软雅黑" w:hAnsi="微软雅黑" w:eastAsia="微软雅黑" w:cs="微软雅黑"/>
          <w:spacing w:val="1"/>
          <w:position w:val="1"/>
          <w:sz w:val="24"/>
          <w:szCs w:val="24"/>
        </w:rPr>
        <w:t xml:space="preserve">= </w:t>
      </w:r>
      <w:r>
        <w:rPr>
          <w:rFonts w:ascii="微软雅黑" w:hAnsi="微软雅黑" w:eastAsia="微软雅黑" w:cs="微软雅黑"/>
          <w:position w:val="1"/>
          <w:sz w:val="24"/>
          <w:szCs w:val="24"/>
        </w:rPr>
        <w:t>u</w:t>
      </w:r>
      <w:r>
        <w:rPr>
          <w:rFonts w:ascii="微软雅黑" w:hAnsi="微软雅黑" w:eastAsia="微软雅黑" w:cs="微软雅黑"/>
          <w:position w:val="-3"/>
          <w:sz w:val="17"/>
          <w:szCs w:val="17"/>
        </w:rPr>
        <w:t>iR</w:t>
      </w:r>
      <w:r>
        <w:rPr>
          <w:rFonts w:ascii="微软雅黑" w:hAnsi="微软雅黑" w:eastAsia="微软雅黑" w:cs="微软雅黑"/>
          <w:spacing w:val="35"/>
          <w:w w:val="101"/>
          <w:position w:val="-3"/>
          <w:sz w:val="17"/>
          <w:szCs w:val="17"/>
        </w:rPr>
        <w:t xml:space="preserve"> </w:t>
      </w:r>
      <w:r>
        <w:rPr>
          <w:rFonts w:ascii="微软雅黑" w:hAnsi="微软雅黑" w:eastAsia="微软雅黑" w:cs="微软雅黑"/>
          <w:spacing w:val="1"/>
          <w:position w:val="1"/>
          <w:sz w:val="24"/>
          <w:szCs w:val="24"/>
        </w:rPr>
        <w:t>+</w:t>
      </w:r>
      <w:r>
        <w:rPr>
          <w:rFonts w:ascii="微软雅黑" w:hAnsi="微软雅黑" w:eastAsia="微软雅黑" w:cs="微软雅黑"/>
          <w:spacing w:val="-36"/>
          <w:position w:val="1"/>
          <w:sz w:val="24"/>
          <w:szCs w:val="24"/>
        </w:rPr>
        <w:t xml:space="preserve"> </w:t>
      </w:r>
      <w:r>
        <w:rPr>
          <w:rFonts w:ascii="微软雅黑" w:hAnsi="微软雅黑" w:eastAsia="微软雅黑" w:cs="微软雅黑"/>
          <w:position w:val="1"/>
          <w:sz w:val="24"/>
          <w:szCs w:val="24"/>
        </w:rPr>
        <w:t>ju</w:t>
      </w:r>
      <w:r>
        <w:rPr>
          <w:rFonts w:ascii="微软雅黑" w:hAnsi="微软雅黑" w:eastAsia="微软雅黑" w:cs="微软雅黑"/>
          <w:position w:val="-3"/>
          <w:sz w:val="17"/>
          <w:szCs w:val="17"/>
        </w:rPr>
        <w:t>iI</w:t>
      </w:r>
      <w:r>
        <w:rPr>
          <w:rFonts w:ascii="微软雅黑" w:hAnsi="微软雅黑" w:eastAsia="微软雅黑" w:cs="微软雅黑"/>
          <w:spacing w:val="1"/>
          <w:position w:val="-3"/>
          <w:sz w:val="17"/>
          <w:szCs w:val="17"/>
        </w:rPr>
        <w:t xml:space="preserve">   </w:t>
      </w:r>
      <w:r>
        <w:rPr>
          <w:rFonts w:ascii="Times New Roman" w:hAnsi="Times New Roman" w:eastAsia="Times New Roman" w:cs="Times New Roman"/>
          <w:spacing w:val="1"/>
          <w:position w:val="1"/>
          <w:sz w:val="24"/>
          <w:szCs w:val="24"/>
        </w:rPr>
        <w:t>···············</w:t>
      </w:r>
      <w:r>
        <w:rPr>
          <w:rFonts w:ascii="宋体" w:hAnsi="宋体" w:eastAsia="宋体" w:cs="宋体"/>
          <w:spacing w:val="1"/>
          <w:position w:val="1"/>
          <w:sz w:val="24"/>
          <w:szCs w:val="24"/>
        </w:rPr>
        <w:t>（</w:t>
      </w:r>
      <w:r>
        <w:rPr>
          <w:rFonts w:ascii="Times New Roman" w:hAnsi="Times New Roman" w:eastAsia="Times New Roman" w:cs="Times New Roman"/>
          <w:spacing w:val="1"/>
          <w:position w:val="1"/>
          <w:sz w:val="24"/>
          <w:szCs w:val="24"/>
        </w:rPr>
        <w:t>C6</w:t>
      </w:r>
      <w:r>
        <w:rPr>
          <w:rFonts w:ascii="宋体" w:hAnsi="宋体" w:eastAsia="宋体" w:cs="宋体"/>
          <w:spacing w:val="1"/>
          <w:position w:val="1"/>
          <w:sz w:val="24"/>
          <w:szCs w:val="24"/>
        </w:rPr>
        <w:t>）</w:t>
      </w:r>
    </w:p>
    <w:p w14:paraId="53F7FA31">
      <w:pPr>
        <w:spacing w:before="118" w:line="219" w:lineRule="auto"/>
        <w:ind w:left="480"/>
        <w:rPr>
          <w:rFonts w:ascii="宋体" w:hAnsi="宋体" w:eastAsia="宋体" w:cs="宋体"/>
          <w:sz w:val="24"/>
          <w:szCs w:val="24"/>
        </w:rPr>
      </w:pPr>
      <w:r>
        <w:rPr>
          <w:rFonts w:ascii="宋体" w:hAnsi="宋体" w:eastAsia="宋体" w:cs="宋体"/>
          <w:spacing w:val="-6"/>
          <w:sz w:val="24"/>
          <w:szCs w:val="24"/>
        </w:rPr>
        <w:t>相应地电荷也是复数量：</w:t>
      </w:r>
    </w:p>
    <w:p w14:paraId="4DD78729">
      <w:pPr>
        <w:tabs>
          <w:tab w:val="left" w:pos="2896"/>
        </w:tabs>
        <w:spacing w:before="1" w:line="211" w:lineRule="auto"/>
        <w:ind w:left="2760"/>
        <w:rPr>
          <w:rFonts w:ascii="Arial"/>
          <w:sz w:val="21"/>
        </w:rPr>
      </w:pPr>
      <w:r>
        <w:rPr>
          <w:rFonts w:ascii="Arial" w:hAnsi="Arial" w:eastAsia="Arial" w:cs="Arial"/>
          <w:sz w:val="21"/>
          <w:szCs w:val="21"/>
          <w:u w:val="single" w:color="auto"/>
        </w:rPr>
        <w:tab/>
      </w:r>
    </w:p>
    <w:p w14:paraId="3315A874">
      <w:pPr>
        <w:spacing w:line="182" w:lineRule="auto"/>
        <w:ind w:left="2731"/>
        <w:rPr>
          <w:rFonts w:ascii="宋体" w:hAnsi="宋体" w:eastAsia="宋体" w:cs="宋体"/>
          <w:sz w:val="24"/>
          <w:szCs w:val="24"/>
        </w:rPr>
      </w:pPr>
      <w:r>
        <w:rPr>
          <w:rFonts w:ascii="微软雅黑" w:hAnsi="微软雅黑" w:eastAsia="微软雅黑" w:cs="微软雅黑"/>
          <w:spacing w:val="-6"/>
          <w:w w:val="77"/>
          <w:sz w:val="24"/>
          <w:szCs w:val="24"/>
        </w:rPr>
        <w:t>Q</w:t>
      </w:r>
      <w:r>
        <w:rPr>
          <w:rFonts w:ascii="微软雅黑" w:hAnsi="微软雅黑" w:eastAsia="微软雅黑" w:cs="微软雅黑"/>
          <w:spacing w:val="-1"/>
          <w:position w:val="-3"/>
          <w:sz w:val="17"/>
          <w:szCs w:val="17"/>
        </w:rPr>
        <w:t>l</w:t>
      </w:r>
      <w:r>
        <w:rPr>
          <w:rFonts w:ascii="微软雅黑" w:hAnsi="微软雅黑" w:eastAsia="微软雅黑" w:cs="微软雅黑"/>
          <w:spacing w:val="43"/>
          <w:w w:val="101"/>
          <w:position w:val="-3"/>
          <w:sz w:val="17"/>
          <w:szCs w:val="17"/>
        </w:rPr>
        <w:t xml:space="preserve"> </w:t>
      </w:r>
      <w:r>
        <w:rPr>
          <w:rFonts w:ascii="微软雅黑" w:hAnsi="微软雅黑" w:eastAsia="微软雅黑" w:cs="微软雅黑"/>
          <w:spacing w:val="-1"/>
          <w:sz w:val="24"/>
          <w:szCs w:val="24"/>
        </w:rPr>
        <w:t>= Q</w:t>
      </w:r>
      <w:r>
        <w:rPr>
          <w:rFonts w:ascii="微软雅黑" w:hAnsi="微软雅黑" w:eastAsia="微软雅黑" w:cs="微软雅黑"/>
          <w:spacing w:val="-1"/>
          <w:position w:val="-3"/>
          <w:sz w:val="17"/>
          <w:szCs w:val="17"/>
        </w:rPr>
        <w:t>iR</w:t>
      </w:r>
      <w:r>
        <w:rPr>
          <w:rFonts w:ascii="微软雅黑" w:hAnsi="微软雅黑" w:eastAsia="微软雅黑" w:cs="微软雅黑"/>
          <w:spacing w:val="33"/>
          <w:position w:val="-3"/>
          <w:sz w:val="17"/>
          <w:szCs w:val="17"/>
        </w:rPr>
        <w:t xml:space="preserve"> </w:t>
      </w:r>
      <w:r>
        <w:rPr>
          <w:rFonts w:ascii="微软雅黑" w:hAnsi="微软雅黑" w:eastAsia="微软雅黑" w:cs="微软雅黑"/>
          <w:spacing w:val="-1"/>
          <w:sz w:val="24"/>
          <w:szCs w:val="24"/>
        </w:rPr>
        <w:t>+</w:t>
      </w:r>
      <w:r>
        <w:rPr>
          <w:rFonts w:ascii="微软雅黑" w:hAnsi="微软雅黑" w:eastAsia="微软雅黑" w:cs="微软雅黑"/>
          <w:spacing w:val="-36"/>
          <w:sz w:val="24"/>
          <w:szCs w:val="24"/>
        </w:rPr>
        <w:t xml:space="preserve"> </w:t>
      </w:r>
      <w:r>
        <w:rPr>
          <w:rFonts w:ascii="微软雅黑" w:hAnsi="微软雅黑" w:eastAsia="微软雅黑" w:cs="微软雅黑"/>
          <w:spacing w:val="-1"/>
          <w:sz w:val="24"/>
          <w:szCs w:val="24"/>
        </w:rPr>
        <w:t>jQ</w:t>
      </w:r>
      <w:r>
        <w:rPr>
          <w:rFonts w:ascii="微软雅黑" w:hAnsi="微软雅黑" w:eastAsia="微软雅黑" w:cs="微软雅黑"/>
          <w:spacing w:val="-1"/>
          <w:position w:val="-3"/>
          <w:sz w:val="17"/>
          <w:szCs w:val="17"/>
        </w:rPr>
        <w:t xml:space="preserve">iI   </w:t>
      </w:r>
      <w:r>
        <w:rPr>
          <w:rFonts w:ascii="Times New Roman" w:hAnsi="Times New Roman" w:eastAsia="Times New Roman" w:cs="Times New Roman"/>
          <w:spacing w:val="-1"/>
          <w:sz w:val="24"/>
          <w:szCs w:val="24"/>
        </w:rPr>
        <w:t>··············</w:t>
      </w:r>
      <w:r>
        <w:rPr>
          <w:rFonts w:ascii="Times New Roman" w:hAnsi="Times New Roman" w:eastAsia="Times New Roman" w:cs="Times New Roman"/>
          <w:spacing w:val="-2"/>
          <w:sz w:val="24"/>
          <w:szCs w:val="24"/>
        </w:rPr>
        <w:t>·</w:t>
      </w:r>
      <w:r>
        <w:rPr>
          <w:rFonts w:ascii="宋体" w:hAnsi="宋体" w:eastAsia="宋体" w:cs="宋体"/>
          <w:spacing w:val="-2"/>
          <w:sz w:val="24"/>
          <w:szCs w:val="24"/>
        </w:rPr>
        <w:t>（</w:t>
      </w:r>
      <w:r>
        <w:rPr>
          <w:rFonts w:ascii="Times New Roman" w:hAnsi="Times New Roman" w:eastAsia="Times New Roman" w:cs="Times New Roman"/>
          <w:spacing w:val="-2"/>
          <w:sz w:val="24"/>
          <w:szCs w:val="24"/>
        </w:rPr>
        <w:t>C7</w:t>
      </w:r>
      <w:r>
        <w:rPr>
          <w:rFonts w:ascii="宋体" w:hAnsi="宋体" w:eastAsia="宋体" w:cs="宋体"/>
          <w:spacing w:val="-2"/>
          <w:sz w:val="24"/>
          <w:szCs w:val="24"/>
        </w:rPr>
        <w:t>）</w:t>
      </w:r>
    </w:p>
    <w:p w14:paraId="33E4943B">
      <w:pPr>
        <w:spacing w:before="126" w:line="220" w:lineRule="auto"/>
        <w:ind w:left="484"/>
        <w:rPr>
          <w:rFonts w:ascii="宋体" w:hAnsi="宋体" w:eastAsia="宋体" w:cs="宋体"/>
          <w:sz w:val="24"/>
          <w:szCs w:val="24"/>
        </w:rPr>
      </w:pPr>
      <w:r>
        <w:rPr>
          <w:rFonts w:ascii="宋体" w:hAnsi="宋体" w:eastAsia="宋体" w:cs="宋体"/>
          <w:spacing w:val="-3"/>
          <w:sz w:val="24"/>
          <w:szCs w:val="24"/>
        </w:rPr>
        <w:t>式（</w:t>
      </w:r>
      <w:r>
        <w:rPr>
          <w:rFonts w:ascii="Times New Roman" w:hAnsi="Times New Roman" w:eastAsia="Times New Roman" w:cs="Times New Roman"/>
          <w:spacing w:val="-3"/>
          <w:sz w:val="24"/>
          <w:szCs w:val="24"/>
        </w:rPr>
        <w:t>C1</w:t>
      </w:r>
      <w:r>
        <w:rPr>
          <w:rFonts w:ascii="宋体" w:hAnsi="宋体" w:eastAsia="宋体" w:cs="宋体"/>
          <w:spacing w:val="-3"/>
          <w:sz w:val="24"/>
          <w:szCs w:val="24"/>
        </w:rPr>
        <w:t>）矩阵关系即分别表示了复数量的实部和虚部两部分：</w:t>
      </w:r>
    </w:p>
    <w:p w14:paraId="5A35B1F3">
      <w:pPr>
        <w:spacing w:before="183" w:line="259" w:lineRule="exact"/>
        <w:ind w:left="2761"/>
      </w:pPr>
      <w:r>
        <w:rPr>
          <w:position w:val="-5"/>
        </w:rPr>
        <w:drawing>
          <wp:inline distT="0" distB="0" distL="0" distR="0">
            <wp:extent cx="2172335" cy="16446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225"/>
                    <a:stretch>
                      <a:fillRect/>
                    </a:stretch>
                  </pic:blipFill>
                  <pic:spPr>
                    <a:xfrm>
                      <a:off x="0" y="0"/>
                      <a:ext cx="2172411" cy="164744"/>
                    </a:xfrm>
                    <a:prstGeom prst="rect">
                      <a:avLst/>
                    </a:prstGeom>
                  </pic:spPr>
                </pic:pic>
              </a:graphicData>
            </a:graphic>
          </wp:inline>
        </w:drawing>
      </w:r>
    </w:p>
    <w:p w14:paraId="36E53091">
      <w:pPr>
        <w:spacing w:before="209" w:line="292" w:lineRule="exact"/>
        <w:ind w:left="2806"/>
      </w:pPr>
      <w:r>
        <w:rPr>
          <w:position w:val="-6"/>
        </w:rPr>
        <w:drawing>
          <wp:inline distT="0" distB="0" distL="0" distR="0">
            <wp:extent cx="2113915" cy="18478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226"/>
                    <a:stretch>
                      <a:fillRect/>
                    </a:stretch>
                  </pic:blipFill>
                  <pic:spPr>
                    <a:xfrm>
                      <a:off x="0" y="0"/>
                      <a:ext cx="2114499" cy="185413"/>
                    </a:xfrm>
                    <a:prstGeom prst="rect">
                      <a:avLst/>
                    </a:prstGeom>
                  </pic:spPr>
                </pic:pic>
              </a:graphicData>
            </a:graphic>
          </wp:inline>
        </w:drawing>
      </w:r>
    </w:p>
    <w:p w14:paraId="083B623B">
      <w:pPr>
        <w:spacing w:before="177" w:line="217" w:lineRule="auto"/>
        <w:ind w:left="478"/>
        <w:rPr>
          <w:rFonts w:ascii="宋体" w:hAnsi="宋体" w:eastAsia="宋体" w:cs="宋体"/>
          <w:sz w:val="24"/>
          <w:szCs w:val="24"/>
        </w:rPr>
      </w:pPr>
      <w:r>
        <w:rPr>
          <w:rFonts w:ascii="宋体" w:hAnsi="宋体" w:eastAsia="宋体" w:cs="宋体"/>
          <w:spacing w:val="-1"/>
          <w:sz w:val="24"/>
          <w:szCs w:val="24"/>
        </w:rPr>
        <w:t>②计算由等效电荷产生的电场</w:t>
      </w:r>
    </w:p>
    <w:p w14:paraId="54D1E7B5">
      <w:pPr>
        <w:spacing w:before="184" w:line="220" w:lineRule="auto"/>
        <w:ind w:left="482"/>
        <w:rPr>
          <w:rFonts w:ascii="宋体" w:hAnsi="宋体" w:eastAsia="宋体" w:cs="宋体"/>
          <w:sz w:val="24"/>
          <w:szCs w:val="24"/>
        </w:rPr>
      </w:pPr>
      <w:r>
        <w:rPr>
          <w:rFonts w:ascii="宋体" w:hAnsi="宋体" w:eastAsia="宋体" w:cs="宋体"/>
          <w:spacing w:val="-1"/>
          <w:sz w:val="24"/>
          <w:szCs w:val="24"/>
        </w:rPr>
        <w:t>为计算地面电场强度的最大值，通常取设计最大</w:t>
      </w:r>
      <w:r>
        <w:rPr>
          <w:rFonts w:ascii="宋体" w:hAnsi="宋体" w:eastAsia="宋体" w:cs="宋体"/>
          <w:spacing w:val="-2"/>
          <w:sz w:val="24"/>
          <w:szCs w:val="24"/>
        </w:rPr>
        <w:t>弧垂时导线的最小对地高度。</w:t>
      </w:r>
    </w:p>
    <w:p w14:paraId="51AF66B7">
      <w:pPr>
        <w:spacing w:before="184" w:line="340" w:lineRule="auto"/>
        <w:ind w:right="69" w:firstLine="495"/>
        <w:rPr>
          <w:rFonts w:ascii="宋体" w:hAnsi="宋体" w:eastAsia="宋体" w:cs="宋体"/>
          <w:sz w:val="24"/>
          <w:szCs w:val="24"/>
        </w:rPr>
      </w:pPr>
      <w:r>
        <w:rPr>
          <w:rFonts w:ascii="宋体" w:hAnsi="宋体" w:eastAsia="宋体" w:cs="宋体"/>
          <w:spacing w:val="-2"/>
          <w:sz w:val="24"/>
          <w:szCs w:val="24"/>
        </w:rPr>
        <w:t>当各导线单位长度的等效电荷量求出后，空间任意一点的电场强度可根据叠加</w:t>
      </w:r>
      <w:r>
        <w:rPr>
          <w:rFonts w:ascii="宋体" w:hAnsi="宋体" w:eastAsia="宋体" w:cs="宋体"/>
          <w:spacing w:val="-3"/>
          <w:sz w:val="24"/>
          <w:szCs w:val="24"/>
        </w:rPr>
        <w:t>原理</w:t>
      </w:r>
      <w:r>
        <w:rPr>
          <w:rFonts w:ascii="宋体" w:hAnsi="宋体" w:eastAsia="宋体" w:cs="宋体"/>
          <w:spacing w:val="-1"/>
          <w:sz w:val="24"/>
          <w:szCs w:val="24"/>
        </w:rPr>
        <w:t>计算得出，在（</w:t>
      </w:r>
      <w:r>
        <w:rPr>
          <w:rFonts w:ascii="Times New Roman" w:hAnsi="Times New Roman" w:eastAsia="Times New Roman" w:cs="Times New Roman"/>
          <w:i/>
          <w:iCs/>
          <w:spacing w:val="-1"/>
          <w:sz w:val="24"/>
          <w:szCs w:val="24"/>
        </w:rPr>
        <w:t>x</w:t>
      </w:r>
      <w:r>
        <w:rPr>
          <w:rFonts w:ascii="宋体" w:hAnsi="宋体" w:eastAsia="宋体" w:cs="宋体"/>
          <w:spacing w:val="-1"/>
          <w:sz w:val="24"/>
          <w:szCs w:val="24"/>
        </w:rPr>
        <w:t>，</w:t>
      </w:r>
      <w:r>
        <w:rPr>
          <w:rFonts w:ascii="Times New Roman" w:hAnsi="Times New Roman" w:eastAsia="Times New Roman" w:cs="Times New Roman"/>
          <w:i/>
          <w:iCs/>
          <w:spacing w:val="-1"/>
          <w:sz w:val="24"/>
          <w:szCs w:val="24"/>
        </w:rPr>
        <w:t>y</w:t>
      </w:r>
      <w:r>
        <w:rPr>
          <w:rFonts w:ascii="宋体" w:hAnsi="宋体" w:eastAsia="宋体" w:cs="宋体"/>
          <w:spacing w:val="-1"/>
          <w:sz w:val="24"/>
          <w:szCs w:val="24"/>
        </w:rPr>
        <w:t>）点的电场强度分量</w:t>
      </w:r>
      <w:r>
        <w:rPr>
          <w:rFonts w:ascii="宋体" w:hAnsi="宋体" w:eastAsia="宋体" w:cs="宋体"/>
          <w:spacing w:val="-64"/>
          <w:sz w:val="24"/>
          <w:szCs w:val="24"/>
        </w:rPr>
        <w:t xml:space="preserve"> </w:t>
      </w:r>
      <w:r>
        <w:rPr>
          <w:rFonts w:ascii="Times New Roman" w:hAnsi="Times New Roman" w:eastAsia="Times New Roman" w:cs="Times New Roman"/>
          <w:i/>
          <w:iCs/>
          <w:spacing w:val="-1"/>
          <w:sz w:val="24"/>
          <w:szCs w:val="24"/>
        </w:rPr>
        <w:t>E</w:t>
      </w:r>
      <w:r>
        <w:rPr>
          <w:rFonts w:ascii="Times New Roman" w:hAnsi="Times New Roman" w:eastAsia="Times New Roman" w:cs="Times New Roman"/>
          <w:i/>
          <w:iCs/>
          <w:spacing w:val="-2"/>
          <w:sz w:val="24"/>
          <w:szCs w:val="24"/>
        </w:rPr>
        <w:t xml:space="preserve">x </w:t>
      </w:r>
      <w:r>
        <w:rPr>
          <w:rFonts w:ascii="宋体" w:hAnsi="宋体" w:eastAsia="宋体" w:cs="宋体"/>
          <w:spacing w:val="-2"/>
          <w:sz w:val="24"/>
          <w:szCs w:val="24"/>
        </w:rPr>
        <w:t>和</w:t>
      </w:r>
      <w:r>
        <w:rPr>
          <w:rFonts w:ascii="宋体" w:hAnsi="宋体" w:eastAsia="宋体" w:cs="宋体"/>
          <w:spacing w:val="-65"/>
          <w:sz w:val="24"/>
          <w:szCs w:val="24"/>
        </w:rPr>
        <w:t xml:space="preserve"> </w:t>
      </w:r>
      <w:r>
        <w:rPr>
          <w:rFonts w:ascii="Times New Roman" w:hAnsi="Times New Roman" w:eastAsia="Times New Roman" w:cs="Times New Roman"/>
          <w:i/>
          <w:iCs/>
          <w:spacing w:val="-2"/>
          <w:sz w:val="24"/>
          <w:szCs w:val="24"/>
        </w:rPr>
        <w:t xml:space="preserve">Ey </w:t>
      </w:r>
      <w:r>
        <w:rPr>
          <w:rFonts w:ascii="宋体" w:hAnsi="宋体" w:eastAsia="宋体" w:cs="宋体"/>
          <w:spacing w:val="-2"/>
          <w:sz w:val="24"/>
          <w:szCs w:val="24"/>
        </w:rPr>
        <w:t>可表示为：</w:t>
      </w:r>
    </w:p>
    <w:tbl>
      <w:tblPr>
        <w:tblStyle w:val="5"/>
        <w:tblW w:w="8443" w:type="dxa"/>
        <w:tblInd w:w="484" w:type="dxa"/>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CellMar>
          <w:top w:w="0" w:type="dxa"/>
          <w:left w:w="0" w:type="dxa"/>
          <w:bottom w:w="0" w:type="dxa"/>
          <w:right w:w="0" w:type="dxa"/>
        </w:tblCellMar>
      </w:tblPr>
      <w:tblGrid>
        <w:gridCol w:w="6323"/>
        <w:gridCol w:w="1446"/>
        <w:gridCol w:w="674"/>
      </w:tblGrid>
      <w:tr w14:paraId="1359B6E7">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911" w:hRule="atLeast"/>
        </w:trPr>
        <w:tc>
          <w:tcPr>
            <w:tcW w:w="6323" w:type="dxa"/>
            <w:vAlign w:val="top"/>
          </w:tcPr>
          <w:p w14:paraId="54A96B75">
            <w:pPr>
              <w:spacing w:line="835" w:lineRule="exact"/>
              <w:ind w:left="2285"/>
            </w:pPr>
            <w:r>
              <w:rPr>
                <w:position w:val="-17"/>
              </w:rPr>
              <w:drawing>
                <wp:inline distT="0" distB="0" distL="0" distR="0">
                  <wp:extent cx="2235200" cy="53022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227"/>
                          <a:stretch>
                            <a:fillRect/>
                          </a:stretch>
                        </pic:blipFill>
                        <pic:spPr>
                          <a:xfrm>
                            <a:off x="0" y="0"/>
                            <a:ext cx="2235352" cy="530352"/>
                          </a:xfrm>
                          <a:prstGeom prst="rect">
                            <a:avLst/>
                          </a:prstGeom>
                        </pic:spPr>
                      </pic:pic>
                    </a:graphicData>
                  </a:graphic>
                </wp:inline>
              </w:drawing>
            </w:r>
          </w:p>
        </w:tc>
        <w:tc>
          <w:tcPr>
            <w:tcW w:w="1446" w:type="dxa"/>
            <w:vAlign w:val="top"/>
          </w:tcPr>
          <w:p w14:paraId="3E437E29">
            <w:pPr>
              <w:rPr>
                <w:rFonts w:ascii="Arial"/>
                <w:sz w:val="21"/>
              </w:rPr>
            </w:pPr>
          </w:p>
        </w:tc>
        <w:tc>
          <w:tcPr>
            <w:tcW w:w="674" w:type="dxa"/>
            <w:vAlign w:val="top"/>
          </w:tcPr>
          <w:p w14:paraId="1E0BEFBF">
            <w:pPr>
              <w:rPr>
                <w:rFonts w:ascii="Arial"/>
                <w:sz w:val="21"/>
              </w:rPr>
            </w:pPr>
          </w:p>
        </w:tc>
      </w:tr>
      <w:tr w14:paraId="4E3FAA5D">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13" w:hRule="atLeast"/>
        </w:trPr>
        <w:tc>
          <w:tcPr>
            <w:tcW w:w="6323" w:type="dxa"/>
            <w:vAlign w:val="top"/>
          </w:tcPr>
          <w:p w14:paraId="559D12B3">
            <w:pPr>
              <w:rPr>
                <w:rFonts w:ascii="Arial"/>
                <w:sz w:val="21"/>
              </w:rPr>
            </w:pPr>
          </w:p>
        </w:tc>
        <w:tc>
          <w:tcPr>
            <w:tcW w:w="1446" w:type="dxa"/>
            <w:vAlign w:val="top"/>
          </w:tcPr>
          <w:p w14:paraId="4544EA4A">
            <w:pPr>
              <w:spacing w:before="186" w:line="148" w:lineRule="exact"/>
              <w:ind w:left="205"/>
              <w:rPr>
                <w:rFonts w:ascii="Times New Roman" w:hAnsi="Times New Roman" w:eastAsia="Times New Roman" w:cs="Times New Roman"/>
                <w:sz w:val="24"/>
                <w:szCs w:val="24"/>
              </w:rPr>
            </w:pPr>
            <w:r>
              <w:rPr>
                <w:rFonts w:ascii="Times New Roman" w:hAnsi="Times New Roman" w:eastAsia="Times New Roman" w:cs="Times New Roman"/>
                <w:spacing w:val="-2"/>
                <w:position w:val="-4"/>
                <w:sz w:val="24"/>
                <w:szCs w:val="24"/>
              </w:rPr>
              <w:t>···············</w:t>
            </w:r>
          </w:p>
        </w:tc>
        <w:tc>
          <w:tcPr>
            <w:tcW w:w="674" w:type="dxa"/>
            <w:vAlign w:val="top"/>
          </w:tcPr>
          <w:p w14:paraId="5B6063A2">
            <w:pPr>
              <w:pStyle w:val="6"/>
              <w:spacing w:before="76" w:line="319" w:lineRule="exact"/>
              <w:jc w:val="right"/>
              <w:rPr>
                <w:sz w:val="24"/>
                <w:szCs w:val="24"/>
              </w:rPr>
            </w:pPr>
            <w:r>
              <w:rPr>
                <w:spacing w:val="-42"/>
                <w:position w:val="1"/>
                <w:sz w:val="24"/>
                <w:szCs w:val="24"/>
              </w:rPr>
              <w:t>（</w:t>
            </w:r>
            <w:r>
              <w:rPr>
                <w:rFonts w:ascii="Times New Roman" w:hAnsi="Times New Roman" w:eastAsia="Times New Roman" w:cs="Times New Roman"/>
                <w:spacing w:val="-42"/>
                <w:position w:val="1"/>
                <w:sz w:val="24"/>
                <w:szCs w:val="24"/>
              </w:rPr>
              <w:t>C10</w:t>
            </w:r>
            <w:r>
              <w:rPr>
                <w:spacing w:val="-42"/>
                <w:position w:val="1"/>
                <w:sz w:val="24"/>
                <w:szCs w:val="24"/>
              </w:rPr>
              <w:t>）</w:t>
            </w:r>
          </w:p>
        </w:tc>
      </w:tr>
      <w:tr w14:paraId="4898AF5C">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991" w:hRule="atLeast"/>
        </w:trPr>
        <w:tc>
          <w:tcPr>
            <w:tcW w:w="6323" w:type="dxa"/>
            <w:vAlign w:val="top"/>
          </w:tcPr>
          <w:p w14:paraId="35123781">
            <w:pPr>
              <w:spacing w:before="80" w:line="835" w:lineRule="exact"/>
              <w:ind w:left="2277"/>
            </w:pPr>
            <w:r>
              <w:rPr>
                <w:position w:val="-17"/>
              </w:rPr>
              <w:drawing>
                <wp:inline distT="0" distB="0" distL="0" distR="0">
                  <wp:extent cx="2245995" cy="53022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228"/>
                          <a:stretch>
                            <a:fillRect/>
                          </a:stretch>
                        </pic:blipFill>
                        <pic:spPr>
                          <a:xfrm>
                            <a:off x="0" y="0"/>
                            <a:ext cx="2246020" cy="530732"/>
                          </a:xfrm>
                          <a:prstGeom prst="rect">
                            <a:avLst/>
                          </a:prstGeom>
                        </pic:spPr>
                      </pic:pic>
                    </a:graphicData>
                  </a:graphic>
                </wp:inline>
              </w:drawing>
            </w:r>
          </w:p>
        </w:tc>
        <w:tc>
          <w:tcPr>
            <w:tcW w:w="1446" w:type="dxa"/>
            <w:vAlign w:val="top"/>
          </w:tcPr>
          <w:p w14:paraId="7EE68AC3">
            <w:pPr>
              <w:rPr>
                <w:rFonts w:ascii="Arial"/>
                <w:sz w:val="21"/>
              </w:rPr>
            </w:pPr>
          </w:p>
        </w:tc>
        <w:tc>
          <w:tcPr>
            <w:tcW w:w="674" w:type="dxa"/>
            <w:vAlign w:val="top"/>
          </w:tcPr>
          <w:p w14:paraId="1BC715B5">
            <w:pPr>
              <w:rPr>
                <w:rFonts w:ascii="Arial"/>
                <w:sz w:val="21"/>
              </w:rPr>
            </w:pPr>
          </w:p>
        </w:tc>
      </w:tr>
      <w:tr w14:paraId="4559B5A0">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439" w:hRule="atLeast"/>
        </w:trPr>
        <w:tc>
          <w:tcPr>
            <w:tcW w:w="6323" w:type="dxa"/>
            <w:vAlign w:val="top"/>
          </w:tcPr>
          <w:p w14:paraId="32831B1B">
            <w:pPr>
              <w:rPr>
                <w:rFonts w:ascii="Arial"/>
                <w:sz w:val="21"/>
              </w:rPr>
            </w:pPr>
          </w:p>
        </w:tc>
        <w:tc>
          <w:tcPr>
            <w:tcW w:w="1446" w:type="dxa"/>
            <w:vAlign w:val="top"/>
          </w:tcPr>
          <w:p w14:paraId="24917C52">
            <w:pPr>
              <w:spacing w:before="186" w:line="148" w:lineRule="exact"/>
              <w:ind w:left="212"/>
              <w:rPr>
                <w:rFonts w:ascii="Times New Roman" w:hAnsi="Times New Roman" w:eastAsia="Times New Roman" w:cs="Times New Roman"/>
                <w:sz w:val="24"/>
                <w:szCs w:val="24"/>
              </w:rPr>
            </w:pPr>
            <w:r>
              <w:rPr>
                <w:rFonts w:ascii="Times New Roman" w:hAnsi="Times New Roman" w:eastAsia="Times New Roman" w:cs="Times New Roman"/>
                <w:spacing w:val="-2"/>
                <w:position w:val="-4"/>
                <w:sz w:val="24"/>
                <w:szCs w:val="24"/>
              </w:rPr>
              <w:t>···············</w:t>
            </w:r>
          </w:p>
        </w:tc>
        <w:tc>
          <w:tcPr>
            <w:tcW w:w="674" w:type="dxa"/>
            <w:vAlign w:val="top"/>
          </w:tcPr>
          <w:p w14:paraId="76E10BA9">
            <w:pPr>
              <w:pStyle w:val="6"/>
              <w:spacing w:before="76" w:line="320" w:lineRule="exact"/>
              <w:jc w:val="right"/>
              <w:rPr>
                <w:sz w:val="24"/>
                <w:szCs w:val="24"/>
              </w:rPr>
            </w:pPr>
            <w:r>
              <w:rPr>
                <w:spacing w:val="-42"/>
                <w:position w:val="1"/>
                <w:sz w:val="24"/>
                <w:szCs w:val="24"/>
              </w:rPr>
              <w:t>（</w:t>
            </w:r>
            <w:r>
              <w:rPr>
                <w:rFonts w:ascii="Times New Roman" w:hAnsi="Times New Roman" w:eastAsia="Times New Roman" w:cs="Times New Roman"/>
                <w:spacing w:val="-42"/>
                <w:position w:val="1"/>
                <w:sz w:val="24"/>
                <w:szCs w:val="24"/>
              </w:rPr>
              <w:t>C11</w:t>
            </w:r>
            <w:r>
              <w:rPr>
                <w:spacing w:val="-42"/>
                <w:position w:val="1"/>
                <w:sz w:val="24"/>
                <w:szCs w:val="24"/>
              </w:rPr>
              <w:t>）</w:t>
            </w:r>
          </w:p>
        </w:tc>
      </w:tr>
      <w:tr w14:paraId="57B348B4">
        <w:tblPrEx>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CellMar>
            <w:top w:w="0" w:type="dxa"/>
            <w:left w:w="0" w:type="dxa"/>
            <w:bottom w:w="0" w:type="dxa"/>
            <w:right w:w="0" w:type="dxa"/>
          </w:tblCellMar>
        </w:tblPrEx>
        <w:trPr>
          <w:trHeight w:val="1301" w:hRule="atLeast"/>
        </w:trPr>
        <w:tc>
          <w:tcPr>
            <w:tcW w:w="6323" w:type="dxa"/>
            <w:vAlign w:val="top"/>
          </w:tcPr>
          <w:p w14:paraId="728FBFC3">
            <w:pPr>
              <w:pStyle w:val="6"/>
              <w:spacing w:before="105" w:line="214" w:lineRule="auto"/>
              <w:rPr>
                <w:sz w:val="24"/>
                <w:szCs w:val="24"/>
              </w:rPr>
            </w:pPr>
            <w:r>
              <w:rPr>
                <w:spacing w:val="-5"/>
                <w:sz w:val="24"/>
                <w:szCs w:val="24"/>
              </w:rPr>
              <w:t>式中：</w:t>
            </w:r>
            <w:r>
              <w:rPr>
                <w:rFonts w:ascii="Times New Roman" w:hAnsi="Times New Roman" w:eastAsia="Times New Roman" w:cs="Times New Roman"/>
                <w:i/>
                <w:iCs/>
                <w:spacing w:val="-5"/>
                <w:sz w:val="24"/>
                <w:szCs w:val="24"/>
              </w:rPr>
              <w:t>x</w:t>
            </w:r>
            <w:r>
              <w:rPr>
                <w:rFonts w:ascii="Times New Roman" w:hAnsi="Times New Roman" w:eastAsia="Times New Roman" w:cs="Times New Roman"/>
                <w:i/>
                <w:iCs/>
                <w:spacing w:val="-5"/>
                <w:position w:val="-1"/>
                <w:sz w:val="16"/>
                <w:szCs w:val="16"/>
              </w:rPr>
              <w:t>i</w:t>
            </w:r>
            <w:r>
              <w:rPr>
                <w:spacing w:val="-5"/>
                <w:sz w:val="24"/>
                <w:szCs w:val="24"/>
              </w:rPr>
              <w:t>,</w:t>
            </w:r>
            <w:r>
              <w:rPr>
                <w:rFonts w:ascii="Times New Roman" w:hAnsi="Times New Roman" w:eastAsia="Times New Roman" w:cs="Times New Roman"/>
                <w:i/>
                <w:iCs/>
                <w:spacing w:val="-5"/>
                <w:sz w:val="24"/>
                <w:szCs w:val="24"/>
              </w:rPr>
              <w:t>y</w:t>
            </w:r>
            <w:r>
              <w:rPr>
                <w:rFonts w:ascii="Times New Roman" w:hAnsi="Times New Roman" w:eastAsia="Times New Roman" w:cs="Times New Roman"/>
                <w:i/>
                <w:iCs/>
                <w:spacing w:val="-5"/>
                <w:position w:val="-1"/>
                <w:sz w:val="16"/>
                <w:szCs w:val="16"/>
              </w:rPr>
              <w:t>i</w:t>
            </w:r>
            <w:r>
              <w:rPr>
                <w:rFonts w:ascii="Times New Roman" w:hAnsi="Times New Roman" w:eastAsia="Times New Roman" w:cs="Times New Roman"/>
                <w:spacing w:val="-5"/>
                <w:sz w:val="24"/>
                <w:szCs w:val="24"/>
              </w:rPr>
              <w:t>——</w:t>
            </w:r>
            <w:r>
              <w:rPr>
                <w:spacing w:val="-5"/>
                <w:sz w:val="24"/>
                <w:szCs w:val="24"/>
              </w:rPr>
              <w:t>导线</w:t>
            </w:r>
            <w:r>
              <w:rPr>
                <w:spacing w:val="-48"/>
                <w:sz w:val="24"/>
                <w:szCs w:val="24"/>
              </w:rPr>
              <w:t xml:space="preserve"> </w:t>
            </w:r>
            <w:r>
              <w:rPr>
                <w:rFonts w:ascii="Times New Roman" w:hAnsi="Times New Roman" w:eastAsia="Times New Roman" w:cs="Times New Roman"/>
                <w:i/>
                <w:iCs/>
                <w:spacing w:val="-5"/>
                <w:sz w:val="24"/>
                <w:szCs w:val="24"/>
              </w:rPr>
              <w:t>i</w:t>
            </w:r>
            <w:r>
              <w:rPr>
                <w:rFonts w:ascii="Times New Roman" w:hAnsi="Times New Roman" w:eastAsia="Times New Roman" w:cs="Times New Roman"/>
                <w:i/>
                <w:iCs/>
                <w:spacing w:val="29"/>
                <w:w w:val="101"/>
                <w:sz w:val="24"/>
                <w:szCs w:val="24"/>
              </w:rPr>
              <w:t xml:space="preserve"> </w:t>
            </w:r>
            <w:r>
              <w:rPr>
                <w:spacing w:val="-5"/>
                <w:sz w:val="24"/>
                <w:szCs w:val="24"/>
              </w:rPr>
              <w:t>的坐标（</w:t>
            </w:r>
            <w:r>
              <w:rPr>
                <w:rFonts w:ascii="Times New Roman" w:hAnsi="Times New Roman" w:eastAsia="Times New Roman" w:cs="Times New Roman"/>
                <w:i/>
                <w:iCs/>
                <w:spacing w:val="-5"/>
                <w:sz w:val="24"/>
                <w:szCs w:val="24"/>
              </w:rPr>
              <w:t>i</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34"/>
                <w:sz w:val="24"/>
                <w:szCs w:val="24"/>
              </w:rPr>
              <w:t xml:space="preserve"> </w:t>
            </w:r>
            <w:r>
              <w:rPr>
                <w:spacing w:val="-5"/>
                <w:sz w:val="24"/>
                <w:szCs w:val="24"/>
              </w:rPr>
              <w:t>、</w:t>
            </w:r>
            <w:r>
              <w:rPr>
                <w:rFonts w:ascii="Times New Roman" w:hAnsi="Times New Roman" w:eastAsia="Times New Roman" w:cs="Times New Roman"/>
                <w:spacing w:val="-5"/>
                <w:sz w:val="24"/>
                <w:szCs w:val="24"/>
              </w:rPr>
              <w:t>2</w:t>
            </w:r>
            <w:r>
              <w:rPr>
                <w:rFonts w:ascii="Times New Roman" w:hAnsi="Times New Roman" w:eastAsia="Times New Roman" w:cs="Times New Roman"/>
                <w:spacing w:val="-34"/>
                <w:sz w:val="24"/>
                <w:szCs w:val="24"/>
              </w:rPr>
              <w:t xml:space="preserve"> </w:t>
            </w:r>
            <w:r>
              <w:rPr>
                <w:spacing w:val="-5"/>
                <w:sz w:val="24"/>
                <w:szCs w:val="24"/>
              </w:rPr>
              <w:t>、</w:t>
            </w:r>
            <w:r>
              <w:rPr>
                <w:spacing w:val="-93"/>
                <w:sz w:val="24"/>
                <w:szCs w:val="24"/>
              </w:rPr>
              <w:t xml:space="preserve"> </w:t>
            </w:r>
            <w:r>
              <w:rPr>
                <w:spacing w:val="93"/>
                <w:sz w:val="24"/>
                <w:szCs w:val="24"/>
                <w:u w:val="dotted" w:color="auto"/>
              </w:rPr>
              <w:t xml:space="preserve"> </w:t>
            </w:r>
            <w:r>
              <w:rPr>
                <w:spacing w:val="-118"/>
                <w:sz w:val="24"/>
                <w:szCs w:val="24"/>
              </w:rPr>
              <w:t xml:space="preserve"> </w:t>
            </w:r>
            <w:r>
              <w:rPr>
                <w:rFonts w:ascii="Times New Roman" w:hAnsi="Times New Roman" w:eastAsia="Times New Roman" w:cs="Times New Roman"/>
                <w:spacing w:val="-5"/>
                <w:sz w:val="24"/>
                <w:szCs w:val="24"/>
              </w:rPr>
              <w:t>m</w:t>
            </w:r>
            <w:r>
              <w:rPr>
                <w:spacing w:val="-39"/>
                <w:sz w:val="24"/>
                <w:szCs w:val="24"/>
              </w:rPr>
              <w:t>）；</w:t>
            </w:r>
          </w:p>
          <w:p w14:paraId="6C8147F4">
            <w:pPr>
              <w:pStyle w:val="6"/>
              <w:spacing w:before="190" w:line="233" w:lineRule="auto"/>
              <w:ind w:left="709"/>
              <w:rPr>
                <w:sz w:val="24"/>
                <w:szCs w:val="24"/>
              </w:rPr>
            </w:pPr>
            <w:r>
              <w:rPr>
                <w:rFonts w:ascii="Times New Roman" w:hAnsi="Times New Roman" w:eastAsia="Times New Roman" w:cs="Times New Roman"/>
                <w:i/>
                <w:iCs/>
                <w:spacing w:val="-7"/>
                <w:sz w:val="24"/>
                <w:szCs w:val="24"/>
              </w:rPr>
              <w:t>m</w:t>
            </w:r>
            <w:r>
              <w:rPr>
                <w:rFonts w:ascii="Times New Roman" w:hAnsi="Times New Roman" w:eastAsia="Times New Roman" w:cs="Times New Roman"/>
                <w:spacing w:val="-7"/>
                <w:sz w:val="24"/>
                <w:szCs w:val="24"/>
              </w:rPr>
              <w:t>——</w:t>
            </w:r>
            <w:r>
              <w:rPr>
                <w:spacing w:val="-7"/>
                <w:sz w:val="24"/>
                <w:szCs w:val="24"/>
              </w:rPr>
              <w:t>导线数目；</w:t>
            </w:r>
          </w:p>
          <w:p w14:paraId="29F691AA">
            <w:pPr>
              <w:pStyle w:val="6"/>
              <w:spacing w:before="164" w:line="192" w:lineRule="auto"/>
              <w:ind w:left="698"/>
              <w:rPr>
                <w:sz w:val="24"/>
                <w:szCs w:val="24"/>
              </w:rPr>
            </w:pPr>
            <w:r>
              <w:rPr>
                <w:rFonts w:ascii="Times New Roman" w:hAnsi="Times New Roman" w:eastAsia="Times New Roman" w:cs="Times New Roman"/>
                <w:i/>
                <w:iCs/>
                <w:spacing w:val="4"/>
                <w:sz w:val="24"/>
                <w:szCs w:val="24"/>
              </w:rPr>
              <w:t>L</w:t>
            </w:r>
            <w:r>
              <w:rPr>
                <w:rFonts w:ascii="Times New Roman" w:hAnsi="Times New Roman" w:eastAsia="Times New Roman" w:cs="Times New Roman"/>
                <w:i/>
                <w:iCs/>
                <w:spacing w:val="4"/>
                <w:position w:val="-1"/>
                <w:sz w:val="16"/>
                <w:szCs w:val="16"/>
              </w:rPr>
              <w:t>i</w:t>
            </w:r>
            <w:r>
              <w:rPr>
                <w:rFonts w:ascii="Times New Roman" w:hAnsi="Times New Roman" w:eastAsia="Times New Roman" w:cs="Times New Roman"/>
                <w:i/>
                <w:iCs/>
                <w:spacing w:val="-12"/>
                <w:position w:val="-1"/>
                <w:sz w:val="16"/>
                <w:szCs w:val="16"/>
              </w:rPr>
              <w:t xml:space="preserve"> </w:t>
            </w:r>
            <w:r>
              <w:rPr>
                <w:spacing w:val="-2"/>
                <w:sz w:val="24"/>
                <w:szCs w:val="24"/>
              </w:rPr>
              <w:t>、</w:t>
            </w:r>
            <w:r>
              <w:rPr>
                <w:rFonts w:ascii="Times New Roman" w:hAnsi="Times New Roman" w:eastAsia="Times New Roman" w:cs="Times New Roman"/>
                <w:i/>
                <w:iCs/>
                <w:spacing w:val="-2"/>
                <w:sz w:val="24"/>
                <w:szCs w:val="24"/>
              </w:rPr>
              <w:t>L</w:t>
            </w:r>
            <w:r>
              <w:rPr>
                <w:rFonts w:ascii="Times New Roman" w:hAnsi="Times New Roman" w:eastAsia="Times New Roman" w:cs="Times New Roman"/>
                <w:i/>
                <w:iCs/>
                <w:spacing w:val="-40"/>
                <w:sz w:val="24"/>
                <w:szCs w:val="24"/>
              </w:rPr>
              <w:t xml:space="preserve"> </w:t>
            </w:r>
            <w:r>
              <w:rPr>
                <w:rFonts w:ascii="Times New Roman" w:hAnsi="Times New Roman" w:eastAsia="Times New Roman" w:cs="Times New Roman"/>
                <w:i/>
                <w:iCs/>
                <w:spacing w:val="-2"/>
                <w:position w:val="9"/>
                <w:sz w:val="16"/>
                <w:szCs w:val="16"/>
              </w:rPr>
              <w:t>′</w:t>
            </w:r>
            <w:r>
              <w:rPr>
                <w:rFonts w:ascii="Times New Roman" w:hAnsi="Times New Roman" w:eastAsia="Times New Roman" w:cs="Times New Roman"/>
                <w:i/>
                <w:iCs/>
                <w:spacing w:val="-2"/>
                <w:position w:val="-1"/>
                <w:sz w:val="16"/>
                <w:szCs w:val="16"/>
              </w:rPr>
              <w:t>i</w:t>
            </w:r>
            <w:r>
              <w:rPr>
                <w:rFonts w:ascii="Times New Roman" w:hAnsi="Times New Roman" w:eastAsia="Times New Roman" w:cs="Times New Roman"/>
                <w:spacing w:val="-2"/>
                <w:sz w:val="24"/>
                <w:szCs w:val="24"/>
              </w:rPr>
              <w:t>——</w:t>
            </w:r>
            <w:r>
              <w:rPr>
                <w:spacing w:val="-2"/>
                <w:sz w:val="24"/>
                <w:szCs w:val="24"/>
              </w:rPr>
              <w:t>分别为导线</w:t>
            </w:r>
            <w:r>
              <w:rPr>
                <w:spacing w:val="-53"/>
                <w:sz w:val="24"/>
                <w:szCs w:val="24"/>
              </w:rPr>
              <w:t xml:space="preserve"> </w:t>
            </w:r>
            <w:r>
              <w:rPr>
                <w:rFonts w:ascii="Times New Roman" w:hAnsi="Times New Roman" w:eastAsia="Times New Roman" w:cs="Times New Roman"/>
                <w:i/>
                <w:iCs/>
                <w:spacing w:val="-2"/>
                <w:sz w:val="24"/>
                <w:szCs w:val="24"/>
              </w:rPr>
              <w:t xml:space="preserve">i </w:t>
            </w:r>
            <w:r>
              <w:rPr>
                <w:spacing w:val="-2"/>
                <w:sz w:val="24"/>
                <w:szCs w:val="24"/>
              </w:rPr>
              <w:t>及镜像至计算点的距离</w:t>
            </w:r>
            <w:r>
              <w:rPr>
                <w:spacing w:val="-3"/>
                <w:sz w:val="24"/>
                <w:szCs w:val="24"/>
              </w:rPr>
              <w:t>，</w:t>
            </w:r>
            <w:r>
              <w:rPr>
                <w:rFonts w:ascii="Times New Roman" w:hAnsi="Times New Roman" w:eastAsia="Times New Roman" w:cs="Times New Roman"/>
                <w:spacing w:val="-3"/>
                <w:sz w:val="24"/>
                <w:szCs w:val="24"/>
              </w:rPr>
              <w:t>m</w:t>
            </w:r>
            <w:r>
              <w:rPr>
                <w:spacing w:val="-3"/>
                <w:sz w:val="24"/>
                <w:szCs w:val="24"/>
              </w:rPr>
              <w:t>。</w:t>
            </w:r>
          </w:p>
        </w:tc>
        <w:tc>
          <w:tcPr>
            <w:tcW w:w="1446" w:type="dxa"/>
            <w:vAlign w:val="top"/>
          </w:tcPr>
          <w:p w14:paraId="06062CD0">
            <w:pPr>
              <w:rPr>
                <w:rFonts w:ascii="Arial"/>
                <w:sz w:val="21"/>
              </w:rPr>
            </w:pPr>
          </w:p>
        </w:tc>
        <w:tc>
          <w:tcPr>
            <w:tcW w:w="674" w:type="dxa"/>
            <w:vAlign w:val="top"/>
          </w:tcPr>
          <w:p w14:paraId="016C7068">
            <w:pPr>
              <w:rPr>
                <w:rFonts w:ascii="Arial"/>
                <w:sz w:val="21"/>
              </w:rPr>
            </w:pPr>
          </w:p>
        </w:tc>
      </w:tr>
    </w:tbl>
    <w:p w14:paraId="11E6B334">
      <w:pPr>
        <w:rPr>
          <w:rFonts w:ascii="Arial"/>
          <w:sz w:val="21"/>
        </w:rPr>
      </w:pPr>
    </w:p>
    <w:p w14:paraId="649184B1">
      <w:pPr>
        <w:rPr>
          <w:rFonts w:ascii="Arial" w:hAnsi="Arial" w:eastAsia="Arial" w:cs="Arial"/>
          <w:sz w:val="21"/>
          <w:szCs w:val="21"/>
        </w:rPr>
        <w:sectPr>
          <w:footerReference r:id="rId99" w:type="default"/>
          <w:pgSz w:w="11907" w:h="16841"/>
          <w:pgMar w:top="400" w:right="1345" w:bottom="1126" w:left="1428" w:header="0" w:footer="925" w:gutter="0"/>
          <w:cols w:space="720" w:num="1"/>
        </w:sectPr>
      </w:pPr>
    </w:p>
    <w:p w14:paraId="607BAE41">
      <w:pPr>
        <w:spacing w:line="249" w:lineRule="auto"/>
        <w:rPr>
          <w:rFonts w:ascii="Arial"/>
          <w:sz w:val="21"/>
        </w:rPr>
      </w:pPr>
    </w:p>
    <w:p w14:paraId="7AF7021F">
      <w:pPr>
        <w:spacing w:line="249" w:lineRule="auto"/>
        <w:rPr>
          <w:rFonts w:ascii="Arial"/>
          <w:sz w:val="21"/>
        </w:rPr>
      </w:pPr>
    </w:p>
    <w:p w14:paraId="3683BD66">
      <w:pPr>
        <w:spacing w:line="249" w:lineRule="auto"/>
        <w:rPr>
          <w:rFonts w:ascii="Arial"/>
          <w:sz w:val="21"/>
        </w:rPr>
      </w:pPr>
    </w:p>
    <w:p w14:paraId="647B87A3">
      <w:pPr>
        <w:spacing w:line="249" w:lineRule="auto"/>
        <w:rPr>
          <w:rFonts w:ascii="Arial"/>
          <w:sz w:val="21"/>
        </w:rPr>
      </w:pPr>
    </w:p>
    <w:p w14:paraId="3C69FA62">
      <w:pPr>
        <w:spacing w:line="250" w:lineRule="auto"/>
        <w:rPr>
          <w:rFonts w:ascii="Arial"/>
          <w:sz w:val="21"/>
        </w:rPr>
      </w:pPr>
    </w:p>
    <w:p w14:paraId="6E15E7CE">
      <w:pPr>
        <w:spacing w:before="78" w:line="340" w:lineRule="auto"/>
        <w:ind w:left="21" w:right="67" w:firstLine="459"/>
        <w:rPr>
          <w:rFonts w:ascii="宋体" w:hAnsi="宋体" w:eastAsia="宋体" w:cs="宋体"/>
          <w:sz w:val="24"/>
          <w:szCs w:val="24"/>
        </w:rPr>
      </w:pPr>
      <w:r>
        <w:rPr>
          <w:rFonts w:ascii="宋体" w:hAnsi="宋体" w:eastAsia="宋体" w:cs="宋体"/>
          <w:spacing w:val="-4"/>
          <w:sz w:val="24"/>
          <w:szCs w:val="24"/>
        </w:rPr>
        <w:t>对于三相交流线路，可根据式（</w:t>
      </w:r>
      <w:r>
        <w:rPr>
          <w:rFonts w:ascii="Times New Roman" w:hAnsi="Times New Roman" w:eastAsia="Times New Roman" w:cs="Times New Roman"/>
          <w:spacing w:val="-4"/>
          <w:sz w:val="24"/>
          <w:szCs w:val="24"/>
        </w:rPr>
        <w:t>C8</w:t>
      </w:r>
      <w:r>
        <w:rPr>
          <w:rFonts w:ascii="宋体" w:hAnsi="宋体" w:eastAsia="宋体" w:cs="宋体"/>
          <w:spacing w:val="-4"/>
          <w:sz w:val="24"/>
          <w:szCs w:val="24"/>
        </w:rPr>
        <w:t>）和（</w:t>
      </w:r>
      <w:r>
        <w:rPr>
          <w:rFonts w:ascii="Times New Roman" w:hAnsi="Times New Roman" w:eastAsia="Times New Roman" w:cs="Times New Roman"/>
          <w:spacing w:val="-4"/>
          <w:sz w:val="24"/>
          <w:szCs w:val="24"/>
        </w:rPr>
        <w:t>C9</w:t>
      </w:r>
      <w:r>
        <w:rPr>
          <w:rFonts w:ascii="宋体" w:hAnsi="宋体" w:eastAsia="宋体" w:cs="宋体"/>
          <w:spacing w:val="-4"/>
          <w:sz w:val="24"/>
          <w:szCs w:val="24"/>
        </w:rPr>
        <w:t>）求得的电荷计算空间任一点电场强度</w:t>
      </w:r>
      <w:r>
        <w:rPr>
          <w:rFonts w:ascii="宋体" w:hAnsi="宋体" w:eastAsia="宋体" w:cs="宋体"/>
          <w:spacing w:val="-8"/>
          <w:sz w:val="24"/>
          <w:szCs w:val="24"/>
        </w:rPr>
        <w:t>的水平和垂直分量为：</w:t>
      </w:r>
    </w:p>
    <w:p w14:paraId="3931EDDF">
      <w:pPr>
        <w:spacing w:line="835" w:lineRule="exact"/>
        <w:ind w:left="3278"/>
      </w:pPr>
      <w:r>
        <w:rPr>
          <w:position w:val="-17"/>
        </w:rPr>
        <w:drawing>
          <wp:inline distT="0" distB="0" distL="0" distR="0">
            <wp:extent cx="1578610" cy="53022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229"/>
                    <a:stretch>
                      <a:fillRect/>
                    </a:stretch>
                  </pic:blipFill>
                  <pic:spPr>
                    <a:xfrm>
                      <a:off x="0" y="0"/>
                      <a:ext cx="1578814" cy="530351"/>
                    </a:xfrm>
                    <a:prstGeom prst="rect">
                      <a:avLst/>
                    </a:prstGeom>
                  </pic:spPr>
                </pic:pic>
              </a:graphicData>
            </a:graphic>
          </wp:inline>
        </w:drawing>
      </w:r>
    </w:p>
    <w:p w14:paraId="5548BF6D">
      <w:pPr>
        <w:spacing w:before="152" w:line="292" w:lineRule="exact"/>
        <w:ind w:left="3610"/>
      </w:pPr>
      <w:r>
        <w:rPr>
          <w:position w:val="-6"/>
        </w:rPr>
        <w:drawing>
          <wp:inline distT="0" distB="0" distL="0" distR="0">
            <wp:extent cx="2124710" cy="18478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230"/>
                    <a:stretch>
                      <a:fillRect/>
                    </a:stretch>
                  </pic:blipFill>
                  <pic:spPr>
                    <a:xfrm>
                      <a:off x="0" y="0"/>
                      <a:ext cx="2125243" cy="185412"/>
                    </a:xfrm>
                    <a:prstGeom prst="rect">
                      <a:avLst/>
                    </a:prstGeom>
                  </pic:spPr>
                </pic:pic>
              </a:graphicData>
            </a:graphic>
          </wp:inline>
        </w:drawing>
      </w:r>
    </w:p>
    <w:p w14:paraId="21D6629C">
      <w:pPr>
        <w:spacing w:before="124" w:line="835" w:lineRule="exact"/>
        <w:ind w:left="3269"/>
      </w:pPr>
      <w:r>
        <w:rPr>
          <w:position w:val="-17"/>
        </w:rPr>
        <w:drawing>
          <wp:inline distT="0" distB="0" distL="0" distR="0">
            <wp:extent cx="1590675" cy="53022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231"/>
                    <a:stretch>
                      <a:fillRect/>
                    </a:stretch>
                  </pic:blipFill>
                  <pic:spPr>
                    <a:xfrm>
                      <a:off x="0" y="0"/>
                      <a:ext cx="1590979" cy="530352"/>
                    </a:xfrm>
                    <a:prstGeom prst="rect">
                      <a:avLst/>
                    </a:prstGeom>
                  </pic:spPr>
                </pic:pic>
              </a:graphicData>
            </a:graphic>
          </wp:inline>
        </w:drawing>
      </w:r>
    </w:p>
    <w:p w14:paraId="0410F90E">
      <w:pPr>
        <w:spacing w:before="224" w:line="291" w:lineRule="exact"/>
        <w:ind w:left="3610"/>
      </w:pPr>
      <w:r>
        <w:rPr>
          <w:position w:val="-6"/>
        </w:rPr>
        <w:drawing>
          <wp:inline distT="0" distB="0" distL="0" distR="0">
            <wp:extent cx="2134235" cy="18478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232"/>
                    <a:stretch>
                      <a:fillRect/>
                    </a:stretch>
                  </pic:blipFill>
                  <pic:spPr>
                    <a:xfrm>
                      <a:off x="0" y="0"/>
                      <a:ext cx="2134387" cy="185412"/>
                    </a:xfrm>
                    <a:prstGeom prst="rect">
                      <a:avLst/>
                    </a:prstGeom>
                  </pic:spPr>
                </pic:pic>
              </a:graphicData>
            </a:graphic>
          </wp:inline>
        </w:drawing>
      </w:r>
    </w:p>
    <w:p w14:paraId="534C5288">
      <w:pPr>
        <w:spacing w:before="260" w:line="220" w:lineRule="auto"/>
        <w:ind w:left="486"/>
        <w:rPr>
          <w:rFonts w:ascii="宋体" w:hAnsi="宋体" w:eastAsia="宋体" w:cs="宋体"/>
          <w:sz w:val="24"/>
          <w:szCs w:val="24"/>
        </w:rPr>
      </w:pPr>
      <w:r>
        <w:rPr>
          <w:rFonts w:ascii="宋体" w:hAnsi="宋体" w:eastAsia="宋体" w:cs="宋体"/>
          <w:spacing w:val="-2"/>
          <w:sz w:val="24"/>
          <w:szCs w:val="24"/>
        </w:rPr>
        <w:t>式中：</w:t>
      </w:r>
      <w:r>
        <w:rPr>
          <w:rFonts w:ascii="Times New Roman" w:hAnsi="Times New Roman" w:eastAsia="Times New Roman" w:cs="Times New Roman"/>
          <w:i/>
          <w:iCs/>
          <w:spacing w:val="-2"/>
          <w:sz w:val="24"/>
          <w:szCs w:val="24"/>
        </w:rPr>
        <w:t>E</w:t>
      </w:r>
      <w:r>
        <w:rPr>
          <w:rFonts w:ascii="Times New Roman" w:hAnsi="Times New Roman" w:eastAsia="Times New Roman" w:cs="Times New Roman"/>
          <w:i/>
          <w:iCs/>
          <w:spacing w:val="-2"/>
          <w:position w:val="-1"/>
          <w:sz w:val="16"/>
          <w:szCs w:val="16"/>
        </w:rPr>
        <w:t>xR</w:t>
      </w:r>
      <w:r>
        <w:rPr>
          <w:rFonts w:ascii="Times New Roman" w:hAnsi="Times New Roman" w:eastAsia="Times New Roman" w:cs="Times New Roman"/>
          <w:spacing w:val="-2"/>
          <w:sz w:val="24"/>
          <w:szCs w:val="24"/>
        </w:rPr>
        <w:t>——</w:t>
      </w:r>
      <w:r>
        <w:rPr>
          <w:rFonts w:ascii="宋体" w:hAnsi="宋体" w:eastAsia="宋体" w:cs="宋体"/>
          <w:spacing w:val="-2"/>
          <w:sz w:val="24"/>
          <w:szCs w:val="24"/>
        </w:rPr>
        <w:t>由各导线的实部电荷在该点产</w:t>
      </w:r>
      <w:r>
        <w:rPr>
          <w:rFonts w:ascii="宋体" w:hAnsi="宋体" w:eastAsia="宋体" w:cs="宋体"/>
          <w:spacing w:val="-3"/>
          <w:sz w:val="24"/>
          <w:szCs w:val="24"/>
        </w:rPr>
        <w:t>生场强的水平分量；</w:t>
      </w:r>
    </w:p>
    <w:p w14:paraId="115D1290">
      <w:pPr>
        <w:spacing w:before="182" w:line="235" w:lineRule="auto"/>
        <w:ind w:left="1187"/>
        <w:rPr>
          <w:rFonts w:ascii="宋体" w:hAnsi="宋体" w:eastAsia="宋体" w:cs="宋体"/>
          <w:sz w:val="24"/>
          <w:szCs w:val="24"/>
        </w:rPr>
      </w:pPr>
      <w:r>
        <w:rPr>
          <w:rFonts w:ascii="Times New Roman" w:hAnsi="Times New Roman" w:eastAsia="Times New Roman" w:cs="Times New Roman"/>
          <w:i/>
          <w:iCs/>
          <w:spacing w:val="-2"/>
          <w:sz w:val="24"/>
          <w:szCs w:val="24"/>
        </w:rPr>
        <w:t>E</w:t>
      </w:r>
      <w:r>
        <w:rPr>
          <w:rFonts w:ascii="Times New Roman" w:hAnsi="Times New Roman" w:eastAsia="Times New Roman" w:cs="Times New Roman"/>
          <w:i/>
          <w:iCs/>
          <w:spacing w:val="-2"/>
          <w:position w:val="-1"/>
          <w:sz w:val="16"/>
          <w:szCs w:val="16"/>
        </w:rPr>
        <w:t>xI</w:t>
      </w:r>
      <w:r>
        <w:rPr>
          <w:rFonts w:ascii="Times New Roman" w:hAnsi="Times New Roman" w:eastAsia="Times New Roman" w:cs="Times New Roman"/>
          <w:spacing w:val="-2"/>
          <w:sz w:val="24"/>
          <w:szCs w:val="24"/>
        </w:rPr>
        <w:t>——</w:t>
      </w:r>
      <w:r>
        <w:rPr>
          <w:rFonts w:ascii="宋体" w:hAnsi="宋体" w:eastAsia="宋体" w:cs="宋体"/>
          <w:spacing w:val="-2"/>
          <w:sz w:val="24"/>
          <w:szCs w:val="24"/>
        </w:rPr>
        <w:t>由各导线的虚部电荷在该点产生场强的水平分量；</w:t>
      </w:r>
    </w:p>
    <w:p w14:paraId="3849B0CF">
      <w:pPr>
        <w:spacing w:before="164" w:line="219" w:lineRule="auto"/>
        <w:ind w:left="1187"/>
        <w:rPr>
          <w:rFonts w:ascii="宋体" w:hAnsi="宋体" w:eastAsia="宋体" w:cs="宋体"/>
          <w:sz w:val="24"/>
          <w:szCs w:val="24"/>
        </w:rPr>
      </w:pPr>
      <w:r>
        <w:rPr>
          <w:rFonts w:ascii="Times New Roman" w:hAnsi="Times New Roman" w:eastAsia="Times New Roman" w:cs="Times New Roman"/>
          <w:i/>
          <w:iCs/>
          <w:spacing w:val="-2"/>
          <w:sz w:val="24"/>
          <w:szCs w:val="24"/>
        </w:rPr>
        <w:t>E</w:t>
      </w:r>
      <w:r>
        <w:rPr>
          <w:rFonts w:ascii="Times New Roman" w:hAnsi="Times New Roman" w:eastAsia="Times New Roman" w:cs="Times New Roman"/>
          <w:i/>
          <w:iCs/>
          <w:spacing w:val="-2"/>
          <w:position w:val="-1"/>
          <w:sz w:val="16"/>
          <w:szCs w:val="16"/>
        </w:rPr>
        <w:t>yR</w:t>
      </w:r>
      <w:r>
        <w:rPr>
          <w:rFonts w:ascii="Times New Roman" w:hAnsi="Times New Roman" w:eastAsia="Times New Roman" w:cs="Times New Roman"/>
          <w:spacing w:val="-2"/>
          <w:sz w:val="24"/>
          <w:szCs w:val="24"/>
        </w:rPr>
        <w:t>——</w:t>
      </w:r>
      <w:r>
        <w:rPr>
          <w:rFonts w:ascii="宋体" w:hAnsi="宋体" w:eastAsia="宋体" w:cs="宋体"/>
          <w:spacing w:val="-2"/>
          <w:sz w:val="24"/>
          <w:szCs w:val="24"/>
        </w:rPr>
        <w:t>由各导线的实部电荷在该点产生场强的垂直分量；</w:t>
      </w:r>
    </w:p>
    <w:p w14:paraId="242DD920">
      <w:pPr>
        <w:spacing w:before="183" w:line="219" w:lineRule="auto"/>
        <w:ind w:left="1187"/>
        <w:rPr>
          <w:rFonts w:ascii="宋体" w:hAnsi="宋体" w:eastAsia="宋体" w:cs="宋体"/>
          <w:sz w:val="24"/>
          <w:szCs w:val="24"/>
        </w:rPr>
      </w:pPr>
      <w:r>
        <w:rPr>
          <w:rFonts w:ascii="Times New Roman" w:hAnsi="Times New Roman" w:eastAsia="Times New Roman" w:cs="Times New Roman"/>
          <w:i/>
          <w:iCs/>
          <w:spacing w:val="-1"/>
          <w:sz w:val="24"/>
          <w:szCs w:val="24"/>
        </w:rPr>
        <w:t>E</w:t>
      </w:r>
      <w:r>
        <w:rPr>
          <w:rFonts w:ascii="Times New Roman" w:hAnsi="Times New Roman" w:eastAsia="Times New Roman" w:cs="Times New Roman"/>
          <w:i/>
          <w:iCs/>
          <w:spacing w:val="-1"/>
          <w:position w:val="-1"/>
          <w:sz w:val="16"/>
          <w:szCs w:val="16"/>
        </w:rPr>
        <w:t>yI</w:t>
      </w:r>
      <w:r>
        <w:rPr>
          <w:rFonts w:ascii="Times New Roman" w:hAnsi="Times New Roman" w:eastAsia="Times New Roman" w:cs="Times New Roman"/>
          <w:spacing w:val="-1"/>
          <w:sz w:val="24"/>
          <w:szCs w:val="24"/>
        </w:rPr>
        <w:t>——</w:t>
      </w:r>
      <w:r>
        <w:rPr>
          <w:rFonts w:ascii="宋体" w:hAnsi="宋体" w:eastAsia="宋体" w:cs="宋体"/>
          <w:spacing w:val="-1"/>
          <w:sz w:val="24"/>
          <w:szCs w:val="24"/>
        </w:rPr>
        <w:t>由各导线的虚部电荷在该点产生场强的垂直分</w:t>
      </w:r>
      <w:r>
        <w:rPr>
          <w:rFonts w:ascii="宋体" w:hAnsi="宋体" w:eastAsia="宋体" w:cs="宋体"/>
          <w:spacing w:val="-2"/>
          <w:sz w:val="24"/>
          <w:szCs w:val="24"/>
        </w:rPr>
        <w:t>量。</w:t>
      </w:r>
    </w:p>
    <w:p w14:paraId="6A39D98C">
      <w:pPr>
        <w:spacing w:before="183" w:line="220" w:lineRule="auto"/>
        <w:ind w:left="485"/>
        <w:rPr>
          <w:rFonts w:ascii="宋体" w:hAnsi="宋体" w:eastAsia="宋体" w:cs="宋体"/>
          <w:sz w:val="24"/>
          <w:szCs w:val="24"/>
        </w:rPr>
      </w:pPr>
      <w:r>
        <w:rPr>
          <w:rFonts w:ascii="宋体" w:hAnsi="宋体" w:eastAsia="宋体" w:cs="宋体"/>
          <w:spacing w:val="-5"/>
          <w:sz w:val="24"/>
          <w:szCs w:val="24"/>
        </w:rPr>
        <w:t>该点的合成的电场强度则为：</w:t>
      </w:r>
    </w:p>
    <w:p w14:paraId="1E29A2AD">
      <w:pPr>
        <w:spacing w:line="244" w:lineRule="auto"/>
        <w:rPr>
          <w:rFonts w:ascii="Arial"/>
          <w:sz w:val="21"/>
        </w:rPr>
      </w:pPr>
    </w:p>
    <w:p w14:paraId="479A6E0F">
      <w:pPr>
        <w:spacing w:line="302" w:lineRule="exact"/>
        <w:ind w:left="2750"/>
      </w:pPr>
      <w:r>
        <w:rPr>
          <w:position w:val="-6"/>
        </w:rPr>
        <w:drawing>
          <wp:inline distT="0" distB="0" distL="0" distR="0">
            <wp:extent cx="2260600" cy="191770"/>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233"/>
                    <a:stretch>
                      <a:fillRect/>
                    </a:stretch>
                  </pic:blipFill>
                  <pic:spPr>
                    <a:xfrm>
                      <a:off x="0" y="0"/>
                      <a:ext cx="2260651" cy="192118"/>
                    </a:xfrm>
                    <a:prstGeom prst="rect">
                      <a:avLst/>
                    </a:prstGeom>
                  </pic:spPr>
                </pic:pic>
              </a:graphicData>
            </a:graphic>
          </wp:inline>
        </w:drawing>
      </w:r>
    </w:p>
    <w:p w14:paraId="714EAC1F">
      <w:pPr>
        <w:spacing w:line="327" w:lineRule="auto"/>
        <w:rPr>
          <w:rFonts w:ascii="Arial"/>
          <w:sz w:val="21"/>
        </w:rPr>
      </w:pPr>
    </w:p>
    <w:p w14:paraId="38FEEC14">
      <w:pPr>
        <w:spacing w:before="1" w:line="292" w:lineRule="exact"/>
        <w:ind w:left="3010"/>
      </w:pPr>
      <w:r>
        <w:rPr>
          <w:position w:val="-6"/>
        </w:rPr>
        <w:drawing>
          <wp:inline distT="0" distB="0" distL="0" distR="0">
            <wp:extent cx="1960245" cy="18478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234"/>
                    <a:stretch>
                      <a:fillRect/>
                    </a:stretch>
                  </pic:blipFill>
                  <pic:spPr>
                    <a:xfrm>
                      <a:off x="0" y="0"/>
                      <a:ext cx="1960270" cy="185413"/>
                    </a:xfrm>
                    <a:prstGeom prst="rect">
                      <a:avLst/>
                    </a:prstGeom>
                  </pic:spPr>
                </pic:pic>
              </a:graphicData>
            </a:graphic>
          </wp:inline>
        </w:drawing>
      </w:r>
    </w:p>
    <w:p w14:paraId="5A7D080B">
      <w:pPr>
        <w:spacing w:before="261" w:line="220" w:lineRule="auto"/>
        <w:ind w:left="486"/>
        <w:rPr>
          <w:rFonts w:ascii="宋体" w:hAnsi="宋体" w:eastAsia="宋体" w:cs="宋体"/>
          <w:sz w:val="24"/>
          <w:szCs w:val="24"/>
        </w:rPr>
      </w:pPr>
      <w:r>
        <w:rPr>
          <w:rFonts w:ascii="宋体" w:hAnsi="宋体" w:eastAsia="宋体" w:cs="宋体"/>
          <w:spacing w:val="-16"/>
          <w:sz w:val="24"/>
          <w:szCs w:val="24"/>
        </w:rPr>
        <w:t>式中：</w:t>
      </w:r>
    </w:p>
    <w:p w14:paraId="6813FE58">
      <w:pPr>
        <w:spacing w:line="247" w:lineRule="auto"/>
        <w:rPr>
          <w:rFonts w:ascii="Arial"/>
          <w:sz w:val="21"/>
        </w:rPr>
      </w:pPr>
    </w:p>
    <w:p w14:paraId="4CBAE8F8">
      <w:pPr>
        <w:spacing w:line="1046" w:lineRule="exact"/>
        <w:ind w:left="2567"/>
      </w:pPr>
      <w:r>
        <w:rPr>
          <w:position w:val="-21"/>
        </w:rPr>
        <w:drawing>
          <wp:inline distT="0" distB="0" distL="0" distR="0">
            <wp:extent cx="2407920" cy="66357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235"/>
                    <a:stretch>
                      <a:fillRect/>
                    </a:stretch>
                  </pic:blipFill>
                  <pic:spPr>
                    <a:xfrm>
                      <a:off x="0" y="0"/>
                      <a:ext cx="2407945" cy="663701"/>
                    </a:xfrm>
                    <a:prstGeom prst="rect">
                      <a:avLst/>
                    </a:prstGeom>
                  </pic:spPr>
                </pic:pic>
              </a:graphicData>
            </a:graphic>
          </wp:inline>
        </w:drawing>
      </w:r>
    </w:p>
    <w:p w14:paraId="21A8FE84">
      <w:pPr>
        <w:spacing w:before="134" w:line="233" w:lineRule="auto"/>
        <w:ind w:left="477"/>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）高压交流架空输电线路下空间工频磁场强度的计算（附录</w:t>
      </w:r>
      <w:r>
        <w:rPr>
          <w:rFonts w:ascii="宋体" w:hAnsi="宋体" w:eastAsia="宋体" w:cs="宋体"/>
          <w:spacing w:val="-36"/>
          <w:sz w:val="24"/>
          <w:szCs w:val="24"/>
        </w:rPr>
        <w:t xml:space="preserve"> </w:t>
      </w:r>
      <w:r>
        <w:rPr>
          <w:rFonts w:ascii="Times New Roman" w:hAnsi="Times New Roman" w:eastAsia="Times New Roman" w:cs="Times New Roman"/>
          <w:spacing w:val="-1"/>
          <w:sz w:val="24"/>
          <w:szCs w:val="24"/>
        </w:rPr>
        <w:t>D</w:t>
      </w:r>
      <w:r>
        <w:rPr>
          <w:rFonts w:ascii="宋体" w:hAnsi="宋体" w:eastAsia="宋体" w:cs="宋体"/>
          <w:spacing w:val="-1"/>
          <w:sz w:val="24"/>
          <w:szCs w:val="24"/>
        </w:rPr>
        <w:t>）</w:t>
      </w:r>
    </w:p>
    <w:p w14:paraId="2961FAF3">
      <w:pPr>
        <w:spacing w:before="166" w:line="360" w:lineRule="auto"/>
        <w:ind w:firstLine="510"/>
        <w:rPr>
          <w:rFonts w:ascii="宋体" w:hAnsi="宋体" w:eastAsia="宋体" w:cs="宋体"/>
          <w:sz w:val="24"/>
          <w:szCs w:val="24"/>
        </w:rPr>
      </w:pPr>
      <w:r>
        <w:rPr>
          <w:rFonts w:ascii="宋体" w:hAnsi="宋体" w:eastAsia="宋体" w:cs="宋体"/>
          <w:spacing w:val="-7"/>
          <w:sz w:val="24"/>
          <w:szCs w:val="24"/>
        </w:rPr>
        <w:t>由于工频情况下电磁性能具有静态特征，线路的磁场仅由电流产生。应用安培定</w:t>
      </w:r>
      <w:r>
        <w:rPr>
          <w:rFonts w:ascii="宋体" w:hAnsi="宋体" w:eastAsia="宋体" w:cs="宋体"/>
          <w:spacing w:val="-8"/>
          <w:sz w:val="24"/>
          <w:szCs w:val="24"/>
        </w:rPr>
        <w:t>律，</w:t>
      </w:r>
      <w:r>
        <w:rPr>
          <w:rFonts w:ascii="宋体" w:hAnsi="宋体" w:eastAsia="宋体" w:cs="宋体"/>
          <w:spacing w:val="-2"/>
          <w:sz w:val="24"/>
          <w:szCs w:val="24"/>
        </w:rPr>
        <w:t>将计算结果按矢量叠加，可得出导线周围的磁场强度。</w:t>
      </w:r>
    </w:p>
    <w:p w14:paraId="0C19DE26">
      <w:pPr>
        <w:spacing w:before="1" w:line="325" w:lineRule="auto"/>
        <w:ind w:left="5" w:right="68" w:firstLine="475"/>
        <w:rPr>
          <w:rFonts w:ascii="宋体" w:hAnsi="宋体" w:eastAsia="宋体" w:cs="宋体"/>
          <w:sz w:val="24"/>
          <w:szCs w:val="24"/>
        </w:rPr>
      </w:pPr>
      <w:r>
        <w:rPr>
          <w:rFonts w:ascii="宋体" w:hAnsi="宋体" w:eastAsia="宋体" w:cs="宋体"/>
          <w:spacing w:val="-2"/>
          <w:sz w:val="24"/>
          <w:szCs w:val="24"/>
        </w:rPr>
        <w:t>在一般情况下，可只考虑处于空间的实际导线，忽略它的镜像进行计算，其结果已</w:t>
      </w:r>
      <w:r>
        <w:rPr>
          <w:rFonts w:ascii="宋体" w:hAnsi="宋体" w:eastAsia="宋体" w:cs="宋体"/>
          <w:spacing w:val="-4"/>
          <w:sz w:val="24"/>
          <w:szCs w:val="24"/>
        </w:rPr>
        <w:t>足够符合实际。不考虑导线</w:t>
      </w:r>
      <w:r>
        <w:rPr>
          <w:rFonts w:ascii="宋体" w:hAnsi="宋体" w:eastAsia="宋体" w:cs="宋体"/>
          <w:spacing w:val="-41"/>
          <w:sz w:val="24"/>
          <w:szCs w:val="24"/>
        </w:rPr>
        <w:t xml:space="preserve"> </w:t>
      </w:r>
      <w:r>
        <w:rPr>
          <w:rFonts w:ascii="Times New Roman" w:hAnsi="Times New Roman" w:eastAsia="Times New Roman" w:cs="Times New Roman"/>
          <w:i/>
          <w:iCs/>
          <w:spacing w:val="-4"/>
          <w:sz w:val="24"/>
          <w:szCs w:val="24"/>
        </w:rPr>
        <w:t>i</w:t>
      </w:r>
      <w:r>
        <w:rPr>
          <w:rFonts w:ascii="Times New Roman" w:hAnsi="Times New Roman" w:eastAsia="Times New Roman" w:cs="Times New Roman"/>
          <w:i/>
          <w:iCs/>
          <w:spacing w:val="29"/>
          <w:w w:val="101"/>
          <w:sz w:val="24"/>
          <w:szCs w:val="24"/>
        </w:rPr>
        <w:t xml:space="preserve"> </w:t>
      </w:r>
      <w:r>
        <w:rPr>
          <w:rFonts w:ascii="宋体" w:hAnsi="宋体" w:eastAsia="宋体" w:cs="宋体"/>
          <w:spacing w:val="-4"/>
          <w:sz w:val="24"/>
          <w:szCs w:val="24"/>
        </w:rPr>
        <w:t>的镜像时，可计算其在</w:t>
      </w:r>
      <w:r>
        <w:rPr>
          <w:rFonts w:ascii="宋体" w:hAnsi="宋体" w:eastAsia="宋体" w:cs="宋体"/>
          <w:spacing w:val="-58"/>
          <w:sz w:val="24"/>
          <w:szCs w:val="24"/>
        </w:rPr>
        <w:t xml:space="preserve"> </w:t>
      </w:r>
      <w:r>
        <w:rPr>
          <w:rFonts w:ascii="Times New Roman" w:hAnsi="Times New Roman" w:eastAsia="Times New Roman" w:cs="Times New Roman"/>
          <w:spacing w:val="-4"/>
          <w:sz w:val="24"/>
          <w:szCs w:val="24"/>
        </w:rPr>
        <w:t>A</w:t>
      </w:r>
      <w:r>
        <w:rPr>
          <w:rFonts w:ascii="Times New Roman" w:hAnsi="Times New Roman" w:eastAsia="Times New Roman" w:cs="Times New Roman"/>
          <w:spacing w:val="21"/>
          <w:sz w:val="24"/>
          <w:szCs w:val="24"/>
        </w:rPr>
        <w:t xml:space="preserve"> </w:t>
      </w:r>
      <w:r>
        <w:rPr>
          <w:rFonts w:ascii="宋体" w:hAnsi="宋体" w:eastAsia="宋体" w:cs="宋体"/>
          <w:spacing w:val="-4"/>
          <w:sz w:val="24"/>
          <w:szCs w:val="24"/>
        </w:rPr>
        <w:t>点产生的磁场强度：</w:t>
      </w:r>
    </w:p>
    <w:p w14:paraId="2A323E7C">
      <w:pPr>
        <w:spacing w:line="628" w:lineRule="exact"/>
        <w:ind w:left="3333"/>
      </w:pPr>
      <w:r>
        <w:rPr>
          <w:position w:val="-13"/>
        </w:rPr>
        <w:drawing>
          <wp:inline distT="0" distB="0" distL="0" distR="0">
            <wp:extent cx="1522095" cy="398780"/>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236"/>
                    <a:stretch>
                      <a:fillRect/>
                    </a:stretch>
                  </pic:blipFill>
                  <pic:spPr>
                    <a:xfrm>
                      <a:off x="0" y="0"/>
                      <a:ext cx="1522272" cy="399288"/>
                    </a:xfrm>
                    <a:prstGeom prst="rect">
                      <a:avLst/>
                    </a:prstGeom>
                  </pic:spPr>
                </pic:pic>
              </a:graphicData>
            </a:graphic>
          </wp:inline>
        </w:drawing>
      </w:r>
    </w:p>
    <w:p w14:paraId="0A5EC23D">
      <w:pPr>
        <w:spacing w:before="87" w:line="233" w:lineRule="auto"/>
        <w:ind w:left="486"/>
        <w:rPr>
          <w:rFonts w:ascii="宋体" w:hAnsi="宋体" w:eastAsia="宋体" w:cs="宋体"/>
          <w:sz w:val="24"/>
          <w:szCs w:val="24"/>
        </w:rPr>
      </w:pPr>
      <w:r>
        <w:rPr>
          <w:rFonts w:ascii="宋体" w:hAnsi="宋体" w:eastAsia="宋体" w:cs="宋体"/>
          <w:spacing w:val="-4"/>
          <w:sz w:val="24"/>
          <w:szCs w:val="24"/>
        </w:rPr>
        <w:t>式中：</w:t>
      </w:r>
      <w:r>
        <w:rPr>
          <w:rFonts w:ascii="Times New Roman" w:hAnsi="Times New Roman" w:eastAsia="Times New Roman" w:cs="Times New Roman"/>
          <w:i/>
          <w:iCs/>
          <w:spacing w:val="-4"/>
          <w:sz w:val="24"/>
          <w:szCs w:val="24"/>
        </w:rPr>
        <w:t>I</w:t>
      </w:r>
      <w:r>
        <w:rPr>
          <w:rFonts w:ascii="Times New Roman" w:hAnsi="Times New Roman" w:eastAsia="Times New Roman" w:cs="Times New Roman"/>
          <w:spacing w:val="-4"/>
          <w:sz w:val="24"/>
          <w:szCs w:val="24"/>
        </w:rPr>
        <w:t>——</w:t>
      </w:r>
      <w:r>
        <w:rPr>
          <w:rFonts w:ascii="宋体" w:hAnsi="宋体" w:eastAsia="宋体" w:cs="宋体"/>
          <w:spacing w:val="-4"/>
          <w:sz w:val="24"/>
          <w:szCs w:val="24"/>
        </w:rPr>
        <w:t>导线</w:t>
      </w:r>
      <w:r>
        <w:rPr>
          <w:rFonts w:ascii="宋体" w:hAnsi="宋体" w:eastAsia="宋体" w:cs="宋体"/>
          <w:spacing w:val="-40"/>
          <w:sz w:val="24"/>
          <w:szCs w:val="24"/>
        </w:rPr>
        <w:t xml:space="preserve"> </w:t>
      </w:r>
      <w:r>
        <w:rPr>
          <w:rFonts w:ascii="Times New Roman" w:hAnsi="Times New Roman" w:eastAsia="Times New Roman" w:cs="Times New Roman"/>
          <w:i/>
          <w:iCs/>
          <w:spacing w:val="-4"/>
          <w:sz w:val="24"/>
          <w:szCs w:val="24"/>
        </w:rPr>
        <w:t>i</w:t>
      </w:r>
      <w:r>
        <w:rPr>
          <w:rFonts w:ascii="Times New Roman" w:hAnsi="Times New Roman" w:eastAsia="Times New Roman" w:cs="Times New Roman"/>
          <w:i/>
          <w:iCs/>
          <w:spacing w:val="33"/>
          <w:sz w:val="24"/>
          <w:szCs w:val="24"/>
        </w:rPr>
        <w:t xml:space="preserve"> </w:t>
      </w:r>
      <w:r>
        <w:rPr>
          <w:rFonts w:ascii="宋体" w:hAnsi="宋体" w:eastAsia="宋体" w:cs="宋体"/>
          <w:spacing w:val="-4"/>
          <w:sz w:val="24"/>
          <w:szCs w:val="24"/>
        </w:rPr>
        <w:t>中的电流值，</w:t>
      </w:r>
      <w:r>
        <w:rPr>
          <w:rFonts w:ascii="Times New Roman" w:hAnsi="Times New Roman" w:eastAsia="Times New Roman" w:cs="Times New Roman"/>
          <w:spacing w:val="-4"/>
          <w:sz w:val="24"/>
          <w:szCs w:val="24"/>
        </w:rPr>
        <w:t>A</w:t>
      </w:r>
      <w:r>
        <w:rPr>
          <w:rFonts w:ascii="宋体" w:hAnsi="宋体" w:eastAsia="宋体" w:cs="宋体"/>
          <w:spacing w:val="-4"/>
          <w:sz w:val="24"/>
          <w:szCs w:val="24"/>
        </w:rPr>
        <w:t>；</w:t>
      </w:r>
    </w:p>
    <w:p w14:paraId="6F34EA43">
      <w:pPr>
        <w:spacing w:before="165" w:line="233" w:lineRule="auto"/>
        <w:ind w:left="1197"/>
        <w:rPr>
          <w:rFonts w:ascii="宋体" w:hAnsi="宋体" w:eastAsia="宋体" w:cs="宋体"/>
          <w:sz w:val="24"/>
          <w:szCs w:val="24"/>
        </w:rPr>
      </w:pPr>
      <w:r>
        <w:rPr>
          <w:rFonts w:ascii="Times New Roman" w:hAnsi="Times New Roman" w:eastAsia="Times New Roman" w:cs="Times New Roman"/>
          <w:i/>
          <w:iCs/>
          <w:spacing w:val="-1"/>
          <w:sz w:val="24"/>
          <w:szCs w:val="24"/>
        </w:rPr>
        <w:t>h</w:t>
      </w:r>
      <w:r>
        <w:rPr>
          <w:rFonts w:ascii="Times New Roman" w:hAnsi="Times New Roman" w:eastAsia="Times New Roman" w:cs="Times New Roman"/>
          <w:spacing w:val="-1"/>
          <w:sz w:val="24"/>
          <w:szCs w:val="24"/>
        </w:rPr>
        <w:t>——</w:t>
      </w:r>
      <w:r>
        <w:rPr>
          <w:rFonts w:ascii="宋体" w:hAnsi="宋体" w:eastAsia="宋体" w:cs="宋体"/>
          <w:spacing w:val="-1"/>
          <w:sz w:val="24"/>
          <w:szCs w:val="24"/>
        </w:rPr>
        <w:t>导线与预测点的高差，</w:t>
      </w:r>
      <w:r>
        <w:rPr>
          <w:rFonts w:ascii="Times New Roman" w:hAnsi="Times New Roman" w:eastAsia="Times New Roman" w:cs="Times New Roman"/>
          <w:spacing w:val="-1"/>
          <w:sz w:val="24"/>
          <w:szCs w:val="24"/>
        </w:rPr>
        <w:t>m</w:t>
      </w:r>
      <w:r>
        <w:rPr>
          <w:rFonts w:ascii="宋体" w:hAnsi="宋体" w:eastAsia="宋体" w:cs="宋体"/>
          <w:spacing w:val="-1"/>
          <w:sz w:val="24"/>
          <w:szCs w:val="24"/>
        </w:rPr>
        <w:t>；</w:t>
      </w:r>
    </w:p>
    <w:p w14:paraId="536CA1A3">
      <w:pPr>
        <w:spacing w:before="165" w:line="233" w:lineRule="auto"/>
        <w:ind w:left="1185"/>
        <w:rPr>
          <w:rFonts w:ascii="宋体" w:hAnsi="宋体" w:eastAsia="宋体" w:cs="宋体"/>
          <w:sz w:val="24"/>
          <w:szCs w:val="24"/>
        </w:rPr>
      </w:pPr>
      <w:r>
        <w:rPr>
          <w:rFonts w:ascii="Times New Roman" w:hAnsi="Times New Roman" w:eastAsia="Times New Roman" w:cs="Times New Roman"/>
          <w:i/>
          <w:iCs/>
          <w:sz w:val="24"/>
          <w:szCs w:val="24"/>
        </w:rPr>
        <w:t>L</w:t>
      </w:r>
      <w:r>
        <w:rPr>
          <w:rFonts w:ascii="Times New Roman" w:hAnsi="Times New Roman" w:eastAsia="Times New Roman" w:cs="Times New Roman"/>
          <w:sz w:val="24"/>
          <w:szCs w:val="24"/>
        </w:rPr>
        <w:t>——</w:t>
      </w:r>
      <w:r>
        <w:rPr>
          <w:rFonts w:ascii="宋体" w:hAnsi="宋体" w:eastAsia="宋体" w:cs="宋体"/>
          <w:sz w:val="24"/>
          <w:szCs w:val="24"/>
        </w:rPr>
        <w:t>导线与预测点的水平距离，</w:t>
      </w:r>
      <w:r>
        <w:rPr>
          <w:rFonts w:ascii="Times New Roman" w:hAnsi="Times New Roman" w:eastAsia="Times New Roman" w:cs="Times New Roman"/>
          <w:sz w:val="24"/>
          <w:szCs w:val="24"/>
        </w:rPr>
        <w:t>m</w:t>
      </w:r>
      <w:r>
        <w:rPr>
          <w:rFonts w:ascii="宋体" w:hAnsi="宋体" w:eastAsia="宋体" w:cs="宋体"/>
          <w:sz w:val="24"/>
          <w:szCs w:val="24"/>
        </w:rPr>
        <w:t>。</w:t>
      </w:r>
    </w:p>
    <w:p w14:paraId="207B27D0">
      <w:pPr>
        <w:spacing w:line="233" w:lineRule="auto"/>
        <w:rPr>
          <w:rFonts w:ascii="宋体" w:hAnsi="宋体" w:eastAsia="宋体" w:cs="宋体"/>
          <w:sz w:val="24"/>
          <w:szCs w:val="24"/>
        </w:rPr>
        <w:sectPr>
          <w:footerReference r:id="rId100" w:type="default"/>
          <w:pgSz w:w="11907" w:h="16841"/>
          <w:pgMar w:top="400" w:right="1349" w:bottom="1126" w:left="1426" w:header="0" w:footer="925" w:gutter="0"/>
          <w:cols w:space="720" w:num="1"/>
        </w:sectPr>
      </w:pPr>
    </w:p>
    <w:p w14:paraId="06BED375">
      <w:pPr>
        <w:spacing w:line="249" w:lineRule="auto"/>
        <w:rPr>
          <w:rFonts w:ascii="Arial"/>
          <w:sz w:val="21"/>
        </w:rPr>
      </w:pPr>
    </w:p>
    <w:p w14:paraId="478475C1">
      <w:pPr>
        <w:spacing w:line="249" w:lineRule="auto"/>
        <w:rPr>
          <w:rFonts w:ascii="Arial"/>
          <w:sz w:val="21"/>
        </w:rPr>
      </w:pPr>
    </w:p>
    <w:p w14:paraId="2C9B9C5F">
      <w:pPr>
        <w:spacing w:line="249" w:lineRule="auto"/>
        <w:rPr>
          <w:rFonts w:ascii="Arial"/>
          <w:sz w:val="21"/>
        </w:rPr>
      </w:pPr>
    </w:p>
    <w:p w14:paraId="20B16DCC">
      <w:pPr>
        <w:spacing w:line="249" w:lineRule="auto"/>
        <w:rPr>
          <w:rFonts w:ascii="Arial"/>
          <w:sz w:val="21"/>
        </w:rPr>
      </w:pPr>
    </w:p>
    <w:p w14:paraId="08A140A1">
      <w:pPr>
        <w:spacing w:line="249" w:lineRule="auto"/>
        <w:rPr>
          <w:rFonts w:ascii="Arial"/>
          <w:sz w:val="21"/>
        </w:rPr>
      </w:pPr>
    </w:p>
    <w:p w14:paraId="0DE34C00">
      <w:pPr>
        <w:spacing w:before="78" w:line="233" w:lineRule="auto"/>
        <w:ind w:left="498"/>
        <w:rPr>
          <w:rFonts w:ascii="宋体" w:hAnsi="宋体" w:eastAsia="宋体" w:cs="宋体"/>
          <w:sz w:val="24"/>
          <w:szCs w:val="24"/>
        </w:rPr>
      </w:pPr>
      <w:r>
        <w:rPr>
          <w:rFonts w:ascii="宋体" w:hAnsi="宋体" w:eastAsia="宋体" w:cs="宋体"/>
          <w:b/>
          <w:bCs/>
          <w:spacing w:val="-3"/>
          <w:sz w:val="24"/>
          <w:szCs w:val="24"/>
        </w:rPr>
        <w:t>（</w:t>
      </w:r>
      <w:r>
        <w:rPr>
          <w:rFonts w:ascii="Times New Roman" w:hAnsi="Times New Roman" w:eastAsia="Times New Roman" w:cs="Times New Roman"/>
          <w:b/>
          <w:bCs/>
          <w:spacing w:val="-3"/>
          <w:sz w:val="24"/>
          <w:szCs w:val="24"/>
        </w:rPr>
        <w:t>2</w:t>
      </w:r>
      <w:r>
        <w:rPr>
          <w:rFonts w:ascii="宋体" w:hAnsi="宋体" w:eastAsia="宋体" w:cs="宋体"/>
          <w:b/>
          <w:bCs/>
          <w:spacing w:val="-3"/>
          <w:sz w:val="24"/>
          <w:szCs w:val="24"/>
        </w:rPr>
        <w:t>）计算参数及计算内容</w:t>
      </w:r>
    </w:p>
    <w:p w14:paraId="4949F056">
      <w:pPr>
        <w:spacing w:before="164" w:line="360" w:lineRule="auto"/>
        <w:ind w:left="9" w:right="1" w:firstLine="479"/>
        <w:jc w:val="both"/>
        <w:rPr>
          <w:rFonts w:ascii="宋体" w:hAnsi="宋体" w:eastAsia="宋体" w:cs="宋体"/>
          <w:sz w:val="24"/>
          <w:szCs w:val="24"/>
        </w:rPr>
      </w:pPr>
      <w:r>
        <w:rPr>
          <w:rFonts w:ascii="宋体" w:hAnsi="宋体" w:eastAsia="宋体" w:cs="宋体"/>
          <w:spacing w:val="-2"/>
          <w:sz w:val="24"/>
          <w:szCs w:val="24"/>
        </w:rPr>
        <w:t>输电线路电磁场预测计算参数的主要考虑的是选取的塔型，选择预测计算的典型杆塔时可主要考虑线路经过居民区时的塔型，也可按保守原则选择电磁环境影响最大的塔</w:t>
      </w:r>
      <w:r>
        <w:rPr>
          <w:rFonts w:ascii="宋体" w:hAnsi="宋体" w:eastAsia="宋体" w:cs="宋体"/>
          <w:spacing w:val="-3"/>
          <w:sz w:val="24"/>
          <w:szCs w:val="24"/>
        </w:rPr>
        <w:t>型，本次考虑选择电磁环境影响最大的塔型。</w:t>
      </w:r>
    </w:p>
    <w:p w14:paraId="5CAD9E6F">
      <w:pPr>
        <w:spacing w:before="1" w:line="351" w:lineRule="auto"/>
        <w:ind w:left="12" w:right="4" w:firstLine="495"/>
        <w:rPr>
          <w:rFonts w:ascii="宋体" w:hAnsi="宋体" w:eastAsia="宋体" w:cs="宋体"/>
          <w:sz w:val="24"/>
          <w:szCs w:val="24"/>
        </w:rPr>
      </w:pPr>
      <w:r>
        <w:rPr>
          <w:rFonts w:ascii="Times New Roman" w:hAnsi="Times New Roman" w:eastAsia="Times New Roman" w:cs="Times New Roman"/>
          <w:spacing w:val="-5"/>
          <w:sz w:val="24"/>
          <w:szCs w:val="24"/>
        </w:rPr>
        <w:t>1</w:t>
      </w:r>
      <w:r>
        <w:rPr>
          <w:rFonts w:ascii="宋体" w:hAnsi="宋体" w:eastAsia="宋体" w:cs="宋体"/>
          <w:spacing w:val="-5"/>
          <w:sz w:val="24"/>
          <w:szCs w:val="24"/>
        </w:rPr>
        <w:t>）一般来说杆塔横担（导线相间距）越大，其电</w:t>
      </w:r>
      <w:r>
        <w:rPr>
          <w:rFonts w:ascii="宋体" w:hAnsi="宋体" w:eastAsia="宋体" w:cs="宋体"/>
          <w:spacing w:val="-6"/>
          <w:sz w:val="24"/>
          <w:szCs w:val="24"/>
        </w:rPr>
        <w:t>磁场影响也越大，因此，根据横担</w:t>
      </w:r>
      <w:r>
        <w:rPr>
          <w:rFonts w:ascii="宋体" w:hAnsi="宋体" w:eastAsia="宋体" w:cs="宋体"/>
          <w:spacing w:val="-3"/>
          <w:sz w:val="24"/>
          <w:szCs w:val="24"/>
        </w:rPr>
        <w:t>大小，选择横担最大的塔型进行预测计算。</w:t>
      </w:r>
    </w:p>
    <w:p w14:paraId="1CCD2B38">
      <w:pPr>
        <w:spacing w:before="21" w:line="233" w:lineRule="auto"/>
        <w:ind w:right="18"/>
        <w:jc w:val="right"/>
        <w:rPr>
          <w:rFonts w:ascii="宋体" w:hAnsi="宋体" w:eastAsia="宋体" w:cs="宋体"/>
          <w:sz w:val="24"/>
          <w:szCs w:val="24"/>
        </w:rPr>
      </w:pPr>
      <w:r>
        <w:rPr>
          <w:rFonts w:ascii="Times New Roman" w:hAnsi="Times New Roman" w:eastAsia="Times New Roman" w:cs="Times New Roman"/>
          <w:spacing w:val="-11"/>
          <w:sz w:val="24"/>
          <w:szCs w:val="24"/>
        </w:rPr>
        <w:t>2</w:t>
      </w:r>
      <w:r>
        <w:rPr>
          <w:rFonts w:ascii="宋体" w:hAnsi="宋体" w:eastAsia="宋体" w:cs="宋体"/>
          <w:spacing w:val="-11"/>
          <w:sz w:val="24"/>
          <w:szCs w:val="24"/>
        </w:rPr>
        <w:t>）本项目</w:t>
      </w:r>
      <w:r>
        <w:rPr>
          <w:rFonts w:ascii="宋体" w:hAnsi="宋体" w:eastAsia="宋体" w:cs="宋体"/>
          <w:spacing w:val="-50"/>
          <w:sz w:val="24"/>
          <w:szCs w:val="24"/>
        </w:rPr>
        <w:t xml:space="preserve"> </w:t>
      </w:r>
      <w:r>
        <w:rPr>
          <w:rFonts w:ascii="Times New Roman" w:hAnsi="Times New Roman" w:eastAsia="Times New Roman" w:cs="Times New Roman"/>
          <w:spacing w:val="-11"/>
          <w:sz w:val="24"/>
          <w:szCs w:val="24"/>
        </w:rPr>
        <w:t>3</w:t>
      </w:r>
      <w:r>
        <w:rPr>
          <w:rFonts w:ascii="Times New Roman" w:hAnsi="Times New Roman" w:eastAsia="Times New Roman" w:cs="Times New Roman"/>
          <w:spacing w:val="33"/>
          <w:sz w:val="24"/>
          <w:szCs w:val="24"/>
        </w:rPr>
        <w:t xml:space="preserve"> </w:t>
      </w:r>
      <w:r>
        <w:rPr>
          <w:rFonts w:ascii="宋体" w:hAnsi="宋体" w:eastAsia="宋体" w:cs="宋体"/>
          <w:spacing w:val="-11"/>
          <w:sz w:val="24"/>
          <w:szCs w:val="24"/>
        </w:rPr>
        <w:t>回线路导线分裂数不同，分别进行预测（</w:t>
      </w:r>
      <w:r>
        <w:rPr>
          <w:rFonts w:ascii="Times New Roman" w:hAnsi="Times New Roman" w:eastAsia="Times New Roman" w:cs="Times New Roman"/>
          <w:spacing w:val="-11"/>
          <w:sz w:val="24"/>
          <w:szCs w:val="24"/>
        </w:rPr>
        <w:t>C</w:t>
      </w:r>
      <w:r>
        <w:rPr>
          <w:rFonts w:ascii="Times New Roman" w:hAnsi="Times New Roman" w:eastAsia="Times New Roman" w:cs="Times New Roman"/>
          <w:spacing w:val="33"/>
          <w:w w:val="101"/>
          <w:sz w:val="24"/>
          <w:szCs w:val="24"/>
        </w:rPr>
        <w:t xml:space="preserve"> </w:t>
      </w:r>
      <w:r>
        <w:rPr>
          <w:rFonts w:ascii="宋体" w:hAnsi="宋体" w:eastAsia="宋体" w:cs="宋体"/>
          <w:spacing w:val="-11"/>
          <w:sz w:val="24"/>
          <w:szCs w:val="24"/>
        </w:rPr>
        <w:t>回双分裂，</w:t>
      </w:r>
      <w:r>
        <w:rPr>
          <w:rFonts w:ascii="Times New Roman" w:hAnsi="Times New Roman" w:eastAsia="Times New Roman" w:cs="Times New Roman"/>
          <w:spacing w:val="-11"/>
          <w:sz w:val="24"/>
          <w:szCs w:val="24"/>
        </w:rPr>
        <w:t>DE</w:t>
      </w:r>
      <w:r>
        <w:rPr>
          <w:rFonts w:ascii="Times New Roman" w:hAnsi="Times New Roman" w:eastAsia="Times New Roman" w:cs="Times New Roman"/>
          <w:spacing w:val="32"/>
          <w:w w:val="101"/>
          <w:sz w:val="24"/>
          <w:szCs w:val="24"/>
        </w:rPr>
        <w:t xml:space="preserve"> </w:t>
      </w:r>
      <w:r>
        <w:rPr>
          <w:rFonts w:ascii="宋体" w:hAnsi="宋体" w:eastAsia="宋体" w:cs="宋体"/>
          <w:spacing w:val="-11"/>
          <w:sz w:val="24"/>
          <w:szCs w:val="24"/>
        </w:rPr>
        <w:t>回单分裂</w:t>
      </w:r>
      <w:r>
        <w:rPr>
          <w:rFonts w:ascii="宋体" w:hAnsi="宋体" w:eastAsia="宋体" w:cs="宋体"/>
          <w:spacing w:val="-12"/>
          <w:sz w:val="24"/>
          <w:szCs w:val="24"/>
        </w:rPr>
        <w:t>）。</w:t>
      </w:r>
    </w:p>
    <w:p w14:paraId="65551F40">
      <w:pPr>
        <w:spacing w:before="166" w:line="360" w:lineRule="auto"/>
        <w:ind w:left="32" w:firstLine="456"/>
        <w:rPr>
          <w:rFonts w:ascii="宋体" w:hAnsi="宋体" w:eastAsia="宋体" w:cs="宋体"/>
          <w:sz w:val="24"/>
          <w:szCs w:val="24"/>
        </w:rPr>
      </w:pPr>
      <w:r>
        <w:rPr>
          <w:rFonts w:ascii="Times New Roman" w:hAnsi="Times New Roman" w:eastAsia="Times New Roman" w:cs="Times New Roman"/>
          <w:spacing w:val="-1"/>
          <w:sz w:val="24"/>
          <w:szCs w:val="24"/>
        </w:rPr>
        <w:t>3</w:t>
      </w:r>
      <w:r>
        <w:rPr>
          <w:rFonts w:ascii="宋体" w:hAnsi="宋体" w:eastAsia="宋体" w:cs="宋体"/>
          <w:spacing w:val="-1"/>
          <w:sz w:val="24"/>
          <w:szCs w:val="24"/>
        </w:rPr>
        <w:t>）双回塔单边挂线，选取电磁影响相对较大的一侧进行预测；沿用</w:t>
      </w:r>
      <w:r>
        <w:rPr>
          <w:rFonts w:ascii="宋体" w:hAnsi="宋体" w:eastAsia="宋体" w:cs="宋体"/>
          <w:spacing w:val="-34"/>
          <w:sz w:val="24"/>
          <w:szCs w:val="24"/>
        </w:rPr>
        <w:t xml:space="preserve"> </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21"/>
          <w:sz w:val="24"/>
          <w:szCs w:val="24"/>
        </w:rPr>
        <w:t xml:space="preserve"> </w:t>
      </w:r>
      <w:r>
        <w:rPr>
          <w:rFonts w:ascii="宋体" w:hAnsi="宋体" w:eastAsia="宋体" w:cs="宋体"/>
          <w:spacing w:val="-1"/>
          <w:sz w:val="24"/>
          <w:szCs w:val="24"/>
        </w:rPr>
        <w:t>者迤Ⅰ</w:t>
      </w:r>
      <w:r>
        <w:rPr>
          <w:rFonts w:ascii="宋体" w:hAnsi="宋体" w:eastAsia="宋体" w:cs="宋体"/>
          <w:spacing w:val="-4"/>
          <w:sz w:val="24"/>
          <w:szCs w:val="24"/>
        </w:rPr>
        <w:t>回线</w:t>
      </w:r>
      <w:r>
        <w:rPr>
          <w:rFonts w:ascii="宋体" w:hAnsi="宋体" w:eastAsia="宋体" w:cs="宋体"/>
          <w:spacing w:val="-49"/>
          <w:sz w:val="24"/>
          <w:szCs w:val="24"/>
        </w:rPr>
        <w:t xml:space="preserve"> </w:t>
      </w:r>
      <w:r>
        <w:rPr>
          <w:rFonts w:ascii="Times New Roman" w:hAnsi="Times New Roman" w:eastAsia="Times New Roman" w:cs="Times New Roman"/>
          <w:spacing w:val="-4"/>
          <w:sz w:val="24"/>
          <w:szCs w:val="24"/>
        </w:rPr>
        <w:t>73#</w:t>
      </w:r>
      <w:r>
        <w:rPr>
          <w:rFonts w:ascii="宋体" w:hAnsi="宋体" w:eastAsia="宋体" w:cs="宋体"/>
          <w:spacing w:val="-4"/>
          <w:sz w:val="24"/>
          <w:szCs w:val="24"/>
        </w:rPr>
        <w:t>双回塔导线对地高</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15m</w:t>
      </w:r>
      <w:r>
        <w:rPr>
          <w:rFonts w:ascii="宋体" w:hAnsi="宋体" w:eastAsia="宋体" w:cs="宋体"/>
          <w:spacing w:val="-4"/>
          <w:sz w:val="24"/>
          <w:szCs w:val="24"/>
        </w:rPr>
        <w:t>，采用实际高度预测。</w:t>
      </w:r>
    </w:p>
    <w:p w14:paraId="4B1003C7">
      <w:pPr>
        <w:spacing w:before="1" w:line="219" w:lineRule="auto"/>
        <w:ind w:left="492"/>
        <w:rPr>
          <w:rFonts w:ascii="宋体" w:hAnsi="宋体" w:eastAsia="宋体" w:cs="宋体"/>
          <w:sz w:val="24"/>
          <w:szCs w:val="24"/>
        </w:rPr>
      </w:pPr>
      <w:r>
        <w:rPr>
          <w:rFonts w:ascii="宋体" w:hAnsi="宋体" w:eastAsia="宋体" w:cs="宋体"/>
          <w:spacing w:val="-3"/>
          <w:sz w:val="24"/>
          <w:szCs w:val="24"/>
        </w:rPr>
        <w:t>线路导线及选用计算塔型的有关参数详见下表。</w:t>
      </w:r>
    </w:p>
    <w:p w14:paraId="0D91C672">
      <w:pPr>
        <w:spacing w:before="118" w:line="229" w:lineRule="auto"/>
        <w:ind w:left="2743"/>
        <w:rPr>
          <w:rFonts w:ascii="宋体" w:hAnsi="宋体" w:eastAsia="宋体" w:cs="宋体"/>
          <w:sz w:val="21"/>
          <w:szCs w:val="21"/>
        </w:rPr>
      </w:pPr>
      <w:r>
        <w:rPr>
          <w:rFonts w:ascii="宋体" w:hAnsi="宋体" w:eastAsia="宋体" w:cs="宋体"/>
          <w:b/>
          <w:bCs/>
          <w:spacing w:val="-3"/>
          <w:sz w:val="21"/>
          <w:szCs w:val="21"/>
        </w:rPr>
        <w:t>表</w:t>
      </w:r>
      <w:r>
        <w:rPr>
          <w:rFonts w:ascii="宋体" w:hAnsi="宋体" w:eastAsia="宋体" w:cs="宋体"/>
          <w:spacing w:val="-42"/>
          <w:sz w:val="21"/>
          <w:szCs w:val="21"/>
        </w:rPr>
        <w:t xml:space="preserve"> </w:t>
      </w:r>
      <w:r>
        <w:rPr>
          <w:rFonts w:ascii="Times New Roman" w:hAnsi="Times New Roman" w:eastAsia="Times New Roman" w:cs="Times New Roman"/>
          <w:b/>
          <w:bCs/>
          <w:spacing w:val="-3"/>
          <w:sz w:val="21"/>
          <w:szCs w:val="21"/>
        </w:rPr>
        <w:t>4-1    C</w:t>
      </w:r>
      <w:r>
        <w:rPr>
          <w:rFonts w:ascii="Times New Roman" w:hAnsi="Times New Roman" w:eastAsia="Times New Roman" w:cs="Times New Roman"/>
          <w:b/>
          <w:bCs/>
          <w:spacing w:val="28"/>
          <w:w w:val="101"/>
          <w:sz w:val="21"/>
          <w:szCs w:val="21"/>
        </w:rPr>
        <w:t xml:space="preserve"> </w:t>
      </w:r>
      <w:r>
        <w:rPr>
          <w:rFonts w:ascii="宋体" w:hAnsi="宋体" w:eastAsia="宋体" w:cs="宋体"/>
          <w:b/>
          <w:bCs/>
          <w:spacing w:val="-3"/>
          <w:sz w:val="21"/>
          <w:szCs w:val="21"/>
        </w:rPr>
        <w:t>回电磁环境模式预测参数表</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1135"/>
        <w:gridCol w:w="2125"/>
        <w:gridCol w:w="2551"/>
        <w:gridCol w:w="2550"/>
      </w:tblGrid>
      <w:tr w14:paraId="2F8B72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842" w:type="dxa"/>
            <w:gridSpan w:val="2"/>
            <w:vAlign w:val="top"/>
          </w:tcPr>
          <w:p w14:paraId="47EB3011">
            <w:pPr>
              <w:pStyle w:val="6"/>
              <w:spacing w:before="55" w:line="221" w:lineRule="auto"/>
              <w:ind w:left="507"/>
            </w:pPr>
            <w:r>
              <w:rPr>
                <w:b/>
                <w:bCs/>
                <w:spacing w:val="-4"/>
              </w:rPr>
              <w:t>线路参数</w:t>
            </w:r>
          </w:p>
        </w:tc>
        <w:tc>
          <w:tcPr>
            <w:tcW w:w="7226" w:type="dxa"/>
            <w:gridSpan w:val="3"/>
            <w:vAlign w:val="top"/>
          </w:tcPr>
          <w:p w14:paraId="49CFFAC1">
            <w:pPr>
              <w:pStyle w:val="6"/>
              <w:spacing w:before="56" w:line="224" w:lineRule="auto"/>
              <w:ind w:left="2872"/>
            </w:pPr>
            <w:r>
              <w:rPr>
                <w:rFonts w:ascii="Times New Roman" w:hAnsi="Times New Roman" w:eastAsia="Times New Roman" w:cs="Times New Roman"/>
                <w:b/>
                <w:bCs/>
                <w:spacing w:val="-1"/>
              </w:rPr>
              <w:t xml:space="preserve">220kV </w:t>
            </w:r>
            <w:r>
              <w:rPr>
                <w:b/>
                <w:bCs/>
                <w:spacing w:val="-1"/>
              </w:rPr>
              <w:t>输电线路</w:t>
            </w:r>
          </w:p>
        </w:tc>
      </w:tr>
      <w:tr w14:paraId="493983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07" w:type="dxa"/>
            <w:vMerge w:val="restart"/>
            <w:tcBorders>
              <w:bottom w:val="nil"/>
            </w:tcBorders>
            <w:vAlign w:val="top"/>
          </w:tcPr>
          <w:p w14:paraId="43865994">
            <w:pPr>
              <w:pStyle w:val="6"/>
              <w:spacing w:before="215" w:line="221" w:lineRule="auto"/>
              <w:ind w:left="155"/>
            </w:pPr>
            <w:r>
              <w:rPr>
                <w:spacing w:val="-3"/>
              </w:rPr>
              <w:t>导线</w:t>
            </w:r>
          </w:p>
        </w:tc>
        <w:tc>
          <w:tcPr>
            <w:tcW w:w="1135" w:type="dxa"/>
            <w:vAlign w:val="top"/>
          </w:tcPr>
          <w:p w14:paraId="31B0900F">
            <w:pPr>
              <w:pStyle w:val="6"/>
              <w:spacing w:before="53" w:line="222" w:lineRule="auto"/>
              <w:ind w:left="365"/>
            </w:pPr>
            <w:r>
              <w:rPr>
                <w:spacing w:val="-4"/>
              </w:rPr>
              <w:t>型号</w:t>
            </w:r>
          </w:p>
        </w:tc>
        <w:tc>
          <w:tcPr>
            <w:tcW w:w="7226" w:type="dxa"/>
            <w:gridSpan w:val="3"/>
            <w:vAlign w:val="top"/>
          </w:tcPr>
          <w:p w14:paraId="350D35D6">
            <w:pPr>
              <w:spacing w:before="86" w:line="221" w:lineRule="auto"/>
              <w:ind w:left="28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JL/LB20A-400/50</w:t>
            </w:r>
          </w:p>
        </w:tc>
      </w:tr>
      <w:tr w14:paraId="68CD4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7" w:type="dxa"/>
            <w:vMerge w:val="continue"/>
            <w:tcBorders>
              <w:top w:val="nil"/>
            </w:tcBorders>
            <w:vAlign w:val="top"/>
          </w:tcPr>
          <w:p w14:paraId="13B304C5">
            <w:pPr>
              <w:rPr>
                <w:rFonts w:ascii="Arial"/>
                <w:sz w:val="21"/>
              </w:rPr>
            </w:pPr>
          </w:p>
        </w:tc>
        <w:tc>
          <w:tcPr>
            <w:tcW w:w="1135" w:type="dxa"/>
            <w:vAlign w:val="top"/>
          </w:tcPr>
          <w:p w14:paraId="7852ACB3">
            <w:pPr>
              <w:pStyle w:val="6"/>
              <w:spacing w:before="51" w:line="222" w:lineRule="auto"/>
              <w:ind w:left="150"/>
            </w:pPr>
            <w:r>
              <w:rPr>
                <w:spacing w:val="-2"/>
              </w:rPr>
              <w:t>排列方式</w:t>
            </w:r>
          </w:p>
        </w:tc>
        <w:tc>
          <w:tcPr>
            <w:tcW w:w="7226" w:type="dxa"/>
            <w:gridSpan w:val="3"/>
            <w:vAlign w:val="top"/>
          </w:tcPr>
          <w:p w14:paraId="278CE190">
            <w:pPr>
              <w:pStyle w:val="6"/>
              <w:spacing w:before="51" w:line="220" w:lineRule="auto"/>
              <w:ind w:left="2251"/>
            </w:pPr>
            <w:r>
              <w:rPr>
                <w:spacing w:val="-2"/>
              </w:rPr>
              <w:t>单回三角排列，双回垂直排列</w:t>
            </w:r>
          </w:p>
        </w:tc>
      </w:tr>
      <w:tr w14:paraId="772C27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842" w:type="dxa"/>
            <w:gridSpan w:val="2"/>
            <w:vAlign w:val="top"/>
          </w:tcPr>
          <w:p w14:paraId="4392A00A">
            <w:pPr>
              <w:pStyle w:val="6"/>
              <w:spacing w:before="52" w:line="223" w:lineRule="auto"/>
              <w:ind w:left="343"/>
            </w:pPr>
            <w:r>
              <w:rPr>
                <w:spacing w:val="-1"/>
              </w:rPr>
              <w:t>直径（</w:t>
            </w:r>
            <w:r>
              <w:rPr>
                <w:rFonts w:ascii="Times New Roman" w:hAnsi="Times New Roman" w:eastAsia="Times New Roman" w:cs="Times New Roman"/>
                <w:spacing w:val="-1"/>
              </w:rPr>
              <w:t>mm</w:t>
            </w:r>
            <w:r>
              <w:rPr>
                <w:spacing w:val="-1"/>
              </w:rPr>
              <w:t>）</w:t>
            </w:r>
          </w:p>
        </w:tc>
        <w:tc>
          <w:tcPr>
            <w:tcW w:w="7226" w:type="dxa"/>
            <w:gridSpan w:val="3"/>
            <w:vAlign w:val="top"/>
          </w:tcPr>
          <w:p w14:paraId="698A7ADB">
            <w:pPr>
              <w:spacing w:before="87" w:line="217" w:lineRule="auto"/>
              <w:ind w:left="342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27.6</w:t>
            </w:r>
          </w:p>
        </w:tc>
      </w:tr>
      <w:tr w14:paraId="69CBAA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842" w:type="dxa"/>
            <w:gridSpan w:val="2"/>
            <w:vAlign w:val="top"/>
          </w:tcPr>
          <w:p w14:paraId="71BF460B">
            <w:pPr>
              <w:pStyle w:val="6"/>
              <w:spacing w:before="53" w:line="221" w:lineRule="auto"/>
              <w:ind w:left="510"/>
            </w:pPr>
            <w:r>
              <w:rPr>
                <w:spacing w:val="-3"/>
              </w:rPr>
              <w:t>导线分裂</w:t>
            </w:r>
          </w:p>
        </w:tc>
        <w:tc>
          <w:tcPr>
            <w:tcW w:w="7226" w:type="dxa"/>
            <w:gridSpan w:val="3"/>
            <w:vAlign w:val="top"/>
          </w:tcPr>
          <w:p w14:paraId="1047FFB2">
            <w:pPr>
              <w:pStyle w:val="6"/>
              <w:spacing w:before="53" w:line="221" w:lineRule="auto"/>
              <w:ind w:left="3298"/>
            </w:pPr>
            <w:r>
              <w:rPr>
                <w:spacing w:val="-2"/>
              </w:rPr>
              <w:t>双分裂</w:t>
            </w:r>
          </w:p>
        </w:tc>
      </w:tr>
      <w:tr w14:paraId="19213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842" w:type="dxa"/>
            <w:gridSpan w:val="2"/>
            <w:vAlign w:val="top"/>
          </w:tcPr>
          <w:p w14:paraId="643CA852">
            <w:pPr>
              <w:pStyle w:val="6"/>
              <w:spacing w:before="53" w:line="223" w:lineRule="auto"/>
              <w:ind w:left="135"/>
            </w:pPr>
            <w:r>
              <w:rPr>
                <w:spacing w:val="-1"/>
              </w:rPr>
              <w:t>分裂间距（</w:t>
            </w:r>
            <w:r>
              <w:rPr>
                <w:rFonts w:ascii="Times New Roman" w:hAnsi="Times New Roman" w:eastAsia="Times New Roman" w:cs="Times New Roman"/>
                <w:spacing w:val="-1"/>
              </w:rPr>
              <w:t>mm</w:t>
            </w:r>
            <w:r>
              <w:rPr>
                <w:spacing w:val="-1"/>
              </w:rPr>
              <w:t>）</w:t>
            </w:r>
          </w:p>
        </w:tc>
        <w:tc>
          <w:tcPr>
            <w:tcW w:w="7226" w:type="dxa"/>
            <w:gridSpan w:val="3"/>
            <w:vAlign w:val="top"/>
          </w:tcPr>
          <w:p w14:paraId="31CA81A7">
            <w:pPr>
              <w:spacing w:before="88" w:line="217" w:lineRule="auto"/>
              <w:ind w:left="32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500mm</w:t>
            </w:r>
          </w:p>
        </w:tc>
      </w:tr>
      <w:tr w14:paraId="646F45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842" w:type="dxa"/>
            <w:gridSpan w:val="2"/>
            <w:vAlign w:val="top"/>
          </w:tcPr>
          <w:p w14:paraId="23F46EA1">
            <w:pPr>
              <w:pStyle w:val="6"/>
              <w:spacing w:before="52" w:line="221" w:lineRule="auto"/>
              <w:ind w:left="301"/>
            </w:pPr>
            <w:r>
              <w:rPr>
                <w:spacing w:val="-2"/>
              </w:rPr>
              <w:t>导线电压等级</w:t>
            </w:r>
          </w:p>
        </w:tc>
        <w:tc>
          <w:tcPr>
            <w:tcW w:w="7226" w:type="dxa"/>
            <w:gridSpan w:val="3"/>
            <w:vAlign w:val="top"/>
          </w:tcPr>
          <w:p w14:paraId="0B660A50">
            <w:pPr>
              <w:pStyle w:val="6"/>
              <w:spacing w:before="53" w:line="222" w:lineRule="auto"/>
              <w:ind w:left="2247"/>
            </w:pPr>
            <w:r>
              <w:rPr>
                <w:rFonts w:ascii="Times New Roman" w:hAnsi="Times New Roman" w:eastAsia="Times New Roman" w:cs="Times New Roman"/>
                <w:spacing w:val="-2"/>
              </w:rPr>
              <w:t>231kV</w:t>
            </w:r>
            <w:r>
              <w:rPr>
                <w:spacing w:val="-2"/>
              </w:rPr>
              <w:t>（额定电压的</w:t>
            </w:r>
            <w:r>
              <w:rPr>
                <w:spacing w:val="-24"/>
              </w:rPr>
              <w:t xml:space="preserve"> </w:t>
            </w:r>
            <w:r>
              <w:rPr>
                <w:rFonts w:ascii="Times New Roman" w:hAnsi="Times New Roman" w:eastAsia="Times New Roman" w:cs="Times New Roman"/>
                <w:spacing w:val="-2"/>
              </w:rPr>
              <w:t xml:space="preserve">1.05 </w:t>
            </w:r>
            <w:r>
              <w:rPr>
                <w:spacing w:val="-2"/>
              </w:rPr>
              <w:t>倍）</w:t>
            </w:r>
          </w:p>
        </w:tc>
      </w:tr>
      <w:tr w14:paraId="6E46B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842" w:type="dxa"/>
            <w:gridSpan w:val="2"/>
            <w:vAlign w:val="top"/>
          </w:tcPr>
          <w:p w14:paraId="1D04513C">
            <w:pPr>
              <w:pStyle w:val="6"/>
              <w:spacing w:before="56" w:line="220" w:lineRule="auto"/>
              <w:ind w:left="298"/>
            </w:pPr>
            <w:r>
              <w:rPr>
                <w:spacing w:val="-2"/>
              </w:rPr>
              <w:t>最大传输容量</w:t>
            </w:r>
          </w:p>
        </w:tc>
        <w:tc>
          <w:tcPr>
            <w:tcW w:w="7226" w:type="dxa"/>
            <w:gridSpan w:val="3"/>
            <w:vAlign w:val="top"/>
          </w:tcPr>
          <w:p w14:paraId="1E9EE8C2">
            <w:pPr>
              <w:spacing w:before="91" w:line="216" w:lineRule="auto"/>
              <w:ind w:left="31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892.5MW</w:t>
            </w:r>
          </w:p>
        </w:tc>
      </w:tr>
      <w:tr w14:paraId="1C84E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842" w:type="dxa"/>
            <w:gridSpan w:val="2"/>
            <w:vAlign w:val="top"/>
          </w:tcPr>
          <w:p w14:paraId="57A6A2F1">
            <w:pPr>
              <w:pStyle w:val="6"/>
              <w:spacing w:before="53" w:line="248" w:lineRule="auto"/>
              <w:ind w:left="348" w:right="181" w:hanging="156"/>
            </w:pPr>
            <w:r>
              <w:rPr>
                <w:spacing w:val="-1"/>
              </w:rPr>
              <w:t>预测导线最低对地距离（</w:t>
            </w:r>
            <w:r>
              <w:rPr>
                <w:rFonts w:ascii="Times New Roman" w:hAnsi="Times New Roman" w:eastAsia="Times New Roman" w:cs="Times New Roman"/>
                <w:spacing w:val="-1"/>
              </w:rPr>
              <w:t>h</w:t>
            </w:r>
            <w:r>
              <w:rPr>
                <w:spacing w:val="-1"/>
              </w:rPr>
              <w:t>）</w:t>
            </w:r>
          </w:p>
        </w:tc>
        <w:tc>
          <w:tcPr>
            <w:tcW w:w="2125" w:type="dxa"/>
            <w:vAlign w:val="top"/>
          </w:tcPr>
          <w:p w14:paraId="29F3789F">
            <w:pPr>
              <w:pStyle w:val="6"/>
              <w:spacing w:before="54" w:line="235" w:lineRule="auto"/>
              <w:ind w:left="224"/>
            </w:pPr>
            <w:r>
              <w:rPr>
                <w:rFonts w:ascii="Times New Roman" w:hAnsi="Times New Roman" w:eastAsia="Times New Roman" w:cs="Times New Roman"/>
                <w:spacing w:val="-1"/>
              </w:rPr>
              <w:t>6.5m</w:t>
            </w:r>
            <w:r>
              <w:rPr>
                <w:spacing w:val="-1"/>
              </w:rPr>
              <w:t>（非居民区）</w:t>
            </w:r>
          </w:p>
          <w:p w14:paraId="1FB28767">
            <w:pPr>
              <w:pStyle w:val="6"/>
              <w:spacing w:before="43" w:line="222" w:lineRule="auto"/>
              <w:ind w:left="326"/>
            </w:pPr>
            <w:r>
              <w:rPr>
                <w:rFonts w:ascii="Times New Roman" w:hAnsi="Times New Roman" w:eastAsia="Times New Roman" w:cs="Times New Roman"/>
                <w:spacing w:val="-2"/>
              </w:rPr>
              <w:t>9.5m</w:t>
            </w:r>
            <w:r>
              <w:rPr>
                <w:spacing w:val="-2"/>
              </w:rPr>
              <w:t>（居民区）</w:t>
            </w:r>
          </w:p>
        </w:tc>
        <w:tc>
          <w:tcPr>
            <w:tcW w:w="2551" w:type="dxa"/>
            <w:vAlign w:val="top"/>
          </w:tcPr>
          <w:p w14:paraId="69116854">
            <w:pPr>
              <w:pStyle w:val="6"/>
              <w:spacing w:before="54" w:line="235" w:lineRule="auto"/>
              <w:ind w:left="439"/>
            </w:pPr>
            <w:r>
              <w:rPr>
                <w:rFonts w:ascii="Times New Roman" w:hAnsi="Times New Roman" w:eastAsia="Times New Roman" w:cs="Times New Roman"/>
                <w:spacing w:val="-1"/>
              </w:rPr>
              <w:t>6.5m</w:t>
            </w:r>
            <w:r>
              <w:rPr>
                <w:spacing w:val="-1"/>
              </w:rPr>
              <w:t>（非居民区）</w:t>
            </w:r>
          </w:p>
          <w:p w14:paraId="348012F0">
            <w:pPr>
              <w:pStyle w:val="6"/>
              <w:spacing w:before="43" w:line="222" w:lineRule="auto"/>
              <w:ind w:left="544"/>
            </w:pPr>
            <w:r>
              <w:rPr>
                <w:rFonts w:ascii="Times New Roman" w:hAnsi="Times New Roman" w:eastAsia="Times New Roman" w:cs="Times New Roman"/>
                <w:spacing w:val="-2"/>
              </w:rPr>
              <w:t>9.5m</w:t>
            </w:r>
            <w:r>
              <w:rPr>
                <w:spacing w:val="-2"/>
              </w:rPr>
              <w:t>（居民区）</w:t>
            </w:r>
          </w:p>
        </w:tc>
        <w:tc>
          <w:tcPr>
            <w:tcW w:w="2550" w:type="dxa"/>
            <w:vAlign w:val="top"/>
          </w:tcPr>
          <w:p w14:paraId="04B1AE1D">
            <w:pPr>
              <w:pStyle w:val="6"/>
              <w:spacing w:before="210" w:line="234" w:lineRule="auto"/>
              <w:ind w:left="477"/>
            </w:pPr>
            <w:r>
              <w:rPr>
                <w:rFonts w:ascii="Times New Roman" w:hAnsi="Times New Roman" w:eastAsia="Times New Roman" w:cs="Times New Roman"/>
                <w:spacing w:val="-4"/>
              </w:rPr>
              <w:t>15m</w:t>
            </w:r>
            <w:r>
              <w:rPr>
                <w:spacing w:val="-4"/>
              </w:rPr>
              <w:t>（实际高度）</w:t>
            </w:r>
          </w:p>
        </w:tc>
      </w:tr>
      <w:tr w14:paraId="49196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842" w:type="dxa"/>
            <w:gridSpan w:val="2"/>
            <w:vAlign w:val="top"/>
          </w:tcPr>
          <w:p w14:paraId="7A270486">
            <w:pPr>
              <w:pStyle w:val="6"/>
              <w:spacing w:before="210" w:line="223" w:lineRule="auto"/>
              <w:ind w:left="715"/>
            </w:pPr>
            <w:r>
              <w:rPr>
                <w:spacing w:val="-2"/>
              </w:rPr>
              <w:t>塔型</w:t>
            </w:r>
          </w:p>
        </w:tc>
        <w:tc>
          <w:tcPr>
            <w:tcW w:w="2125" w:type="dxa"/>
            <w:vAlign w:val="top"/>
          </w:tcPr>
          <w:p w14:paraId="79F08E8E">
            <w:pPr>
              <w:pStyle w:val="6"/>
              <w:spacing w:before="54" w:line="263" w:lineRule="auto"/>
              <w:ind w:left="457" w:right="460" w:firstLine="190"/>
              <w:rPr>
                <w:rFonts w:ascii="Times New Roman" w:hAnsi="Times New Roman" w:eastAsia="Times New Roman" w:cs="Times New Roman"/>
              </w:rPr>
            </w:pPr>
            <w:r>
              <w:rPr>
                <w:spacing w:val="-2"/>
              </w:rPr>
              <w:t>单回三角</w:t>
            </w:r>
            <w:r>
              <w:t xml:space="preserve"> </w:t>
            </w:r>
            <w:r>
              <w:rPr>
                <w:rFonts w:ascii="Times New Roman" w:hAnsi="Times New Roman" w:eastAsia="Times New Roman" w:cs="Times New Roman"/>
              </w:rPr>
              <w:t>V3-2D1Y7-J4</w:t>
            </w:r>
          </w:p>
        </w:tc>
        <w:tc>
          <w:tcPr>
            <w:tcW w:w="2551" w:type="dxa"/>
            <w:vAlign w:val="top"/>
          </w:tcPr>
          <w:p w14:paraId="2BBC2100">
            <w:pPr>
              <w:pStyle w:val="6"/>
              <w:spacing w:before="54" w:line="221" w:lineRule="auto"/>
              <w:ind w:left="232"/>
            </w:pPr>
            <w:r>
              <w:rPr>
                <w:spacing w:val="-1"/>
              </w:rPr>
              <w:t>双回垂直（单边挂线）</w:t>
            </w:r>
          </w:p>
          <w:p w14:paraId="5B686C59">
            <w:pPr>
              <w:spacing w:before="98" w:line="187" w:lineRule="auto"/>
              <w:ind w:left="82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2D2Z5-JD</w:t>
            </w:r>
          </w:p>
        </w:tc>
        <w:tc>
          <w:tcPr>
            <w:tcW w:w="2550" w:type="dxa"/>
            <w:vAlign w:val="top"/>
          </w:tcPr>
          <w:p w14:paraId="22FEF03A">
            <w:pPr>
              <w:pStyle w:val="6"/>
              <w:spacing w:before="54" w:line="221" w:lineRule="auto"/>
              <w:ind w:left="228"/>
            </w:pPr>
            <w:r>
              <w:rPr>
                <w:spacing w:val="-1"/>
              </w:rPr>
              <w:t>双回垂直（双边挂线）</w:t>
            </w:r>
          </w:p>
          <w:p w14:paraId="345F9FB8">
            <w:pPr>
              <w:spacing w:before="98" w:line="187" w:lineRule="auto"/>
              <w:ind w:left="82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2D2Z5-JD</w:t>
            </w:r>
          </w:p>
        </w:tc>
      </w:tr>
      <w:tr w14:paraId="243D9E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1842" w:type="dxa"/>
            <w:gridSpan w:val="2"/>
            <w:vAlign w:val="top"/>
          </w:tcPr>
          <w:p w14:paraId="6BCE1825">
            <w:pPr>
              <w:spacing w:line="297" w:lineRule="auto"/>
              <w:rPr>
                <w:rFonts w:ascii="Arial"/>
                <w:sz w:val="21"/>
              </w:rPr>
            </w:pPr>
          </w:p>
          <w:p w14:paraId="02DFED83">
            <w:pPr>
              <w:pStyle w:val="6"/>
              <w:spacing w:before="68" w:line="221" w:lineRule="auto"/>
              <w:ind w:left="301"/>
            </w:pPr>
            <w:r>
              <w:rPr>
                <w:spacing w:val="-2"/>
              </w:rPr>
              <w:t>导线排列方式</w:t>
            </w:r>
          </w:p>
        </w:tc>
        <w:tc>
          <w:tcPr>
            <w:tcW w:w="2125" w:type="dxa"/>
            <w:vAlign w:val="top"/>
          </w:tcPr>
          <w:p w14:paraId="37B9964C">
            <w:pPr>
              <w:spacing w:before="250" w:line="186" w:lineRule="auto"/>
              <w:ind w:left="991"/>
              <w:rPr>
                <w:rFonts w:ascii="Times New Roman" w:hAnsi="Times New Roman" w:eastAsia="Times New Roman" w:cs="Times New Roman"/>
                <w:sz w:val="21"/>
                <w:szCs w:val="21"/>
              </w:rPr>
            </w:pPr>
            <w:r>
              <w:rPr>
                <w:rFonts w:ascii="Times New Roman" w:hAnsi="Times New Roman" w:eastAsia="Times New Roman" w:cs="Times New Roman"/>
                <w:sz w:val="21"/>
                <w:szCs w:val="21"/>
              </w:rPr>
              <w:t>B</w:t>
            </w:r>
          </w:p>
          <w:p w14:paraId="4BC29E19">
            <w:pPr>
              <w:spacing w:before="121" w:line="189" w:lineRule="auto"/>
              <w:ind w:left="7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A</w:t>
            </w:r>
            <w:r>
              <w:rPr>
                <w:rFonts w:ascii="Times New Roman" w:hAnsi="Times New Roman" w:eastAsia="Times New Roman" w:cs="Times New Roman"/>
                <w:spacing w:val="9"/>
                <w:sz w:val="21"/>
                <w:szCs w:val="21"/>
              </w:rPr>
              <w:t xml:space="preserve">     </w:t>
            </w:r>
            <w:r>
              <w:rPr>
                <w:rFonts w:ascii="Times New Roman" w:hAnsi="Times New Roman" w:eastAsia="Times New Roman" w:cs="Times New Roman"/>
                <w:spacing w:val="-1"/>
                <w:sz w:val="21"/>
                <w:szCs w:val="21"/>
              </w:rPr>
              <w:t>C</w:t>
            </w:r>
          </w:p>
        </w:tc>
        <w:tc>
          <w:tcPr>
            <w:tcW w:w="2551" w:type="dxa"/>
            <w:vAlign w:val="top"/>
          </w:tcPr>
          <w:p w14:paraId="07F68BC3">
            <w:pPr>
              <w:spacing w:before="91" w:line="189" w:lineRule="auto"/>
              <w:ind w:left="1200"/>
              <w:rPr>
                <w:rFonts w:ascii="Times New Roman" w:hAnsi="Times New Roman" w:eastAsia="Times New Roman" w:cs="Times New Roman"/>
                <w:sz w:val="21"/>
                <w:szCs w:val="21"/>
              </w:rPr>
            </w:pPr>
            <w:r>
              <w:rPr>
                <w:rFonts w:ascii="Times New Roman" w:hAnsi="Times New Roman" w:eastAsia="Times New Roman" w:cs="Times New Roman"/>
                <w:sz w:val="21"/>
                <w:szCs w:val="21"/>
              </w:rPr>
              <w:t>A</w:t>
            </w:r>
          </w:p>
          <w:p w14:paraId="2BFAF9A9">
            <w:pPr>
              <w:spacing w:before="121" w:line="189" w:lineRule="auto"/>
              <w:ind w:left="1210"/>
              <w:rPr>
                <w:rFonts w:ascii="Times New Roman" w:hAnsi="Times New Roman" w:eastAsia="Times New Roman" w:cs="Times New Roman"/>
                <w:sz w:val="21"/>
                <w:szCs w:val="21"/>
              </w:rPr>
            </w:pPr>
            <w:r>
              <w:rPr>
                <w:rFonts w:ascii="Times New Roman" w:hAnsi="Times New Roman" w:eastAsia="Times New Roman" w:cs="Times New Roman"/>
                <w:sz w:val="21"/>
                <w:szCs w:val="21"/>
              </w:rPr>
              <w:t>C</w:t>
            </w:r>
          </w:p>
          <w:p w14:paraId="7ADFF08D">
            <w:pPr>
              <w:spacing w:before="125" w:line="186" w:lineRule="auto"/>
              <w:ind w:left="1206"/>
              <w:rPr>
                <w:rFonts w:ascii="Times New Roman" w:hAnsi="Times New Roman" w:eastAsia="Times New Roman" w:cs="Times New Roman"/>
                <w:sz w:val="21"/>
                <w:szCs w:val="21"/>
              </w:rPr>
            </w:pPr>
            <w:r>
              <w:rPr>
                <w:rFonts w:ascii="Times New Roman" w:hAnsi="Times New Roman" w:eastAsia="Times New Roman" w:cs="Times New Roman"/>
                <w:sz w:val="21"/>
                <w:szCs w:val="21"/>
              </w:rPr>
              <w:t>B</w:t>
            </w:r>
          </w:p>
        </w:tc>
        <w:tc>
          <w:tcPr>
            <w:tcW w:w="2550" w:type="dxa"/>
            <w:vAlign w:val="top"/>
          </w:tcPr>
          <w:p w14:paraId="61D53DDB">
            <w:pPr>
              <w:spacing w:before="91" w:line="189" w:lineRule="auto"/>
              <w:ind w:left="9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A</w:t>
            </w:r>
            <w:r>
              <w:rPr>
                <w:rFonts w:ascii="Times New Roman" w:hAnsi="Times New Roman" w:eastAsia="Times New Roman" w:cs="Times New Roman"/>
                <w:spacing w:val="14"/>
                <w:w w:val="101"/>
                <w:sz w:val="21"/>
                <w:szCs w:val="21"/>
              </w:rPr>
              <w:t xml:space="preserve">   </w:t>
            </w:r>
            <w:r>
              <w:rPr>
                <w:rFonts w:ascii="Times New Roman" w:hAnsi="Times New Roman" w:eastAsia="Times New Roman" w:cs="Times New Roman"/>
                <w:spacing w:val="-1"/>
                <w:sz w:val="21"/>
                <w:szCs w:val="21"/>
              </w:rPr>
              <w:t>B1</w:t>
            </w:r>
          </w:p>
          <w:p w14:paraId="3BC21053">
            <w:pPr>
              <w:spacing w:before="120" w:line="233" w:lineRule="auto"/>
              <w:ind w:left="97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C    A1</w:t>
            </w:r>
          </w:p>
          <w:p w14:paraId="5A7EB303">
            <w:pPr>
              <w:spacing w:before="78" w:line="214" w:lineRule="auto"/>
              <w:ind w:left="97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B</w:t>
            </w:r>
            <w:r>
              <w:rPr>
                <w:rFonts w:ascii="Times New Roman" w:hAnsi="Times New Roman" w:eastAsia="Times New Roman" w:cs="Times New Roman"/>
                <w:spacing w:val="1"/>
                <w:sz w:val="21"/>
                <w:szCs w:val="21"/>
              </w:rPr>
              <w:t xml:space="preserve">    </w:t>
            </w:r>
            <w:r>
              <w:rPr>
                <w:rFonts w:ascii="Times New Roman" w:hAnsi="Times New Roman" w:eastAsia="Times New Roman" w:cs="Times New Roman"/>
                <w:spacing w:val="-3"/>
                <w:sz w:val="21"/>
                <w:szCs w:val="21"/>
              </w:rPr>
              <w:t>C1</w:t>
            </w:r>
          </w:p>
        </w:tc>
      </w:tr>
      <w:tr w14:paraId="3F0F7F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9" w:hRule="atLeast"/>
        </w:trPr>
        <w:tc>
          <w:tcPr>
            <w:tcW w:w="1842" w:type="dxa"/>
            <w:gridSpan w:val="2"/>
            <w:vAlign w:val="top"/>
          </w:tcPr>
          <w:p w14:paraId="7BD51972">
            <w:pPr>
              <w:spacing w:line="304" w:lineRule="auto"/>
              <w:rPr>
                <w:rFonts w:ascii="Arial"/>
                <w:sz w:val="21"/>
              </w:rPr>
            </w:pPr>
          </w:p>
          <w:p w14:paraId="08012AB4">
            <w:pPr>
              <w:spacing w:line="304" w:lineRule="auto"/>
              <w:rPr>
                <w:rFonts w:ascii="Arial"/>
                <w:sz w:val="21"/>
              </w:rPr>
            </w:pPr>
          </w:p>
          <w:p w14:paraId="7F142E7D">
            <w:pPr>
              <w:pStyle w:val="6"/>
              <w:spacing w:before="68" w:line="221" w:lineRule="auto"/>
              <w:ind w:left="510"/>
            </w:pPr>
            <w:r>
              <w:rPr>
                <w:spacing w:val="-3"/>
              </w:rPr>
              <w:t>导线坐标</w:t>
            </w:r>
          </w:p>
        </w:tc>
        <w:tc>
          <w:tcPr>
            <w:tcW w:w="2125" w:type="dxa"/>
            <w:vAlign w:val="top"/>
          </w:tcPr>
          <w:p w14:paraId="27FCC747">
            <w:pPr>
              <w:spacing w:line="296" w:lineRule="auto"/>
              <w:rPr>
                <w:rFonts w:ascii="Arial"/>
                <w:sz w:val="21"/>
              </w:rPr>
            </w:pPr>
          </w:p>
          <w:p w14:paraId="124254FB">
            <w:pPr>
              <w:pStyle w:val="6"/>
              <w:spacing w:before="68" w:line="279" w:lineRule="auto"/>
              <w:ind w:left="416" w:right="328" w:hanging="89"/>
              <w:jc w:val="right"/>
            </w:pPr>
            <w:r>
              <w:rPr>
                <w:rFonts w:ascii="Times New Roman" w:hAnsi="Times New Roman" w:eastAsia="Times New Roman" w:cs="Times New Roman"/>
                <w:spacing w:val="-12"/>
              </w:rPr>
              <w:t>A</w:t>
            </w:r>
            <w:r>
              <w:rPr>
                <w:spacing w:val="-12"/>
              </w:rPr>
              <w:t>（</w:t>
            </w:r>
            <w:r>
              <w:rPr>
                <w:rFonts w:ascii="Times New Roman" w:hAnsi="Times New Roman" w:eastAsia="Times New Roman" w:cs="Times New Roman"/>
                <w:spacing w:val="-12"/>
              </w:rPr>
              <w:t>-6.8</w:t>
            </w:r>
            <w:r>
              <w:rPr>
                <w:rFonts w:ascii="Times New Roman" w:hAnsi="Times New Roman" w:eastAsia="Times New Roman" w:cs="Times New Roman"/>
                <w:spacing w:val="-27"/>
              </w:rPr>
              <w:t xml:space="preserve"> </w:t>
            </w:r>
            <w:r>
              <w:rPr>
                <w:spacing w:val="-12"/>
              </w:rPr>
              <w:t>，</w:t>
            </w:r>
            <w:r>
              <w:rPr>
                <w:rFonts w:ascii="Times New Roman" w:hAnsi="Times New Roman" w:eastAsia="Times New Roman" w:cs="Times New Roman"/>
                <w:spacing w:val="-12"/>
              </w:rPr>
              <w:t>h</w:t>
            </w:r>
            <w:r>
              <w:rPr>
                <w:spacing w:val="-12"/>
              </w:rPr>
              <w:t>）、</w:t>
            </w:r>
            <w:r>
              <w:rPr>
                <w:rFonts w:ascii="Times New Roman" w:hAnsi="Times New Roman" w:eastAsia="Times New Roman" w:cs="Times New Roman"/>
                <w:spacing w:val="-12"/>
              </w:rPr>
              <w:t>B</w:t>
            </w:r>
            <w:r>
              <w:rPr>
                <w:rFonts w:ascii="Times New Roman" w:hAnsi="Times New Roman" w:eastAsia="Times New Roman" w:cs="Times New Roman"/>
              </w:rPr>
              <w:t xml:space="preserve"> </w:t>
            </w:r>
            <w:r>
              <w:rPr>
                <w:spacing w:val="-16"/>
              </w:rPr>
              <w:t>（</w:t>
            </w:r>
            <w:r>
              <w:rPr>
                <w:rFonts w:ascii="Times New Roman" w:hAnsi="Times New Roman" w:eastAsia="Times New Roman" w:cs="Times New Roman"/>
                <w:spacing w:val="-16"/>
              </w:rPr>
              <w:t>0</w:t>
            </w:r>
            <w:r>
              <w:rPr>
                <w:rFonts w:ascii="Times New Roman" w:hAnsi="Times New Roman" w:eastAsia="Times New Roman" w:cs="Times New Roman"/>
                <w:spacing w:val="-27"/>
              </w:rPr>
              <w:t xml:space="preserve"> </w:t>
            </w:r>
            <w:r>
              <w:rPr>
                <w:spacing w:val="-16"/>
              </w:rPr>
              <w:t>，</w:t>
            </w:r>
            <w:r>
              <w:rPr>
                <w:rFonts w:ascii="Times New Roman" w:hAnsi="Times New Roman" w:eastAsia="Times New Roman" w:cs="Times New Roman"/>
                <w:spacing w:val="-16"/>
              </w:rPr>
              <w:t>h+5</w:t>
            </w:r>
            <w:r>
              <w:rPr>
                <w:spacing w:val="-16"/>
              </w:rPr>
              <w:t>）、</w:t>
            </w:r>
            <w:r>
              <w:rPr>
                <w:rFonts w:ascii="Times New Roman" w:hAnsi="Times New Roman" w:eastAsia="Times New Roman" w:cs="Times New Roman"/>
                <w:spacing w:val="-16"/>
              </w:rPr>
              <w:t>C</w:t>
            </w:r>
            <w:r>
              <w:rPr>
                <w:rFonts w:ascii="Times New Roman" w:hAnsi="Times New Roman" w:eastAsia="Times New Roman" w:cs="Times New Roman"/>
              </w:rPr>
              <w:t xml:space="preserve"> </w:t>
            </w:r>
            <w:r>
              <w:rPr>
                <w:spacing w:val="-6"/>
              </w:rPr>
              <w:t>（</w:t>
            </w:r>
            <w:r>
              <w:rPr>
                <w:rFonts w:ascii="Times New Roman" w:hAnsi="Times New Roman" w:eastAsia="Times New Roman" w:cs="Times New Roman"/>
                <w:spacing w:val="-6"/>
              </w:rPr>
              <w:t>6.1</w:t>
            </w:r>
            <w:r>
              <w:rPr>
                <w:rFonts w:ascii="Times New Roman" w:hAnsi="Times New Roman" w:eastAsia="Times New Roman" w:cs="Times New Roman"/>
                <w:spacing w:val="-24"/>
              </w:rPr>
              <w:t xml:space="preserve"> </w:t>
            </w:r>
            <w:r>
              <w:rPr>
                <w:spacing w:val="-6"/>
              </w:rPr>
              <w:t>，</w:t>
            </w:r>
            <w:r>
              <w:rPr>
                <w:rFonts w:ascii="Times New Roman" w:hAnsi="Times New Roman" w:eastAsia="Times New Roman" w:cs="Times New Roman"/>
                <w:spacing w:val="-6"/>
              </w:rPr>
              <w:t>h</w:t>
            </w:r>
            <w:r>
              <w:rPr>
                <w:spacing w:val="-6"/>
              </w:rPr>
              <w:t>）</w:t>
            </w:r>
          </w:p>
        </w:tc>
        <w:tc>
          <w:tcPr>
            <w:tcW w:w="2551" w:type="dxa"/>
            <w:vAlign w:val="top"/>
          </w:tcPr>
          <w:p w14:paraId="5FA91892">
            <w:pPr>
              <w:spacing w:line="452" w:lineRule="auto"/>
              <w:rPr>
                <w:rFonts w:ascii="Arial"/>
                <w:sz w:val="21"/>
              </w:rPr>
            </w:pPr>
          </w:p>
          <w:p w14:paraId="36320D92">
            <w:pPr>
              <w:pStyle w:val="6"/>
              <w:spacing w:before="68" w:line="281" w:lineRule="auto"/>
              <w:ind w:left="135" w:right="130" w:firstLine="61"/>
            </w:pPr>
            <w:r>
              <w:rPr>
                <w:rFonts w:ascii="Times New Roman" w:hAnsi="Times New Roman" w:eastAsia="Times New Roman" w:cs="Times New Roman"/>
                <w:spacing w:val="-9"/>
              </w:rPr>
              <w:t>A</w:t>
            </w:r>
            <w:r>
              <w:rPr>
                <w:spacing w:val="-9"/>
              </w:rPr>
              <w:t>（</w:t>
            </w:r>
            <w:r>
              <w:rPr>
                <w:rFonts w:ascii="Times New Roman" w:hAnsi="Times New Roman" w:eastAsia="Times New Roman" w:cs="Times New Roman"/>
                <w:spacing w:val="-9"/>
              </w:rPr>
              <w:t>6.8</w:t>
            </w:r>
            <w:r>
              <w:rPr>
                <w:rFonts w:ascii="Times New Roman" w:hAnsi="Times New Roman" w:eastAsia="Times New Roman" w:cs="Times New Roman"/>
                <w:spacing w:val="-23"/>
              </w:rPr>
              <w:t xml:space="preserve"> </w:t>
            </w:r>
            <w:r>
              <w:rPr>
                <w:spacing w:val="-9"/>
              </w:rPr>
              <w:t>，</w:t>
            </w:r>
            <w:r>
              <w:rPr>
                <w:rFonts w:ascii="Times New Roman" w:hAnsi="Times New Roman" w:eastAsia="Times New Roman" w:cs="Times New Roman"/>
                <w:spacing w:val="-9"/>
              </w:rPr>
              <w:t>h+6.4+7.</w:t>
            </w:r>
            <w:r>
              <w:rPr>
                <w:rFonts w:ascii="Times New Roman" w:hAnsi="Times New Roman" w:eastAsia="Times New Roman" w:cs="Times New Roman"/>
                <w:spacing w:val="-27"/>
              </w:rPr>
              <w:t xml:space="preserve"> </w:t>
            </w:r>
            <w:r>
              <w:rPr>
                <w:rFonts w:ascii="Times New Roman" w:hAnsi="Times New Roman" w:eastAsia="Times New Roman" w:cs="Times New Roman"/>
                <w:spacing w:val="-9"/>
              </w:rPr>
              <w:t>1</w:t>
            </w:r>
            <w:r>
              <w:rPr>
                <w:spacing w:val="-9"/>
              </w:rPr>
              <w:t>）、</w:t>
            </w:r>
            <w:r>
              <w:rPr>
                <w:rFonts w:ascii="Times New Roman" w:hAnsi="Times New Roman" w:eastAsia="Times New Roman" w:cs="Times New Roman"/>
                <w:spacing w:val="-9"/>
              </w:rPr>
              <w:t>B</w:t>
            </w:r>
            <w:r>
              <w:rPr>
                <w:rFonts w:ascii="Times New Roman" w:hAnsi="Times New Roman" w:eastAsia="Times New Roman" w:cs="Times New Roman"/>
              </w:rPr>
              <w:t xml:space="preserve"> </w:t>
            </w:r>
            <w:r>
              <w:rPr>
                <w:spacing w:val="-12"/>
              </w:rPr>
              <w:t>（</w:t>
            </w:r>
            <w:r>
              <w:rPr>
                <w:rFonts w:ascii="Times New Roman" w:hAnsi="Times New Roman" w:eastAsia="Times New Roman" w:cs="Times New Roman"/>
                <w:spacing w:val="-12"/>
              </w:rPr>
              <w:t>7</w:t>
            </w:r>
            <w:r>
              <w:rPr>
                <w:rFonts w:ascii="Times New Roman" w:hAnsi="Times New Roman" w:eastAsia="Times New Roman" w:cs="Times New Roman"/>
                <w:spacing w:val="-19"/>
              </w:rPr>
              <w:t xml:space="preserve"> </w:t>
            </w:r>
            <w:r>
              <w:rPr>
                <w:spacing w:val="-12"/>
              </w:rPr>
              <w:t>，</w:t>
            </w:r>
            <w:r>
              <w:rPr>
                <w:rFonts w:ascii="Times New Roman" w:hAnsi="Times New Roman" w:eastAsia="Times New Roman" w:cs="Times New Roman"/>
                <w:spacing w:val="-12"/>
              </w:rPr>
              <w:t>h</w:t>
            </w:r>
            <w:r>
              <w:rPr>
                <w:spacing w:val="-12"/>
              </w:rPr>
              <w:t>）、</w:t>
            </w:r>
            <w:r>
              <w:rPr>
                <w:rFonts w:ascii="Times New Roman" w:hAnsi="Times New Roman" w:eastAsia="Times New Roman" w:cs="Times New Roman"/>
                <w:spacing w:val="-12"/>
              </w:rPr>
              <w:t>C</w:t>
            </w:r>
            <w:r>
              <w:rPr>
                <w:spacing w:val="-12"/>
              </w:rPr>
              <w:t>（</w:t>
            </w:r>
            <w:r>
              <w:rPr>
                <w:rFonts w:ascii="Times New Roman" w:hAnsi="Times New Roman" w:eastAsia="Times New Roman" w:cs="Times New Roman"/>
                <w:spacing w:val="-12"/>
              </w:rPr>
              <w:t>8</w:t>
            </w:r>
            <w:r>
              <w:rPr>
                <w:rFonts w:ascii="Times New Roman" w:hAnsi="Times New Roman" w:eastAsia="Times New Roman" w:cs="Times New Roman"/>
                <w:spacing w:val="-27"/>
              </w:rPr>
              <w:t xml:space="preserve"> </w:t>
            </w:r>
            <w:r>
              <w:rPr>
                <w:spacing w:val="-12"/>
              </w:rPr>
              <w:t>，</w:t>
            </w:r>
            <w:r>
              <w:rPr>
                <w:rFonts w:ascii="Times New Roman" w:hAnsi="Times New Roman" w:eastAsia="Times New Roman" w:cs="Times New Roman"/>
                <w:spacing w:val="-12"/>
              </w:rPr>
              <w:t>h+6.4</w:t>
            </w:r>
            <w:r>
              <w:rPr>
                <w:spacing w:val="-12"/>
              </w:rPr>
              <w:t>）</w:t>
            </w:r>
          </w:p>
        </w:tc>
        <w:tc>
          <w:tcPr>
            <w:tcW w:w="2550" w:type="dxa"/>
            <w:vAlign w:val="top"/>
          </w:tcPr>
          <w:p w14:paraId="446DB57F">
            <w:pPr>
              <w:pStyle w:val="6"/>
              <w:spacing w:before="55" w:line="280" w:lineRule="exact"/>
              <w:ind w:left="238"/>
              <w:rPr>
                <w:rFonts w:ascii="Times New Roman" w:hAnsi="Times New Roman" w:eastAsia="Times New Roman" w:cs="Times New Roman"/>
              </w:rPr>
            </w:pPr>
            <w:r>
              <w:rPr>
                <w:rFonts w:ascii="Times New Roman" w:hAnsi="Times New Roman" w:eastAsia="Times New Roman" w:cs="Times New Roman"/>
                <w:spacing w:val="-9"/>
                <w:position w:val="1"/>
              </w:rPr>
              <w:t>A</w:t>
            </w:r>
            <w:r>
              <w:rPr>
                <w:spacing w:val="-9"/>
                <w:position w:val="1"/>
              </w:rPr>
              <w:t>（</w:t>
            </w:r>
            <w:r>
              <w:rPr>
                <w:rFonts w:ascii="Times New Roman" w:hAnsi="Times New Roman" w:eastAsia="Times New Roman" w:cs="Times New Roman"/>
                <w:spacing w:val="-9"/>
                <w:position w:val="1"/>
              </w:rPr>
              <w:t>-5</w:t>
            </w:r>
            <w:r>
              <w:rPr>
                <w:rFonts w:ascii="Times New Roman" w:hAnsi="Times New Roman" w:eastAsia="Times New Roman" w:cs="Times New Roman"/>
                <w:spacing w:val="-25"/>
                <w:position w:val="1"/>
              </w:rPr>
              <w:t xml:space="preserve"> </w:t>
            </w:r>
            <w:r>
              <w:rPr>
                <w:spacing w:val="-9"/>
                <w:position w:val="1"/>
              </w:rPr>
              <w:t>，</w:t>
            </w:r>
            <w:r>
              <w:rPr>
                <w:rFonts w:ascii="Times New Roman" w:hAnsi="Times New Roman" w:eastAsia="Times New Roman" w:cs="Times New Roman"/>
                <w:spacing w:val="-9"/>
                <w:position w:val="1"/>
              </w:rPr>
              <w:t>h+6.4+7.</w:t>
            </w:r>
            <w:r>
              <w:rPr>
                <w:rFonts w:ascii="Times New Roman" w:hAnsi="Times New Roman" w:eastAsia="Times New Roman" w:cs="Times New Roman"/>
                <w:spacing w:val="-30"/>
                <w:position w:val="1"/>
              </w:rPr>
              <w:t xml:space="preserve"> </w:t>
            </w:r>
            <w:r>
              <w:rPr>
                <w:rFonts w:ascii="Times New Roman" w:hAnsi="Times New Roman" w:eastAsia="Times New Roman" w:cs="Times New Roman"/>
                <w:spacing w:val="-9"/>
                <w:position w:val="1"/>
              </w:rPr>
              <w:t>1</w:t>
            </w:r>
            <w:r>
              <w:rPr>
                <w:spacing w:val="-9"/>
                <w:position w:val="1"/>
              </w:rPr>
              <w:t>）、</w:t>
            </w:r>
            <w:r>
              <w:rPr>
                <w:rFonts w:ascii="Times New Roman" w:hAnsi="Times New Roman" w:eastAsia="Times New Roman" w:cs="Times New Roman"/>
                <w:spacing w:val="-9"/>
                <w:position w:val="1"/>
              </w:rPr>
              <w:t>B</w:t>
            </w:r>
          </w:p>
          <w:p w14:paraId="7AE97E19">
            <w:pPr>
              <w:pStyle w:val="6"/>
              <w:spacing w:before="32" w:line="279" w:lineRule="exact"/>
              <w:ind w:left="253"/>
            </w:pPr>
            <w:r>
              <w:rPr>
                <w:spacing w:val="-9"/>
                <w:position w:val="1"/>
              </w:rPr>
              <w:t>（</w:t>
            </w:r>
            <w:r>
              <w:rPr>
                <w:rFonts w:ascii="Times New Roman" w:hAnsi="Times New Roman" w:eastAsia="Times New Roman" w:cs="Times New Roman"/>
                <w:spacing w:val="-9"/>
                <w:position w:val="1"/>
              </w:rPr>
              <w:t>-5.2</w:t>
            </w:r>
            <w:r>
              <w:rPr>
                <w:rFonts w:ascii="Times New Roman" w:hAnsi="Times New Roman" w:eastAsia="Times New Roman" w:cs="Times New Roman"/>
                <w:spacing w:val="-27"/>
                <w:position w:val="1"/>
              </w:rPr>
              <w:t xml:space="preserve"> </w:t>
            </w:r>
            <w:r>
              <w:rPr>
                <w:spacing w:val="-9"/>
                <w:position w:val="1"/>
              </w:rPr>
              <w:t>，</w:t>
            </w:r>
            <w:r>
              <w:rPr>
                <w:rFonts w:ascii="Times New Roman" w:hAnsi="Times New Roman" w:eastAsia="Times New Roman" w:cs="Times New Roman"/>
                <w:spacing w:val="-9"/>
                <w:position w:val="1"/>
              </w:rPr>
              <w:t>h</w:t>
            </w:r>
            <w:r>
              <w:rPr>
                <w:spacing w:val="-9"/>
                <w:position w:val="1"/>
              </w:rPr>
              <w:t>）、</w:t>
            </w:r>
            <w:r>
              <w:rPr>
                <w:rFonts w:ascii="Times New Roman" w:hAnsi="Times New Roman" w:eastAsia="Times New Roman" w:cs="Times New Roman"/>
                <w:spacing w:val="-9"/>
                <w:position w:val="1"/>
              </w:rPr>
              <w:t>C</w:t>
            </w:r>
            <w:r>
              <w:rPr>
                <w:spacing w:val="-9"/>
                <w:position w:val="1"/>
              </w:rPr>
              <w:t>（</w:t>
            </w:r>
            <w:r>
              <w:rPr>
                <w:rFonts w:ascii="Times New Roman" w:hAnsi="Times New Roman" w:eastAsia="Times New Roman" w:cs="Times New Roman"/>
                <w:spacing w:val="-9"/>
                <w:position w:val="1"/>
              </w:rPr>
              <w:t>-6.2</w:t>
            </w:r>
            <w:r>
              <w:rPr>
                <w:spacing w:val="-9"/>
                <w:position w:val="1"/>
              </w:rPr>
              <w:t>，</w:t>
            </w:r>
          </w:p>
          <w:p w14:paraId="705B2505">
            <w:pPr>
              <w:pStyle w:val="6"/>
              <w:spacing w:before="32" w:line="280" w:lineRule="exact"/>
              <w:ind w:left="480"/>
            </w:pPr>
            <w:r>
              <w:rPr>
                <w:rFonts w:ascii="Times New Roman" w:hAnsi="Times New Roman" w:eastAsia="Times New Roman" w:cs="Times New Roman"/>
                <w:spacing w:val="-9"/>
                <w:position w:val="1"/>
              </w:rPr>
              <w:t>h+6.4</w:t>
            </w:r>
            <w:r>
              <w:rPr>
                <w:spacing w:val="-9"/>
                <w:position w:val="1"/>
              </w:rPr>
              <w:t>）、</w:t>
            </w:r>
            <w:r>
              <w:rPr>
                <w:rFonts w:ascii="Times New Roman" w:hAnsi="Times New Roman" w:eastAsia="Times New Roman" w:cs="Times New Roman"/>
                <w:spacing w:val="-9"/>
                <w:position w:val="1"/>
              </w:rPr>
              <w:t>A1</w:t>
            </w:r>
            <w:r>
              <w:rPr>
                <w:spacing w:val="-9"/>
                <w:position w:val="1"/>
              </w:rPr>
              <w:t>（</w:t>
            </w:r>
            <w:r>
              <w:rPr>
                <w:rFonts w:ascii="Times New Roman" w:hAnsi="Times New Roman" w:eastAsia="Times New Roman" w:cs="Times New Roman"/>
                <w:spacing w:val="-9"/>
                <w:position w:val="1"/>
              </w:rPr>
              <w:t>8</w:t>
            </w:r>
            <w:r>
              <w:rPr>
                <w:spacing w:val="-9"/>
                <w:position w:val="1"/>
              </w:rPr>
              <w:t>，</w:t>
            </w:r>
          </w:p>
          <w:p w14:paraId="490C2F72">
            <w:pPr>
              <w:pStyle w:val="6"/>
              <w:spacing w:before="32" w:line="279" w:lineRule="exact"/>
              <w:ind w:left="408"/>
            </w:pPr>
            <w:r>
              <w:rPr>
                <w:rFonts w:ascii="Times New Roman" w:hAnsi="Times New Roman" w:eastAsia="Times New Roman" w:cs="Times New Roman"/>
                <w:spacing w:val="-8"/>
                <w:position w:val="1"/>
              </w:rPr>
              <w:t>h+6.4</w:t>
            </w:r>
            <w:r>
              <w:rPr>
                <w:spacing w:val="-8"/>
                <w:position w:val="1"/>
              </w:rPr>
              <w:t>）、</w:t>
            </w:r>
            <w:r>
              <w:rPr>
                <w:rFonts w:ascii="Times New Roman" w:hAnsi="Times New Roman" w:eastAsia="Times New Roman" w:cs="Times New Roman"/>
                <w:spacing w:val="-8"/>
                <w:position w:val="1"/>
              </w:rPr>
              <w:t>B1</w:t>
            </w:r>
            <w:r>
              <w:rPr>
                <w:spacing w:val="-8"/>
                <w:position w:val="1"/>
              </w:rPr>
              <w:t>（</w:t>
            </w:r>
            <w:r>
              <w:rPr>
                <w:rFonts w:ascii="Times New Roman" w:hAnsi="Times New Roman" w:eastAsia="Times New Roman" w:cs="Times New Roman"/>
                <w:spacing w:val="-8"/>
                <w:position w:val="1"/>
              </w:rPr>
              <w:t>6.8</w:t>
            </w:r>
            <w:r>
              <w:rPr>
                <w:spacing w:val="-8"/>
                <w:position w:val="1"/>
              </w:rPr>
              <w:t>，</w:t>
            </w:r>
          </w:p>
          <w:p w14:paraId="0C309E9D">
            <w:pPr>
              <w:pStyle w:val="6"/>
              <w:spacing w:before="33" w:line="224" w:lineRule="auto"/>
              <w:ind w:left="137"/>
            </w:pPr>
            <w:r>
              <w:rPr>
                <w:rFonts w:ascii="Times New Roman" w:hAnsi="Times New Roman" w:eastAsia="Times New Roman" w:cs="Times New Roman"/>
                <w:spacing w:val="-9"/>
              </w:rPr>
              <w:t>h+6.4+7.</w:t>
            </w:r>
            <w:r>
              <w:rPr>
                <w:rFonts w:ascii="Times New Roman" w:hAnsi="Times New Roman" w:eastAsia="Times New Roman" w:cs="Times New Roman"/>
                <w:spacing w:val="-19"/>
              </w:rPr>
              <w:t xml:space="preserve"> </w:t>
            </w:r>
            <w:r>
              <w:rPr>
                <w:rFonts w:ascii="Times New Roman" w:hAnsi="Times New Roman" w:eastAsia="Times New Roman" w:cs="Times New Roman"/>
                <w:spacing w:val="-9"/>
              </w:rPr>
              <w:t>1</w:t>
            </w:r>
            <w:r>
              <w:rPr>
                <w:spacing w:val="-9"/>
              </w:rPr>
              <w:t>）、</w:t>
            </w:r>
            <w:r>
              <w:rPr>
                <w:rFonts w:ascii="Times New Roman" w:hAnsi="Times New Roman" w:eastAsia="Times New Roman" w:cs="Times New Roman"/>
                <w:spacing w:val="-9"/>
              </w:rPr>
              <w:t>C1</w:t>
            </w:r>
            <w:r>
              <w:rPr>
                <w:spacing w:val="-9"/>
              </w:rPr>
              <w:t>（</w:t>
            </w:r>
            <w:r>
              <w:rPr>
                <w:rFonts w:ascii="Times New Roman" w:hAnsi="Times New Roman" w:eastAsia="Times New Roman" w:cs="Times New Roman"/>
                <w:spacing w:val="-9"/>
              </w:rPr>
              <w:t>7</w:t>
            </w:r>
            <w:r>
              <w:rPr>
                <w:rFonts w:ascii="Times New Roman" w:hAnsi="Times New Roman" w:eastAsia="Times New Roman" w:cs="Times New Roman"/>
                <w:spacing w:val="-29"/>
              </w:rPr>
              <w:t xml:space="preserve"> </w:t>
            </w:r>
            <w:r>
              <w:rPr>
                <w:spacing w:val="-9"/>
              </w:rPr>
              <w:t>，</w:t>
            </w:r>
            <w:r>
              <w:rPr>
                <w:rFonts w:ascii="Times New Roman" w:hAnsi="Times New Roman" w:eastAsia="Times New Roman" w:cs="Times New Roman"/>
                <w:spacing w:val="-9"/>
              </w:rPr>
              <w:t>h</w:t>
            </w:r>
            <w:r>
              <w:rPr>
                <w:spacing w:val="-9"/>
              </w:rPr>
              <w:t>）</w:t>
            </w:r>
          </w:p>
        </w:tc>
      </w:tr>
    </w:tbl>
    <w:p w14:paraId="3497080B">
      <w:pPr>
        <w:spacing w:line="293" w:lineRule="auto"/>
        <w:rPr>
          <w:rFonts w:ascii="Arial"/>
          <w:sz w:val="21"/>
        </w:rPr>
      </w:pPr>
    </w:p>
    <w:p w14:paraId="7C19966C">
      <w:pPr>
        <w:spacing w:before="69" w:line="229" w:lineRule="auto"/>
        <w:ind w:left="2671"/>
        <w:rPr>
          <w:rFonts w:ascii="宋体" w:hAnsi="宋体" w:eastAsia="宋体" w:cs="宋体"/>
          <w:sz w:val="21"/>
          <w:szCs w:val="21"/>
        </w:rPr>
      </w:pPr>
      <w:r>
        <w:rPr>
          <w:rFonts w:ascii="宋体" w:hAnsi="宋体" w:eastAsia="宋体" w:cs="宋体"/>
          <w:b/>
          <w:bCs/>
          <w:spacing w:val="-3"/>
          <w:sz w:val="21"/>
          <w:szCs w:val="21"/>
        </w:rPr>
        <w:t>表</w:t>
      </w:r>
      <w:r>
        <w:rPr>
          <w:rFonts w:ascii="宋体" w:hAnsi="宋体" w:eastAsia="宋体" w:cs="宋体"/>
          <w:spacing w:val="-37"/>
          <w:sz w:val="21"/>
          <w:szCs w:val="21"/>
        </w:rPr>
        <w:t xml:space="preserve"> </w:t>
      </w:r>
      <w:r>
        <w:rPr>
          <w:rFonts w:ascii="Times New Roman" w:hAnsi="Times New Roman" w:eastAsia="Times New Roman" w:cs="Times New Roman"/>
          <w:b/>
          <w:bCs/>
          <w:spacing w:val="-3"/>
          <w:sz w:val="21"/>
          <w:szCs w:val="21"/>
        </w:rPr>
        <w:t>4-2    DE</w:t>
      </w:r>
      <w:r>
        <w:rPr>
          <w:rFonts w:ascii="Times New Roman" w:hAnsi="Times New Roman" w:eastAsia="Times New Roman" w:cs="Times New Roman"/>
          <w:b/>
          <w:bCs/>
          <w:spacing w:val="28"/>
          <w:sz w:val="21"/>
          <w:szCs w:val="21"/>
        </w:rPr>
        <w:t xml:space="preserve"> </w:t>
      </w:r>
      <w:r>
        <w:rPr>
          <w:rFonts w:ascii="宋体" w:hAnsi="宋体" w:eastAsia="宋体" w:cs="宋体"/>
          <w:b/>
          <w:bCs/>
          <w:spacing w:val="-3"/>
          <w:sz w:val="21"/>
          <w:szCs w:val="21"/>
        </w:rPr>
        <w:t>回电磁环境模式预测参数表</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07"/>
        <w:gridCol w:w="1135"/>
        <w:gridCol w:w="7226"/>
      </w:tblGrid>
      <w:tr w14:paraId="52EED0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842" w:type="dxa"/>
            <w:gridSpan w:val="2"/>
            <w:vAlign w:val="top"/>
          </w:tcPr>
          <w:p w14:paraId="0EB1D3F1">
            <w:pPr>
              <w:pStyle w:val="6"/>
              <w:spacing w:before="57" w:line="221" w:lineRule="auto"/>
              <w:ind w:left="507"/>
            </w:pPr>
            <w:r>
              <w:rPr>
                <w:b/>
                <w:bCs/>
                <w:spacing w:val="-4"/>
              </w:rPr>
              <w:t>线路参数</w:t>
            </w:r>
          </w:p>
        </w:tc>
        <w:tc>
          <w:tcPr>
            <w:tcW w:w="7226" w:type="dxa"/>
            <w:vAlign w:val="top"/>
          </w:tcPr>
          <w:p w14:paraId="7B02F1CB">
            <w:pPr>
              <w:pStyle w:val="6"/>
              <w:spacing w:before="58" w:line="224" w:lineRule="auto"/>
              <w:ind w:left="2872"/>
            </w:pPr>
            <w:r>
              <w:rPr>
                <w:rFonts w:ascii="Times New Roman" w:hAnsi="Times New Roman" w:eastAsia="Times New Roman" w:cs="Times New Roman"/>
                <w:b/>
                <w:bCs/>
                <w:spacing w:val="-1"/>
              </w:rPr>
              <w:t xml:space="preserve">220kV </w:t>
            </w:r>
            <w:r>
              <w:rPr>
                <w:b/>
                <w:bCs/>
                <w:spacing w:val="-1"/>
              </w:rPr>
              <w:t>输电线路</w:t>
            </w:r>
          </w:p>
        </w:tc>
      </w:tr>
      <w:tr w14:paraId="64F985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707" w:type="dxa"/>
            <w:vMerge w:val="restart"/>
            <w:tcBorders>
              <w:bottom w:val="nil"/>
            </w:tcBorders>
            <w:vAlign w:val="top"/>
          </w:tcPr>
          <w:p w14:paraId="65FBE8D0">
            <w:pPr>
              <w:pStyle w:val="6"/>
              <w:spacing w:before="213" w:line="221" w:lineRule="auto"/>
              <w:ind w:left="155"/>
            </w:pPr>
            <w:r>
              <w:rPr>
                <w:spacing w:val="-3"/>
              </w:rPr>
              <w:t>导线</w:t>
            </w:r>
          </w:p>
        </w:tc>
        <w:tc>
          <w:tcPr>
            <w:tcW w:w="1135" w:type="dxa"/>
            <w:vAlign w:val="top"/>
          </w:tcPr>
          <w:p w14:paraId="5C926A00">
            <w:pPr>
              <w:pStyle w:val="6"/>
              <w:spacing w:before="51" w:line="222" w:lineRule="auto"/>
              <w:ind w:left="365"/>
            </w:pPr>
            <w:r>
              <w:rPr>
                <w:spacing w:val="-4"/>
              </w:rPr>
              <w:t>型号</w:t>
            </w:r>
          </w:p>
        </w:tc>
        <w:tc>
          <w:tcPr>
            <w:tcW w:w="7226" w:type="dxa"/>
            <w:vAlign w:val="top"/>
          </w:tcPr>
          <w:p w14:paraId="1D123510">
            <w:pPr>
              <w:spacing w:before="84" w:line="219" w:lineRule="auto"/>
              <w:ind w:left="28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JL/LB20A-400/50</w:t>
            </w:r>
          </w:p>
        </w:tc>
      </w:tr>
      <w:tr w14:paraId="1D2C75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07" w:type="dxa"/>
            <w:vMerge w:val="continue"/>
            <w:tcBorders>
              <w:top w:val="nil"/>
            </w:tcBorders>
            <w:vAlign w:val="top"/>
          </w:tcPr>
          <w:p w14:paraId="4E5136EA">
            <w:pPr>
              <w:rPr>
                <w:rFonts w:ascii="Arial"/>
                <w:sz w:val="21"/>
              </w:rPr>
            </w:pPr>
          </w:p>
        </w:tc>
        <w:tc>
          <w:tcPr>
            <w:tcW w:w="1135" w:type="dxa"/>
            <w:vAlign w:val="top"/>
          </w:tcPr>
          <w:p w14:paraId="7B80150B">
            <w:pPr>
              <w:pStyle w:val="6"/>
              <w:spacing w:before="53" w:line="222" w:lineRule="auto"/>
              <w:ind w:left="150"/>
            </w:pPr>
            <w:r>
              <w:rPr>
                <w:spacing w:val="-2"/>
              </w:rPr>
              <w:t>排列方式</w:t>
            </w:r>
          </w:p>
        </w:tc>
        <w:tc>
          <w:tcPr>
            <w:tcW w:w="7226" w:type="dxa"/>
            <w:vAlign w:val="top"/>
          </w:tcPr>
          <w:p w14:paraId="4882CDED">
            <w:pPr>
              <w:pStyle w:val="6"/>
              <w:spacing w:before="53" w:line="220" w:lineRule="auto"/>
              <w:ind w:left="1933"/>
            </w:pPr>
            <w:r>
              <w:rPr>
                <w:spacing w:val="-1"/>
              </w:rPr>
              <w:t>单回三角、水平排列，双回垂直排列</w:t>
            </w:r>
          </w:p>
        </w:tc>
      </w:tr>
      <w:tr w14:paraId="1BEBA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5" w:hRule="atLeast"/>
        </w:trPr>
        <w:tc>
          <w:tcPr>
            <w:tcW w:w="1842" w:type="dxa"/>
            <w:gridSpan w:val="2"/>
            <w:vAlign w:val="top"/>
          </w:tcPr>
          <w:p w14:paraId="797BC07D">
            <w:pPr>
              <w:pStyle w:val="6"/>
              <w:spacing w:before="53" w:line="221" w:lineRule="auto"/>
              <w:ind w:left="343"/>
            </w:pPr>
            <w:r>
              <w:rPr>
                <w:spacing w:val="-1"/>
              </w:rPr>
              <w:t>直径（</w:t>
            </w:r>
            <w:r>
              <w:rPr>
                <w:rFonts w:ascii="Times New Roman" w:hAnsi="Times New Roman" w:eastAsia="Times New Roman" w:cs="Times New Roman"/>
                <w:spacing w:val="-1"/>
              </w:rPr>
              <w:t>mm</w:t>
            </w:r>
            <w:r>
              <w:rPr>
                <w:spacing w:val="-1"/>
              </w:rPr>
              <w:t>）</w:t>
            </w:r>
          </w:p>
        </w:tc>
        <w:tc>
          <w:tcPr>
            <w:tcW w:w="7226" w:type="dxa"/>
            <w:vAlign w:val="top"/>
          </w:tcPr>
          <w:p w14:paraId="37091996">
            <w:pPr>
              <w:spacing w:before="89" w:line="214" w:lineRule="auto"/>
              <w:ind w:left="342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27.6</w:t>
            </w:r>
          </w:p>
        </w:tc>
      </w:tr>
      <w:tr w14:paraId="3E7731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842" w:type="dxa"/>
            <w:gridSpan w:val="2"/>
            <w:vAlign w:val="top"/>
          </w:tcPr>
          <w:p w14:paraId="45024344">
            <w:pPr>
              <w:pStyle w:val="6"/>
              <w:spacing w:before="56" w:line="221" w:lineRule="auto"/>
              <w:ind w:left="510"/>
            </w:pPr>
            <w:r>
              <w:rPr>
                <w:spacing w:val="-3"/>
              </w:rPr>
              <w:t>导线分裂</w:t>
            </w:r>
          </w:p>
        </w:tc>
        <w:tc>
          <w:tcPr>
            <w:tcW w:w="7226" w:type="dxa"/>
            <w:vAlign w:val="top"/>
          </w:tcPr>
          <w:p w14:paraId="18F37D17">
            <w:pPr>
              <w:pStyle w:val="6"/>
              <w:spacing w:before="56" w:line="221" w:lineRule="auto"/>
              <w:ind w:left="3299"/>
            </w:pPr>
            <w:r>
              <w:rPr>
                <w:spacing w:val="-3"/>
              </w:rPr>
              <w:t>单分裂</w:t>
            </w:r>
          </w:p>
        </w:tc>
      </w:tr>
    </w:tbl>
    <w:p w14:paraId="610A0EA7">
      <w:pPr>
        <w:rPr>
          <w:rFonts w:ascii="Arial"/>
          <w:sz w:val="21"/>
        </w:rPr>
      </w:pPr>
    </w:p>
    <w:p w14:paraId="282CDB3A">
      <w:pPr>
        <w:rPr>
          <w:rFonts w:ascii="Arial" w:hAnsi="Arial" w:eastAsia="Arial" w:cs="Arial"/>
          <w:sz w:val="21"/>
          <w:szCs w:val="21"/>
        </w:rPr>
        <w:sectPr>
          <w:footerReference r:id="rId101" w:type="default"/>
          <w:pgSz w:w="11907" w:h="16841"/>
          <w:pgMar w:top="400" w:right="1413" w:bottom="1126" w:left="1418" w:header="0" w:footer="925" w:gutter="0"/>
          <w:cols w:space="720" w:num="1"/>
        </w:sectPr>
      </w:pPr>
    </w:p>
    <w:p w14:paraId="17C41C59">
      <w:pPr>
        <w:spacing w:before="2"/>
      </w:pPr>
    </w:p>
    <w:p w14:paraId="460DE189">
      <w:pPr>
        <w:spacing w:before="2"/>
      </w:pPr>
    </w:p>
    <w:p w14:paraId="58CB5CB8">
      <w:pPr>
        <w:spacing w:before="1"/>
      </w:pPr>
    </w:p>
    <w:p w14:paraId="5828AB9E">
      <w:pPr>
        <w:spacing w:before="1"/>
      </w:pPr>
    </w:p>
    <w:p w14:paraId="47BE889F">
      <w:pPr>
        <w:spacing w:before="1"/>
      </w:pP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42"/>
        <w:gridCol w:w="2125"/>
        <w:gridCol w:w="2409"/>
        <w:gridCol w:w="2692"/>
      </w:tblGrid>
      <w:tr w14:paraId="29F1C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842" w:type="dxa"/>
            <w:vAlign w:val="top"/>
          </w:tcPr>
          <w:p w14:paraId="486E78C1">
            <w:pPr>
              <w:pStyle w:val="6"/>
              <w:spacing w:before="58" w:line="222" w:lineRule="auto"/>
              <w:ind w:left="135"/>
            </w:pPr>
            <w:r>
              <w:rPr>
                <w:spacing w:val="-1"/>
              </w:rPr>
              <w:t>分裂间距（</w:t>
            </w:r>
            <w:r>
              <w:rPr>
                <w:rFonts w:ascii="Times New Roman" w:hAnsi="Times New Roman" w:eastAsia="Times New Roman" w:cs="Times New Roman"/>
                <w:spacing w:val="-1"/>
              </w:rPr>
              <w:t>mm</w:t>
            </w:r>
            <w:r>
              <w:rPr>
                <w:spacing w:val="-1"/>
              </w:rPr>
              <w:t>）</w:t>
            </w:r>
          </w:p>
        </w:tc>
        <w:tc>
          <w:tcPr>
            <w:tcW w:w="7226" w:type="dxa"/>
            <w:gridSpan w:val="3"/>
            <w:vAlign w:val="top"/>
          </w:tcPr>
          <w:p w14:paraId="47447408">
            <w:pPr>
              <w:spacing w:before="93" w:line="216" w:lineRule="auto"/>
              <w:ind w:left="3578"/>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3B641A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842" w:type="dxa"/>
            <w:vAlign w:val="top"/>
          </w:tcPr>
          <w:p w14:paraId="6CFC32F2">
            <w:pPr>
              <w:pStyle w:val="6"/>
              <w:spacing w:before="53" w:line="221" w:lineRule="auto"/>
              <w:ind w:left="301"/>
            </w:pPr>
            <w:r>
              <w:rPr>
                <w:spacing w:val="-2"/>
              </w:rPr>
              <w:t>导线电压等级</w:t>
            </w:r>
          </w:p>
        </w:tc>
        <w:tc>
          <w:tcPr>
            <w:tcW w:w="7226" w:type="dxa"/>
            <w:gridSpan w:val="3"/>
            <w:vAlign w:val="top"/>
          </w:tcPr>
          <w:p w14:paraId="532E82FA">
            <w:pPr>
              <w:pStyle w:val="6"/>
              <w:spacing w:before="54" w:line="224" w:lineRule="auto"/>
              <w:ind w:left="2247"/>
            </w:pPr>
            <w:r>
              <w:rPr>
                <w:rFonts w:ascii="Times New Roman" w:hAnsi="Times New Roman" w:eastAsia="Times New Roman" w:cs="Times New Roman"/>
                <w:spacing w:val="-2"/>
              </w:rPr>
              <w:t>231kV</w:t>
            </w:r>
            <w:r>
              <w:rPr>
                <w:spacing w:val="-2"/>
              </w:rPr>
              <w:t>（额定电压的</w:t>
            </w:r>
            <w:r>
              <w:rPr>
                <w:spacing w:val="-24"/>
              </w:rPr>
              <w:t xml:space="preserve"> </w:t>
            </w:r>
            <w:r>
              <w:rPr>
                <w:rFonts w:ascii="Times New Roman" w:hAnsi="Times New Roman" w:eastAsia="Times New Roman" w:cs="Times New Roman"/>
                <w:spacing w:val="-2"/>
              </w:rPr>
              <w:t xml:space="preserve">1.05 </w:t>
            </w:r>
            <w:r>
              <w:rPr>
                <w:spacing w:val="-2"/>
              </w:rPr>
              <w:t>倍）</w:t>
            </w:r>
          </w:p>
        </w:tc>
      </w:tr>
      <w:tr w14:paraId="100D4F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842" w:type="dxa"/>
            <w:vAlign w:val="top"/>
          </w:tcPr>
          <w:p w14:paraId="11AD2425">
            <w:pPr>
              <w:pStyle w:val="6"/>
              <w:spacing w:before="51" w:line="220" w:lineRule="auto"/>
              <w:ind w:left="298"/>
            </w:pPr>
            <w:r>
              <w:rPr>
                <w:spacing w:val="-2"/>
              </w:rPr>
              <w:t>最大传输容量</w:t>
            </w:r>
          </w:p>
        </w:tc>
        <w:tc>
          <w:tcPr>
            <w:tcW w:w="7226" w:type="dxa"/>
            <w:gridSpan w:val="3"/>
            <w:vAlign w:val="top"/>
          </w:tcPr>
          <w:p w14:paraId="505208C2">
            <w:pPr>
              <w:spacing w:before="86" w:line="218" w:lineRule="auto"/>
              <w:ind w:left="31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84.55MW</w:t>
            </w:r>
          </w:p>
        </w:tc>
      </w:tr>
      <w:tr w14:paraId="14D400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842" w:type="dxa"/>
            <w:vAlign w:val="top"/>
          </w:tcPr>
          <w:p w14:paraId="0E138A08">
            <w:pPr>
              <w:pStyle w:val="6"/>
              <w:spacing w:before="51" w:line="249" w:lineRule="auto"/>
              <w:ind w:left="348" w:right="181" w:hanging="156"/>
            </w:pPr>
            <w:r>
              <w:rPr>
                <w:spacing w:val="-1"/>
              </w:rPr>
              <w:t>预测导线最低对地距离（</w:t>
            </w:r>
            <w:r>
              <w:rPr>
                <w:rFonts w:ascii="Times New Roman" w:hAnsi="Times New Roman" w:eastAsia="Times New Roman" w:cs="Times New Roman"/>
                <w:spacing w:val="-1"/>
              </w:rPr>
              <w:t>h</w:t>
            </w:r>
            <w:r>
              <w:rPr>
                <w:spacing w:val="-1"/>
              </w:rPr>
              <w:t>）</w:t>
            </w:r>
          </w:p>
        </w:tc>
        <w:tc>
          <w:tcPr>
            <w:tcW w:w="2125" w:type="dxa"/>
            <w:vAlign w:val="top"/>
          </w:tcPr>
          <w:p w14:paraId="10FEC98F">
            <w:pPr>
              <w:pStyle w:val="6"/>
              <w:spacing w:before="51" w:line="249" w:lineRule="auto"/>
              <w:ind w:left="410" w:right="231" w:hanging="186"/>
            </w:pPr>
            <w:r>
              <w:rPr>
                <w:rFonts w:ascii="Times New Roman" w:hAnsi="Times New Roman" w:eastAsia="Times New Roman" w:cs="Times New Roman"/>
                <w:spacing w:val="-3"/>
              </w:rPr>
              <w:t>6.5m</w:t>
            </w:r>
            <w:r>
              <w:rPr>
                <w:spacing w:val="-3"/>
              </w:rPr>
              <w:t>（非居民区）</w:t>
            </w:r>
            <w:r>
              <w:rPr>
                <w:spacing w:val="6"/>
              </w:rPr>
              <w:t xml:space="preserve"> </w:t>
            </w:r>
            <w:r>
              <w:rPr>
                <w:rFonts w:ascii="Times New Roman" w:hAnsi="Times New Roman" w:eastAsia="Times New Roman" w:cs="Times New Roman"/>
                <w:spacing w:val="-2"/>
              </w:rPr>
              <w:t>8m</w:t>
            </w:r>
            <w:r>
              <w:rPr>
                <w:spacing w:val="-2"/>
              </w:rPr>
              <w:t>（居民区）</w:t>
            </w:r>
          </w:p>
        </w:tc>
        <w:tc>
          <w:tcPr>
            <w:tcW w:w="2409" w:type="dxa"/>
            <w:vAlign w:val="top"/>
          </w:tcPr>
          <w:p w14:paraId="7AACAA50">
            <w:pPr>
              <w:pStyle w:val="6"/>
              <w:spacing w:before="51" w:line="249" w:lineRule="auto"/>
              <w:ind w:left="556" w:right="370" w:hanging="186"/>
            </w:pPr>
            <w:r>
              <w:rPr>
                <w:rFonts w:ascii="Times New Roman" w:hAnsi="Times New Roman" w:eastAsia="Times New Roman" w:cs="Times New Roman"/>
                <w:spacing w:val="-3"/>
              </w:rPr>
              <w:t>6.5m</w:t>
            </w:r>
            <w:r>
              <w:rPr>
                <w:spacing w:val="-3"/>
              </w:rPr>
              <w:t>（非居民区）</w:t>
            </w:r>
            <w:r>
              <w:rPr>
                <w:spacing w:val="6"/>
              </w:rPr>
              <w:t xml:space="preserve"> </w:t>
            </w:r>
            <w:r>
              <w:rPr>
                <w:rFonts w:ascii="Times New Roman" w:hAnsi="Times New Roman" w:eastAsia="Times New Roman" w:cs="Times New Roman"/>
                <w:spacing w:val="-2"/>
              </w:rPr>
              <w:t>8m</w:t>
            </w:r>
            <w:r>
              <w:rPr>
                <w:spacing w:val="-2"/>
              </w:rPr>
              <w:t>（居民区）</w:t>
            </w:r>
          </w:p>
        </w:tc>
        <w:tc>
          <w:tcPr>
            <w:tcW w:w="2692" w:type="dxa"/>
            <w:vAlign w:val="top"/>
          </w:tcPr>
          <w:p w14:paraId="513DAAEB">
            <w:pPr>
              <w:pStyle w:val="6"/>
              <w:spacing w:before="52" w:line="235" w:lineRule="auto"/>
              <w:ind w:left="510"/>
            </w:pPr>
            <w:r>
              <w:rPr>
                <w:rFonts w:ascii="Times New Roman" w:hAnsi="Times New Roman" w:eastAsia="Times New Roman" w:cs="Times New Roman"/>
                <w:spacing w:val="-1"/>
              </w:rPr>
              <w:t>6.5m</w:t>
            </w:r>
            <w:r>
              <w:rPr>
                <w:spacing w:val="-1"/>
              </w:rPr>
              <w:t>（非居民区）</w:t>
            </w:r>
          </w:p>
          <w:p w14:paraId="4721A1A2">
            <w:pPr>
              <w:pStyle w:val="6"/>
              <w:spacing w:before="44" w:line="223" w:lineRule="auto"/>
              <w:ind w:left="612"/>
            </w:pPr>
            <w:r>
              <w:rPr>
                <w:rFonts w:ascii="Times New Roman" w:hAnsi="Times New Roman" w:eastAsia="Times New Roman" w:cs="Times New Roman"/>
                <w:spacing w:val="-2"/>
              </w:rPr>
              <w:t>7.5m</w:t>
            </w:r>
            <w:r>
              <w:rPr>
                <w:spacing w:val="-2"/>
              </w:rPr>
              <w:t>（居民区）</w:t>
            </w:r>
          </w:p>
        </w:tc>
      </w:tr>
      <w:tr w14:paraId="450ED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842" w:type="dxa"/>
            <w:vAlign w:val="top"/>
          </w:tcPr>
          <w:p w14:paraId="473AE708">
            <w:pPr>
              <w:pStyle w:val="6"/>
              <w:spacing w:before="208" w:line="223" w:lineRule="auto"/>
              <w:ind w:left="715"/>
            </w:pPr>
            <w:r>
              <w:rPr>
                <w:spacing w:val="-2"/>
              </w:rPr>
              <w:t>塔型</w:t>
            </w:r>
          </w:p>
        </w:tc>
        <w:tc>
          <w:tcPr>
            <w:tcW w:w="2125" w:type="dxa"/>
            <w:vAlign w:val="top"/>
          </w:tcPr>
          <w:p w14:paraId="39D1B6FF">
            <w:pPr>
              <w:pStyle w:val="6"/>
              <w:spacing w:before="54" w:line="263" w:lineRule="auto"/>
              <w:ind w:left="629" w:right="628" w:firstLine="17"/>
              <w:rPr>
                <w:rFonts w:ascii="Times New Roman" w:hAnsi="Times New Roman" w:eastAsia="Times New Roman" w:cs="Times New Roman"/>
              </w:rPr>
            </w:pPr>
            <w:r>
              <w:rPr>
                <w:spacing w:val="-2"/>
              </w:rPr>
              <w:t>单回三角</w:t>
            </w:r>
            <w:r>
              <w:rPr>
                <w:rFonts w:ascii="Times New Roman" w:hAnsi="Times New Roman" w:eastAsia="Times New Roman" w:cs="Times New Roman"/>
                <w:spacing w:val="-1"/>
              </w:rPr>
              <w:t>2D1R7-J3</w:t>
            </w:r>
          </w:p>
        </w:tc>
        <w:tc>
          <w:tcPr>
            <w:tcW w:w="2409" w:type="dxa"/>
            <w:vAlign w:val="top"/>
          </w:tcPr>
          <w:p w14:paraId="0A41F8D8">
            <w:pPr>
              <w:pStyle w:val="6"/>
              <w:spacing w:before="54" w:line="263" w:lineRule="auto"/>
              <w:ind w:left="751" w:right="744" w:firstLine="41"/>
              <w:rPr>
                <w:rFonts w:ascii="Times New Roman" w:hAnsi="Times New Roman" w:eastAsia="Times New Roman" w:cs="Times New Roman"/>
              </w:rPr>
            </w:pPr>
            <w:r>
              <w:rPr>
                <w:spacing w:val="-2"/>
              </w:rPr>
              <w:t>单回水平</w:t>
            </w:r>
            <w:r>
              <w:rPr>
                <w:rFonts w:ascii="Times New Roman" w:hAnsi="Times New Roman" w:eastAsia="Times New Roman" w:cs="Times New Roman"/>
                <w:spacing w:val="-1"/>
              </w:rPr>
              <w:t>2D1R7-Z2</w:t>
            </w:r>
          </w:p>
        </w:tc>
        <w:tc>
          <w:tcPr>
            <w:tcW w:w="2692" w:type="dxa"/>
            <w:vAlign w:val="top"/>
          </w:tcPr>
          <w:p w14:paraId="006C5D80">
            <w:pPr>
              <w:pStyle w:val="6"/>
              <w:spacing w:before="53" w:line="221" w:lineRule="auto"/>
              <w:ind w:left="300"/>
            </w:pPr>
            <w:r>
              <w:rPr>
                <w:spacing w:val="-1"/>
              </w:rPr>
              <w:t>双回垂直（单边挂线）</w:t>
            </w:r>
          </w:p>
          <w:p w14:paraId="4480EA0B">
            <w:pPr>
              <w:spacing w:before="98" w:line="187" w:lineRule="auto"/>
              <w:ind w:left="89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2D2Z5-JD</w:t>
            </w:r>
          </w:p>
        </w:tc>
      </w:tr>
      <w:tr w14:paraId="47CCCA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1842" w:type="dxa"/>
            <w:vAlign w:val="top"/>
          </w:tcPr>
          <w:p w14:paraId="64492F6B">
            <w:pPr>
              <w:spacing w:line="296" w:lineRule="auto"/>
              <w:rPr>
                <w:rFonts w:ascii="Arial"/>
                <w:sz w:val="21"/>
              </w:rPr>
            </w:pPr>
          </w:p>
          <w:p w14:paraId="1F20084E">
            <w:pPr>
              <w:pStyle w:val="6"/>
              <w:spacing w:before="68" w:line="221" w:lineRule="auto"/>
              <w:ind w:left="301"/>
            </w:pPr>
            <w:r>
              <w:rPr>
                <w:spacing w:val="-2"/>
              </w:rPr>
              <w:t>导线排列方式</w:t>
            </w:r>
          </w:p>
        </w:tc>
        <w:tc>
          <w:tcPr>
            <w:tcW w:w="2125" w:type="dxa"/>
            <w:vAlign w:val="top"/>
          </w:tcPr>
          <w:p w14:paraId="3FF3D36B">
            <w:pPr>
              <w:spacing w:before="249" w:line="186" w:lineRule="auto"/>
              <w:ind w:left="991"/>
              <w:rPr>
                <w:rFonts w:ascii="Times New Roman" w:hAnsi="Times New Roman" w:eastAsia="Times New Roman" w:cs="Times New Roman"/>
                <w:sz w:val="21"/>
                <w:szCs w:val="21"/>
              </w:rPr>
            </w:pPr>
            <w:r>
              <w:rPr>
                <w:rFonts w:ascii="Times New Roman" w:hAnsi="Times New Roman" w:eastAsia="Times New Roman" w:cs="Times New Roman"/>
                <w:sz w:val="21"/>
                <w:szCs w:val="21"/>
              </w:rPr>
              <w:t>B</w:t>
            </w:r>
          </w:p>
          <w:p w14:paraId="2F4062E1">
            <w:pPr>
              <w:spacing w:before="121" w:line="189" w:lineRule="auto"/>
              <w:ind w:left="7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A</w:t>
            </w:r>
            <w:r>
              <w:rPr>
                <w:rFonts w:ascii="Times New Roman" w:hAnsi="Times New Roman" w:eastAsia="Times New Roman" w:cs="Times New Roman"/>
                <w:spacing w:val="9"/>
                <w:sz w:val="21"/>
                <w:szCs w:val="21"/>
              </w:rPr>
              <w:t xml:space="preserve">     </w:t>
            </w:r>
            <w:r>
              <w:rPr>
                <w:rFonts w:ascii="Times New Roman" w:hAnsi="Times New Roman" w:eastAsia="Times New Roman" w:cs="Times New Roman"/>
                <w:spacing w:val="-1"/>
                <w:sz w:val="21"/>
                <w:szCs w:val="21"/>
              </w:rPr>
              <w:t>C</w:t>
            </w:r>
          </w:p>
        </w:tc>
        <w:tc>
          <w:tcPr>
            <w:tcW w:w="2409" w:type="dxa"/>
            <w:vAlign w:val="top"/>
          </w:tcPr>
          <w:p w14:paraId="1B82D8FA">
            <w:pPr>
              <w:spacing w:line="339" w:lineRule="auto"/>
              <w:rPr>
                <w:rFonts w:ascii="Arial"/>
                <w:sz w:val="21"/>
              </w:rPr>
            </w:pPr>
          </w:p>
          <w:p w14:paraId="62BB308A">
            <w:pPr>
              <w:spacing w:before="61" w:line="189" w:lineRule="auto"/>
              <w:ind w:left="78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A</w:t>
            </w:r>
            <w:r>
              <w:rPr>
                <w:rFonts w:ascii="Times New Roman" w:hAnsi="Times New Roman" w:eastAsia="Times New Roman" w:cs="Times New Roman"/>
                <w:spacing w:val="14"/>
                <w:w w:val="101"/>
                <w:sz w:val="21"/>
                <w:szCs w:val="21"/>
              </w:rPr>
              <w:t xml:space="preserve">   </w:t>
            </w:r>
            <w:r>
              <w:rPr>
                <w:rFonts w:ascii="Times New Roman" w:hAnsi="Times New Roman" w:eastAsia="Times New Roman" w:cs="Times New Roman"/>
                <w:spacing w:val="-2"/>
                <w:sz w:val="21"/>
                <w:szCs w:val="21"/>
              </w:rPr>
              <w:t>B</w:t>
            </w:r>
            <w:r>
              <w:rPr>
                <w:rFonts w:ascii="Times New Roman" w:hAnsi="Times New Roman" w:eastAsia="Times New Roman" w:cs="Times New Roman"/>
                <w:spacing w:val="1"/>
                <w:sz w:val="21"/>
                <w:szCs w:val="21"/>
              </w:rPr>
              <w:t xml:space="preserve">    </w:t>
            </w:r>
            <w:r>
              <w:rPr>
                <w:rFonts w:ascii="Times New Roman" w:hAnsi="Times New Roman" w:eastAsia="Times New Roman" w:cs="Times New Roman"/>
                <w:spacing w:val="-2"/>
                <w:sz w:val="21"/>
                <w:szCs w:val="21"/>
              </w:rPr>
              <w:t>C</w:t>
            </w:r>
          </w:p>
        </w:tc>
        <w:tc>
          <w:tcPr>
            <w:tcW w:w="2692" w:type="dxa"/>
            <w:vAlign w:val="top"/>
          </w:tcPr>
          <w:p w14:paraId="1160143F">
            <w:pPr>
              <w:spacing w:before="90" w:line="189" w:lineRule="auto"/>
              <w:ind w:left="1281"/>
              <w:rPr>
                <w:rFonts w:ascii="Times New Roman" w:hAnsi="Times New Roman" w:eastAsia="Times New Roman" w:cs="Times New Roman"/>
                <w:sz w:val="21"/>
                <w:szCs w:val="21"/>
              </w:rPr>
            </w:pPr>
            <w:r>
              <w:rPr>
                <w:rFonts w:ascii="Times New Roman" w:hAnsi="Times New Roman" w:eastAsia="Times New Roman" w:cs="Times New Roman"/>
                <w:sz w:val="21"/>
                <w:szCs w:val="21"/>
              </w:rPr>
              <w:t>C</w:t>
            </w:r>
          </w:p>
          <w:p w14:paraId="7B8C5504">
            <w:pPr>
              <w:spacing w:before="125" w:line="186" w:lineRule="auto"/>
              <w:ind w:left="1277"/>
              <w:rPr>
                <w:rFonts w:ascii="Times New Roman" w:hAnsi="Times New Roman" w:eastAsia="Times New Roman" w:cs="Times New Roman"/>
                <w:sz w:val="21"/>
                <w:szCs w:val="21"/>
              </w:rPr>
            </w:pPr>
            <w:r>
              <w:rPr>
                <w:rFonts w:ascii="Times New Roman" w:hAnsi="Times New Roman" w:eastAsia="Times New Roman" w:cs="Times New Roman"/>
                <w:sz w:val="21"/>
                <w:szCs w:val="21"/>
              </w:rPr>
              <w:t>B</w:t>
            </w:r>
          </w:p>
          <w:p w14:paraId="3698C446">
            <w:pPr>
              <w:spacing w:before="121" w:line="189" w:lineRule="auto"/>
              <w:ind w:left="1268"/>
              <w:rPr>
                <w:rFonts w:ascii="Times New Roman" w:hAnsi="Times New Roman" w:eastAsia="Times New Roman" w:cs="Times New Roman"/>
                <w:sz w:val="21"/>
                <w:szCs w:val="21"/>
              </w:rPr>
            </w:pPr>
            <w:r>
              <w:rPr>
                <w:rFonts w:ascii="Times New Roman" w:hAnsi="Times New Roman" w:eastAsia="Times New Roman" w:cs="Times New Roman"/>
                <w:sz w:val="21"/>
                <w:szCs w:val="21"/>
              </w:rPr>
              <w:t>A</w:t>
            </w:r>
          </w:p>
        </w:tc>
      </w:tr>
      <w:tr w14:paraId="00449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 w:hRule="atLeast"/>
        </w:trPr>
        <w:tc>
          <w:tcPr>
            <w:tcW w:w="1842" w:type="dxa"/>
            <w:vAlign w:val="top"/>
          </w:tcPr>
          <w:p w14:paraId="4681CD8E">
            <w:pPr>
              <w:spacing w:line="297" w:lineRule="auto"/>
              <w:rPr>
                <w:rFonts w:ascii="Arial"/>
                <w:sz w:val="21"/>
              </w:rPr>
            </w:pPr>
          </w:p>
          <w:p w14:paraId="751A9746">
            <w:pPr>
              <w:pStyle w:val="6"/>
              <w:spacing w:before="68" w:line="221" w:lineRule="auto"/>
              <w:ind w:left="510"/>
            </w:pPr>
            <w:r>
              <w:rPr>
                <w:spacing w:val="-3"/>
              </w:rPr>
              <w:t>导线坐标</w:t>
            </w:r>
          </w:p>
        </w:tc>
        <w:tc>
          <w:tcPr>
            <w:tcW w:w="2125" w:type="dxa"/>
            <w:vAlign w:val="top"/>
          </w:tcPr>
          <w:p w14:paraId="0E18FA35">
            <w:pPr>
              <w:pStyle w:val="6"/>
              <w:spacing w:before="55" w:line="280" w:lineRule="exact"/>
              <w:ind w:left="327"/>
              <w:rPr>
                <w:rFonts w:ascii="Times New Roman" w:hAnsi="Times New Roman" w:eastAsia="Times New Roman" w:cs="Times New Roman"/>
              </w:rPr>
            </w:pPr>
            <w:r>
              <w:rPr>
                <w:rFonts w:ascii="Times New Roman" w:hAnsi="Times New Roman" w:eastAsia="Times New Roman" w:cs="Times New Roman"/>
                <w:spacing w:val="-12"/>
                <w:position w:val="1"/>
              </w:rPr>
              <w:t>A</w:t>
            </w:r>
            <w:r>
              <w:rPr>
                <w:spacing w:val="-12"/>
                <w:position w:val="1"/>
              </w:rPr>
              <w:t>（</w:t>
            </w:r>
            <w:r>
              <w:rPr>
                <w:rFonts w:ascii="Times New Roman" w:hAnsi="Times New Roman" w:eastAsia="Times New Roman" w:cs="Times New Roman"/>
                <w:spacing w:val="-12"/>
                <w:position w:val="1"/>
              </w:rPr>
              <w:t>-7.5</w:t>
            </w:r>
            <w:r>
              <w:rPr>
                <w:rFonts w:ascii="Times New Roman" w:hAnsi="Times New Roman" w:eastAsia="Times New Roman" w:cs="Times New Roman"/>
                <w:spacing w:val="-24"/>
                <w:position w:val="1"/>
              </w:rPr>
              <w:t xml:space="preserve"> </w:t>
            </w:r>
            <w:r>
              <w:rPr>
                <w:spacing w:val="-12"/>
                <w:position w:val="1"/>
              </w:rPr>
              <w:t>，</w:t>
            </w:r>
            <w:r>
              <w:rPr>
                <w:rFonts w:ascii="Times New Roman" w:hAnsi="Times New Roman" w:eastAsia="Times New Roman" w:cs="Times New Roman"/>
                <w:spacing w:val="-12"/>
                <w:position w:val="1"/>
              </w:rPr>
              <w:t>h</w:t>
            </w:r>
            <w:r>
              <w:rPr>
                <w:spacing w:val="-12"/>
                <w:position w:val="1"/>
              </w:rPr>
              <w:t>）、</w:t>
            </w:r>
            <w:r>
              <w:rPr>
                <w:rFonts w:ascii="Times New Roman" w:hAnsi="Times New Roman" w:eastAsia="Times New Roman" w:cs="Times New Roman"/>
                <w:spacing w:val="-12"/>
                <w:position w:val="1"/>
              </w:rPr>
              <w:t>B</w:t>
            </w:r>
          </w:p>
          <w:p w14:paraId="616BC04A">
            <w:pPr>
              <w:pStyle w:val="6"/>
              <w:spacing w:before="32" w:line="279" w:lineRule="exact"/>
              <w:ind w:left="155"/>
            </w:pPr>
            <w:r>
              <w:rPr>
                <w:spacing w:val="-12"/>
                <w:position w:val="1"/>
              </w:rPr>
              <w:t>（</w:t>
            </w:r>
            <w:r>
              <w:rPr>
                <w:rFonts w:ascii="Times New Roman" w:hAnsi="Times New Roman" w:eastAsia="Times New Roman" w:cs="Times New Roman"/>
                <w:spacing w:val="-12"/>
                <w:position w:val="1"/>
              </w:rPr>
              <w:t>0</w:t>
            </w:r>
            <w:r>
              <w:rPr>
                <w:rFonts w:ascii="Times New Roman" w:hAnsi="Times New Roman" w:eastAsia="Times New Roman" w:cs="Times New Roman"/>
                <w:spacing w:val="-26"/>
                <w:position w:val="1"/>
              </w:rPr>
              <w:t xml:space="preserve"> </w:t>
            </w:r>
            <w:r>
              <w:rPr>
                <w:spacing w:val="-12"/>
                <w:position w:val="1"/>
              </w:rPr>
              <w:t>，</w:t>
            </w:r>
            <w:r>
              <w:rPr>
                <w:rFonts w:ascii="Times New Roman" w:hAnsi="Times New Roman" w:eastAsia="Times New Roman" w:cs="Times New Roman"/>
                <w:spacing w:val="-12"/>
                <w:position w:val="1"/>
              </w:rPr>
              <w:t>h+5</w:t>
            </w:r>
            <w:r>
              <w:rPr>
                <w:spacing w:val="-12"/>
                <w:position w:val="1"/>
              </w:rPr>
              <w:t>）、</w:t>
            </w:r>
            <w:r>
              <w:rPr>
                <w:rFonts w:ascii="Times New Roman" w:hAnsi="Times New Roman" w:eastAsia="Times New Roman" w:cs="Times New Roman"/>
                <w:spacing w:val="-12"/>
                <w:position w:val="1"/>
              </w:rPr>
              <w:t>C</w:t>
            </w:r>
            <w:r>
              <w:rPr>
                <w:spacing w:val="-12"/>
                <w:position w:val="1"/>
              </w:rPr>
              <w:t>（</w:t>
            </w:r>
            <w:r>
              <w:rPr>
                <w:rFonts w:ascii="Times New Roman" w:hAnsi="Times New Roman" w:eastAsia="Times New Roman" w:cs="Times New Roman"/>
                <w:spacing w:val="-12"/>
                <w:position w:val="1"/>
              </w:rPr>
              <w:t>6</w:t>
            </w:r>
            <w:r>
              <w:rPr>
                <w:spacing w:val="-12"/>
                <w:position w:val="1"/>
              </w:rPr>
              <w:t>，</w:t>
            </w:r>
          </w:p>
          <w:p w14:paraId="0048433B">
            <w:pPr>
              <w:pStyle w:val="6"/>
              <w:spacing w:before="32" w:line="226" w:lineRule="auto"/>
              <w:ind w:left="900"/>
            </w:pPr>
            <w:r>
              <w:rPr>
                <w:rFonts w:ascii="Times New Roman" w:hAnsi="Times New Roman" w:eastAsia="Times New Roman" w:cs="Times New Roman"/>
                <w:spacing w:val="-1"/>
              </w:rPr>
              <w:t>h</w:t>
            </w:r>
            <w:r>
              <w:rPr>
                <w:spacing w:val="-1"/>
              </w:rPr>
              <w:t>）</w:t>
            </w:r>
          </w:p>
        </w:tc>
        <w:tc>
          <w:tcPr>
            <w:tcW w:w="2409" w:type="dxa"/>
            <w:vAlign w:val="top"/>
          </w:tcPr>
          <w:p w14:paraId="71FB612E">
            <w:pPr>
              <w:pStyle w:val="6"/>
              <w:spacing w:before="212" w:line="281" w:lineRule="auto"/>
              <w:ind w:left="424" w:right="252" w:hanging="215"/>
            </w:pPr>
            <w:r>
              <w:rPr>
                <w:rFonts w:ascii="Times New Roman" w:hAnsi="Times New Roman" w:eastAsia="Times New Roman" w:cs="Times New Roman"/>
                <w:spacing w:val="-13"/>
              </w:rPr>
              <w:t>A</w:t>
            </w:r>
            <w:r>
              <w:rPr>
                <w:spacing w:val="-13"/>
              </w:rPr>
              <w:t>（</w:t>
            </w:r>
            <w:r>
              <w:rPr>
                <w:rFonts w:ascii="Times New Roman" w:hAnsi="Times New Roman" w:eastAsia="Times New Roman" w:cs="Times New Roman"/>
                <w:spacing w:val="-13"/>
              </w:rPr>
              <w:t>-9.1</w:t>
            </w:r>
            <w:r>
              <w:rPr>
                <w:rFonts w:ascii="Times New Roman" w:hAnsi="Times New Roman" w:eastAsia="Times New Roman" w:cs="Times New Roman"/>
                <w:spacing w:val="-24"/>
              </w:rPr>
              <w:t xml:space="preserve"> </w:t>
            </w:r>
            <w:r>
              <w:rPr>
                <w:spacing w:val="-13"/>
              </w:rPr>
              <w:t>，</w:t>
            </w:r>
            <w:r>
              <w:rPr>
                <w:rFonts w:ascii="Times New Roman" w:hAnsi="Times New Roman" w:eastAsia="Times New Roman" w:cs="Times New Roman"/>
                <w:spacing w:val="-13"/>
              </w:rPr>
              <w:t>h</w:t>
            </w:r>
            <w:r>
              <w:rPr>
                <w:spacing w:val="-13"/>
              </w:rPr>
              <w:t>）、</w:t>
            </w:r>
            <w:r>
              <w:rPr>
                <w:rFonts w:ascii="Times New Roman" w:hAnsi="Times New Roman" w:eastAsia="Times New Roman" w:cs="Times New Roman"/>
                <w:spacing w:val="-13"/>
              </w:rPr>
              <w:t>B</w:t>
            </w:r>
            <w:r>
              <w:rPr>
                <w:spacing w:val="-13"/>
              </w:rPr>
              <w:t>（</w:t>
            </w:r>
            <w:r>
              <w:rPr>
                <w:rFonts w:ascii="Times New Roman" w:hAnsi="Times New Roman" w:eastAsia="Times New Roman" w:cs="Times New Roman"/>
                <w:spacing w:val="-13"/>
              </w:rPr>
              <w:t>0</w:t>
            </w:r>
            <w:r>
              <w:rPr>
                <w:spacing w:val="-13"/>
              </w:rPr>
              <w:t>，</w:t>
            </w:r>
            <w:r>
              <w:t xml:space="preserve"> </w:t>
            </w:r>
            <w:r>
              <w:rPr>
                <w:rFonts w:ascii="Times New Roman" w:hAnsi="Times New Roman" w:eastAsia="Times New Roman" w:cs="Times New Roman"/>
                <w:spacing w:val="-12"/>
              </w:rPr>
              <w:t>h</w:t>
            </w:r>
            <w:r>
              <w:rPr>
                <w:spacing w:val="-12"/>
              </w:rPr>
              <w:t>）、</w:t>
            </w:r>
            <w:r>
              <w:rPr>
                <w:rFonts w:ascii="Times New Roman" w:hAnsi="Times New Roman" w:eastAsia="Times New Roman" w:cs="Times New Roman"/>
                <w:spacing w:val="-12"/>
              </w:rPr>
              <w:t>C</w:t>
            </w:r>
            <w:r>
              <w:rPr>
                <w:spacing w:val="-12"/>
              </w:rPr>
              <w:t>（</w:t>
            </w:r>
            <w:r>
              <w:rPr>
                <w:rFonts w:ascii="Times New Roman" w:hAnsi="Times New Roman" w:eastAsia="Times New Roman" w:cs="Times New Roman"/>
                <w:spacing w:val="-12"/>
              </w:rPr>
              <w:t>9.1</w:t>
            </w:r>
            <w:r>
              <w:rPr>
                <w:rFonts w:ascii="Times New Roman" w:hAnsi="Times New Roman" w:eastAsia="Times New Roman" w:cs="Times New Roman"/>
                <w:spacing w:val="-25"/>
              </w:rPr>
              <w:t xml:space="preserve"> </w:t>
            </w:r>
            <w:r>
              <w:rPr>
                <w:spacing w:val="-12"/>
              </w:rPr>
              <w:t>，</w:t>
            </w:r>
            <w:r>
              <w:rPr>
                <w:rFonts w:ascii="Times New Roman" w:hAnsi="Times New Roman" w:eastAsia="Times New Roman" w:cs="Times New Roman"/>
                <w:spacing w:val="-12"/>
              </w:rPr>
              <w:t>h</w:t>
            </w:r>
            <w:r>
              <w:rPr>
                <w:spacing w:val="-12"/>
              </w:rPr>
              <w:t>）</w:t>
            </w:r>
          </w:p>
        </w:tc>
        <w:tc>
          <w:tcPr>
            <w:tcW w:w="2692" w:type="dxa"/>
            <w:vAlign w:val="top"/>
          </w:tcPr>
          <w:p w14:paraId="26DF1E5D">
            <w:pPr>
              <w:pStyle w:val="6"/>
              <w:spacing w:before="54" w:line="275" w:lineRule="auto"/>
              <w:ind w:left="530" w:right="507" w:hanging="66"/>
            </w:pPr>
            <w:r>
              <w:rPr>
                <w:rFonts w:ascii="Times New Roman" w:hAnsi="Times New Roman" w:eastAsia="Times New Roman" w:cs="Times New Roman"/>
                <w:spacing w:val="-17"/>
              </w:rPr>
              <w:t>A</w:t>
            </w:r>
            <w:r>
              <w:rPr>
                <w:spacing w:val="-17"/>
              </w:rPr>
              <w:t>（</w:t>
            </w:r>
            <w:r>
              <w:rPr>
                <w:rFonts w:ascii="Times New Roman" w:hAnsi="Times New Roman" w:eastAsia="Times New Roman" w:cs="Times New Roman"/>
                <w:spacing w:val="-17"/>
              </w:rPr>
              <w:t>7</w:t>
            </w:r>
            <w:r>
              <w:rPr>
                <w:rFonts w:ascii="Times New Roman" w:hAnsi="Times New Roman" w:eastAsia="Times New Roman" w:cs="Times New Roman"/>
                <w:spacing w:val="-19"/>
              </w:rPr>
              <w:t xml:space="preserve"> </w:t>
            </w:r>
            <w:r>
              <w:rPr>
                <w:spacing w:val="-17"/>
              </w:rPr>
              <w:t>，</w:t>
            </w:r>
            <w:r>
              <w:rPr>
                <w:rFonts w:ascii="Times New Roman" w:hAnsi="Times New Roman" w:eastAsia="Times New Roman" w:cs="Times New Roman"/>
                <w:spacing w:val="-17"/>
              </w:rPr>
              <w:t>h</w:t>
            </w:r>
            <w:r>
              <w:rPr>
                <w:spacing w:val="-17"/>
              </w:rPr>
              <w:t>）、</w:t>
            </w:r>
            <w:r>
              <w:rPr>
                <w:rFonts w:ascii="Times New Roman" w:hAnsi="Times New Roman" w:eastAsia="Times New Roman" w:cs="Times New Roman"/>
                <w:spacing w:val="-17"/>
              </w:rPr>
              <w:t>B</w:t>
            </w:r>
            <w:r>
              <w:rPr>
                <w:spacing w:val="-17"/>
              </w:rPr>
              <w:t>（</w:t>
            </w:r>
            <w:r>
              <w:rPr>
                <w:rFonts w:ascii="Times New Roman" w:hAnsi="Times New Roman" w:eastAsia="Times New Roman" w:cs="Times New Roman"/>
                <w:spacing w:val="-17"/>
              </w:rPr>
              <w:t>8</w:t>
            </w:r>
            <w:r>
              <w:rPr>
                <w:spacing w:val="-17"/>
              </w:rPr>
              <w:t>，</w:t>
            </w:r>
            <w:r>
              <w:t xml:space="preserve"> </w:t>
            </w:r>
            <w:r>
              <w:rPr>
                <w:rFonts w:ascii="Times New Roman" w:hAnsi="Times New Roman" w:eastAsia="Times New Roman" w:cs="Times New Roman"/>
                <w:spacing w:val="-8"/>
              </w:rPr>
              <w:t>h+6.4</w:t>
            </w:r>
            <w:r>
              <w:rPr>
                <w:spacing w:val="-8"/>
              </w:rPr>
              <w:t>）、</w:t>
            </w:r>
            <w:r>
              <w:rPr>
                <w:rFonts w:ascii="Times New Roman" w:hAnsi="Times New Roman" w:eastAsia="Times New Roman" w:cs="Times New Roman"/>
                <w:spacing w:val="-8"/>
              </w:rPr>
              <w:t>C</w:t>
            </w:r>
            <w:r>
              <w:rPr>
                <w:spacing w:val="-8"/>
              </w:rPr>
              <w:t>（</w:t>
            </w:r>
            <w:r>
              <w:rPr>
                <w:rFonts w:ascii="Times New Roman" w:hAnsi="Times New Roman" w:eastAsia="Times New Roman" w:cs="Times New Roman"/>
                <w:spacing w:val="-8"/>
              </w:rPr>
              <w:t>6.8</w:t>
            </w:r>
            <w:r>
              <w:rPr>
                <w:spacing w:val="-8"/>
              </w:rPr>
              <w:t>，</w:t>
            </w:r>
          </w:p>
          <w:p w14:paraId="718FE3D3">
            <w:pPr>
              <w:pStyle w:val="6"/>
              <w:spacing w:before="1" w:line="225" w:lineRule="auto"/>
              <w:ind w:left="804"/>
            </w:pPr>
            <w:r>
              <w:rPr>
                <w:rFonts w:ascii="Times New Roman" w:hAnsi="Times New Roman" w:eastAsia="Times New Roman" w:cs="Times New Roman"/>
              </w:rPr>
              <w:t>h+6.4+7.1</w:t>
            </w:r>
            <w:r>
              <w:t>）</w:t>
            </w:r>
          </w:p>
        </w:tc>
      </w:tr>
    </w:tbl>
    <w:p w14:paraId="4510C978">
      <w:pPr>
        <w:spacing w:before="113" w:line="344" w:lineRule="auto"/>
        <w:ind w:left="14" w:right="2" w:firstLine="478"/>
        <w:jc w:val="both"/>
        <w:rPr>
          <w:rFonts w:ascii="宋体" w:hAnsi="宋体" w:eastAsia="宋体" w:cs="宋体"/>
          <w:sz w:val="24"/>
          <w:szCs w:val="24"/>
        </w:rPr>
      </w:pPr>
      <w:r>
        <w:rPr>
          <w:rFonts w:ascii="宋体" w:hAnsi="宋体" w:eastAsia="宋体" w:cs="宋体"/>
          <w:spacing w:val="-6"/>
          <w:sz w:val="24"/>
          <w:szCs w:val="24"/>
        </w:rPr>
        <w:t>为确定工频电磁场强度满足《电磁环境控制限值》（</w:t>
      </w:r>
      <w:r>
        <w:rPr>
          <w:rFonts w:ascii="Times New Roman" w:hAnsi="Times New Roman" w:eastAsia="Times New Roman" w:cs="Times New Roman"/>
          <w:spacing w:val="-6"/>
          <w:sz w:val="24"/>
          <w:szCs w:val="24"/>
        </w:rPr>
        <w:t>GB8702-2014</w:t>
      </w:r>
      <w:r>
        <w:rPr>
          <w:rFonts w:ascii="宋体" w:hAnsi="宋体" w:eastAsia="宋体" w:cs="宋体"/>
          <w:spacing w:val="-6"/>
          <w:sz w:val="24"/>
          <w:szCs w:val="24"/>
        </w:rPr>
        <w:t>）中公众曝露限值</w:t>
      </w:r>
      <w:r>
        <w:rPr>
          <w:rFonts w:ascii="宋体" w:hAnsi="宋体" w:eastAsia="宋体" w:cs="宋体"/>
          <w:spacing w:val="-2"/>
          <w:sz w:val="24"/>
          <w:szCs w:val="24"/>
        </w:rPr>
        <w:t>的要求时，线路导线的最低高度，首先预测距地不同高度时工频电磁场最大值。预测结</w:t>
      </w:r>
      <w:r>
        <w:rPr>
          <w:rFonts w:ascii="宋体" w:hAnsi="宋体" w:eastAsia="宋体" w:cs="宋体"/>
          <w:spacing w:val="-8"/>
          <w:sz w:val="24"/>
          <w:szCs w:val="24"/>
        </w:rPr>
        <w:t>果见下表。</w:t>
      </w:r>
    </w:p>
    <w:p w14:paraId="2D120505">
      <w:pPr>
        <w:spacing w:line="229" w:lineRule="auto"/>
        <w:ind w:left="1152"/>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29"/>
          <w:sz w:val="21"/>
          <w:szCs w:val="21"/>
        </w:rPr>
        <w:t xml:space="preserve"> </w:t>
      </w:r>
      <w:r>
        <w:rPr>
          <w:rFonts w:ascii="Times New Roman" w:hAnsi="Times New Roman" w:eastAsia="Times New Roman" w:cs="Times New Roman"/>
          <w:b/>
          <w:bCs/>
          <w:spacing w:val="-2"/>
          <w:sz w:val="21"/>
          <w:szCs w:val="21"/>
        </w:rPr>
        <w:t xml:space="preserve">4-3    </w:t>
      </w:r>
      <w:r>
        <w:rPr>
          <w:rFonts w:ascii="宋体" w:hAnsi="宋体" w:eastAsia="宋体" w:cs="宋体"/>
          <w:b/>
          <w:bCs/>
          <w:spacing w:val="-2"/>
          <w:sz w:val="21"/>
          <w:szCs w:val="21"/>
        </w:rPr>
        <w:t>导线离地面不同高度处地面上</w:t>
      </w:r>
      <w:r>
        <w:rPr>
          <w:rFonts w:ascii="宋体" w:hAnsi="宋体" w:eastAsia="宋体" w:cs="宋体"/>
          <w:spacing w:val="-38"/>
          <w:sz w:val="21"/>
          <w:szCs w:val="21"/>
        </w:rPr>
        <w:t xml:space="preserve"> </w:t>
      </w:r>
      <w:r>
        <w:rPr>
          <w:rFonts w:ascii="Times New Roman" w:hAnsi="Times New Roman" w:eastAsia="Times New Roman" w:cs="Times New Roman"/>
          <w:b/>
          <w:bCs/>
          <w:spacing w:val="-2"/>
          <w:sz w:val="21"/>
          <w:szCs w:val="21"/>
        </w:rPr>
        <w:t xml:space="preserve">1.5m </w:t>
      </w:r>
      <w:r>
        <w:rPr>
          <w:rFonts w:ascii="宋体" w:hAnsi="宋体" w:eastAsia="宋体" w:cs="宋体"/>
          <w:b/>
          <w:bCs/>
          <w:spacing w:val="-2"/>
          <w:sz w:val="21"/>
          <w:szCs w:val="21"/>
        </w:rPr>
        <w:t>工频电磁场最大值的预测结果</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267"/>
        <w:gridCol w:w="2694"/>
        <w:gridCol w:w="1274"/>
        <w:gridCol w:w="1417"/>
        <w:gridCol w:w="1416"/>
      </w:tblGrid>
      <w:tr w14:paraId="24C9C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2267" w:type="dxa"/>
            <w:vAlign w:val="top"/>
          </w:tcPr>
          <w:p w14:paraId="5B5DC56F">
            <w:pPr>
              <w:pStyle w:val="6"/>
              <w:spacing w:before="212" w:line="221" w:lineRule="auto"/>
              <w:ind w:left="930"/>
            </w:pPr>
            <w:r>
              <w:rPr>
                <w:b/>
                <w:bCs/>
                <w:spacing w:val="-5"/>
              </w:rPr>
              <w:t>项目</w:t>
            </w:r>
          </w:p>
        </w:tc>
        <w:tc>
          <w:tcPr>
            <w:tcW w:w="2694" w:type="dxa"/>
            <w:vAlign w:val="top"/>
          </w:tcPr>
          <w:p w14:paraId="2A6CB343">
            <w:pPr>
              <w:pStyle w:val="6"/>
              <w:spacing w:before="211" w:line="221" w:lineRule="auto"/>
              <w:ind w:left="929"/>
            </w:pPr>
            <w:r>
              <w:rPr>
                <w:b/>
                <w:bCs/>
                <w:spacing w:val="-4"/>
              </w:rPr>
              <w:t>杆塔型式</w:t>
            </w:r>
          </w:p>
        </w:tc>
        <w:tc>
          <w:tcPr>
            <w:tcW w:w="1274" w:type="dxa"/>
            <w:vAlign w:val="top"/>
          </w:tcPr>
          <w:p w14:paraId="6F5B6DF2">
            <w:pPr>
              <w:pStyle w:val="6"/>
              <w:spacing w:before="56" w:line="249" w:lineRule="auto"/>
              <w:ind w:left="235" w:right="106" w:hanging="115"/>
            </w:pPr>
            <w:r>
              <w:rPr>
                <w:b/>
                <w:bCs/>
                <w:spacing w:val="-4"/>
              </w:rPr>
              <w:t>导线对地高</w:t>
            </w:r>
            <w:r>
              <w:rPr>
                <w:b/>
                <w:bCs/>
                <w:spacing w:val="-3"/>
              </w:rPr>
              <w:t>度（</w:t>
            </w:r>
            <w:r>
              <w:rPr>
                <w:rFonts w:ascii="Times New Roman" w:hAnsi="Times New Roman" w:eastAsia="Times New Roman" w:cs="Times New Roman"/>
                <w:b/>
                <w:bCs/>
                <w:spacing w:val="-3"/>
              </w:rPr>
              <w:t>m</w:t>
            </w:r>
            <w:r>
              <w:rPr>
                <w:b/>
                <w:bCs/>
                <w:spacing w:val="-3"/>
              </w:rPr>
              <w:t>）</w:t>
            </w:r>
          </w:p>
        </w:tc>
        <w:tc>
          <w:tcPr>
            <w:tcW w:w="1417" w:type="dxa"/>
            <w:vAlign w:val="top"/>
          </w:tcPr>
          <w:p w14:paraId="717C292A">
            <w:pPr>
              <w:pStyle w:val="6"/>
              <w:spacing w:before="56" w:line="249" w:lineRule="auto"/>
              <w:ind w:left="148" w:right="150" w:firstLine="44"/>
            </w:pPr>
            <w:r>
              <w:rPr>
                <w:b/>
                <w:bCs/>
                <w:spacing w:val="-4"/>
              </w:rPr>
              <w:t>工频电场强度（</w:t>
            </w:r>
            <w:r>
              <w:rPr>
                <w:rFonts w:ascii="Times New Roman" w:hAnsi="Times New Roman" w:eastAsia="Times New Roman" w:cs="Times New Roman"/>
                <w:b/>
                <w:bCs/>
                <w:spacing w:val="-4"/>
              </w:rPr>
              <w:t>kV/m</w:t>
            </w:r>
            <w:r>
              <w:rPr>
                <w:b/>
                <w:bCs/>
                <w:spacing w:val="-4"/>
              </w:rPr>
              <w:t>）</w:t>
            </w:r>
          </w:p>
        </w:tc>
        <w:tc>
          <w:tcPr>
            <w:tcW w:w="1416" w:type="dxa"/>
            <w:vAlign w:val="top"/>
          </w:tcPr>
          <w:p w14:paraId="40269BE4">
            <w:pPr>
              <w:pStyle w:val="6"/>
              <w:spacing w:before="56" w:line="249" w:lineRule="auto"/>
              <w:ind w:left="165" w:right="169" w:firstLine="21"/>
            </w:pPr>
            <w:r>
              <w:rPr>
                <w:b/>
                <w:bCs/>
                <w:spacing w:val="-4"/>
              </w:rPr>
              <w:t>工频磁感应</w:t>
            </w:r>
            <w:r>
              <w:rPr>
                <w:b/>
                <w:bCs/>
                <w:spacing w:val="12"/>
              </w:rPr>
              <w:t>强度(</w:t>
            </w:r>
            <w:r>
              <w:rPr>
                <w:rFonts w:ascii="Times New Roman" w:hAnsi="Times New Roman" w:eastAsia="Times New Roman" w:cs="Times New Roman"/>
                <w:b/>
                <w:bCs/>
                <w:spacing w:val="12"/>
              </w:rPr>
              <w:t>μT</w:t>
            </w:r>
            <w:r>
              <w:rPr>
                <w:b/>
                <w:bCs/>
                <w:spacing w:val="12"/>
              </w:rPr>
              <w:t>）</w:t>
            </w:r>
          </w:p>
        </w:tc>
      </w:tr>
      <w:tr w14:paraId="699475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267" w:type="dxa"/>
            <w:vMerge w:val="restart"/>
            <w:tcBorders>
              <w:bottom w:val="nil"/>
            </w:tcBorders>
            <w:vAlign w:val="top"/>
          </w:tcPr>
          <w:p w14:paraId="61BBA7F1">
            <w:pPr>
              <w:spacing w:line="284" w:lineRule="auto"/>
              <w:rPr>
                <w:rFonts w:ascii="Arial"/>
                <w:sz w:val="21"/>
              </w:rPr>
            </w:pPr>
          </w:p>
          <w:p w14:paraId="6D31D250">
            <w:pPr>
              <w:spacing w:line="284" w:lineRule="auto"/>
              <w:rPr>
                <w:rFonts w:ascii="Arial"/>
                <w:sz w:val="21"/>
              </w:rPr>
            </w:pPr>
          </w:p>
          <w:p w14:paraId="01D8FD11">
            <w:pPr>
              <w:spacing w:line="284" w:lineRule="auto"/>
              <w:rPr>
                <w:rFonts w:ascii="Arial"/>
                <w:sz w:val="21"/>
              </w:rPr>
            </w:pPr>
          </w:p>
          <w:p w14:paraId="1F1945F1">
            <w:pPr>
              <w:spacing w:line="284" w:lineRule="auto"/>
              <w:rPr>
                <w:rFonts w:ascii="Arial"/>
                <w:sz w:val="21"/>
              </w:rPr>
            </w:pPr>
          </w:p>
          <w:p w14:paraId="0B15BFEF">
            <w:pPr>
              <w:spacing w:line="284" w:lineRule="auto"/>
              <w:rPr>
                <w:rFonts w:ascii="Arial"/>
                <w:sz w:val="21"/>
              </w:rPr>
            </w:pPr>
          </w:p>
          <w:p w14:paraId="60E83CD5">
            <w:pPr>
              <w:pStyle w:val="6"/>
              <w:spacing w:before="68" w:line="221" w:lineRule="auto"/>
              <w:ind w:left="413"/>
            </w:pPr>
            <w:r>
              <w:rPr>
                <w:rFonts w:ascii="Times New Roman" w:hAnsi="Times New Roman" w:eastAsia="Times New Roman" w:cs="Times New Roman"/>
                <w:spacing w:val="-5"/>
              </w:rPr>
              <w:t>C</w:t>
            </w:r>
            <w:r>
              <w:rPr>
                <w:rFonts w:ascii="Times New Roman" w:hAnsi="Times New Roman" w:eastAsia="Times New Roman" w:cs="Times New Roman"/>
                <w:spacing w:val="29"/>
                <w:w w:val="101"/>
              </w:rPr>
              <w:t xml:space="preserve"> </w:t>
            </w:r>
            <w:r>
              <w:rPr>
                <w:spacing w:val="-5"/>
              </w:rPr>
              <w:t>回双分裂导线</w:t>
            </w:r>
          </w:p>
        </w:tc>
        <w:tc>
          <w:tcPr>
            <w:tcW w:w="2694" w:type="dxa"/>
            <w:vMerge w:val="restart"/>
            <w:tcBorders>
              <w:bottom w:val="nil"/>
            </w:tcBorders>
            <w:vAlign w:val="top"/>
          </w:tcPr>
          <w:p w14:paraId="0134978D">
            <w:pPr>
              <w:spacing w:line="308" w:lineRule="auto"/>
              <w:rPr>
                <w:rFonts w:ascii="Arial"/>
                <w:sz w:val="21"/>
              </w:rPr>
            </w:pPr>
          </w:p>
          <w:p w14:paraId="2A569628">
            <w:pPr>
              <w:pStyle w:val="6"/>
              <w:spacing w:before="68" w:line="293" w:lineRule="auto"/>
              <w:ind w:left="742" w:right="743" w:firstLine="190"/>
              <w:rPr>
                <w:rFonts w:ascii="Times New Roman" w:hAnsi="Times New Roman" w:eastAsia="Times New Roman" w:cs="Times New Roman"/>
              </w:rPr>
            </w:pPr>
            <w:r>
              <w:rPr>
                <w:spacing w:val="-2"/>
              </w:rPr>
              <w:t>单回三角</w:t>
            </w:r>
            <w:r>
              <w:t xml:space="preserve"> </w:t>
            </w:r>
            <w:r>
              <w:rPr>
                <w:rFonts w:ascii="Times New Roman" w:hAnsi="Times New Roman" w:eastAsia="Times New Roman" w:cs="Times New Roman"/>
              </w:rPr>
              <w:t>V3-2D1Y7-J4</w:t>
            </w:r>
          </w:p>
        </w:tc>
        <w:tc>
          <w:tcPr>
            <w:tcW w:w="1274" w:type="dxa"/>
            <w:vAlign w:val="top"/>
          </w:tcPr>
          <w:p w14:paraId="2C28431B">
            <w:pPr>
              <w:spacing w:before="86" w:line="218" w:lineRule="auto"/>
              <w:ind w:left="51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6.5</w:t>
            </w:r>
          </w:p>
        </w:tc>
        <w:tc>
          <w:tcPr>
            <w:tcW w:w="1417" w:type="dxa"/>
            <w:vAlign w:val="top"/>
          </w:tcPr>
          <w:p w14:paraId="47F2A29E">
            <w:pPr>
              <w:spacing w:before="86" w:line="218" w:lineRule="auto"/>
              <w:ind w:left="47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7.157</w:t>
            </w:r>
          </w:p>
        </w:tc>
        <w:tc>
          <w:tcPr>
            <w:tcW w:w="1416" w:type="dxa"/>
            <w:vAlign w:val="top"/>
          </w:tcPr>
          <w:p w14:paraId="147009B6">
            <w:pPr>
              <w:spacing w:before="86" w:line="218" w:lineRule="auto"/>
              <w:ind w:left="42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87.924</w:t>
            </w:r>
          </w:p>
        </w:tc>
      </w:tr>
      <w:tr w14:paraId="204BB5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267" w:type="dxa"/>
            <w:vMerge w:val="continue"/>
            <w:tcBorders>
              <w:top w:val="nil"/>
              <w:bottom w:val="nil"/>
            </w:tcBorders>
            <w:vAlign w:val="top"/>
          </w:tcPr>
          <w:p w14:paraId="0931AF66">
            <w:pPr>
              <w:rPr>
                <w:rFonts w:ascii="Arial"/>
                <w:sz w:val="21"/>
              </w:rPr>
            </w:pPr>
          </w:p>
        </w:tc>
        <w:tc>
          <w:tcPr>
            <w:tcW w:w="2694" w:type="dxa"/>
            <w:vMerge w:val="continue"/>
            <w:tcBorders>
              <w:top w:val="nil"/>
              <w:bottom w:val="nil"/>
            </w:tcBorders>
            <w:vAlign w:val="top"/>
          </w:tcPr>
          <w:p w14:paraId="3CDA4A7B">
            <w:pPr>
              <w:rPr>
                <w:rFonts w:ascii="Arial"/>
                <w:sz w:val="21"/>
              </w:rPr>
            </w:pPr>
          </w:p>
        </w:tc>
        <w:tc>
          <w:tcPr>
            <w:tcW w:w="1274" w:type="dxa"/>
            <w:vAlign w:val="top"/>
          </w:tcPr>
          <w:p w14:paraId="4808A611">
            <w:pPr>
              <w:spacing w:before="87" w:line="217" w:lineRule="auto"/>
              <w:ind w:left="50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7.5</w:t>
            </w:r>
          </w:p>
        </w:tc>
        <w:tc>
          <w:tcPr>
            <w:tcW w:w="1417" w:type="dxa"/>
            <w:vAlign w:val="top"/>
          </w:tcPr>
          <w:p w14:paraId="6E56E43F">
            <w:pPr>
              <w:spacing w:before="87" w:line="217" w:lineRule="auto"/>
              <w:ind w:left="48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5.657</w:t>
            </w:r>
          </w:p>
        </w:tc>
        <w:tc>
          <w:tcPr>
            <w:tcW w:w="1416" w:type="dxa"/>
            <w:vAlign w:val="top"/>
          </w:tcPr>
          <w:p w14:paraId="156ADF07">
            <w:pPr>
              <w:spacing w:before="87" w:line="217" w:lineRule="auto"/>
              <w:ind w:left="4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72.118</w:t>
            </w:r>
          </w:p>
        </w:tc>
      </w:tr>
      <w:tr w14:paraId="4D3F47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267" w:type="dxa"/>
            <w:vMerge w:val="continue"/>
            <w:tcBorders>
              <w:top w:val="nil"/>
              <w:bottom w:val="nil"/>
            </w:tcBorders>
            <w:vAlign w:val="top"/>
          </w:tcPr>
          <w:p w14:paraId="0E2EA615">
            <w:pPr>
              <w:rPr>
                <w:rFonts w:ascii="Arial"/>
                <w:sz w:val="21"/>
              </w:rPr>
            </w:pPr>
          </w:p>
        </w:tc>
        <w:tc>
          <w:tcPr>
            <w:tcW w:w="2694" w:type="dxa"/>
            <w:vMerge w:val="continue"/>
            <w:tcBorders>
              <w:top w:val="nil"/>
              <w:bottom w:val="nil"/>
            </w:tcBorders>
            <w:vAlign w:val="top"/>
          </w:tcPr>
          <w:p w14:paraId="635574A4">
            <w:pPr>
              <w:rPr>
                <w:rFonts w:ascii="Arial"/>
                <w:sz w:val="21"/>
              </w:rPr>
            </w:pPr>
          </w:p>
        </w:tc>
        <w:tc>
          <w:tcPr>
            <w:tcW w:w="1274" w:type="dxa"/>
            <w:vAlign w:val="top"/>
          </w:tcPr>
          <w:p w14:paraId="09C7AB4F">
            <w:pPr>
              <w:spacing w:before="87" w:line="217" w:lineRule="auto"/>
              <w:ind w:left="51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8.5</w:t>
            </w:r>
          </w:p>
        </w:tc>
        <w:tc>
          <w:tcPr>
            <w:tcW w:w="1417" w:type="dxa"/>
            <w:vAlign w:val="top"/>
          </w:tcPr>
          <w:p w14:paraId="6587348C">
            <w:pPr>
              <w:spacing w:before="87" w:line="217" w:lineRule="auto"/>
              <w:ind w:left="4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4.609</w:t>
            </w:r>
          </w:p>
        </w:tc>
        <w:tc>
          <w:tcPr>
            <w:tcW w:w="1416" w:type="dxa"/>
            <w:vAlign w:val="top"/>
          </w:tcPr>
          <w:p w14:paraId="0C2E98EB">
            <w:pPr>
              <w:spacing w:before="87" w:line="217" w:lineRule="auto"/>
              <w:ind w:left="42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60.961</w:t>
            </w:r>
          </w:p>
        </w:tc>
      </w:tr>
      <w:tr w14:paraId="5AB61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267" w:type="dxa"/>
            <w:vMerge w:val="continue"/>
            <w:tcBorders>
              <w:top w:val="nil"/>
              <w:bottom w:val="nil"/>
            </w:tcBorders>
            <w:vAlign w:val="top"/>
          </w:tcPr>
          <w:p w14:paraId="6BDC1CE0">
            <w:pPr>
              <w:rPr>
                <w:rFonts w:ascii="Arial"/>
                <w:sz w:val="21"/>
              </w:rPr>
            </w:pPr>
          </w:p>
        </w:tc>
        <w:tc>
          <w:tcPr>
            <w:tcW w:w="2694" w:type="dxa"/>
            <w:vMerge w:val="continue"/>
            <w:tcBorders>
              <w:top w:val="nil"/>
            </w:tcBorders>
            <w:vAlign w:val="top"/>
          </w:tcPr>
          <w:p w14:paraId="68F617C7">
            <w:pPr>
              <w:rPr>
                <w:rFonts w:ascii="Arial"/>
                <w:sz w:val="21"/>
              </w:rPr>
            </w:pPr>
          </w:p>
        </w:tc>
        <w:tc>
          <w:tcPr>
            <w:tcW w:w="1274" w:type="dxa"/>
            <w:vAlign w:val="top"/>
          </w:tcPr>
          <w:p w14:paraId="66F4C674">
            <w:pPr>
              <w:spacing w:before="88" w:line="217" w:lineRule="auto"/>
              <w:ind w:left="51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9.5</w:t>
            </w:r>
          </w:p>
        </w:tc>
        <w:tc>
          <w:tcPr>
            <w:tcW w:w="1417" w:type="dxa"/>
            <w:vAlign w:val="top"/>
          </w:tcPr>
          <w:p w14:paraId="59BACFAA">
            <w:pPr>
              <w:spacing w:before="88" w:line="217" w:lineRule="auto"/>
              <w:ind w:left="48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3.841</w:t>
            </w:r>
          </w:p>
        </w:tc>
        <w:tc>
          <w:tcPr>
            <w:tcW w:w="1416" w:type="dxa"/>
            <w:vAlign w:val="top"/>
          </w:tcPr>
          <w:p w14:paraId="7C03ECD9">
            <w:pPr>
              <w:spacing w:before="88" w:line="217" w:lineRule="auto"/>
              <w:ind w:left="42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52.214</w:t>
            </w:r>
          </w:p>
        </w:tc>
      </w:tr>
      <w:tr w14:paraId="07A8F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2267" w:type="dxa"/>
            <w:vMerge w:val="continue"/>
            <w:tcBorders>
              <w:top w:val="nil"/>
              <w:bottom w:val="nil"/>
            </w:tcBorders>
            <w:vAlign w:val="top"/>
          </w:tcPr>
          <w:p w14:paraId="74671B5C">
            <w:pPr>
              <w:rPr>
                <w:rFonts w:ascii="Arial"/>
                <w:sz w:val="21"/>
              </w:rPr>
            </w:pPr>
          </w:p>
        </w:tc>
        <w:tc>
          <w:tcPr>
            <w:tcW w:w="2694" w:type="dxa"/>
            <w:vMerge w:val="restart"/>
            <w:tcBorders>
              <w:bottom w:val="nil"/>
            </w:tcBorders>
            <w:vAlign w:val="top"/>
          </w:tcPr>
          <w:p w14:paraId="6FF61634">
            <w:pPr>
              <w:spacing w:line="312" w:lineRule="auto"/>
              <w:rPr>
                <w:rFonts w:ascii="Arial"/>
                <w:sz w:val="21"/>
              </w:rPr>
            </w:pPr>
          </w:p>
          <w:p w14:paraId="0E9F8302">
            <w:pPr>
              <w:pStyle w:val="6"/>
              <w:spacing w:before="68" w:line="221" w:lineRule="auto"/>
              <w:ind w:left="299"/>
            </w:pPr>
            <w:r>
              <w:rPr>
                <w:spacing w:val="-1"/>
              </w:rPr>
              <w:t>双回垂直（单边挂线）</w:t>
            </w:r>
          </w:p>
          <w:p w14:paraId="4D18FEBC">
            <w:pPr>
              <w:spacing w:before="98" w:line="187" w:lineRule="auto"/>
              <w:ind w:left="89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2D2Z5-JD</w:t>
            </w:r>
          </w:p>
        </w:tc>
        <w:tc>
          <w:tcPr>
            <w:tcW w:w="1274" w:type="dxa"/>
            <w:vAlign w:val="top"/>
          </w:tcPr>
          <w:p w14:paraId="0E3DEF1C">
            <w:pPr>
              <w:spacing w:before="90" w:line="217" w:lineRule="auto"/>
              <w:ind w:left="51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6.5</w:t>
            </w:r>
          </w:p>
        </w:tc>
        <w:tc>
          <w:tcPr>
            <w:tcW w:w="1417" w:type="dxa"/>
            <w:vAlign w:val="top"/>
          </w:tcPr>
          <w:p w14:paraId="25C50C31">
            <w:pPr>
              <w:spacing w:before="90" w:line="217" w:lineRule="auto"/>
              <w:ind w:left="48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6.871</w:t>
            </w:r>
          </w:p>
        </w:tc>
        <w:tc>
          <w:tcPr>
            <w:tcW w:w="1416" w:type="dxa"/>
            <w:vAlign w:val="top"/>
          </w:tcPr>
          <w:p w14:paraId="5AD8BEB2">
            <w:pPr>
              <w:spacing w:before="90" w:line="217" w:lineRule="auto"/>
              <w:ind w:left="42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65.718</w:t>
            </w:r>
          </w:p>
        </w:tc>
      </w:tr>
      <w:tr w14:paraId="78922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267" w:type="dxa"/>
            <w:vMerge w:val="continue"/>
            <w:tcBorders>
              <w:top w:val="nil"/>
              <w:bottom w:val="nil"/>
            </w:tcBorders>
            <w:vAlign w:val="top"/>
          </w:tcPr>
          <w:p w14:paraId="62EDE50A">
            <w:pPr>
              <w:rPr>
                <w:rFonts w:ascii="Arial"/>
                <w:sz w:val="21"/>
              </w:rPr>
            </w:pPr>
          </w:p>
        </w:tc>
        <w:tc>
          <w:tcPr>
            <w:tcW w:w="2694" w:type="dxa"/>
            <w:vMerge w:val="continue"/>
            <w:tcBorders>
              <w:top w:val="nil"/>
              <w:bottom w:val="nil"/>
            </w:tcBorders>
            <w:vAlign w:val="top"/>
          </w:tcPr>
          <w:p w14:paraId="2DB1B11B">
            <w:pPr>
              <w:rPr>
                <w:rFonts w:ascii="Arial"/>
                <w:sz w:val="21"/>
              </w:rPr>
            </w:pPr>
          </w:p>
        </w:tc>
        <w:tc>
          <w:tcPr>
            <w:tcW w:w="1274" w:type="dxa"/>
            <w:vAlign w:val="top"/>
          </w:tcPr>
          <w:p w14:paraId="7E55C26F">
            <w:pPr>
              <w:spacing w:before="88" w:line="216" w:lineRule="auto"/>
              <w:ind w:left="50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7.5</w:t>
            </w:r>
          </w:p>
        </w:tc>
        <w:tc>
          <w:tcPr>
            <w:tcW w:w="1417" w:type="dxa"/>
            <w:vAlign w:val="top"/>
          </w:tcPr>
          <w:p w14:paraId="053E2E7D">
            <w:pPr>
              <w:spacing w:before="88" w:line="216" w:lineRule="auto"/>
              <w:ind w:left="48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5.486</w:t>
            </w:r>
          </w:p>
        </w:tc>
        <w:tc>
          <w:tcPr>
            <w:tcW w:w="1416" w:type="dxa"/>
            <w:vAlign w:val="top"/>
          </w:tcPr>
          <w:p w14:paraId="76363135">
            <w:pPr>
              <w:spacing w:before="88" w:line="216" w:lineRule="auto"/>
              <w:ind w:left="42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51.526</w:t>
            </w:r>
          </w:p>
        </w:tc>
      </w:tr>
      <w:tr w14:paraId="176098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267" w:type="dxa"/>
            <w:vMerge w:val="continue"/>
            <w:tcBorders>
              <w:top w:val="nil"/>
              <w:bottom w:val="nil"/>
            </w:tcBorders>
            <w:vAlign w:val="top"/>
          </w:tcPr>
          <w:p w14:paraId="421BAA14">
            <w:pPr>
              <w:rPr>
                <w:rFonts w:ascii="Arial"/>
                <w:sz w:val="21"/>
              </w:rPr>
            </w:pPr>
          </w:p>
        </w:tc>
        <w:tc>
          <w:tcPr>
            <w:tcW w:w="2694" w:type="dxa"/>
            <w:vMerge w:val="continue"/>
            <w:tcBorders>
              <w:top w:val="nil"/>
              <w:bottom w:val="nil"/>
            </w:tcBorders>
            <w:vAlign w:val="top"/>
          </w:tcPr>
          <w:p w14:paraId="70BBAB6F">
            <w:pPr>
              <w:rPr>
                <w:rFonts w:ascii="Arial"/>
                <w:sz w:val="21"/>
              </w:rPr>
            </w:pPr>
          </w:p>
        </w:tc>
        <w:tc>
          <w:tcPr>
            <w:tcW w:w="1274" w:type="dxa"/>
            <w:vAlign w:val="top"/>
          </w:tcPr>
          <w:p w14:paraId="62EEA0F4">
            <w:pPr>
              <w:spacing w:before="88" w:line="216" w:lineRule="auto"/>
              <w:ind w:left="51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8.5</w:t>
            </w:r>
          </w:p>
        </w:tc>
        <w:tc>
          <w:tcPr>
            <w:tcW w:w="1417" w:type="dxa"/>
            <w:vAlign w:val="top"/>
          </w:tcPr>
          <w:p w14:paraId="1FFC8779">
            <w:pPr>
              <w:spacing w:before="88" w:line="216" w:lineRule="auto"/>
              <w:ind w:left="4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4.512</w:t>
            </w:r>
          </w:p>
        </w:tc>
        <w:tc>
          <w:tcPr>
            <w:tcW w:w="1416" w:type="dxa"/>
            <w:vAlign w:val="top"/>
          </w:tcPr>
          <w:p w14:paraId="7767AC4C">
            <w:pPr>
              <w:spacing w:before="88" w:line="216" w:lineRule="auto"/>
              <w:ind w:left="41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41.743</w:t>
            </w:r>
          </w:p>
        </w:tc>
      </w:tr>
      <w:tr w14:paraId="3B46F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267" w:type="dxa"/>
            <w:vMerge w:val="continue"/>
            <w:tcBorders>
              <w:top w:val="nil"/>
              <w:bottom w:val="nil"/>
            </w:tcBorders>
            <w:vAlign w:val="top"/>
          </w:tcPr>
          <w:p w14:paraId="78BE431F">
            <w:pPr>
              <w:rPr>
                <w:rFonts w:ascii="Arial"/>
                <w:sz w:val="21"/>
              </w:rPr>
            </w:pPr>
          </w:p>
        </w:tc>
        <w:tc>
          <w:tcPr>
            <w:tcW w:w="2694" w:type="dxa"/>
            <w:vMerge w:val="continue"/>
            <w:tcBorders>
              <w:top w:val="nil"/>
            </w:tcBorders>
            <w:vAlign w:val="top"/>
          </w:tcPr>
          <w:p w14:paraId="581F5B17">
            <w:pPr>
              <w:rPr>
                <w:rFonts w:ascii="Arial"/>
                <w:sz w:val="21"/>
              </w:rPr>
            </w:pPr>
          </w:p>
        </w:tc>
        <w:tc>
          <w:tcPr>
            <w:tcW w:w="1274" w:type="dxa"/>
            <w:vAlign w:val="top"/>
          </w:tcPr>
          <w:p w14:paraId="39C98840">
            <w:pPr>
              <w:spacing w:before="89" w:line="215" w:lineRule="auto"/>
              <w:ind w:left="51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9.5</w:t>
            </w:r>
          </w:p>
        </w:tc>
        <w:tc>
          <w:tcPr>
            <w:tcW w:w="1417" w:type="dxa"/>
            <w:vAlign w:val="top"/>
          </w:tcPr>
          <w:p w14:paraId="17359B13">
            <w:pPr>
              <w:spacing w:before="89" w:line="215" w:lineRule="auto"/>
              <w:ind w:left="48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3.794</w:t>
            </w:r>
          </w:p>
        </w:tc>
        <w:tc>
          <w:tcPr>
            <w:tcW w:w="1416" w:type="dxa"/>
            <w:vAlign w:val="top"/>
          </w:tcPr>
          <w:p w14:paraId="2823846A">
            <w:pPr>
              <w:spacing w:before="89" w:line="215" w:lineRule="auto"/>
              <w:ind w:left="4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34.651</w:t>
            </w:r>
          </w:p>
        </w:tc>
      </w:tr>
      <w:tr w14:paraId="15CE31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2267" w:type="dxa"/>
            <w:vMerge w:val="continue"/>
            <w:tcBorders>
              <w:top w:val="nil"/>
            </w:tcBorders>
            <w:vAlign w:val="top"/>
          </w:tcPr>
          <w:p w14:paraId="1CC928E3">
            <w:pPr>
              <w:rPr>
                <w:rFonts w:ascii="Arial"/>
                <w:sz w:val="21"/>
              </w:rPr>
            </w:pPr>
          </w:p>
        </w:tc>
        <w:tc>
          <w:tcPr>
            <w:tcW w:w="2694" w:type="dxa"/>
            <w:vAlign w:val="top"/>
          </w:tcPr>
          <w:p w14:paraId="7BBE94B8">
            <w:pPr>
              <w:pStyle w:val="6"/>
              <w:spacing w:before="55" w:line="221" w:lineRule="auto"/>
              <w:ind w:left="299"/>
            </w:pPr>
            <w:r>
              <w:rPr>
                <w:spacing w:val="-1"/>
              </w:rPr>
              <w:t>双回垂直（双边挂线）</w:t>
            </w:r>
          </w:p>
          <w:p w14:paraId="533BCBCA">
            <w:pPr>
              <w:spacing w:before="98" w:line="187" w:lineRule="auto"/>
              <w:ind w:left="89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2D2Z5-JD</w:t>
            </w:r>
          </w:p>
        </w:tc>
        <w:tc>
          <w:tcPr>
            <w:tcW w:w="1274" w:type="dxa"/>
            <w:vAlign w:val="top"/>
          </w:tcPr>
          <w:p w14:paraId="2D1B3A0D">
            <w:pPr>
              <w:spacing w:before="245" w:line="234" w:lineRule="auto"/>
              <w:ind w:left="550"/>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417" w:type="dxa"/>
            <w:vAlign w:val="top"/>
          </w:tcPr>
          <w:p w14:paraId="0BA620D3">
            <w:pPr>
              <w:spacing w:before="246" w:line="233" w:lineRule="auto"/>
              <w:ind w:left="49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1.612</w:t>
            </w:r>
          </w:p>
        </w:tc>
        <w:tc>
          <w:tcPr>
            <w:tcW w:w="1416" w:type="dxa"/>
            <w:vAlign w:val="top"/>
          </w:tcPr>
          <w:p w14:paraId="4FF1E412">
            <w:pPr>
              <w:spacing w:before="246" w:line="233" w:lineRule="auto"/>
              <w:ind w:left="43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18.924</w:t>
            </w:r>
          </w:p>
        </w:tc>
      </w:tr>
      <w:tr w14:paraId="66F897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267" w:type="dxa"/>
            <w:vMerge w:val="restart"/>
            <w:tcBorders>
              <w:bottom w:val="nil"/>
            </w:tcBorders>
            <w:vAlign w:val="top"/>
          </w:tcPr>
          <w:p w14:paraId="501F91BF">
            <w:pPr>
              <w:spacing w:line="277" w:lineRule="auto"/>
              <w:rPr>
                <w:rFonts w:ascii="Arial"/>
                <w:sz w:val="21"/>
              </w:rPr>
            </w:pPr>
          </w:p>
          <w:p w14:paraId="30C7C939">
            <w:pPr>
              <w:spacing w:line="277" w:lineRule="auto"/>
              <w:rPr>
                <w:rFonts w:ascii="Arial"/>
                <w:sz w:val="21"/>
              </w:rPr>
            </w:pPr>
          </w:p>
          <w:p w14:paraId="17530C19">
            <w:pPr>
              <w:spacing w:line="277" w:lineRule="auto"/>
              <w:rPr>
                <w:rFonts w:ascii="Arial"/>
                <w:sz w:val="21"/>
              </w:rPr>
            </w:pPr>
          </w:p>
          <w:p w14:paraId="6BEDEFD3">
            <w:pPr>
              <w:spacing w:line="278" w:lineRule="auto"/>
              <w:rPr>
                <w:rFonts w:ascii="Arial"/>
                <w:sz w:val="21"/>
              </w:rPr>
            </w:pPr>
          </w:p>
          <w:p w14:paraId="4671D628">
            <w:pPr>
              <w:pStyle w:val="6"/>
              <w:spacing w:before="68" w:line="221" w:lineRule="auto"/>
              <w:ind w:left="336"/>
            </w:pPr>
            <w:r>
              <w:rPr>
                <w:rFonts w:ascii="Times New Roman" w:hAnsi="Times New Roman" w:eastAsia="Times New Roman" w:cs="Times New Roman"/>
                <w:spacing w:val="-4"/>
              </w:rPr>
              <w:t>DE</w:t>
            </w:r>
            <w:r>
              <w:rPr>
                <w:rFonts w:ascii="Times New Roman" w:hAnsi="Times New Roman" w:eastAsia="Times New Roman" w:cs="Times New Roman"/>
                <w:spacing w:val="31"/>
              </w:rPr>
              <w:t xml:space="preserve"> </w:t>
            </w:r>
            <w:r>
              <w:rPr>
                <w:spacing w:val="-4"/>
              </w:rPr>
              <w:t>回单分裂导线</w:t>
            </w:r>
          </w:p>
        </w:tc>
        <w:tc>
          <w:tcPr>
            <w:tcW w:w="2694" w:type="dxa"/>
            <w:vMerge w:val="restart"/>
            <w:tcBorders>
              <w:bottom w:val="nil"/>
            </w:tcBorders>
            <w:vAlign w:val="top"/>
          </w:tcPr>
          <w:p w14:paraId="0287BF90">
            <w:pPr>
              <w:pStyle w:val="6"/>
              <w:spacing w:before="224" w:line="293" w:lineRule="auto"/>
              <w:ind w:left="915" w:right="911" w:firstLine="17"/>
              <w:rPr>
                <w:rFonts w:ascii="Times New Roman" w:hAnsi="Times New Roman" w:eastAsia="Times New Roman" w:cs="Times New Roman"/>
              </w:rPr>
            </w:pPr>
            <w:r>
              <w:rPr>
                <w:spacing w:val="-2"/>
              </w:rPr>
              <w:t>单回三角</w:t>
            </w:r>
            <w:r>
              <w:rPr>
                <w:rFonts w:ascii="Times New Roman" w:hAnsi="Times New Roman" w:eastAsia="Times New Roman" w:cs="Times New Roman"/>
                <w:spacing w:val="-1"/>
              </w:rPr>
              <w:t>2D1R7-J3</w:t>
            </w:r>
          </w:p>
        </w:tc>
        <w:tc>
          <w:tcPr>
            <w:tcW w:w="1274" w:type="dxa"/>
            <w:vAlign w:val="top"/>
          </w:tcPr>
          <w:p w14:paraId="590FCFB0">
            <w:pPr>
              <w:spacing w:before="90" w:line="214" w:lineRule="auto"/>
              <w:ind w:left="51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6.5</w:t>
            </w:r>
          </w:p>
        </w:tc>
        <w:tc>
          <w:tcPr>
            <w:tcW w:w="1417" w:type="dxa"/>
            <w:vAlign w:val="top"/>
          </w:tcPr>
          <w:p w14:paraId="69C781D1">
            <w:pPr>
              <w:spacing w:before="90" w:line="214" w:lineRule="auto"/>
              <w:ind w:left="48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5.207</w:t>
            </w:r>
          </w:p>
        </w:tc>
        <w:tc>
          <w:tcPr>
            <w:tcW w:w="1416" w:type="dxa"/>
            <w:vAlign w:val="top"/>
          </w:tcPr>
          <w:p w14:paraId="1EE57483">
            <w:pPr>
              <w:spacing w:before="90" w:line="214" w:lineRule="auto"/>
              <w:ind w:left="47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8.366</w:t>
            </w:r>
          </w:p>
        </w:tc>
      </w:tr>
      <w:tr w14:paraId="799A08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2267" w:type="dxa"/>
            <w:vMerge w:val="continue"/>
            <w:tcBorders>
              <w:top w:val="nil"/>
              <w:bottom w:val="nil"/>
            </w:tcBorders>
            <w:vAlign w:val="top"/>
          </w:tcPr>
          <w:p w14:paraId="7DA7F6D2">
            <w:pPr>
              <w:rPr>
                <w:rFonts w:ascii="Arial"/>
                <w:sz w:val="21"/>
              </w:rPr>
            </w:pPr>
          </w:p>
        </w:tc>
        <w:tc>
          <w:tcPr>
            <w:tcW w:w="2694" w:type="dxa"/>
            <w:vMerge w:val="continue"/>
            <w:tcBorders>
              <w:top w:val="nil"/>
              <w:bottom w:val="nil"/>
            </w:tcBorders>
            <w:vAlign w:val="top"/>
          </w:tcPr>
          <w:p w14:paraId="592E0898">
            <w:pPr>
              <w:rPr>
                <w:rFonts w:ascii="Arial"/>
                <w:sz w:val="21"/>
              </w:rPr>
            </w:pPr>
          </w:p>
        </w:tc>
        <w:tc>
          <w:tcPr>
            <w:tcW w:w="1274" w:type="dxa"/>
            <w:vAlign w:val="top"/>
          </w:tcPr>
          <w:p w14:paraId="67CBFAF3">
            <w:pPr>
              <w:spacing w:before="93" w:line="214" w:lineRule="auto"/>
              <w:ind w:left="50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7.5</w:t>
            </w:r>
          </w:p>
        </w:tc>
        <w:tc>
          <w:tcPr>
            <w:tcW w:w="1417" w:type="dxa"/>
            <w:vAlign w:val="top"/>
          </w:tcPr>
          <w:p w14:paraId="49BE4F55">
            <w:pPr>
              <w:spacing w:before="93" w:line="214" w:lineRule="auto"/>
              <w:ind w:left="4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4.163</w:t>
            </w:r>
          </w:p>
        </w:tc>
        <w:tc>
          <w:tcPr>
            <w:tcW w:w="1416" w:type="dxa"/>
            <w:vAlign w:val="top"/>
          </w:tcPr>
          <w:p w14:paraId="5A6F0628">
            <w:pPr>
              <w:spacing w:before="93" w:line="214" w:lineRule="auto"/>
              <w:ind w:left="4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6.876</w:t>
            </w:r>
          </w:p>
        </w:tc>
      </w:tr>
      <w:tr w14:paraId="6483D0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267" w:type="dxa"/>
            <w:vMerge w:val="continue"/>
            <w:tcBorders>
              <w:top w:val="nil"/>
              <w:bottom w:val="nil"/>
            </w:tcBorders>
            <w:vAlign w:val="top"/>
          </w:tcPr>
          <w:p w14:paraId="606C7C20">
            <w:pPr>
              <w:rPr>
                <w:rFonts w:ascii="Arial"/>
                <w:sz w:val="21"/>
              </w:rPr>
            </w:pPr>
          </w:p>
        </w:tc>
        <w:tc>
          <w:tcPr>
            <w:tcW w:w="2694" w:type="dxa"/>
            <w:vMerge w:val="continue"/>
            <w:tcBorders>
              <w:top w:val="nil"/>
            </w:tcBorders>
            <w:vAlign w:val="top"/>
          </w:tcPr>
          <w:p w14:paraId="5327DB9C">
            <w:pPr>
              <w:rPr>
                <w:rFonts w:ascii="Arial"/>
                <w:sz w:val="21"/>
              </w:rPr>
            </w:pPr>
          </w:p>
        </w:tc>
        <w:tc>
          <w:tcPr>
            <w:tcW w:w="1274" w:type="dxa"/>
            <w:vAlign w:val="top"/>
          </w:tcPr>
          <w:p w14:paraId="7E92E8F9">
            <w:pPr>
              <w:spacing w:before="91" w:line="214" w:lineRule="auto"/>
              <w:ind w:left="591"/>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1417" w:type="dxa"/>
            <w:vAlign w:val="top"/>
          </w:tcPr>
          <w:p w14:paraId="54A9406D">
            <w:pPr>
              <w:spacing w:before="91" w:line="214" w:lineRule="auto"/>
              <w:ind w:left="4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3.756</w:t>
            </w:r>
          </w:p>
        </w:tc>
        <w:tc>
          <w:tcPr>
            <w:tcW w:w="1416" w:type="dxa"/>
            <w:vAlign w:val="top"/>
          </w:tcPr>
          <w:p w14:paraId="294FB7F0">
            <w:pPr>
              <w:spacing w:before="91" w:line="214" w:lineRule="auto"/>
              <w:ind w:left="47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6.307</w:t>
            </w:r>
          </w:p>
        </w:tc>
      </w:tr>
      <w:tr w14:paraId="4FD19E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267" w:type="dxa"/>
            <w:vMerge w:val="continue"/>
            <w:tcBorders>
              <w:top w:val="nil"/>
              <w:bottom w:val="nil"/>
            </w:tcBorders>
            <w:vAlign w:val="top"/>
          </w:tcPr>
          <w:p w14:paraId="33E55CA2">
            <w:pPr>
              <w:rPr>
                <w:rFonts w:ascii="Arial"/>
                <w:sz w:val="21"/>
              </w:rPr>
            </w:pPr>
          </w:p>
        </w:tc>
        <w:tc>
          <w:tcPr>
            <w:tcW w:w="2694" w:type="dxa"/>
            <w:vMerge w:val="restart"/>
            <w:tcBorders>
              <w:bottom w:val="nil"/>
            </w:tcBorders>
            <w:vAlign w:val="top"/>
          </w:tcPr>
          <w:p w14:paraId="526D7739">
            <w:pPr>
              <w:pStyle w:val="6"/>
              <w:spacing w:before="221" w:line="294" w:lineRule="auto"/>
              <w:ind w:left="891" w:right="890" w:firstLine="41"/>
              <w:rPr>
                <w:rFonts w:ascii="Times New Roman" w:hAnsi="Times New Roman" w:eastAsia="Times New Roman" w:cs="Times New Roman"/>
              </w:rPr>
            </w:pPr>
            <w:r>
              <w:rPr>
                <w:spacing w:val="-2"/>
              </w:rPr>
              <w:t>单回水平</w:t>
            </w:r>
            <w:r>
              <w:rPr>
                <w:rFonts w:ascii="Times New Roman" w:hAnsi="Times New Roman" w:eastAsia="Times New Roman" w:cs="Times New Roman"/>
                <w:spacing w:val="-1"/>
              </w:rPr>
              <w:t>2D1R7-Z2</w:t>
            </w:r>
          </w:p>
        </w:tc>
        <w:tc>
          <w:tcPr>
            <w:tcW w:w="1274" w:type="dxa"/>
            <w:vAlign w:val="top"/>
          </w:tcPr>
          <w:p w14:paraId="5B321381">
            <w:pPr>
              <w:spacing w:before="90" w:line="214" w:lineRule="auto"/>
              <w:ind w:left="51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6.5</w:t>
            </w:r>
          </w:p>
        </w:tc>
        <w:tc>
          <w:tcPr>
            <w:tcW w:w="1417" w:type="dxa"/>
            <w:vAlign w:val="top"/>
          </w:tcPr>
          <w:p w14:paraId="635D4A24">
            <w:pPr>
              <w:spacing w:before="90" w:line="214" w:lineRule="auto"/>
              <w:ind w:left="48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5.324</w:t>
            </w:r>
          </w:p>
        </w:tc>
        <w:tc>
          <w:tcPr>
            <w:tcW w:w="1416" w:type="dxa"/>
            <w:vAlign w:val="top"/>
          </w:tcPr>
          <w:p w14:paraId="3BE443D5">
            <w:pPr>
              <w:spacing w:before="90" w:line="214" w:lineRule="auto"/>
              <w:ind w:left="47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9.906</w:t>
            </w:r>
          </w:p>
        </w:tc>
      </w:tr>
      <w:tr w14:paraId="66140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267" w:type="dxa"/>
            <w:vMerge w:val="continue"/>
            <w:tcBorders>
              <w:top w:val="nil"/>
              <w:bottom w:val="nil"/>
            </w:tcBorders>
            <w:vAlign w:val="top"/>
          </w:tcPr>
          <w:p w14:paraId="7DB10257">
            <w:pPr>
              <w:rPr>
                <w:rFonts w:ascii="Arial"/>
                <w:sz w:val="21"/>
              </w:rPr>
            </w:pPr>
          </w:p>
        </w:tc>
        <w:tc>
          <w:tcPr>
            <w:tcW w:w="2694" w:type="dxa"/>
            <w:vMerge w:val="continue"/>
            <w:tcBorders>
              <w:top w:val="nil"/>
              <w:bottom w:val="nil"/>
            </w:tcBorders>
            <w:vAlign w:val="top"/>
          </w:tcPr>
          <w:p w14:paraId="39153DCB">
            <w:pPr>
              <w:rPr>
                <w:rFonts w:ascii="Arial"/>
                <w:sz w:val="21"/>
              </w:rPr>
            </w:pPr>
          </w:p>
        </w:tc>
        <w:tc>
          <w:tcPr>
            <w:tcW w:w="1274" w:type="dxa"/>
            <w:vAlign w:val="top"/>
          </w:tcPr>
          <w:p w14:paraId="2B5E8457">
            <w:pPr>
              <w:spacing w:before="92" w:line="213" w:lineRule="auto"/>
              <w:ind w:left="50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7.5</w:t>
            </w:r>
          </w:p>
        </w:tc>
        <w:tc>
          <w:tcPr>
            <w:tcW w:w="1417" w:type="dxa"/>
            <w:vAlign w:val="top"/>
          </w:tcPr>
          <w:p w14:paraId="7CFC9C84">
            <w:pPr>
              <w:spacing w:before="92" w:line="213" w:lineRule="auto"/>
              <w:ind w:left="4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4.274</w:t>
            </w:r>
          </w:p>
        </w:tc>
        <w:tc>
          <w:tcPr>
            <w:tcW w:w="1416" w:type="dxa"/>
            <w:vAlign w:val="top"/>
          </w:tcPr>
          <w:p w14:paraId="09B58BD3">
            <w:pPr>
              <w:spacing w:before="92" w:line="213" w:lineRule="auto"/>
              <w:ind w:left="47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8.237</w:t>
            </w:r>
          </w:p>
        </w:tc>
      </w:tr>
      <w:tr w14:paraId="6D193C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267" w:type="dxa"/>
            <w:vMerge w:val="continue"/>
            <w:tcBorders>
              <w:top w:val="nil"/>
              <w:bottom w:val="nil"/>
            </w:tcBorders>
            <w:vAlign w:val="top"/>
          </w:tcPr>
          <w:p w14:paraId="08077643">
            <w:pPr>
              <w:rPr>
                <w:rFonts w:ascii="Arial"/>
                <w:sz w:val="21"/>
              </w:rPr>
            </w:pPr>
          </w:p>
        </w:tc>
        <w:tc>
          <w:tcPr>
            <w:tcW w:w="2694" w:type="dxa"/>
            <w:vMerge w:val="continue"/>
            <w:tcBorders>
              <w:top w:val="nil"/>
            </w:tcBorders>
            <w:vAlign w:val="top"/>
          </w:tcPr>
          <w:p w14:paraId="37BC049D">
            <w:pPr>
              <w:rPr>
                <w:rFonts w:ascii="Arial"/>
                <w:sz w:val="21"/>
              </w:rPr>
            </w:pPr>
          </w:p>
        </w:tc>
        <w:tc>
          <w:tcPr>
            <w:tcW w:w="1274" w:type="dxa"/>
            <w:vAlign w:val="top"/>
          </w:tcPr>
          <w:p w14:paraId="61DAF1F7">
            <w:pPr>
              <w:spacing w:before="91" w:line="213" w:lineRule="auto"/>
              <w:ind w:left="591"/>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1417" w:type="dxa"/>
            <w:vAlign w:val="top"/>
          </w:tcPr>
          <w:p w14:paraId="2986D865">
            <w:pPr>
              <w:spacing w:before="91" w:line="213" w:lineRule="auto"/>
              <w:ind w:left="48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3.872</w:t>
            </w:r>
          </w:p>
        </w:tc>
        <w:tc>
          <w:tcPr>
            <w:tcW w:w="1416" w:type="dxa"/>
            <w:vAlign w:val="top"/>
          </w:tcPr>
          <w:p w14:paraId="23987ACE">
            <w:pPr>
              <w:spacing w:before="91" w:line="213" w:lineRule="auto"/>
              <w:ind w:left="47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7.570</w:t>
            </w:r>
          </w:p>
        </w:tc>
      </w:tr>
      <w:tr w14:paraId="25A585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267" w:type="dxa"/>
            <w:vMerge w:val="continue"/>
            <w:tcBorders>
              <w:top w:val="nil"/>
              <w:bottom w:val="nil"/>
            </w:tcBorders>
            <w:vAlign w:val="top"/>
          </w:tcPr>
          <w:p w14:paraId="790E90CD">
            <w:pPr>
              <w:rPr>
                <w:rFonts w:ascii="Arial"/>
                <w:sz w:val="21"/>
              </w:rPr>
            </w:pPr>
          </w:p>
        </w:tc>
        <w:tc>
          <w:tcPr>
            <w:tcW w:w="2694" w:type="dxa"/>
            <w:vMerge w:val="restart"/>
            <w:tcBorders>
              <w:bottom w:val="nil"/>
            </w:tcBorders>
            <w:vAlign w:val="top"/>
          </w:tcPr>
          <w:p w14:paraId="14B27237">
            <w:pPr>
              <w:pStyle w:val="6"/>
              <w:spacing w:before="64" w:line="221" w:lineRule="auto"/>
              <w:ind w:left="299"/>
            </w:pPr>
            <w:r>
              <w:rPr>
                <w:spacing w:val="-1"/>
              </w:rPr>
              <w:t>双回垂直（单边挂线）</w:t>
            </w:r>
          </w:p>
          <w:p w14:paraId="35AF2425">
            <w:pPr>
              <w:spacing w:before="98" w:line="187" w:lineRule="auto"/>
              <w:ind w:left="89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2D2Z5-JD</w:t>
            </w:r>
          </w:p>
        </w:tc>
        <w:tc>
          <w:tcPr>
            <w:tcW w:w="1274" w:type="dxa"/>
            <w:vAlign w:val="top"/>
          </w:tcPr>
          <w:p w14:paraId="71F9238C">
            <w:pPr>
              <w:spacing w:before="92" w:line="213" w:lineRule="auto"/>
              <w:ind w:left="51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6.5</w:t>
            </w:r>
          </w:p>
        </w:tc>
        <w:tc>
          <w:tcPr>
            <w:tcW w:w="1417" w:type="dxa"/>
            <w:vAlign w:val="top"/>
          </w:tcPr>
          <w:p w14:paraId="15E36144">
            <w:pPr>
              <w:spacing w:before="92" w:line="213" w:lineRule="auto"/>
              <w:ind w:left="4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4.837</w:t>
            </w:r>
          </w:p>
        </w:tc>
        <w:tc>
          <w:tcPr>
            <w:tcW w:w="1416" w:type="dxa"/>
            <w:vAlign w:val="top"/>
          </w:tcPr>
          <w:p w14:paraId="644C43DA">
            <w:pPr>
              <w:spacing w:before="92" w:line="213" w:lineRule="auto"/>
              <w:ind w:left="47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6.204</w:t>
            </w:r>
          </w:p>
        </w:tc>
      </w:tr>
      <w:tr w14:paraId="17DBA5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267" w:type="dxa"/>
            <w:vMerge w:val="continue"/>
            <w:tcBorders>
              <w:top w:val="nil"/>
            </w:tcBorders>
            <w:vAlign w:val="top"/>
          </w:tcPr>
          <w:p w14:paraId="4A1D58C6">
            <w:pPr>
              <w:rPr>
                <w:rFonts w:ascii="Arial"/>
                <w:sz w:val="21"/>
              </w:rPr>
            </w:pPr>
          </w:p>
        </w:tc>
        <w:tc>
          <w:tcPr>
            <w:tcW w:w="2694" w:type="dxa"/>
            <w:vMerge w:val="continue"/>
            <w:tcBorders>
              <w:top w:val="nil"/>
            </w:tcBorders>
            <w:vAlign w:val="top"/>
          </w:tcPr>
          <w:p w14:paraId="0888C1E1">
            <w:pPr>
              <w:rPr>
                <w:rFonts w:ascii="Arial"/>
                <w:sz w:val="21"/>
              </w:rPr>
            </w:pPr>
          </w:p>
        </w:tc>
        <w:tc>
          <w:tcPr>
            <w:tcW w:w="1274" w:type="dxa"/>
            <w:vAlign w:val="top"/>
          </w:tcPr>
          <w:p w14:paraId="2784E478">
            <w:pPr>
              <w:spacing w:before="94" w:line="218" w:lineRule="auto"/>
              <w:ind w:left="50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7.5</w:t>
            </w:r>
          </w:p>
        </w:tc>
        <w:tc>
          <w:tcPr>
            <w:tcW w:w="1417" w:type="dxa"/>
            <w:vAlign w:val="top"/>
          </w:tcPr>
          <w:p w14:paraId="717A9284">
            <w:pPr>
              <w:spacing w:before="94" w:line="218" w:lineRule="auto"/>
              <w:ind w:left="48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3.885</w:t>
            </w:r>
          </w:p>
        </w:tc>
        <w:tc>
          <w:tcPr>
            <w:tcW w:w="1416" w:type="dxa"/>
            <w:vAlign w:val="top"/>
          </w:tcPr>
          <w:p w14:paraId="7836442A">
            <w:pPr>
              <w:spacing w:before="94" w:line="218" w:lineRule="auto"/>
              <w:ind w:left="46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4.869</w:t>
            </w:r>
          </w:p>
        </w:tc>
      </w:tr>
    </w:tbl>
    <w:p w14:paraId="1D89C20A">
      <w:pPr>
        <w:spacing w:before="113" w:line="354" w:lineRule="auto"/>
        <w:ind w:left="10" w:firstLine="480"/>
        <w:jc w:val="both"/>
        <w:rPr>
          <w:rFonts w:ascii="宋体" w:hAnsi="宋体" w:eastAsia="宋体" w:cs="宋体"/>
          <w:sz w:val="24"/>
          <w:szCs w:val="24"/>
        </w:rPr>
      </w:pPr>
      <w:r>
        <w:rPr>
          <w:rFonts w:ascii="宋体" w:hAnsi="宋体" w:eastAsia="宋体" w:cs="宋体"/>
          <w:spacing w:val="-3"/>
          <w:sz w:val="24"/>
          <w:szCs w:val="24"/>
        </w:rPr>
        <w:t>经初步预测：</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36"/>
          <w:sz w:val="24"/>
          <w:szCs w:val="24"/>
        </w:rPr>
        <w:t xml:space="preserve"> </w:t>
      </w:r>
      <w:r>
        <w:rPr>
          <w:rFonts w:ascii="宋体" w:hAnsi="宋体" w:eastAsia="宋体" w:cs="宋体"/>
          <w:spacing w:val="-3"/>
          <w:sz w:val="24"/>
          <w:szCs w:val="24"/>
        </w:rPr>
        <w:t>回</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 xml:space="preserve">220kV </w:t>
      </w:r>
      <w:r>
        <w:rPr>
          <w:rFonts w:ascii="宋体" w:hAnsi="宋体" w:eastAsia="宋体" w:cs="宋体"/>
          <w:spacing w:val="-3"/>
          <w:sz w:val="24"/>
          <w:szCs w:val="24"/>
        </w:rPr>
        <w:t>线路单回三角排列段采用最不利塔型</w:t>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V3-2D1Y7-J4</w:t>
      </w:r>
      <w:r>
        <w:rPr>
          <w:rFonts w:ascii="宋体" w:hAnsi="宋体" w:eastAsia="宋体" w:cs="宋体"/>
          <w:spacing w:val="-3"/>
          <w:sz w:val="24"/>
          <w:szCs w:val="24"/>
        </w:rPr>
        <w:t>，非居</w:t>
      </w:r>
      <w:r>
        <w:rPr>
          <w:rFonts w:ascii="宋体" w:hAnsi="宋体" w:eastAsia="宋体" w:cs="宋体"/>
          <w:spacing w:val="-1"/>
          <w:sz w:val="24"/>
          <w:szCs w:val="24"/>
        </w:rPr>
        <w:t>民区导线对地高度为</w:t>
      </w:r>
      <w:r>
        <w:rPr>
          <w:rFonts w:ascii="宋体" w:hAnsi="宋体" w:eastAsia="宋体" w:cs="宋体"/>
          <w:spacing w:val="-35"/>
          <w:sz w:val="24"/>
          <w:szCs w:val="24"/>
        </w:rPr>
        <w:t xml:space="preserve"> </w:t>
      </w:r>
      <w:r>
        <w:rPr>
          <w:rFonts w:ascii="Times New Roman" w:hAnsi="Times New Roman" w:eastAsia="Times New Roman" w:cs="Times New Roman"/>
          <w:spacing w:val="-1"/>
          <w:sz w:val="24"/>
          <w:szCs w:val="24"/>
        </w:rPr>
        <w:t>6.5m</w:t>
      </w:r>
      <w:r>
        <w:rPr>
          <w:rFonts w:ascii="Times New Roman" w:hAnsi="Times New Roman" w:eastAsia="Times New Roman" w:cs="Times New Roman"/>
          <w:spacing w:val="21"/>
          <w:w w:val="101"/>
          <w:sz w:val="24"/>
          <w:szCs w:val="24"/>
        </w:rPr>
        <w:t xml:space="preserve"> </w:t>
      </w:r>
      <w:r>
        <w:rPr>
          <w:rFonts w:ascii="宋体" w:hAnsi="宋体" w:eastAsia="宋体" w:cs="宋体"/>
          <w:spacing w:val="-1"/>
          <w:sz w:val="24"/>
          <w:szCs w:val="24"/>
        </w:rPr>
        <w:t>时，地面上</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 xml:space="preserve">1.5m </w:t>
      </w:r>
      <w:r>
        <w:rPr>
          <w:rFonts w:ascii="宋体" w:hAnsi="宋体" w:eastAsia="宋体" w:cs="宋体"/>
          <w:spacing w:val="-1"/>
          <w:sz w:val="24"/>
          <w:szCs w:val="24"/>
        </w:rPr>
        <w:t>处的工频电场强度最大值为</w:t>
      </w:r>
      <w:r>
        <w:rPr>
          <w:rFonts w:ascii="Times New Roman" w:hAnsi="Times New Roman" w:eastAsia="Times New Roman" w:cs="Times New Roman"/>
          <w:spacing w:val="-1"/>
          <w:sz w:val="24"/>
          <w:szCs w:val="24"/>
        </w:rPr>
        <w:t>7.157kV/m</w:t>
      </w:r>
      <w:r>
        <w:rPr>
          <w:rFonts w:ascii="宋体" w:hAnsi="宋体" w:eastAsia="宋体" w:cs="宋体"/>
          <w:spacing w:val="-1"/>
          <w:sz w:val="24"/>
          <w:szCs w:val="24"/>
        </w:rPr>
        <w:t>、工</w:t>
      </w:r>
      <w:r>
        <w:rPr>
          <w:rFonts w:ascii="宋体" w:hAnsi="宋体" w:eastAsia="宋体" w:cs="宋体"/>
          <w:spacing w:val="-6"/>
          <w:sz w:val="24"/>
          <w:szCs w:val="24"/>
        </w:rPr>
        <w:t>频磁感应强度最大值为</w:t>
      </w:r>
      <w:r>
        <w:rPr>
          <w:rFonts w:ascii="宋体" w:hAnsi="宋体" w:eastAsia="宋体" w:cs="宋体"/>
          <w:spacing w:val="-38"/>
          <w:sz w:val="24"/>
          <w:szCs w:val="24"/>
        </w:rPr>
        <w:t xml:space="preserve"> </w:t>
      </w:r>
      <w:r>
        <w:rPr>
          <w:rFonts w:ascii="Times New Roman" w:hAnsi="Times New Roman" w:eastAsia="Times New Roman" w:cs="Times New Roman"/>
          <w:spacing w:val="-6"/>
          <w:sz w:val="24"/>
          <w:szCs w:val="24"/>
        </w:rPr>
        <w:t>87.924μT</w:t>
      </w:r>
      <w:r>
        <w:rPr>
          <w:rFonts w:ascii="宋体" w:hAnsi="宋体" w:eastAsia="宋体" w:cs="宋体"/>
          <w:spacing w:val="-6"/>
          <w:sz w:val="24"/>
          <w:szCs w:val="24"/>
        </w:rPr>
        <w:t>，可满足《电磁环境控制限值》（</w:t>
      </w:r>
      <w:r>
        <w:rPr>
          <w:rFonts w:ascii="Times New Roman" w:hAnsi="Times New Roman" w:eastAsia="Times New Roman" w:cs="Times New Roman"/>
          <w:spacing w:val="-6"/>
          <w:sz w:val="24"/>
          <w:szCs w:val="24"/>
        </w:rPr>
        <w:t>GB8702-2014</w:t>
      </w:r>
      <w:r>
        <w:rPr>
          <w:rFonts w:ascii="宋体" w:hAnsi="宋体" w:eastAsia="宋体" w:cs="宋体"/>
          <w:spacing w:val="-6"/>
          <w:sz w:val="24"/>
          <w:szCs w:val="24"/>
        </w:rPr>
        <w:t>）的限值</w:t>
      </w:r>
    </w:p>
    <w:p w14:paraId="307A04F5">
      <w:pPr>
        <w:spacing w:line="354" w:lineRule="auto"/>
        <w:rPr>
          <w:rFonts w:ascii="宋体" w:hAnsi="宋体" w:eastAsia="宋体" w:cs="宋体"/>
          <w:sz w:val="24"/>
          <w:szCs w:val="24"/>
        </w:rPr>
        <w:sectPr>
          <w:footerReference r:id="rId102" w:type="default"/>
          <w:pgSz w:w="11907" w:h="16841"/>
          <w:pgMar w:top="400" w:right="1413" w:bottom="1126" w:left="1418" w:header="0" w:footer="925" w:gutter="0"/>
          <w:cols w:space="720" w:num="1"/>
        </w:sectPr>
      </w:pPr>
    </w:p>
    <w:p w14:paraId="2AFEDA69">
      <w:pPr>
        <w:spacing w:line="249" w:lineRule="auto"/>
        <w:rPr>
          <w:rFonts w:ascii="Arial"/>
          <w:sz w:val="21"/>
        </w:rPr>
      </w:pPr>
    </w:p>
    <w:p w14:paraId="21788F94">
      <w:pPr>
        <w:spacing w:line="249" w:lineRule="auto"/>
        <w:rPr>
          <w:rFonts w:ascii="Arial"/>
          <w:sz w:val="21"/>
        </w:rPr>
      </w:pPr>
    </w:p>
    <w:p w14:paraId="51FB8FDD">
      <w:pPr>
        <w:spacing w:line="249" w:lineRule="auto"/>
        <w:rPr>
          <w:rFonts w:ascii="Arial"/>
          <w:sz w:val="21"/>
        </w:rPr>
      </w:pPr>
    </w:p>
    <w:p w14:paraId="04978517">
      <w:pPr>
        <w:spacing w:line="249" w:lineRule="auto"/>
        <w:rPr>
          <w:rFonts w:ascii="Arial"/>
          <w:sz w:val="21"/>
        </w:rPr>
      </w:pPr>
    </w:p>
    <w:p w14:paraId="152645B0">
      <w:pPr>
        <w:spacing w:line="249" w:lineRule="auto"/>
        <w:rPr>
          <w:rFonts w:ascii="Arial"/>
          <w:sz w:val="21"/>
        </w:rPr>
      </w:pPr>
    </w:p>
    <w:p w14:paraId="2B976A83">
      <w:pPr>
        <w:spacing w:before="78" w:line="360" w:lineRule="auto"/>
        <w:ind w:right="85" w:firstLine="5"/>
        <w:jc w:val="both"/>
        <w:rPr>
          <w:rFonts w:ascii="宋体" w:hAnsi="宋体" w:eastAsia="宋体" w:cs="宋体"/>
          <w:sz w:val="24"/>
          <w:szCs w:val="24"/>
        </w:rPr>
      </w:pPr>
      <w:r>
        <w:rPr>
          <w:rFonts w:ascii="宋体" w:hAnsi="宋体" w:eastAsia="宋体" w:cs="宋体"/>
          <w:spacing w:val="4"/>
          <w:sz w:val="24"/>
          <w:szCs w:val="24"/>
        </w:rPr>
        <w:t xml:space="preserve">要求；居民区导线对地高度提高为 </w:t>
      </w:r>
      <w:r>
        <w:rPr>
          <w:rFonts w:ascii="Times New Roman" w:hAnsi="Times New Roman" w:eastAsia="Times New Roman" w:cs="Times New Roman"/>
          <w:spacing w:val="4"/>
          <w:sz w:val="24"/>
          <w:szCs w:val="24"/>
        </w:rPr>
        <w:t xml:space="preserve">9.5m  </w:t>
      </w:r>
      <w:r>
        <w:rPr>
          <w:rFonts w:ascii="宋体" w:hAnsi="宋体" w:eastAsia="宋体" w:cs="宋体"/>
          <w:spacing w:val="4"/>
          <w:sz w:val="24"/>
          <w:szCs w:val="24"/>
        </w:rPr>
        <w:t>时，</w:t>
      </w:r>
      <w:r>
        <w:rPr>
          <w:rFonts w:ascii="宋体" w:hAnsi="宋体" w:eastAsia="宋体" w:cs="宋体"/>
          <w:spacing w:val="3"/>
          <w:sz w:val="24"/>
          <w:szCs w:val="24"/>
        </w:rPr>
        <w:t xml:space="preserve">地面上 </w:t>
      </w:r>
      <w:r>
        <w:rPr>
          <w:rFonts w:ascii="Times New Roman" w:hAnsi="Times New Roman" w:eastAsia="Times New Roman" w:cs="Times New Roman"/>
          <w:spacing w:val="3"/>
          <w:sz w:val="24"/>
          <w:szCs w:val="24"/>
        </w:rPr>
        <w:t>1.5m</w:t>
      </w:r>
      <w:r>
        <w:rPr>
          <w:rFonts w:ascii="Times New Roman" w:hAnsi="Times New Roman" w:eastAsia="Times New Roman" w:cs="Times New Roman"/>
          <w:spacing w:val="9"/>
          <w:sz w:val="24"/>
          <w:szCs w:val="24"/>
        </w:rPr>
        <w:t xml:space="preserve">  </w:t>
      </w:r>
      <w:r>
        <w:rPr>
          <w:rFonts w:ascii="宋体" w:hAnsi="宋体" w:eastAsia="宋体" w:cs="宋体"/>
          <w:spacing w:val="3"/>
          <w:sz w:val="24"/>
          <w:szCs w:val="24"/>
        </w:rPr>
        <w:t>处工频电场强度最大值为</w:t>
      </w:r>
      <w:r>
        <w:rPr>
          <w:rFonts w:ascii="Times New Roman" w:hAnsi="Times New Roman" w:eastAsia="Times New Roman" w:cs="Times New Roman"/>
          <w:spacing w:val="-8"/>
          <w:sz w:val="24"/>
          <w:szCs w:val="24"/>
        </w:rPr>
        <w:t>3.841kV/m</w:t>
      </w:r>
      <w:r>
        <w:rPr>
          <w:rFonts w:ascii="宋体" w:hAnsi="宋体" w:eastAsia="宋体" w:cs="宋体"/>
          <w:spacing w:val="-8"/>
          <w:sz w:val="24"/>
          <w:szCs w:val="24"/>
        </w:rPr>
        <w:t>、工频磁感应强度最大值为</w:t>
      </w:r>
      <w:r>
        <w:rPr>
          <w:rFonts w:ascii="宋体" w:hAnsi="宋体" w:eastAsia="宋体" w:cs="宋体"/>
          <w:spacing w:val="-42"/>
          <w:sz w:val="24"/>
          <w:szCs w:val="24"/>
        </w:rPr>
        <w:t xml:space="preserve"> </w:t>
      </w:r>
      <w:r>
        <w:rPr>
          <w:rFonts w:ascii="Times New Roman" w:hAnsi="Times New Roman" w:eastAsia="Times New Roman" w:cs="Times New Roman"/>
          <w:spacing w:val="-8"/>
          <w:sz w:val="24"/>
          <w:szCs w:val="24"/>
        </w:rPr>
        <w:t>52.214μT</w:t>
      </w:r>
      <w:r>
        <w:rPr>
          <w:rFonts w:ascii="宋体" w:hAnsi="宋体" w:eastAsia="宋体" w:cs="宋体"/>
          <w:spacing w:val="-8"/>
          <w:sz w:val="24"/>
          <w:szCs w:val="24"/>
        </w:rPr>
        <w:t>，可满足《电磁环境控制限值》（</w:t>
      </w:r>
      <w:r>
        <w:rPr>
          <w:rFonts w:ascii="Times New Roman" w:hAnsi="Times New Roman" w:eastAsia="Times New Roman" w:cs="Times New Roman"/>
          <w:spacing w:val="-8"/>
          <w:sz w:val="24"/>
          <w:szCs w:val="24"/>
        </w:rPr>
        <w:t>GB8702-</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2014</w:t>
      </w:r>
      <w:r>
        <w:rPr>
          <w:rFonts w:ascii="宋体" w:hAnsi="宋体" w:eastAsia="宋体" w:cs="宋体"/>
          <w:spacing w:val="-1"/>
          <w:sz w:val="24"/>
          <w:szCs w:val="24"/>
        </w:rPr>
        <w:t>）的限值要求。</w:t>
      </w:r>
    </w:p>
    <w:p w14:paraId="0CBFFFF1">
      <w:pPr>
        <w:spacing w:line="360" w:lineRule="auto"/>
        <w:ind w:right="87" w:firstLine="483"/>
        <w:rPr>
          <w:rFonts w:ascii="宋体" w:hAnsi="宋体" w:eastAsia="宋体" w:cs="宋体"/>
          <w:sz w:val="24"/>
          <w:szCs w:val="24"/>
        </w:rPr>
      </w:pPr>
      <w:r>
        <w:rPr>
          <w:rFonts w:ascii="Times New Roman" w:hAnsi="Times New Roman" w:eastAsia="Times New Roman" w:cs="Times New Roman"/>
          <w:spacing w:val="-2"/>
          <w:sz w:val="24"/>
          <w:szCs w:val="24"/>
        </w:rPr>
        <w:t>C</w:t>
      </w:r>
      <w:r>
        <w:rPr>
          <w:rFonts w:ascii="Times New Roman" w:hAnsi="Times New Roman" w:eastAsia="Times New Roman" w:cs="Times New Roman"/>
          <w:spacing w:val="48"/>
          <w:w w:val="101"/>
          <w:sz w:val="24"/>
          <w:szCs w:val="24"/>
        </w:rPr>
        <w:t xml:space="preserve"> </w:t>
      </w:r>
      <w:r>
        <w:rPr>
          <w:rFonts w:ascii="宋体" w:hAnsi="宋体" w:eastAsia="宋体" w:cs="宋体"/>
          <w:spacing w:val="-2"/>
          <w:sz w:val="24"/>
          <w:szCs w:val="24"/>
        </w:rPr>
        <w:t>回</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19"/>
          <w:sz w:val="24"/>
          <w:szCs w:val="24"/>
        </w:rPr>
        <w:t xml:space="preserve"> </w:t>
      </w:r>
      <w:r>
        <w:rPr>
          <w:rFonts w:ascii="宋体" w:hAnsi="宋体" w:eastAsia="宋体" w:cs="宋体"/>
          <w:spacing w:val="-2"/>
          <w:sz w:val="24"/>
          <w:szCs w:val="24"/>
        </w:rPr>
        <w:t>线路双回垂直排列段（单边挂线）采用最不利塔型</w:t>
      </w:r>
      <w:r>
        <w:rPr>
          <w:rFonts w:ascii="宋体" w:hAnsi="宋体" w:eastAsia="宋体" w:cs="宋体"/>
          <w:spacing w:val="-47"/>
          <w:sz w:val="24"/>
          <w:szCs w:val="24"/>
        </w:rPr>
        <w:t xml:space="preserve"> </w:t>
      </w:r>
      <w:r>
        <w:rPr>
          <w:rFonts w:ascii="Times New Roman" w:hAnsi="Times New Roman" w:eastAsia="Times New Roman" w:cs="Times New Roman"/>
          <w:spacing w:val="-2"/>
          <w:sz w:val="24"/>
          <w:szCs w:val="24"/>
        </w:rPr>
        <w:t>2D2Z5-JD</w:t>
      </w:r>
      <w:r>
        <w:rPr>
          <w:rFonts w:ascii="宋体" w:hAnsi="宋体" w:eastAsia="宋体" w:cs="宋体"/>
          <w:spacing w:val="-2"/>
          <w:sz w:val="24"/>
          <w:szCs w:val="24"/>
        </w:rPr>
        <w:t>，非居民区导线对地高度为</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6.5m</w:t>
      </w:r>
      <w:r>
        <w:rPr>
          <w:rFonts w:ascii="Times New Roman" w:hAnsi="Times New Roman" w:eastAsia="Times New Roman" w:cs="Times New Roman"/>
          <w:spacing w:val="21"/>
          <w:sz w:val="24"/>
          <w:szCs w:val="24"/>
        </w:rPr>
        <w:t xml:space="preserve"> </w:t>
      </w:r>
      <w:r>
        <w:rPr>
          <w:rFonts w:ascii="宋体" w:hAnsi="宋体" w:eastAsia="宋体" w:cs="宋体"/>
          <w:spacing w:val="-2"/>
          <w:sz w:val="24"/>
          <w:szCs w:val="24"/>
        </w:rPr>
        <w:t>时，地面上</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1.5m</w:t>
      </w:r>
      <w:r>
        <w:rPr>
          <w:rFonts w:ascii="Times New Roman" w:hAnsi="Times New Roman" w:eastAsia="Times New Roman" w:cs="Times New Roman"/>
          <w:spacing w:val="15"/>
          <w:sz w:val="24"/>
          <w:szCs w:val="24"/>
        </w:rPr>
        <w:t xml:space="preserve"> </w:t>
      </w:r>
      <w:r>
        <w:rPr>
          <w:rFonts w:ascii="宋体" w:hAnsi="宋体" w:eastAsia="宋体" w:cs="宋体"/>
          <w:spacing w:val="-2"/>
          <w:sz w:val="24"/>
          <w:szCs w:val="24"/>
        </w:rPr>
        <w:t>处的工频电场强度最大值为</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6.8</w:t>
      </w:r>
      <w:r>
        <w:rPr>
          <w:rFonts w:ascii="Times New Roman" w:hAnsi="Times New Roman" w:eastAsia="Times New Roman" w:cs="Times New Roman"/>
          <w:spacing w:val="-3"/>
          <w:sz w:val="24"/>
          <w:szCs w:val="24"/>
        </w:rPr>
        <w:t>71kV/m</w:t>
      </w:r>
      <w:r>
        <w:rPr>
          <w:rFonts w:ascii="宋体" w:hAnsi="宋体" w:eastAsia="宋体" w:cs="宋体"/>
          <w:spacing w:val="-3"/>
          <w:sz w:val="24"/>
          <w:szCs w:val="24"/>
        </w:rPr>
        <w:t>、工频</w:t>
      </w:r>
      <w:r>
        <w:rPr>
          <w:rFonts w:ascii="宋体" w:hAnsi="宋体" w:eastAsia="宋体" w:cs="宋体"/>
          <w:spacing w:val="-6"/>
          <w:sz w:val="24"/>
          <w:szCs w:val="24"/>
        </w:rPr>
        <w:t>磁感应强度最大值为</w:t>
      </w:r>
      <w:r>
        <w:rPr>
          <w:rFonts w:ascii="宋体" w:hAnsi="宋体" w:eastAsia="宋体" w:cs="宋体"/>
          <w:spacing w:val="-33"/>
          <w:sz w:val="24"/>
          <w:szCs w:val="24"/>
        </w:rPr>
        <w:t xml:space="preserve"> </w:t>
      </w:r>
      <w:r>
        <w:rPr>
          <w:rFonts w:ascii="Times New Roman" w:hAnsi="Times New Roman" w:eastAsia="Times New Roman" w:cs="Times New Roman"/>
          <w:spacing w:val="-6"/>
          <w:sz w:val="24"/>
          <w:szCs w:val="24"/>
        </w:rPr>
        <w:t>65.718μT</w:t>
      </w:r>
      <w:r>
        <w:rPr>
          <w:rFonts w:ascii="宋体" w:hAnsi="宋体" w:eastAsia="宋体" w:cs="宋体"/>
          <w:spacing w:val="-6"/>
          <w:sz w:val="24"/>
          <w:szCs w:val="24"/>
        </w:rPr>
        <w:t>，可满足《电磁环境控制限值》（</w:t>
      </w:r>
      <w:r>
        <w:rPr>
          <w:rFonts w:ascii="Times New Roman" w:hAnsi="Times New Roman" w:eastAsia="Times New Roman" w:cs="Times New Roman"/>
          <w:spacing w:val="-6"/>
          <w:sz w:val="24"/>
          <w:szCs w:val="24"/>
        </w:rPr>
        <w:t>GB8702-2014</w:t>
      </w:r>
      <w:r>
        <w:rPr>
          <w:rFonts w:ascii="宋体" w:hAnsi="宋体" w:eastAsia="宋体" w:cs="宋体"/>
          <w:spacing w:val="-6"/>
          <w:sz w:val="24"/>
          <w:szCs w:val="24"/>
        </w:rPr>
        <w:t>）的限值要</w:t>
      </w:r>
      <w:r>
        <w:rPr>
          <w:rFonts w:ascii="宋体" w:hAnsi="宋体" w:eastAsia="宋体" w:cs="宋体"/>
          <w:spacing w:val="9"/>
          <w:sz w:val="24"/>
          <w:szCs w:val="24"/>
        </w:rPr>
        <w:t xml:space="preserve">求；居民区导线对地高度提高为 </w:t>
      </w:r>
      <w:r>
        <w:rPr>
          <w:rFonts w:ascii="Times New Roman" w:hAnsi="Times New Roman" w:eastAsia="Times New Roman" w:cs="Times New Roman"/>
          <w:spacing w:val="9"/>
          <w:sz w:val="24"/>
          <w:szCs w:val="24"/>
        </w:rPr>
        <w:t xml:space="preserve">9.5m  </w:t>
      </w:r>
      <w:r>
        <w:rPr>
          <w:rFonts w:ascii="宋体" w:hAnsi="宋体" w:eastAsia="宋体" w:cs="宋体"/>
          <w:spacing w:val="9"/>
          <w:sz w:val="24"/>
          <w:szCs w:val="24"/>
        </w:rPr>
        <w:t>时，地面上</w:t>
      </w:r>
      <w:r>
        <w:rPr>
          <w:rFonts w:ascii="宋体" w:hAnsi="宋体" w:eastAsia="宋体" w:cs="宋体"/>
          <w:spacing w:val="38"/>
          <w:sz w:val="24"/>
          <w:szCs w:val="24"/>
        </w:rPr>
        <w:t xml:space="preserve"> </w:t>
      </w:r>
      <w:r>
        <w:rPr>
          <w:rFonts w:ascii="Times New Roman" w:hAnsi="Times New Roman" w:eastAsia="Times New Roman" w:cs="Times New Roman"/>
          <w:spacing w:val="9"/>
          <w:sz w:val="24"/>
          <w:szCs w:val="24"/>
        </w:rPr>
        <w:t>1.5</w:t>
      </w:r>
      <w:r>
        <w:rPr>
          <w:rFonts w:ascii="Times New Roman" w:hAnsi="Times New Roman" w:eastAsia="Times New Roman" w:cs="Times New Roman"/>
          <w:spacing w:val="8"/>
          <w:sz w:val="24"/>
          <w:szCs w:val="24"/>
        </w:rPr>
        <w:t xml:space="preserve">m  </w:t>
      </w:r>
      <w:r>
        <w:rPr>
          <w:rFonts w:ascii="宋体" w:hAnsi="宋体" w:eastAsia="宋体" w:cs="宋体"/>
          <w:spacing w:val="8"/>
          <w:sz w:val="24"/>
          <w:szCs w:val="24"/>
        </w:rPr>
        <w:t>处工频电场强度最大值为</w:t>
      </w:r>
      <w:r>
        <w:rPr>
          <w:rFonts w:ascii="Times New Roman" w:hAnsi="Times New Roman" w:eastAsia="Times New Roman" w:cs="Times New Roman"/>
          <w:spacing w:val="-8"/>
          <w:sz w:val="24"/>
          <w:szCs w:val="24"/>
        </w:rPr>
        <w:t>3.794kV/m</w:t>
      </w:r>
      <w:r>
        <w:rPr>
          <w:rFonts w:ascii="宋体" w:hAnsi="宋体" w:eastAsia="宋体" w:cs="宋体"/>
          <w:spacing w:val="-8"/>
          <w:sz w:val="24"/>
          <w:szCs w:val="24"/>
        </w:rPr>
        <w:t>、工频磁感应强度最大值为</w:t>
      </w:r>
      <w:r>
        <w:rPr>
          <w:rFonts w:ascii="宋体" w:hAnsi="宋体" w:eastAsia="宋体" w:cs="宋体"/>
          <w:spacing w:val="-42"/>
          <w:sz w:val="24"/>
          <w:szCs w:val="24"/>
        </w:rPr>
        <w:t xml:space="preserve"> </w:t>
      </w:r>
      <w:r>
        <w:rPr>
          <w:rFonts w:ascii="Times New Roman" w:hAnsi="Times New Roman" w:eastAsia="Times New Roman" w:cs="Times New Roman"/>
          <w:spacing w:val="-8"/>
          <w:sz w:val="24"/>
          <w:szCs w:val="24"/>
        </w:rPr>
        <w:t>34.651μT</w:t>
      </w:r>
      <w:r>
        <w:rPr>
          <w:rFonts w:ascii="宋体" w:hAnsi="宋体" w:eastAsia="宋体" w:cs="宋体"/>
          <w:spacing w:val="-8"/>
          <w:sz w:val="24"/>
          <w:szCs w:val="24"/>
        </w:rPr>
        <w:t>，可满足《电磁环境控制限值》（</w:t>
      </w:r>
      <w:r>
        <w:rPr>
          <w:rFonts w:ascii="Times New Roman" w:hAnsi="Times New Roman" w:eastAsia="Times New Roman" w:cs="Times New Roman"/>
          <w:spacing w:val="-8"/>
          <w:sz w:val="24"/>
          <w:szCs w:val="24"/>
        </w:rPr>
        <w:t>GB8702-</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2014</w:t>
      </w:r>
      <w:r>
        <w:rPr>
          <w:rFonts w:ascii="宋体" w:hAnsi="宋体" w:eastAsia="宋体" w:cs="宋体"/>
          <w:spacing w:val="-1"/>
          <w:sz w:val="24"/>
          <w:szCs w:val="24"/>
        </w:rPr>
        <w:t>）的限值要求。</w:t>
      </w:r>
    </w:p>
    <w:p w14:paraId="5A724153">
      <w:pPr>
        <w:spacing w:before="2" w:line="353" w:lineRule="auto"/>
        <w:ind w:left="7" w:right="88" w:firstLine="476"/>
        <w:rPr>
          <w:rFonts w:ascii="宋体" w:hAnsi="宋体" w:eastAsia="宋体" w:cs="宋体"/>
          <w:sz w:val="24"/>
          <w:szCs w:val="24"/>
        </w:rPr>
      </w:pPr>
      <w:r>
        <w:rPr>
          <w:rFonts w:ascii="Times New Roman" w:hAnsi="Times New Roman" w:eastAsia="Times New Roman" w:cs="Times New Roman"/>
          <w:spacing w:val="-2"/>
          <w:sz w:val="24"/>
          <w:szCs w:val="24"/>
        </w:rPr>
        <w:t>C</w:t>
      </w:r>
      <w:r>
        <w:rPr>
          <w:rFonts w:ascii="Times New Roman" w:hAnsi="Times New Roman" w:eastAsia="Times New Roman" w:cs="Times New Roman"/>
          <w:spacing w:val="41"/>
          <w:sz w:val="24"/>
          <w:szCs w:val="24"/>
        </w:rPr>
        <w:t xml:space="preserve"> </w:t>
      </w:r>
      <w:r>
        <w:rPr>
          <w:rFonts w:ascii="宋体" w:hAnsi="宋体" w:eastAsia="宋体" w:cs="宋体"/>
          <w:spacing w:val="-2"/>
          <w:sz w:val="24"/>
          <w:szCs w:val="24"/>
        </w:rPr>
        <w:t>回</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220kV</w:t>
      </w:r>
      <w:r>
        <w:rPr>
          <w:rFonts w:ascii="Times New Roman" w:hAnsi="Times New Roman" w:eastAsia="Times New Roman" w:cs="Times New Roman"/>
          <w:spacing w:val="19"/>
          <w:sz w:val="24"/>
          <w:szCs w:val="24"/>
        </w:rPr>
        <w:t xml:space="preserve"> </w:t>
      </w:r>
      <w:r>
        <w:rPr>
          <w:rFonts w:ascii="宋体" w:hAnsi="宋体" w:eastAsia="宋体" w:cs="宋体"/>
          <w:spacing w:val="-2"/>
          <w:sz w:val="24"/>
          <w:szCs w:val="24"/>
        </w:rPr>
        <w:t>线路双回垂直排列段（双边挂线）采用最不利塔型</w:t>
      </w:r>
      <w:r>
        <w:rPr>
          <w:rFonts w:ascii="宋体" w:hAnsi="宋体" w:eastAsia="宋体" w:cs="宋体"/>
          <w:spacing w:val="-47"/>
          <w:sz w:val="24"/>
          <w:szCs w:val="24"/>
        </w:rPr>
        <w:t xml:space="preserve"> </w:t>
      </w:r>
      <w:r>
        <w:rPr>
          <w:rFonts w:ascii="Times New Roman" w:hAnsi="Times New Roman" w:eastAsia="Times New Roman" w:cs="Times New Roman"/>
          <w:spacing w:val="-2"/>
          <w:sz w:val="24"/>
          <w:szCs w:val="24"/>
        </w:rPr>
        <w:t>2D2Z</w:t>
      </w:r>
      <w:r>
        <w:rPr>
          <w:rFonts w:ascii="Times New Roman" w:hAnsi="Times New Roman" w:eastAsia="Times New Roman" w:cs="Times New Roman"/>
          <w:spacing w:val="-3"/>
          <w:sz w:val="24"/>
          <w:szCs w:val="24"/>
        </w:rPr>
        <w:t>5-JD</w:t>
      </w:r>
      <w:r>
        <w:rPr>
          <w:rFonts w:ascii="Times New Roman" w:hAnsi="Times New Roman" w:eastAsia="Times New Roman" w:cs="Times New Roman"/>
          <w:spacing w:val="-32"/>
          <w:sz w:val="24"/>
          <w:szCs w:val="24"/>
        </w:rPr>
        <w:t xml:space="preserve"> </w:t>
      </w:r>
      <w:r>
        <w:rPr>
          <w:rFonts w:ascii="宋体" w:hAnsi="宋体" w:eastAsia="宋体" w:cs="宋体"/>
          <w:spacing w:val="-3"/>
          <w:sz w:val="24"/>
          <w:szCs w:val="24"/>
        </w:rPr>
        <w:t xml:space="preserve">，实际导线对地高度为 </w:t>
      </w:r>
      <w:r>
        <w:rPr>
          <w:rFonts w:ascii="Times New Roman" w:hAnsi="Times New Roman" w:eastAsia="Times New Roman" w:cs="Times New Roman"/>
          <w:spacing w:val="-3"/>
          <w:sz w:val="24"/>
          <w:szCs w:val="24"/>
        </w:rPr>
        <w:t>15m</w:t>
      </w:r>
      <w:r>
        <w:rPr>
          <w:rFonts w:ascii="宋体" w:hAnsi="宋体" w:eastAsia="宋体" w:cs="宋体"/>
          <w:spacing w:val="-3"/>
          <w:sz w:val="24"/>
          <w:szCs w:val="24"/>
        </w:rPr>
        <w:t xml:space="preserve">，地面上 </w:t>
      </w:r>
      <w:r>
        <w:rPr>
          <w:rFonts w:ascii="Times New Roman" w:hAnsi="Times New Roman" w:eastAsia="Times New Roman" w:cs="Times New Roman"/>
          <w:spacing w:val="-3"/>
          <w:sz w:val="24"/>
          <w:szCs w:val="24"/>
        </w:rPr>
        <w:t>1.5m</w:t>
      </w:r>
      <w:r>
        <w:rPr>
          <w:rFonts w:ascii="Times New Roman" w:hAnsi="Times New Roman" w:eastAsia="Times New Roman" w:cs="Times New Roman"/>
          <w:spacing w:val="50"/>
          <w:w w:val="101"/>
          <w:sz w:val="24"/>
          <w:szCs w:val="24"/>
        </w:rPr>
        <w:t xml:space="preserve"> </w:t>
      </w:r>
      <w:r>
        <w:rPr>
          <w:rFonts w:ascii="宋体" w:hAnsi="宋体" w:eastAsia="宋体" w:cs="宋体"/>
          <w:spacing w:val="-3"/>
          <w:sz w:val="24"/>
          <w:szCs w:val="24"/>
        </w:rPr>
        <w:t xml:space="preserve">处的工频电场强度最大值为 </w:t>
      </w:r>
      <w:r>
        <w:rPr>
          <w:rFonts w:ascii="Times New Roman" w:hAnsi="Times New Roman" w:eastAsia="Times New Roman" w:cs="Times New Roman"/>
          <w:spacing w:val="-3"/>
          <w:sz w:val="24"/>
          <w:szCs w:val="24"/>
        </w:rPr>
        <w:t>1.612kV/m</w:t>
      </w:r>
      <w:r>
        <w:rPr>
          <w:rFonts w:ascii="宋体" w:hAnsi="宋体" w:eastAsia="宋体" w:cs="宋体"/>
          <w:spacing w:val="-3"/>
          <w:sz w:val="24"/>
          <w:szCs w:val="24"/>
        </w:rPr>
        <w:t>、工频磁感应强度最大值为</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18.924μT</w:t>
      </w:r>
      <w:r>
        <w:rPr>
          <w:rFonts w:ascii="宋体" w:hAnsi="宋体" w:eastAsia="宋体" w:cs="宋体"/>
          <w:spacing w:val="-3"/>
          <w:sz w:val="24"/>
          <w:szCs w:val="24"/>
        </w:rPr>
        <w:t>，可满足《电磁环境控制限值》</w:t>
      </w:r>
      <w:r>
        <w:rPr>
          <w:rFonts w:ascii="宋体" w:hAnsi="宋体" w:eastAsia="宋体" w:cs="宋体"/>
          <w:spacing w:val="-4"/>
          <w:sz w:val="24"/>
          <w:szCs w:val="24"/>
        </w:rPr>
        <w:t>（</w:t>
      </w:r>
      <w:r>
        <w:rPr>
          <w:rFonts w:ascii="Times New Roman" w:hAnsi="Times New Roman" w:eastAsia="Times New Roman" w:cs="Times New Roman"/>
          <w:spacing w:val="-4"/>
          <w:sz w:val="24"/>
          <w:szCs w:val="24"/>
        </w:rPr>
        <w:t>GB8702-2014</w:t>
      </w:r>
      <w:r>
        <w:rPr>
          <w:rFonts w:ascii="宋体" w:hAnsi="宋体" w:eastAsia="宋体" w:cs="宋体"/>
          <w:spacing w:val="-4"/>
          <w:sz w:val="24"/>
          <w:szCs w:val="24"/>
        </w:rPr>
        <w:t>）的限值要求。</w:t>
      </w:r>
    </w:p>
    <w:p w14:paraId="42CA3CCF">
      <w:pPr>
        <w:spacing w:before="26" w:line="356" w:lineRule="auto"/>
        <w:ind w:left="3" w:firstLine="475"/>
        <w:rPr>
          <w:rFonts w:ascii="宋体" w:hAnsi="宋体" w:eastAsia="宋体" w:cs="宋体"/>
          <w:sz w:val="24"/>
          <w:szCs w:val="24"/>
        </w:rPr>
      </w:pPr>
      <w:r>
        <w:rPr>
          <w:rFonts w:ascii="Times New Roman" w:hAnsi="Times New Roman" w:eastAsia="Times New Roman" w:cs="Times New Roman"/>
          <w:spacing w:val="-3"/>
          <w:sz w:val="24"/>
          <w:szCs w:val="24"/>
        </w:rPr>
        <w:t>DE</w:t>
      </w:r>
      <w:r>
        <w:rPr>
          <w:rFonts w:ascii="Times New Roman" w:hAnsi="Times New Roman" w:eastAsia="Times New Roman" w:cs="Times New Roman"/>
          <w:spacing w:val="33"/>
          <w:sz w:val="24"/>
          <w:szCs w:val="24"/>
        </w:rPr>
        <w:t xml:space="preserve"> </w:t>
      </w:r>
      <w:r>
        <w:rPr>
          <w:rFonts w:ascii="宋体" w:hAnsi="宋体" w:eastAsia="宋体" w:cs="宋体"/>
          <w:spacing w:val="-3"/>
          <w:sz w:val="24"/>
          <w:szCs w:val="24"/>
        </w:rPr>
        <w:t>回</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 xml:space="preserve">220kV </w:t>
      </w:r>
      <w:r>
        <w:rPr>
          <w:rFonts w:ascii="宋体" w:hAnsi="宋体" w:eastAsia="宋体" w:cs="宋体"/>
          <w:spacing w:val="-3"/>
          <w:sz w:val="24"/>
          <w:szCs w:val="24"/>
        </w:rPr>
        <w:t>线路单回三角排列段采用最不利塔型</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2D1R7-J3</w:t>
      </w:r>
      <w:r>
        <w:rPr>
          <w:rFonts w:ascii="宋体" w:hAnsi="宋体" w:eastAsia="宋体" w:cs="宋体"/>
          <w:spacing w:val="-3"/>
          <w:sz w:val="24"/>
          <w:szCs w:val="24"/>
        </w:rPr>
        <w:t>，非居民</w:t>
      </w:r>
      <w:r>
        <w:rPr>
          <w:rFonts w:ascii="宋体" w:hAnsi="宋体" w:eastAsia="宋体" w:cs="宋体"/>
          <w:spacing w:val="-4"/>
          <w:sz w:val="24"/>
          <w:szCs w:val="24"/>
        </w:rPr>
        <w:t>区导线对地高</w:t>
      </w:r>
      <w:r>
        <w:rPr>
          <w:rFonts w:ascii="宋体" w:hAnsi="宋体" w:eastAsia="宋体" w:cs="宋体"/>
          <w:spacing w:val="-2"/>
          <w:sz w:val="24"/>
          <w:szCs w:val="24"/>
        </w:rPr>
        <w:t>度为</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6.5m</w:t>
      </w:r>
      <w:r>
        <w:rPr>
          <w:rFonts w:ascii="Times New Roman" w:hAnsi="Times New Roman" w:eastAsia="Times New Roman" w:cs="Times New Roman"/>
          <w:spacing w:val="21"/>
          <w:w w:val="101"/>
          <w:sz w:val="24"/>
          <w:szCs w:val="24"/>
        </w:rPr>
        <w:t xml:space="preserve"> </w:t>
      </w:r>
      <w:r>
        <w:rPr>
          <w:rFonts w:ascii="宋体" w:hAnsi="宋体" w:eastAsia="宋体" w:cs="宋体"/>
          <w:spacing w:val="-2"/>
          <w:sz w:val="24"/>
          <w:szCs w:val="24"/>
        </w:rPr>
        <w:t>时，地面上</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1.5m</w:t>
      </w:r>
      <w:r>
        <w:rPr>
          <w:rFonts w:ascii="Times New Roman" w:hAnsi="Times New Roman" w:eastAsia="Times New Roman" w:cs="Times New Roman"/>
          <w:spacing w:val="15"/>
          <w:sz w:val="24"/>
          <w:szCs w:val="24"/>
        </w:rPr>
        <w:t xml:space="preserve"> </w:t>
      </w:r>
      <w:r>
        <w:rPr>
          <w:rFonts w:ascii="宋体" w:hAnsi="宋体" w:eastAsia="宋体" w:cs="宋体"/>
          <w:spacing w:val="-2"/>
          <w:sz w:val="24"/>
          <w:szCs w:val="24"/>
        </w:rPr>
        <w:t>处的工频电场强度最大值为</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5.207</w:t>
      </w:r>
      <w:r>
        <w:rPr>
          <w:rFonts w:ascii="Times New Roman" w:hAnsi="Times New Roman" w:eastAsia="Times New Roman" w:cs="Times New Roman"/>
          <w:spacing w:val="-3"/>
          <w:sz w:val="24"/>
          <w:szCs w:val="24"/>
        </w:rPr>
        <w:t>kV/m</w:t>
      </w:r>
      <w:r>
        <w:rPr>
          <w:rFonts w:ascii="宋体" w:hAnsi="宋体" w:eastAsia="宋体" w:cs="宋体"/>
          <w:spacing w:val="-3"/>
          <w:sz w:val="24"/>
          <w:szCs w:val="24"/>
        </w:rPr>
        <w:t>、工频磁感应强度最大值为</w:t>
      </w:r>
      <w:r>
        <w:rPr>
          <w:rFonts w:ascii="宋体" w:hAnsi="宋体" w:eastAsia="宋体" w:cs="宋体"/>
          <w:spacing w:val="-46"/>
          <w:sz w:val="24"/>
          <w:szCs w:val="24"/>
        </w:rPr>
        <w:t xml:space="preserve"> </w:t>
      </w:r>
      <w:r>
        <w:rPr>
          <w:rFonts w:ascii="Times New Roman" w:hAnsi="Times New Roman" w:eastAsia="Times New Roman" w:cs="Times New Roman"/>
          <w:spacing w:val="-3"/>
          <w:sz w:val="24"/>
          <w:szCs w:val="24"/>
        </w:rPr>
        <w:t>8.366μT</w:t>
      </w:r>
      <w:r>
        <w:rPr>
          <w:rFonts w:ascii="宋体" w:hAnsi="宋体" w:eastAsia="宋体" w:cs="宋体"/>
          <w:spacing w:val="-3"/>
          <w:sz w:val="24"/>
          <w:szCs w:val="24"/>
        </w:rPr>
        <w:t>，可满足《电磁环境控制限值》（</w:t>
      </w:r>
      <w:r>
        <w:rPr>
          <w:rFonts w:ascii="Times New Roman" w:hAnsi="Times New Roman" w:eastAsia="Times New Roman" w:cs="Times New Roman"/>
          <w:spacing w:val="-3"/>
          <w:sz w:val="24"/>
          <w:szCs w:val="24"/>
        </w:rPr>
        <w:t>GB87</w:t>
      </w:r>
      <w:r>
        <w:rPr>
          <w:rFonts w:ascii="Times New Roman" w:hAnsi="Times New Roman" w:eastAsia="Times New Roman" w:cs="Times New Roman"/>
          <w:spacing w:val="-4"/>
          <w:sz w:val="24"/>
          <w:szCs w:val="24"/>
        </w:rPr>
        <w:t>02-2014</w:t>
      </w:r>
      <w:r>
        <w:rPr>
          <w:rFonts w:ascii="宋体" w:hAnsi="宋体" w:eastAsia="宋体" w:cs="宋体"/>
          <w:spacing w:val="-4"/>
          <w:sz w:val="24"/>
          <w:szCs w:val="24"/>
        </w:rPr>
        <w:t>）的限值要求；居民区导线对地高度提高为</w:t>
      </w:r>
      <w:r>
        <w:rPr>
          <w:rFonts w:ascii="宋体" w:hAnsi="宋体" w:eastAsia="宋体" w:cs="宋体"/>
          <w:spacing w:val="-35"/>
          <w:sz w:val="24"/>
          <w:szCs w:val="24"/>
        </w:rPr>
        <w:t xml:space="preserve"> </w:t>
      </w:r>
      <w:r>
        <w:rPr>
          <w:rFonts w:ascii="Times New Roman" w:hAnsi="Times New Roman" w:eastAsia="Times New Roman" w:cs="Times New Roman"/>
          <w:spacing w:val="-4"/>
          <w:sz w:val="24"/>
          <w:szCs w:val="24"/>
        </w:rPr>
        <w:t>8m</w:t>
      </w:r>
      <w:r>
        <w:rPr>
          <w:rFonts w:ascii="Times New Roman" w:hAnsi="Times New Roman" w:eastAsia="Times New Roman" w:cs="Times New Roman"/>
          <w:spacing w:val="21"/>
          <w:sz w:val="24"/>
          <w:szCs w:val="24"/>
        </w:rPr>
        <w:t xml:space="preserve"> </w:t>
      </w:r>
      <w:r>
        <w:rPr>
          <w:rFonts w:ascii="宋体" w:hAnsi="宋体" w:eastAsia="宋体" w:cs="宋体"/>
          <w:spacing w:val="-4"/>
          <w:sz w:val="24"/>
          <w:szCs w:val="24"/>
        </w:rPr>
        <w:t>时，地面上</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1.5m</w:t>
      </w:r>
      <w:r>
        <w:rPr>
          <w:rFonts w:ascii="Times New Roman" w:hAnsi="Times New Roman" w:eastAsia="Times New Roman" w:cs="Times New Roman"/>
          <w:spacing w:val="15"/>
          <w:w w:val="101"/>
          <w:sz w:val="24"/>
          <w:szCs w:val="24"/>
        </w:rPr>
        <w:t xml:space="preserve"> </w:t>
      </w:r>
      <w:r>
        <w:rPr>
          <w:rFonts w:ascii="宋体" w:hAnsi="宋体" w:eastAsia="宋体" w:cs="宋体"/>
          <w:spacing w:val="-4"/>
          <w:sz w:val="24"/>
          <w:szCs w:val="24"/>
        </w:rPr>
        <w:t>处工频电场强度最大值为</w:t>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3.756kV/m</w:t>
      </w:r>
      <w:r>
        <w:rPr>
          <w:rFonts w:ascii="宋体" w:hAnsi="宋体" w:eastAsia="宋体" w:cs="宋体"/>
          <w:spacing w:val="-4"/>
          <w:sz w:val="24"/>
          <w:szCs w:val="24"/>
        </w:rPr>
        <w:t>、工频磁感</w:t>
      </w:r>
      <w:r>
        <w:rPr>
          <w:rFonts w:ascii="宋体" w:hAnsi="宋体" w:eastAsia="宋体" w:cs="宋体"/>
          <w:spacing w:val="-3"/>
          <w:sz w:val="24"/>
          <w:szCs w:val="24"/>
        </w:rPr>
        <w:t xml:space="preserve">应强度最大值为 </w:t>
      </w:r>
      <w:r>
        <w:rPr>
          <w:rFonts w:ascii="Times New Roman" w:hAnsi="Times New Roman" w:eastAsia="Times New Roman" w:cs="Times New Roman"/>
          <w:spacing w:val="-3"/>
          <w:sz w:val="24"/>
          <w:szCs w:val="24"/>
        </w:rPr>
        <w:t>6.307μT</w:t>
      </w:r>
      <w:r>
        <w:rPr>
          <w:rFonts w:ascii="Times New Roman" w:hAnsi="Times New Roman" w:eastAsia="Times New Roman" w:cs="Times New Roman"/>
          <w:spacing w:val="-29"/>
          <w:sz w:val="24"/>
          <w:szCs w:val="24"/>
        </w:rPr>
        <w:t xml:space="preserve"> </w:t>
      </w:r>
      <w:r>
        <w:rPr>
          <w:rFonts w:ascii="宋体" w:hAnsi="宋体" w:eastAsia="宋体" w:cs="宋体"/>
          <w:spacing w:val="-3"/>
          <w:sz w:val="24"/>
          <w:szCs w:val="24"/>
        </w:rPr>
        <w:t>，可满足《电磁环境控制限值》（</w:t>
      </w:r>
      <w:r>
        <w:rPr>
          <w:rFonts w:ascii="Times New Roman" w:hAnsi="Times New Roman" w:eastAsia="Times New Roman" w:cs="Times New Roman"/>
          <w:spacing w:val="-3"/>
          <w:sz w:val="24"/>
          <w:szCs w:val="24"/>
        </w:rPr>
        <w:t>GB8702-2014</w:t>
      </w:r>
      <w:r>
        <w:rPr>
          <w:rFonts w:ascii="宋体" w:hAnsi="宋体" w:eastAsia="宋体" w:cs="宋体"/>
          <w:spacing w:val="-3"/>
          <w:sz w:val="24"/>
          <w:szCs w:val="24"/>
        </w:rPr>
        <w:t>）的限</w:t>
      </w:r>
      <w:r>
        <w:rPr>
          <w:rFonts w:ascii="宋体" w:hAnsi="宋体" w:eastAsia="宋体" w:cs="宋体"/>
          <w:spacing w:val="-4"/>
          <w:sz w:val="24"/>
          <w:szCs w:val="24"/>
        </w:rPr>
        <w:t>值要求。</w:t>
      </w:r>
    </w:p>
    <w:p w14:paraId="3F4C79BC">
      <w:pPr>
        <w:spacing w:before="25" w:line="356" w:lineRule="auto"/>
        <w:ind w:left="5" w:right="87" w:firstLine="473"/>
        <w:rPr>
          <w:rFonts w:ascii="宋体" w:hAnsi="宋体" w:eastAsia="宋体" w:cs="宋体"/>
          <w:sz w:val="24"/>
          <w:szCs w:val="24"/>
        </w:rPr>
      </w:pPr>
      <w:r>
        <w:rPr>
          <w:rFonts w:ascii="Times New Roman" w:hAnsi="Times New Roman" w:eastAsia="Times New Roman" w:cs="Times New Roman"/>
          <w:spacing w:val="-1"/>
          <w:sz w:val="24"/>
          <w:szCs w:val="24"/>
        </w:rPr>
        <w:t>DE</w:t>
      </w:r>
      <w:r>
        <w:rPr>
          <w:rFonts w:ascii="Times New Roman" w:hAnsi="Times New Roman" w:eastAsia="Times New Roman" w:cs="Times New Roman"/>
          <w:spacing w:val="57"/>
          <w:sz w:val="24"/>
          <w:szCs w:val="24"/>
        </w:rPr>
        <w:t xml:space="preserve"> </w:t>
      </w:r>
      <w:r>
        <w:rPr>
          <w:rFonts w:ascii="宋体" w:hAnsi="宋体" w:eastAsia="宋体" w:cs="宋体"/>
          <w:spacing w:val="-1"/>
          <w:sz w:val="24"/>
          <w:szCs w:val="24"/>
        </w:rPr>
        <w:t>回</w:t>
      </w:r>
      <w:r>
        <w:rPr>
          <w:rFonts w:ascii="宋体" w:hAnsi="宋体" w:eastAsia="宋体" w:cs="宋体"/>
          <w:spacing w:val="-31"/>
          <w:sz w:val="24"/>
          <w:szCs w:val="24"/>
        </w:rPr>
        <w:t xml:space="preserve"> </w:t>
      </w:r>
      <w:r>
        <w:rPr>
          <w:rFonts w:ascii="Times New Roman" w:hAnsi="Times New Roman" w:eastAsia="Times New Roman" w:cs="Times New Roman"/>
          <w:spacing w:val="-1"/>
          <w:sz w:val="24"/>
          <w:szCs w:val="24"/>
        </w:rPr>
        <w:t>220kV</w:t>
      </w:r>
      <w:r>
        <w:rPr>
          <w:rFonts w:ascii="Times New Roman" w:hAnsi="Times New Roman" w:eastAsia="Times New Roman" w:cs="Times New Roman"/>
          <w:spacing w:val="36"/>
          <w:w w:val="101"/>
          <w:sz w:val="24"/>
          <w:szCs w:val="24"/>
        </w:rPr>
        <w:t xml:space="preserve"> </w:t>
      </w:r>
      <w:r>
        <w:rPr>
          <w:rFonts w:ascii="宋体" w:hAnsi="宋体" w:eastAsia="宋体" w:cs="宋体"/>
          <w:spacing w:val="-1"/>
          <w:sz w:val="24"/>
          <w:szCs w:val="24"/>
        </w:rPr>
        <w:t>线路单回水平排列段采用最不利塔型</w:t>
      </w:r>
      <w:r>
        <w:rPr>
          <w:rFonts w:ascii="宋体" w:hAnsi="宋体" w:eastAsia="宋体" w:cs="宋体"/>
          <w:spacing w:val="-31"/>
          <w:sz w:val="24"/>
          <w:szCs w:val="24"/>
        </w:rPr>
        <w:t xml:space="preserve"> </w:t>
      </w:r>
      <w:r>
        <w:rPr>
          <w:rFonts w:ascii="Times New Roman" w:hAnsi="Times New Roman" w:eastAsia="Times New Roman" w:cs="Times New Roman"/>
          <w:spacing w:val="-1"/>
          <w:sz w:val="24"/>
          <w:szCs w:val="24"/>
        </w:rPr>
        <w:t>2D</w:t>
      </w:r>
      <w:r>
        <w:rPr>
          <w:rFonts w:ascii="Times New Roman" w:hAnsi="Times New Roman" w:eastAsia="Times New Roman" w:cs="Times New Roman"/>
          <w:spacing w:val="-2"/>
          <w:sz w:val="24"/>
          <w:szCs w:val="24"/>
        </w:rPr>
        <w:t>1R7-Z2</w:t>
      </w:r>
      <w:r>
        <w:rPr>
          <w:rFonts w:ascii="宋体" w:hAnsi="宋体" w:eastAsia="宋体" w:cs="宋体"/>
          <w:spacing w:val="-2"/>
          <w:sz w:val="24"/>
          <w:szCs w:val="24"/>
        </w:rPr>
        <w:t>，非居民区导线对地高度为</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6.5m</w:t>
      </w:r>
      <w:r>
        <w:rPr>
          <w:rFonts w:ascii="Times New Roman" w:hAnsi="Times New Roman" w:eastAsia="Times New Roman" w:cs="Times New Roman"/>
          <w:spacing w:val="21"/>
          <w:w w:val="101"/>
          <w:sz w:val="24"/>
          <w:szCs w:val="24"/>
        </w:rPr>
        <w:t xml:space="preserve"> </w:t>
      </w:r>
      <w:r>
        <w:rPr>
          <w:rFonts w:ascii="宋体" w:hAnsi="宋体" w:eastAsia="宋体" w:cs="宋体"/>
          <w:spacing w:val="-2"/>
          <w:sz w:val="24"/>
          <w:szCs w:val="24"/>
        </w:rPr>
        <w:t>时，地面上</w:t>
      </w:r>
      <w:r>
        <w:rPr>
          <w:rFonts w:ascii="宋体" w:hAnsi="宋体" w:eastAsia="宋体" w:cs="宋体"/>
          <w:spacing w:val="-31"/>
          <w:sz w:val="24"/>
          <w:szCs w:val="24"/>
        </w:rPr>
        <w:t xml:space="preserve"> </w:t>
      </w:r>
      <w:r>
        <w:rPr>
          <w:rFonts w:ascii="Times New Roman" w:hAnsi="Times New Roman" w:eastAsia="Times New Roman" w:cs="Times New Roman"/>
          <w:spacing w:val="-2"/>
          <w:sz w:val="24"/>
          <w:szCs w:val="24"/>
        </w:rPr>
        <w:t>1.5m</w:t>
      </w:r>
      <w:r>
        <w:rPr>
          <w:rFonts w:ascii="Times New Roman" w:hAnsi="Times New Roman" w:eastAsia="Times New Roman" w:cs="Times New Roman"/>
          <w:spacing w:val="14"/>
          <w:sz w:val="24"/>
          <w:szCs w:val="24"/>
        </w:rPr>
        <w:t xml:space="preserve"> </w:t>
      </w:r>
      <w:r>
        <w:rPr>
          <w:rFonts w:ascii="宋体" w:hAnsi="宋体" w:eastAsia="宋体" w:cs="宋体"/>
          <w:spacing w:val="-2"/>
          <w:sz w:val="24"/>
          <w:szCs w:val="24"/>
        </w:rPr>
        <w:t>处的工频电场强度最大值为</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3"/>
          <w:sz w:val="24"/>
          <w:szCs w:val="24"/>
        </w:rPr>
        <w:t>324kV/m</w:t>
      </w:r>
      <w:r>
        <w:rPr>
          <w:rFonts w:ascii="宋体" w:hAnsi="宋体" w:eastAsia="宋体" w:cs="宋体"/>
          <w:spacing w:val="-3"/>
          <w:sz w:val="24"/>
          <w:szCs w:val="24"/>
        </w:rPr>
        <w:t>、工频磁感应强度最大值为</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9.906μT</w:t>
      </w:r>
      <w:r>
        <w:rPr>
          <w:rFonts w:ascii="宋体" w:hAnsi="宋体" w:eastAsia="宋体" w:cs="宋体"/>
          <w:spacing w:val="-3"/>
          <w:sz w:val="24"/>
          <w:szCs w:val="24"/>
        </w:rPr>
        <w:t>，可满足《电磁环境控制限值》（</w:t>
      </w:r>
      <w:r>
        <w:rPr>
          <w:rFonts w:ascii="Times New Roman" w:hAnsi="Times New Roman" w:eastAsia="Times New Roman" w:cs="Times New Roman"/>
          <w:spacing w:val="-3"/>
          <w:sz w:val="24"/>
          <w:szCs w:val="24"/>
        </w:rPr>
        <w:t>GB8702</w:t>
      </w:r>
      <w:r>
        <w:rPr>
          <w:rFonts w:ascii="Times New Roman" w:hAnsi="Times New Roman" w:eastAsia="Times New Roman" w:cs="Times New Roman"/>
          <w:spacing w:val="-4"/>
          <w:sz w:val="24"/>
          <w:szCs w:val="24"/>
        </w:rPr>
        <w:t>-2014</w:t>
      </w:r>
      <w:r>
        <w:rPr>
          <w:rFonts w:ascii="宋体" w:hAnsi="宋体" w:eastAsia="宋体" w:cs="宋体"/>
          <w:spacing w:val="-4"/>
          <w:sz w:val="24"/>
          <w:szCs w:val="24"/>
        </w:rPr>
        <w:t>）的限值要求；居民区导线对地高度提高为</w:t>
      </w:r>
      <w:r>
        <w:rPr>
          <w:rFonts w:ascii="宋体" w:hAnsi="宋体" w:eastAsia="宋体" w:cs="宋体"/>
          <w:spacing w:val="-37"/>
          <w:sz w:val="24"/>
          <w:szCs w:val="24"/>
        </w:rPr>
        <w:t xml:space="preserve"> </w:t>
      </w:r>
      <w:r>
        <w:rPr>
          <w:rFonts w:ascii="Times New Roman" w:hAnsi="Times New Roman" w:eastAsia="Times New Roman" w:cs="Times New Roman"/>
          <w:spacing w:val="-4"/>
          <w:sz w:val="24"/>
          <w:szCs w:val="24"/>
        </w:rPr>
        <w:t>8m</w:t>
      </w:r>
      <w:r>
        <w:rPr>
          <w:rFonts w:ascii="Times New Roman" w:hAnsi="Times New Roman" w:eastAsia="Times New Roman" w:cs="Times New Roman"/>
          <w:spacing w:val="21"/>
          <w:sz w:val="24"/>
          <w:szCs w:val="24"/>
        </w:rPr>
        <w:t xml:space="preserve"> </w:t>
      </w:r>
      <w:r>
        <w:rPr>
          <w:rFonts w:ascii="宋体" w:hAnsi="宋体" w:eastAsia="宋体" w:cs="宋体"/>
          <w:spacing w:val="-4"/>
          <w:sz w:val="24"/>
          <w:szCs w:val="24"/>
        </w:rPr>
        <w:t>时，地面上</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1.5m</w:t>
      </w:r>
      <w:r>
        <w:rPr>
          <w:rFonts w:ascii="Times New Roman" w:hAnsi="Times New Roman" w:eastAsia="Times New Roman" w:cs="Times New Roman"/>
          <w:spacing w:val="15"/>
          <w:w w:val="101"/>
          <w:sz w:val="24"/>
          <w:szCs w:val="24"/>
        </w:rPr>
        <w:t xml:space="preserve"> </w:t>
      </w:r>
      <w:r>
        <w:rPr>
          <w:rFonts w:ascii="宋体" w:hAnsi="宋体" w:eastAsia="宋体" w:cs="宋体"/>
          <w:spacing w:val="-4"/>
          <w:sz w:val="24"/>
          <w:szCs w:val="24"/>
        </w:rPr>
        <w:t>处工频电场强度最大值为</w:t>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3.872kV/m</w:t>
      </w:r>
      <w:r>
        <w:rPr>
          <w:rFonts w:ascii="宋体" w:hAnsi="宋体" w:eastAsia="宋体" w:cs="宋体"/>
          <w:spacing w:val="-4"/>
          <w:sz w:val="24"/>
          <w:szCs w:val="24"/>
        </w:rPr>
        <w:t>、工频磁</w:t>
      </w:r>
      <w:r>
        <w:rPr>
          <w:rFonts w:ascii="宋体" w:hAnsi="宋体" w:eastAsia="宋体" w:cs="宋体"/>
          <w:spacing w:val="-8"/>
          <w:sz w:val="24"/>
          <w:szCs w:val="24"/>
        </w:rPr>
        <w:t>感应强度最大值为</w:t>
      </w:r>
      <w:r>
        <w:rPr>
          <w:rFonts w:ascii="宋体" w:hAnsi="宋体" w:eastAsia="宋体" w:cs="宋体"/>
          <w:spacing w:val="-50"/>
          <w:sz w:val="24"/>
          <w:szCs w:val="24"/>
        </w:rPr>
        <w:t xml:space="preserve"> </w:t>
      </w:r>
      <w:r>
        <w:rPr>
          <w:rFonts w:ascii="Times New Roman" w:hAnsi="Times New Roman" w:eastAsia="Times New Roman" w:cs="Times New Roman"/>
          <w:spacing w:val="-8"/>
          <w:sz w:val="24"/>
          <w:szCs w:val="24"/>
        </w:rPr>
        <w:t>7.570μT</w:t>
      </w:r>
      <w:r>
        <w:rPr>
          <w:rFonts w:ascii="宋体" w:hAnsi="宋体" w:eastAsia="宋体" w:cs="宋体"/>
          <w:spacing w:val="-8"/>
          <w:sz w:val="24"/>
          <w:szCs w:val="24"/>
        </w:rPr>
        <w:t>，可满足《电磁环境控制限值》（</w:t>
      </w:r>
      <w:r>
        <w:rPr>
          <w:rFonts w:ascii="Times New Roman" w:hAnsi="Times New Roman" w:eastAsia="Times New Roman" w:cs="Times New Roman"/>
          <w:spacing w:val="-8"/>
          <w:sz w:val="24"/>
          <w:szCs w:val="24"/>
        </w:rPr>
        <w:t>GB8</w:t>
      </w:r>
      <w:r>
        <w:rPr>
          <w:rFonts w:ascii="Times New Roman" w:hAnsi="Times New Roman" w:eastAsia="Times New Roman" w:cs="Times New Roman"/>
          <w:spacing w:val="-9"/>
          <w:sz w:val="24"/>
          <w:szCs w:val="24"/>
        </w:rPr>
        <w:t>702-2014</w:t>
      </w:r>
      <w:r>
        <w:rPr>
          <w:rFonts w:ascii="宋体" w:hAnsi="宋体" w:eastAsia="宋体" w:cs="宋体"/>
          <w:spacing w:val="-9"/>
          <w:sz w:val="24"/>
          <w:szCs w:val="24"/>
        </w:rPr>
        <w:t>）的限值要求。</w:t>
      </w:r>
    </w:p>
    <w:p w14:paraId="2777F7F2">
      <w:pPr>
        <w:spacing w:before="26" w:line="357" w:lineRule="auto"/>
        <w:ind w:left="4" w:right="90" w:firstLine="474"/>
        <w:rPr>
          <w:rFonts w:ascii="宋体" w:hAnsi="宋体" w:eastAsia="宋体" w:cs="宋体"/>
          <w:sz w:val="24"/>
          <w:szCs w:val="24"/>
        </w:rPr>
      </w:pPr>
      <w:r>
        <w:rPr>
          <w:rFonts w:ascii="Times New Roman" w:hAnsi="Times New Roman" w:eastAsia="Times New Roman" w:cs="Times New Roman"/>
          <w:spacing w:val="-4"/>
          <w:sz w:val="24"/>
          <w:szCs w:val="24"/>
        </w:rPr>
        <w:t>DE</w:t>
      </w:r>
      <w:r>
        <w:rPr>
          <w:rFonts w:ascii="Times New Roman" w:hAnsi="Times New Roman" w:eastAsia="Times New Roman" w:cs="Times New Roman"/>
          <w:spacing w:val="33"/>
          <w:sz w:val="24"/>
          <w:szCs w:val="24"/>
        </w:rPr>
        <w:t xml:space="preserve"> </w:t>
      </w:r>
      <w:r>
        <w:rPr>
          <w:rFonts w:ascii="宋体" w:hAnsi="宋体" w:eastAsia="宋体" w:cs="宋体"/>
          <w:spacing w:val="-4"/>
          <w:sz w:val="24"/>
          <w:szCs w:val="24"/>
        </w:rPr>
        <w:t>回</w:t>
      </w:r>
      <w:r>
        <w:rPr>
          <w:rFonts w:ascii="宋体" w:hAnsi="宋体" w:eastAsia="宋体" w:cs="宋体"/>
          <w:spacing w:val="-55"/>
          <w:sz w:val="24"/>
          <w:szCs w:val="24"/>
        </w:rPr>
        <w:t xml:space="preserve"> </w:t>
      </w:r>
      <w:r>
        <w:rPr>
          <w:rFonts w:ascii="Times New Roman" w:hAnsi="Times New Roman" w:eastAsia="Times New Roman" w:cs="Times New Roman"/>
          <w:spacing w:val="-4"/>
          <w:sz w:val="24"/>
          <w:szCs w:val="24"/>
        </w:rPr>
        <w:t xml:space="preserve">220kV </w:t>
      </w:r>
      <w:r>
        <w:rPr>
          <w:rFonts w:ascii="宋体" w:hAnsi="宋体" w:eastAsia="宋体" w:cs="宋体"/>
          <w:spacing w:val="-4"/>
          <w:sz w:val="24"/>
          <w:szCs w:val="24"/>
        </w:rPr>
        <w:t>线路双回垂直排列段（单边挂线）采用最不利塔型</w:t>
      </w:r>
      <w:r>
        <w:rPr>
          <w:rFonts w:ascii="宋体" w:hAnsi="宋体" w:eastAsia="宋体" w:cs="宋体"/>
          <w:spacing w:val="-54"/>
          <w:sz w:val="24"/>
          <w:szCs w:val="24"/>
        </w:rPr>
        <w:t xml:space="preserve"> </w:t>
      </w:r>
      <w:r>
        <w:rPr>
          <w:rFonts w:ascii="Times New Roman" w:hAnsi="Times New Roman" w:eastAsia="Times New Roman" w:cs="Times New Roman"/>
          <w:spacing w:val="-4"/>
          <w:sz w:val="24"/>
          <w:szCs w:val="24"/>
        </w:rPr>
        <w:t>2D2Z5-</w:t>
      </w:r>
      <w:r>
        <w:rPr>
          <w:rFonts w:ascii="Times New Roman" w:hAnsi="Times New Roman" w:eastAsia="Times New Roman" w:cs="Times New Roman"/>
          <w:spacing w:val="-5"/>
          <w:sz w:val="24"/>
          <w:szCs w:val="24"/>
        </w:rPr>
        <w:t>JD</w:t>
      </w:r>
      <w:r>
        <w:rPr>
          <w:rFonts w:ascii="宋体" w:hAnsi="宋体" w:eastAsia="宋体" w:cs="宋体"/>
          <w:spacing w:val="-5"/>
          <w:sz w:val="24"/>
          <w:szCs w:val="24"/>
        </w:rPr>
        <w:t>，非居民</w:t>
      </w:r>
      <w:r>
        <w:rPr>
          <w:rFonts w:ascii="宋体" w:hAnsi="宋体" w:eastAsia="宋体" w:cs="宋体"/>
          <w:spacing w:val="-2"/>
          <w:sz w:val="24"/>
          <w:szCs w:val="24"/>
        </w:rPr>
        <w:t>区导线对地高度为</w:t>
      </w:r>
      <w:r>
        <w:rPr>
          <w:rFonts w:ascii="宋体" w:hAnsi="宋体" w:eastAsia="宋体" w:cs="宋体"/>
          <w:spacing w:val="-49"/>
          <w:sz w:val="24"/>
          <w:szCs w:val="24"/>
        </w:rPr>
        <w:t xml:space="preserve"> </w:t>
      </w:r>
      <w:r>
        <w:rPr>
          <w:rFonts w:ascii="Times New Roman" w:hAnsi="Times New Roman" w:eastAsia="Times New Roman" w:cs="Times New Roman"/>
          <w:spacing w:val="-2"/>
          <w:sz w:val="24"/>
          <w:szCs w:val="24"/>
        </w:rPr>
        <w:t>6.5m</w:t>
      </w:r>
      <w:r>
        <w:rPr>
          <w:rFonts w:ascii="Times New Roman" w:hAnsi="Times New Roman" w:eastAsia="Times New Roman" w:cs="Times New Roman"/>
          <w:spacing w:val="21"/>
          <w:sz w:val="24"/>
          <w:szCs w:val="24"/>
        </w:rPr>
        <w:t xml:space="preserve"> </w:t>
      </w:r>
      <w:r>
        <w:rPr>
          <w:rFonts w:ascii="宋体" w:hAnsi="宋体" w:eastAsia="宋体" w:cs="宋体"/>
          <w:spacing w:val="-2"/>
          <w:sz w:val="24"/>
          <w:szCs w:val="24"/>
        </w:rPr>
        <w:t>时，地面上</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1.5m</w:t>
      </w:r>
      <w:r>
        <w:rPr>
          <w:rFonts w:ascii="Times New Roman" w:hAnsi="Times New Roman" w:eastAsia="Times New Roman" w:cs="Times New Roman"/>
          <w:spacing w:val="15"/>
          <w:w w:val="101"/>
          <w:sz w:val="24"/>
          <w:szCs w:val="24"/>
        </w:rPr>
        <w:t xml:space="preserve"> </w:t>
      </w:r>
      <w:r>
        <w:rPr>
          <w:rFonts w:ascii="宋体" w:hAnsi="宋体" w:eastAsia="宋体" w:cs="宋体"/>
          <w:spacing w:val="-2"/>
          <w:sz w:val="24"/>
          <w:szCs w:val="24"/>
        </w:rPr>
        <w:t>处的工频电场强度最大值为</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4.8</w:t>
      </w:r>
      <w:r>
        <w:rPr>
          <w:rFonts w:ascii="Times New Roman" w:hAnsi="Times New Roman" w:eastAsia="Times New Roman" w:cs="Times New Roman"/>
          <w:spacing w:val="-3"/>
          <w:sz w:val="24"/>
          <w:szCs w:val="24"/>
        </w:rPr>
        <w:t>37kV/m</w:t>
      </w:r>
      <w:r>
        <w:rPr>
          <w:rFonts w:ascii="宋体" w:hAnsi="宋体" w:eastAsia="宋体" w:cs="宋体"/>
          <w:spacing w:val="-3"/>
          <w:sz w:val="24"/>
          <w:szCs w:val="24"/>
        </w:rPr>
        <w:t>、工频磁感应强度最大值为</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6.204μT</w:t>
      </w:r>
      <w:r>
        <w:rPr>
          <w:rFonts w:ascii="宋体" w:hAnsi="宋体" w:eastAsia="宋体" w:cs="宋体"/>
          <w:spacing w:val="-3"/>
          <w:sz w:val="24"/>
          <w:szCs w:val="24"/>
        </w:rPr>
        <w:t>，可满足《电磁环境控制限值</w:t>
      </w:r>
      <w:r>
        <w:rPr>
          <w:rFonts w:ascii="宋体" w:hAnsi="宋体" w:eastAsia="宋体" w:cs="宋体"/>
          <w:spacing w:val="-4"/>
          <w:sz w:val="24"/>
          <w:szCs w:val="24"/>
        </w:rPr>
        <w:t>》（</w:t>
      </w:r>
      <w:r>
        <w:rPr>
          <w:rFonts w:ascii="Times New Roman" w:hAnsi="Times New Roman" w:eastAsia="Times New Roman" w:cs="Times New Roman"/>
          <w:spacing w:val="-4"/>
          <w:sz w:val="24"/>
          <w:szCs w:val="24"/>
        </w:rPr>
        <w:t>GB8702-2014</w:t>
      </w:r>
      <w:r>
        <w:rPr>
          <w:rFonts w:ascii="宋体" w:hAnsi="宋体" w:eastAsia="宋体" w:cs="宋体"/>
          <w:spacing w:val="-4"/>
          <w:sz w:val="24"/>
          <w:szCs w:val="24"/>
        </w:rPr>
        <w:t>）的限值要</w:t>
      </w:r>
      <w:r>
        <w:rPr>
          <w:rFonts w:ascii="宋体" w:hAnsi="宋体" w:eastAsia="宋体" w:cs="宋体"/>
          <w:spacing w:val="-8"/>
          <w:sz w:val="24"/>
          <w:szCs w:val="24"/>
        </w:rPr>
        <w:t>求；居民区导线对地高度为</w:t>
      </w:r>
      <w:r>
        <w:rPr>
          <w:rFonts w:ascii="宋体" w:hAnsi="宋体" w:eastAsia="宋体" w:cs="宋体"/>
          <w:spacing w:val="-44"/>
          <w:sz w:val="24"/>
          <w:szCs w:val="24"/>
        </w:rPr>
        <w:t xml:space="preserve"> </w:t>
      </w:r>
      <w:r>
        <w:rPr>
          <w:rFonts w:ascii="Times New Roman" w:hAnsi="Times New Roman" w:eastAsia="Times New Roman" w:cs="Times New Roman"/>
          <w:spacing w:val="-8"/>
          <w:sz w:val="24"/>
          <w:szCs w:val="24"/>
        </w:rPr>
        <w:t>7.5m</w:t>
      </w:r>
      <w:r>
        <w:rPr>
          <w:rFonts w:ascii="Times New Roman" w:hAnsi="Times New Roman" w:eastAsia="Times New Roman" w:cs="Times New Roman"/>
          <w:spacing w:val="19"/>
          <w:sz w:val="24"/>
          <w:szCs w:val="24"/>
        </w:rPr>
        <w:t xml:space="preserve"> </w:t>
      </w:r>
      <w:r>
        <w:rPr>
          <w:rFonts w:ascii="宋体" w:hAnsi="宋体" w:eastAsia="宋体" w:cs="宋体"/>
          <w:spacing w:val="-8"/>
          <w:sz w:val="24"/>
          <w:szCs w:val="24"/>
        </w:rPr>
        <w:t>时，地面上</w:t>
      </w:r>
      <w:r>
        <w:rPr>
          <w:rFonts w:ascii="宋体" w:hAnsi="宋体" w:eastAsia="宋体" w:cs="宋体"/>
          <w:spacing w:val="-34"/>
          <w:sz w:val="24"/>
          <w:szCs w:val="24"/>
        </w:rPr>
        <w:t xml:space="preserve"> </w:t>
      </w:r>
      <w:r>
        <w:rPr>
          <w:rFonts w:ascii="Times New Roman" w:hAnsi="Times New Roman" w:eastAsia="Times New Roman" w:cs="Times New Roman"/>
          <w:spacing w:val="-8"/>
          <w:sz w:val="24"/>
          <w:szCs w:val="24"/>
        </w:rPr>
        <w:t>1.5m</w:t>
      </w:r>
      <w:r>
        <w:rPr>
          <w:rFonts w:ascii="Times New Roman" w:hAnsi="Times New Roman" w:eastAsia="Times New Roman" w:cs="Times New Roman"/>
          <w:spacing w:val="13"/>
          <w:sz w:val="24"/>
          <w:szCs w:val="24"/>
        </w:rPr>
        <w:t xml:space="preserve"> </w:t>
      </w:r>
      <w:r>
        <w:rPr>
          <w:rFonts w:ascii="宋体" w:hAnsi="宋体" w:eastAsia="宋体" w:cs="宋体"/>
          <w:spacing w:val="-8"/>
          <w:sz w:val="24"/>
          <w:szCs w:val="24"/>
        </w:rPr>
        <w:t>处工频电场强度最大值为</w:t>
      </w:r>
      <w:r>
        <w:rPr>
          <w:rFonts w:ascii="宋体" w:hAnsi="宋体" w:eastAsia="宋体" w:cs="宋体"/>
          <w:spacing w:val="-52"/>
          <w:sz w:val="24"/>
          <w:szCs w:val="24"/>
        </w:rPr>
        <w:t xml:space="preserve"> </w:t>
      </w:r>
      <w:r>
        <w:rPr>
          <w:rFonts w:ascii="Times New Roman" w:hAnsi="Times New Roman" w:eastAsia="Times New Roman" w:cs="Times New Roman"/>
          <w:spacing w:val="-8"/>
          <w:sz w:val="24"/>
          <w:szCs w:val="24"/>
        </w:rPr>
        <w:t>3.885kV/m</w:t>
      </w:r>
      <w:r>
        <w:rPr>
          <w:rFonts w:ascii="Times New Roman" w:hAnsi="Times New Roman" w:eastAsia="Times New Roman" w:cs="Times New Roman"/>
          <w:spacing w:val="-33"/>
          <w:sz w:val="24"/>
          <w:szCs w:val="24"/>
        </w:rPr>
        <w:t xml:space="preserve"> </w:t>
      </w:r>
      <w:r>
        <w:rPr>
          <w:rFonts w:ascii="宋体" w:hAnsi="宋体" w:eastAsia="宋体" w:cs="宋体"/>
          <w:spacing w:val="-8"/>
          <w:sz w:val="24"/>
          <w:szCs w:val="24"/>
        </w:rPr>
        <w:t>、</w:t>
      </w:r>
      <w:r>
        <w:rPr>
          <w:rFonts w:ascii="宋体" w:hAnsi="宋体" w:eastAsia="宋体" w:cs="宋体"/>
          <w:spacing w:val="-4"/>
          <w:sz w:val="24"/>
          <w:szCs w:val="24"/>
        </w:rPr>
        <w:t>工频磁感应强度最大值为</w:t>
      </w:r>
      <w:r>
        <w:rPr>
          <w:rFonts w:ascii="宋体" w:hAnsi="宋体" w:eastAsia="宋体" w:cs="宋体"/>
          <w:spacing w:val="-49"/>
          <w:sz w:val="24"/>
          <w:szCs w:val="24"/>
        </w:rPr>
        <w:t xml:space="preserve"> </w:t>
      </w:r>
      <w:r>
        <w:rPr>
          <w:rFonts w:ascii="Times New Roman" w:hAnsi="Times New Roman" w:eastAsia="Times New Roman" w:cs="Times New Roman"/>
          <w:spacing w:val="-4"/>
          <w:sz w:val="24"/>
          <w:szCs w:val="24"/>
        </w:rPr>
        <w:t>4.869μT</w:t>
      </w:r>
      <w:r>
        <w:rPr>
          <w:rFonts w:ascii="Times New Roman" w:hAnsi="Times New Roman" w:eastAsia="Times New Roman" w:cs="Times New Roman"/>
          <w:spacing w:val="-31"/>
          <w:sz w:val="24"/>
          <w:szCs w:val="24"/>
        </w:rPr>
        <w:t xml:space="preserve"> </w:t>
      </w:r>
      <w:r>
        <w:rPr>
          <w:rFonts w:ascii="宋体" w:hAnsi="宋体" w:eastAsia="宋体" w:cs="宋体"/>
          <w:spacing w:val="-4"/>
          <w:sz w:val="24"/>
          <w:szCs w:val="24"/>
        </w:rPr>
        <w:t>，可满足《电磁环境控制限值》（</w:t>
      </w:r>
      <w:r>
        <w:rPr>
          <w:rFonts w:ascii="Times New Roman" w:hAnsi="Times New Roman" w:eastAsia="Times New Roman" w:cs="Times New Roman"/>
          <w:spacing w:val="-4"/>
          <w:sz w:val="24"/>
          <w:szCs w:val="24"/>
        </w:rPr>
        <w:t>GB8702-2014</w:t>
      </w:r>
      <w:r>
        <w:rPr>
          <w:rFonts w:ascii="宋体" w:hAnsi="宋体" w:eastAsia="宋体" w:cs="宋体"/>
          <w:spacing w:val="-4"/>
          <w:sz w:val="24"/>
          <w:szCs w:val="24"/>
        </w:rPr>
        <w:t>）的限</w:t>
      </w:r>
      <w:r>
        <w:rPr>
          <w:rFonts w:ascii="宋体" w:hAnsi="宋体" w:eastAsia="宋体" w:cs="宋体"/>
          <w:spacing w:val="-3"/>
          <w:sz w:val="24"/>
          <w:szCs w:val="24"/>
        </w:rPr>
        <w:t>值要求。</w:t>
      </w:r>
    </w:p>
    <w:p w14:paraId="2E0F79C6">
      <w:pPr>
        <w:spacing w:before="23" w:line="234" w:lineRule="auto"/>
        <w:ind w:left="493"/>
        <w:rPr>
          <w:rFonts w:ascii="宋体" w:hAnsi="宋体" w:eastAsia="宋体" w:cs="宋体"/>
          <w:sz w:val="24"/>
          <w:szCs w:val="24"/>
        </w:rPr>
      </w:pPr>
      <w:r>
        <w:rPr>
          <w:rFonts w:ascii="宋体" w:hAnsi="宋体" w:eastAsia="宋体" w:cs="宋体"/>
          <w:b/>
          <w:bCs/>
          <w:spacing w:val="-6"/>
          <w:sz w:val="24"/>
          <w:szCs w:val="24"/>
        </w:rPr>
        <w:t>（</w:t>
      </w:r>
      <w:r>
        <w:rPr>
          <w:rFonts w:ascii="Times New Roman" w:hAnsi="Times New Roman" w:eastAsia="Times New Roman" w:cs="Times New Roman"/>
          <w:b/>
          <w:bCs/>
          <w:spacing w:val="-6"/>
          <w:sz w:val="24"/>
          <w:szCs w:val="24"/>
        </w:rPr>
        <w:t>3</w:t>
      </w:r>
      <w:r>
        <w:rPr>
          <w:rFonts w:ascii="宋体" w:hAnsi="宋体" w:eastAsia="宋体" w:cs="宋体"/>
          <w:b/>
          <w:bCs/>
          <w:spacing w:val="-6"/>
          <w:sz w:val="24"/>
          <w:szCs w:val="24"/>
        </w:rPr>
        <w:t>）预测结果</w:t>
      </w:r>
    </w:p>
    <w:p w14:paraId="221F7047">
      <w:pPr>
        <w:spacing w:line="234" w:lineRule="auto"/>
        <w:rPr>
          <w:rFonts w:ascii="宋体" w:hAnsi="宋体" w:eastAsia="宋体" w:cs="宋体"/>
          <w:sz w:val="24"/>
          <w:szCs w:val="24"/>
        </w:rPr>
        <w:sectPr>
          <w:footerReference r:id="rId103" w:type="default"/>
          <w:pgSz w:w="11907" w:h="16841"/>
          <w:pgMar w:top="400" w:right="1325" w:bottom="1126" w:left="1423" w:header="0" w:footer="925" w:gutter="0"/>
          <w:cols w:space="720" w:num="1"/>
        </w:sectPr>
      </w:pPr>
    </w:p>
    <w:p w14:paraId="301BE6B0">
      <w:pPr>
        <w:spacing w:line="249" w:lineRule="auto"/>
        <w:rPr>
          <w:rFonts w:ascii="Arial"/>
          <w:sz w:val="21"/>
        </w:rPr>
      </w:pPr>
    </w:p>
    <w:p w14:paraId="079745D4">
      <w:pPr>
        <w:spacing w:line="249" w:lineRule="auto"/>
        <w:rPr>
          <w:rFonts w:ascii="Arial"/>
          <w:sz w:val="21"/>
        </w:rPr>
      </w:pPr>
    </w:p>
    <w:p w14:paraId="5CA7770E">
      <w:pPr>
        <w:spacing w:line="249" w:lineRule="auto"/>
        <w:rPr>
          <w:rFonts w:ascii="Arial"/>
          <w:sz w:val="21"/>
        </w:rPr>
      </w:pPr>
    </w:p>
    <w:p w14:paraId="7B430FA8">
      <w:pPr>
        <w:spacing w:line="249" w:lineRule="auto"/>
        <w:rPr>
          <w:rFonts w:ascii="Arial"/>
          <w:sz w:val="21"/>
        </w:rPr>
      </w:pPr>
    </w:p>
    <w:p w14:paraId="73F16770">
      <w:pPr>
        <w:spacing w:line="249" w:lineRule="auto"/>
        <w:rPr>
          <w:rFonts w:ascii="Arial"/>
          <w:sz w:val="21"/>
        </w:rPr>
      </w:pPr>
    </w:p>
    <w:p w14:paraId="29BE3792">
      <w:pPr>
        <w:spacing w:before="78" w:line="360" w:lineRule="auto"/>
        <w:ind w:left="10" w:firstLine="508"/>
        <w:jc w:val="both"/>
        <w:rPr>
          <w:rFonts w:ascii="宋体" w:hAnsi="宋体" w:eastAsia="宋体" w:cs="宋体"/>
          <w:sz w:val="24"/>
          <w:szCs w:val="24"/>
        </w:rPr>
      </w:pPr>
      <w:r>
        <w:rPr>
          <w:rFonts w:ascii="宋体" w:hAnsi="宋体" w:eastAsia="宋体" w:cs="宋体"/>
          <w:spacing w:val="-2"/>
          <w:sz w:val="24"/>
          <w:szCs w:val="24"/>
        </w:rPr>
        <w:t>以输电线路弧垂最大处的地面投影为预测原点，沿</w:t>
      </w:r>
      <w:r>
        <w:rPr>
          <w:rFonts w:ascii="宋体" w:hAnsi="宋体" w:eastAsia="宋体" w:cs="宋体"/>
          <w:spacing w:val="-3"/>
          <w:sz w:val="24"/>
          <w:szCs w:val="24"/>
        </w:rPr>
        <w:t>垂直于线路方向进行，预测点间</w:t>
      </w:r>
      <w:r>
        <w:rPr>
          <w:rFonts w:ascii="宋体" w:hAnsi="宋体" w:eastAsia="宋体" w:cs="宋体"/>
          <w:spacing w:val="-2"/>
          <w:sz w:val="24"/>
          <w:szCs w:val="24"/>
        </w:rPr>
        <w:t>距为</w:t>
      </w:r>
      <w:r>
        <w:rPr>
          <w:rFonts w:ascii="宋体" w:hAnsi="宋体" w:eastAsia="宋体" w:cs="宋体"/>
          <w:spacing w:val="-31"/>
          <w:sz w:val="24"/>
          <w:szCs w:val="24"/>
        </w:rPr>
        <w:t xml:space="preserve"> </w:t>
      </w:r>
      <w:r>
        <w:rPr>
          <w:rFonts w:ascii="Times New Roman" w:hAnsi="Times New Roman" w:eastAsia="Times New Roman" w:cs="Times New Roman"/>
          <w:spacing w:val="-2"/>
          <w:sz w:val="24"/>
          <w:szCs w:val="24"/>
        </w:rPr>
        <w:t>1m</w:t>
      </w:r>
      <w:r>
        <w:rPr>
          <w:rFonts w:ascii="宋体" w:hAnsi="宋体" w:eastAsia="宋体" w:cs="宋体"/>
          <w:spacing w:val="-2"/>
          <w:sz w:val="24"/>
          <w:szCs w:val="24"/>
        </w:rPr>
        <w:t>，顺序至线路中心投影外</w:t>
      </w:r>
      <w:r>
        <w:rPr>
          <w:rFonts w:ascii="宋体" w:hAnsi="宋体" w:eastAsia="宋体" w:cs="宋体"/>
          <w:spacing w:val="-33"/>
          <w:sz w:val="24"/>
          <w:szCs w:val="24"/>
        </w:rPr>
        <w:t xml:space="preserve"> </w:t>
      </w:r>
      <w:r>
        <w:rPr>
          <w:rFonts w:ascii="Times New Roman" w:hAnsi="Times New Roman" w:eastAsia="Times New Roman" w:cs="Times New Roman"/>
          <w:spacing w:val="-2"/>
          <w:sz w:val="24"/>
          <w:szCs w:val="24"/>
        </w:rPr>
        <w:t>50m</w:t>
      </w:r>
      <w:r>
        <w:rPr>
          <w:rFonts w:ascii="Times New Roman" w:hAnsi="Times New Roman" w:eastAsia="Times New Roman" w:cs="Times New Roman"/>
          <w:spacing w:val="15"/>
          <w:sz w:val="24"/>
          <w:szCs w:val="24"/>
        </w:rPr>
        <w:t xml:space="preserve"> </w:t>
      </w:r>
      <w:r>
        <w:rPr>
          <w:rFonts w:ascii="宋体" w:hAnsi="宋体" w:eastAsia="宋体" w:cs="宋体"/>
          <w:spacing w:val="-2"/>
          <w:sz w:val="24"/>
          <w:szCs w:val="24"/>
        </w:rPr>
        <w:t>处止。分别预测线路经过居民区、非居民区地面</w:t>
      </w:r>
      <w:r>
        <w:rPr>
          <w:rFonts w:ascii="宋体" w:hAnsi="宋体" w:eastAsia="宋体" w:cs="宋体"/>
          <w:spacing w:val="-1"/>
          <w:sz w:val="24"/>
          <w:szCs w:val="24"/>
        </w:rPr>
        <w:t>上</w:t>
      </w:r>
      <w:r>
        <w:rPr>
          <w:rFonts w:ascii="宋体" w:hAnsi="宋体" w:eastAsia="宋体" w:cs="宋体"/>
          <w:spacing w:val="-31"/>
          <w:sz w:val="24"/>
          <w:szCs w:val="24"/>
        </w:rPr>
        <w:t xml:space="preserve"> </w:t>
      </w:r>
      <w:r>
        <w:rPr>
          <w:rFonts w:ascii="Times New Roman" w:hAnsi="Times New Roman" w:eastAsia="Times New Roman" w:cs="Times New Roman"/>
          <w:spacing w:val="-1"/>
          <w:sz w:val="24"/>
          <w:szCs w:val="24"/>
        </w:rPr>
        <w:t xml:space="preserve">1.5m </w:t>
      </w:r>
      <w:r>
        <w:rPr>
          <w:rFonts w:ascii="宋体" w:hAnsi="宋体" w:eastAsia="宋体" w:cs="宋体"/>
          <w:spacing w:val="-1"/>
          <w:sz w:val="24"/>
          <w:szCs w:val="24"/>
        </w:rPr>
        <w:t>处的工频电场强度及工频磁感应强度，</w:t>
      </w:r>
      <w:r>
        <w:rPr>
          <w:rFonts w:ascii="宋体" w:hAnsi="宋体" w:eastAsia="宋体" w:cs="宋体"/>
          <w:spacing w:val="-2"/>
          <w:sz w:val="24"/>
          <w:szCs w:val="24"/>
        </w:rPr>
        <w:t>预测结果如下。</w:t>
      </w:r>
    </w:p>
    <w:p w14:paraId="3E4FBBE1">
      <w:pPr>
        <w:spacing w:line="232" w:lineRule="auto"/>
        <w:ind w:left="510"/>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1</w:t>
      </w:r>
      <w:r>
        <w:rPr>
          <w:rFonts w:ascii="宋体" w:hAnsi="宋体" w:eastAsia="宋体" w:cs="宋体"/>
          <w:spacing w:val="-3"/>
          <w:sz w:val="24"/>
          <w:szCs w:val="24"/>
        </w:rPr>
        <w:t>）</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50"/>
          <w:sz w:val="24"/>
          <w:szCs w:val="24"/>
        </w:rPr>
        <w:t xml:space="preserve"> </w:t>
      </w:r>
      <w:r>
        <w:rPr>
          <w:rFonts w:ascii="宋体" w:hAnsi="宋体" w:eastAsia="宋体" w:cs="宋体"/>
          <w:spacing w:val="-3"/>
          <w:sz w:val="24"/>
          <w:szCs w:val="24"/>
        </w:rPr>
        <w:t>回：单回三角排列最不利塔型</w:t>
      </w:r>
      <w:r>
        <w:rPr>
          <w:rFonts w:ascii="宋体" w:hAnsi="宋体" w:eastAsia="宋体" w:cs="宋体"/>
          <w:spacing w:val="-57"/>
          <w:sz w:val="24"/>
          <w:szCs w:val="24"/>
        </w:rPr>
        <w:t xml:space="preserve"> </w:t>
      </w:r>
      <w:r>
        <w:rPr>
          <w:rFonts w:ascii="Times New Roman" w:hAnsi="Times New Roman" w:eastAsia="Times New Roman" w:cs="Times New Roman"/>
          <w:spacing w:val="-3"/>
          <w:sz w:val="24"/>
          <w:szCs w:val="24"/>
        </w:rPr>
        <w:t>V3-2D1Y7-J4</w:t>
      </w:r>
    </w:p>
    <w:p w14:paraId="60873D64">
      <w:pPr>
        <w:spacing w:before="101" w:line="229" w:lineRule="auto"/>
        <w:ind w:left="2170"/>
        <w:rPr>
          <w:rFonts w:ascii="宋体" w:hAnsi="宋体" w:eastAsia="宋体" w:cs="宋体"/>
          <w:sz w:val="21"/>
          <w:szCs w:val="21"/>
        </w:rPr>
      </w:pPr>
      <w:r>
        <w:rPr>
          <w:rFonts w:ascii="宋体" w:hAnsi="宋体" w:eastAsia="宋体" w:cs="宋体"/>
          <w:b/>
          <w:bCs/>
          <w:spacing w:val="-3"/>
          <w:sz w:val="21"/>
          <w:szCs w:val="21"/>
        </w:rPr>
        <w:t>表</w:t>
      </w:r>
      <w:r>
        <w:rPr>
          <w:rFonts w:ascii="宋体" w:hAnsi="宋体" w:eastAsia="宋体" w:cs="宋体"/>
          <w:spacing w:val="-33"/>
          <w:sz w:val="21"/>
          <w:szCs w:val="21"/>
        </w:rPr>
        <w:t xml:space="preserve"> </w:t>
      </w:r>
      <w:r>
        <w:rPr>
          <w:rFonts w:ascii="Times New Roman" w:hAnsi="Times New Roman" w:eastAsia="Times New Roman" w:cs="Times New Roman"/>
          <w:b/>
          <w:bCs/>
          <w:spacing w:val="-3"/>
          <w:sz w:val="21"/>
          <w:szCs w:val="21"/>
        </w:rPr>
        <w:t>4-4    C</w:t>
      </w:r>
      <w:r>
        <w:rPr>
          <w:rFonts w:ascii="Times New Roman" w:hAnsi="Times New Roman" w:eastAsia="Times New Roman" w:cs="Times New Roman"/>
          <w:b/>
          <w:bCs/>
          <w:spacing w:val="29"/>
          <w:sz w:val="21"/>
          <w:szCs w:val="21"/>
        </w:rPr>
        <w:t xml:space="preserve"> </w:t>
      </w:r>
      <w:r>
        <w:rPr>
          <w:rFonts w:ascii="宋体" w:hAnsi="宋体" w:eastAsia="宋体" w:cs="宋体"/>
          <w:b/>
          <w:bCs/>
          <w:spacing w:val="-3"/>
          <w:sz w:val="21"/>
          <w:szCs w:val="21"/>
        </w:rPr>
        <w:t>回线单回三角排列线路电磁场强度预测值</w:t>
      </w: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6412CF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Merge w:val="restart"/>
            <w:tcBorders>
              <w:bottom w:val="nil"/>
            </w:tcBorders>
            <w:vAlign w:val="top"/>
          </w:tcPr>
          <w:p w14:paraId="520BAB8A">
            <w:pPr>
              <w:pStyle w:val="6"/>
              <w:spacing w:before="63" w:line="251" w:lineRule="auto"/>
              <w:ind w:left="178" w:right="142" w:hanging="27"/>
            </w:pPr>
            <w:r>
              <w:rPr>
                <w:b/>
                <w:bCs/>
                <w:spacing w:val="-3"/>
              </w:rPr>
              <w:t>距线路走廊中</w:t>
            </w:r>
            <w:r>
              <w:rPr>
                <w:b/>
                <w:bCs/>
                <w:spacing w:val="-4"/>
              </w:rPr>
              <w:t>心距离（</w:t>
            </w:r>
            <w:r>
              <w:rPr>
                <w:rFonts w:ascii="Times New Roman" w:hAnsi="Times New Roman" w:eastAsia="Times New Roman" w:cs="Times New Roman"/>
                <w:b/>
                <w:bCs/>
                <w:spacing w:val="-4"/>
              </w:rPr>
              <w:t>m</w:t>
            </w:r>
            <w:r>
              <w:rPr>
                <w:b/>
                <w:bCs/>
                <w:spacing w:val="-4"/>
              </w:rPr>
              <w:t>）</w:t>
            </w:r>
          </w:p>
        </w:tc>
        <w:tc>
          <w:tcPr>
            <w:tcW w:w="3682" w:type="dxa"/>
            <w:gridSpan w:val="2"/>
            <w:vAlign w:val="top"/>
          </w:tcPr>
          <w:p w14:paraId="5D13CFBA">
            <w:pPr>
              <w:pStyle w:val="6"/>
              <w:spacing w:before="56" w:line="221" w:lineRule="auto"/>
              <w:ind w:left="753"/>
            </w:pPr>
            <w:r>
              <w:rPr>
                <w:b/>
                <w:bCs/>
                <w:spacing w:val="-2"/>
              </w:rPr>
              <w:t>工频电场强度（</w:t>
            </w:r>
            <w:r>
              <w:rPr>
                <w:rFonts w:ascii="Times New Roman" w:hAnsi="Times New Roman" w:eastAsia="Times New Roman" w:cs="Times New Roman"/>
                <w:b/>
                <w:bCs/>
                <w:spacing w:val="-2"/>
              </w:rPr>
              <w:t>kV/m</w:t>
            </w:r>
            <w:r>
              <w:rPr>
                <w:b/>
                <w:bCs/>
                <w:spacing w:val="-2"/>
              </w:rPr>
              <w:t>）</w:t>
            </w:r>
          </w:p>
        </w:tc>
        <w:tc>
          <w:tcPr>
            <w:tcW w:w="3832" w:type="dxa"/>
            <w:gridSpan w:val="2"/>
            <w:vAlign w:val="top"/>
          </w:tcPr>
          <w:p w14:paraId="20B3A24B">
            <w:pPr>
              <w:pStyle w:val="6"/>
              <w:spacing w:before="56" w:line="213" w:lineRule="auto"/>
              <w:ind w:left="844"/>
            </w:pPr>
            <w:r>
              <w:rPr>
                <w:b/>
                <w:bCs/>
                <w:spacing w:val="7"/>
              </w:rPr>
              <w:t>工频磁感应强度(</w:t>
            </w:r>
            <w:r>
              <w:rPr>
                <w:rFonts w:ascii="Times New Roman" w:hAnsi="Times New Roman" w:eastAsia="Times New Roman" w:cs="Times New Roman"/>
                <w:b/>
                <w:bCs/>
                <w:spacing w:val="7"/>
              </w:rPr>
              <w:t>µT</w:t>
            </w:r>
            <w:r>
              <w:rPr>
                <w:b/>
                <w:bCs/>
                <w:spacing w:val="7"/>
              </w:rPr>
              <w:t>）</w:t>
            </w:r>
          </w:p>
        </w:tc>
      </w:tr>
      <w:tr w14:paraId="497700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Merge w:val="continue"/>
            <w:tcBorders>
              <w:top w:val="nil"/>
            </w:tcBorders>
            <w:vAlign w:val="top"/>
          </w:tcPr>
          <w:p w14:paraId="665F89A5">
            <w:pPr>
              <w:rPr>
                <w:rFonts w:ascii="Arial"/>
                <w:sz w:val="21"/>
              </w:rPr>
            </w:pPr>
          </w:p>
        </w:tc>
        <w:tc>
          <w:tcPr>
            <w:tcW w:w="1842" w:type="dxa"/>
            <w:vAlign w:val="top"/>
          </w:tcPr>
          <w:p w14:paraId="0EA2870A">
            <w:pPr>
              <w:pStyle w:val="6"/>
              <w:spacing w:before="54" w:line="224" w:lineRule="auto"/>
              <w:ind w:left="261"/>
              <w:rPr>
                <w:rFonts w:ascii="Times New Roman" w:hAnsi="Times New Roman" w:eastAsia="Times New Roman" w:cs="Times New Roman"/>
              </w:rPr>
            </w:pPr>
            <w:r>
              <w:rPr>
                <w:b/>
                <w:bCs/>
                <w:spacing w:val="-3"/>
              </w:rPr>
              <w:t>非居民区</w:t>
            </w:r>
            <w:r>
              <w:rPr>
                <w:spacing w:val="-42"/>
              </w:rPr>
              <w:t xml:space="preserve"> </w:t>
            </w:r>
            <w:r>
              <w:rPr>
                <w:rFonts w:ascii="Times New Roman" w:hAnsi="Times New Roman" w:eastAsia="Times New Roman" w:cs="Times New Roman"/>
                <w:b/>
                <w:bCs/>
                <w:spacing w:val="-3"/>
              </w:rPr>
              <w:t>6.5m</w:t>
            </w:r>
          </w:p>
        </w:tc>
        <w:tc>
          <w:tcPr>
            <w:tcW w:w="1840" w:type="dxa"/>
            <w:vAlign w:val="top"/>
          </w:tcPr>
          <w:p w14:paraId="02423A9C">
            <w:pPr>
              <w:pStyle w:val="6"/>
              <w:spacing w:before="54" w:line="224" w:lineRule="auto"/>
              <w:ind w:left="365"/>
              <w:rPr>
                <w:rFonts w:ascii="Times New Roman" w:hAnsi="Times New Roman" w:eastAsia="Times New Roman" w:cs="Times New Roman"/>
              </w:rPr>
            </w:pPr>
            <w:r>
              <w:rPr>
                <w:b/>
                <w:bCs/>
                <w:spacing w:val="-3"/>
              </w:rPr>
              <w:t>居民区</w:t>
            </w:r>
            <w:r>
              <w:rPr>
                <w:spacing w:val="-43"/>
              </w:rPr>
              <w:t xml:space="preserve"> </w:t>
            </w:r>
            <w:r>
              <w:rPr>
                <w:rFonts w:ascii="Times New Roman" w:hAnsi="Times New Roman" w:eastAsia="Times New Roman" w:cs="Times New Roman"/>
                <w:b/>
                <w:bCs/>
                <w:spacing w:val="-3"/>
              </w:rPr>
              <w:t>9.5m</w:t>
            </w:r>
          </w:p>
        </w:tc>
        <w:tc>
          <w:tcPr>
            <w:tcW w:w="1843" w:type="dxa"/>
            <w:vAlign w:val="top"/>
          </w:tcPr>
          <w:p w14:paraId="45BAC412">
            <w:pPr>
              <w:pStyle w:val="6"/>
              <w:spacing w:before="54" w:line="224" w:lineRule="auto"/>
              <w:ind w:left="264"/>
              <w:rPr>
                <w:rFonts w:ascii="Times New Roman" w:hAnsi="Times New Roman" w:eastAsia="Times New Roman" w:cs="Times New Roman"/>
              </w:rPr>
            </w:pPr>
            <w:r>
              <w:rPr>
                <w:b/>
                <w:bCs/>
                <w:spacing w:val="-3"/>
              </w:rPr>
              <w:t>非居民区</w:t>
            </w:r>
            <w:r>
              <w:rPr>
                <w:spacing w:val="-42"/>
              </w:rPr>
              <w:t xml:space="preserve"> </w:t>
            </w:r>
            <w:r>
              <w:rPr>
                <w:rFonts w:ascii="Times New Roman" w:hAnsi="Times New Roman" w:eastAsia="Times New Roman" w:cs="Times New Roman"/>
                <w:b/>
                <w:bCs/>
                <w:spacing w:val="-3"/>
              </w:rPr>
              <w:t>6.5m</w:t>
            </w:r>
          </w:p>
        </w:tc>
        <w:tc>
          <w:tcPr>
            <w:tcW w:w="1989" w:type="dxa"/>
            <w:vAlign w:val="top"/>
          </w:tcPr>
          <w:p w14:paraId="01B25BF8">
            <w:pPr>
              <w:pStyle w:val="6"/>
              <w:spacing w:before="54" w:line="224" w:lineRule="auto"/>
              <w:ind w:left="439"/>
              <w:rPr>
                <w:rFonts w:ascii="Times New Roman" w:hAnsi="Times New Roman" w:eastAsia="Times New Roman" w:cs="Times New Roman"/>
              </w:rPr>
            </w:pPr>
            <w:r>
              <w:rPr>
                <w:b/>
                <w:bCs/>
                <w:spacing w:val="-3"/>
              </w:rPr>
              <w:t>居民区</w:t>
            </w:r>
            <w:r>
              <w:rPr>
                <w:spacing w:val="-43"/>
              </w:rPr>
              <w:t xml:space="preserve"> </w:t>
            </w:r>
            <w:r>
              <w:rPr>
                <w:rFonts w:ascii="Times New Roman" w:hAnsi="Times New Roman" w:eastAsia="Times New Roman" w:cs="Times New Roman"/>
                <w:b/>
                <w:bCs/>
                <w:spacing w:val="-3"/>
              </w:rPr>
              <w:t>9.5m</w:t>
            </w:r>
          </w:p>
        </w:tc>
      </w:tr>
      <w:tr w14:paraId="6C898EC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F46F848">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1842" w:type="dxa"/>
            <w:vAlign w:val="top"/>
          </w:tcPr>
          <w:p w14:paraId="6E543864">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0.071</w:t>
            </w:r>
          </w:p>
        </w:tc>
        <w:tc>
          <w:tcPr>
            <w:tcW w:w="1840" w:type="dxa"/>
            <w:vAlign w:val="top"/>
          </w:tcPr>
          <w:p w14:paraId="02C5E19B">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0.089</w:t>
            </w:r>
          </w:p>
        </w:tc>
        <w:tc>
          <w:tcPr>
            <w:tcW w:w="1843" w:type="dxa"/>
            <w:vAlign w:val="top"/>
          </w:tcPr>
          <w:p w14:paraId="0124BB8A">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2.460</w:t>
            </w:r>
          </w:p>
        </w:tc>
        <w:tc>
          <w:tcPr>
            <w:tcW w:w="1989" w:type="dxa"/>
            <w:vAlign w:val="top"/>
          </w:tcPr>
          <w:p w14:paraId="349E73FF">
            <w:pPr>
              <w:spacing w:before="86" w:line="218"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2.414</w:t>
            </w:r>
          </w:p>
        </w:tc>
      </w:tr>
      <w:tr w14:paraId="2849F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3F749EF">
            <w:pPr>
              <w:spacing w:before="87"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-49</w:t>
            </w:r>
          </w:p>
        </w:tc>
        <w:tc>
          <w:tcPr>
            <w:tcW w:w="1842" w:type="dxa"/>
            <w:vAlign w:val="top"/>
          </w:tcPr>
          <w:p w14:paraId="79442F91">
            <w:pPr>
              <w:spacing w:before="87"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0.075</w:t>
            </w:r>
          </w:p>
        </w:tc>
        <w:tc>
          <w:tcPr>
            <w:tcW w:w="1840" w:type="dxa"/>
            <w:vAlign w:val="top"/>
          </w:tcPr>
          <w:p w14:paraId="41C9E9BE">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0.094</w:t>
            </w:r>
          </w:p>
        </w:tc>
        <w:tc>
          <w:tcPr>
            <w:tcW w:w="1843" w:type="dxa"/>
            <w:vAlign w:val="top"/>
          </w:tcPr>
          <w:p w14:paraId="1BDC0F80">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2.562</w:t>
            </w:r>
          </w:p>
        </w:tc>
        <w:tc>
          <w:tcPr>
            <w:tcW w:w="1989" w:type="dxa"/>
            <w:vAlign w:val="top"/>
          </w:tcPr>
          <w:p w14:paraId="60A00233">
            <w:pPr>
              <w:spacing w:before="87" w:line="218"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2.512</w:t>
            </w:r>
          </w:p>
        </w:tc>
      </w:tr>
      <w:tr w14:paraId="7FF938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934511D">
            <w:pPr>
              <w:spacing w:before="86"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-48</w:t>
            </w:r>
          </w:p>
        </w:tc>
        <w:tc>
          <w:tcPr>
            <w:tcW w:w="1842" w:type="dxa"/>
            <w:vAlign w:val="top"/>
          </w:tcPr>
          <w:p w14:paraId="6026A022">
            <w:pPr>
              <w:spacing w:before="86"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0.079</w:t>
            </w:r>
          </w:p>
        </w:tc>
        <w:tc>
          <w:tcPr>
            <w:tcW w:w="1840" w:type="dxa"/>
            <w:vAlign w:val="top"/>
          </w:tcPr>
          <w:p w14:paraId="7F0AABBE">
            <w:pPr>
              <w:spacing w:before="86"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0.100</w:t>
            </w:r>
          </w:p>
        </w:tc>
        <w:tc>
          <w:tcPr>
            <w:tcW w:w="1843" w:type="dxa"/>
            <w:vAlign w:val="top"/>
          </w:tcPr>
          <w:p w14:paraId="1BBB3842">
            <w:pPr>
              <w:spacing w:before="86"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2.671</w:t>
            </w:r>
          </w:p>
        </w:tc>
        <w:tc>
          <w:tcPr>
            <w:tcW w:w="1989" w:type="dxa"/>
            <w:vAlign w:val="top"/>
          </w:tcPr>
          <w:p w14:paraId="09B8AE15">
            <w:pPr>
              <w:spacing w:before="86" w:line="219"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2.617</w:t>
            </w:r>
          </w:p>
        </w:tc>
      </w:tr>
      <w:tr w14:paraId="61D6C1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36F5651">
            <w:pPr>
              <w:spacing w:before="86"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-47</w:t>
            </w:r>
          </w:p>
        </w:tc>
        <w:tc>
          <w:tcPr>
            <w:tcW w:w="1842" w:type="dxa"/>
            <w:vAlign w:val="top"/>
          </w:tcPr>
          <w:p w14:paraId="5CB17B7D">
            <w:pPr>
              <w:spacing w:before="86"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0.084</w:t>
            </w:r>
          </w:p>
        </w:tc>
        <w:tc>
          <w:tcPr>
            <w:tcW w:w="1840" w:type="dxa"/>
            <w:vAlign w:val="top"/>
          </w:tcPr>
          <w:p w14:paraId="10570FA9">
            <w:pPr>
              <w:spacing w:before="86"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0.106</w:t>
            </w:r>
          </w:p>
        </w:tc>
        <w:tc>
          <w:tcPr>
            <w:tcW w:w="1843" w:type="dxa"/>
            <w:vAlign w:val="top"/>
          </w:tcPr>
          <w:p w14:paraId="538CC679">
            <w:pPr>
              <w:spacing w:before="86"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2.787</w:t>
            </w:r>
          </w:p>
        </w:tc>
        <w:tc>
          <w:tcPr>
            <w:tcW w:w="1989" w:type="dxa"/>
            <w:vAlign w:val="top"/>
          </w:tcPr>
          <w:p w14:paraId="256A0CE3">
            <w:pPr>
              <w:spacing w:before="86" w:line="219"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2.729</w:t>
            </w:r>
          </w:p>
        </w:tc>
      </w:tr>
      <w:tr w14:paraId="6A1F91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C5C3B0A">
            <w:pPr>
              <w:spacing w:before="86"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-46</w:t>
            </w:r>
          </w:p>
        </w:tc>
        <w:tc>
          <w:tcPr>
            <w:tcW w:w="1842" w:type="dxa"/>
            <w:vAlign w:val="top"/>
          </w:tcPr>
          <w:p w14:paraId="24305EF6">
            <w:pPr>
              <w:spacing w:before="86"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0.089</w:t>
            </w:r>
          </w:p>
        </w:tc>
        <w:tc>
          <w:tcPr>
            <w:tcW w:w="1840" w:type="dxa"/>
            <w:vAlign w:val="top"/>
          </w:tcPr>
          <w:p w14:paraId="7F040BBD">
            <w:pPr>
              <w:spacing w:before="86" w:line="219"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0.113</w:t>
            </w:r>
          </w:p>
        </w:tc>
        <w:tc>
          <w:tcPr>
            <w:tcW w:w="1843" w:type="dxa"/>
            <w:vAlign w:val="top"/>
          </w:tcPr>
          <w:p w14:paraId="577E6C3C">
            <w:pPr>
              <w:spacing w:before="86" w:line="219"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2.911</w:t>
            </w:r>
          </w:p>
        </w:tc>
        <w:tc>
          <w:tcPr>
            <w:tcW w:w="1989" w:type="dxa"/>
            <w:vAlign w:val="top"/>
          </w:tcPr>
          <w:p w14:paraId="3EAA64F2">
            <w:pPr>
              <w:spacing w:before="86" w:line="219"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2.847</w:t>
            </w:r>
          </w:p>
        </w:tc>
      </w:tr>
      <w:tr w14:paraId="660D78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766695DC">
            <w:pPr>
              <w:spacing w:before="88"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-45</w:t>
            </w:r>
          </w:p>
        </w:tc>
        <w:tc>
          <w:tcPr>
            <w:tcW w:w="1842" w:type="dxa"/>
            <w:vAlign w:val="top"/>
          </w:tcPr>
          <w:p w14:paraId="04F94EF9">
            <w:pPr>
              <w:spacing w:before="88"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0.094</w:t>
            </w:r>
          </w:p>
        </w:tc>
        <w:tc>
          <w:tcPr>
            <w:tcW w:w="1840" w:type="dxa"/>
            <w:vAlign w:val="top"/>
          </w:tcPr>
          <w:p w14:paraId="093D9265">
            <w:pPr>
              <w:spacing w:before="88"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0.120</w:t>
            </w:r>
          </w:p>
        </w:tc>
        <w:tc>
          <w:tcPr>
            <w:tcW w:w="1843" w:type="dxa"/>
            <w:vAlign w:val="top"/>
          </w:tcPr>
          <w:p w14:paraId="537E8550">
            <w:pPr>
              <w:spacing w:before="88" w:line="219"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3.044</w:t>
            </w:r>
          </w:p>
        </w:tc>
        <w:tc>
          <w:tcPr>
            <w:tcW w:w="1989" w:type="dxa"/>
            <w:vAlign w:val="top"/>
          </w:tcPr>
          <w:p w14:paraId="118DE0A5">
            <w:pPr>
              <w:spacing w:before="88" w:line="219"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2.974</w:t>
            </w:r>
          </w:p>
        </w:tc>
      </w:tr>
      <w:tr w14:paraId="4A0B4E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8AF05F9">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-44</w:t>
            </w:r>
          </w:p>
        </w:tc>
        <w:tc>
          <w:tcPr>
            <w:tcW w:w="1842" w:type="dxa"/>
            <w:vAlign w:val="top"/>
          </w:tcPr>
          <w:p w14:paraId="1C28DE85">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0.100</w:t>
            </w:r>
          </w:p>
        </w:tc>
        <w:tc>
          <w:tcPr>
            <w:tcW w:w="1840" w:type="dxa"/>
            <w:vAlign w:val="top"/>
          </w:tcPr>
          <w:p w14:paraId="1B3C3CFD">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0.128</w:t>
            </w:r>
          </w:p>
        </w:tc>
        <w:tc>
          <w:tcPr>
            <w:tcW w:w="1843" w:type="dxa"/>
            <w:vAlign w:val="top"/>
          </w:tcPr>
          <w:p w14:paraId="2ABCEC78">
            <w:pPr>
              <w:spacing w:before="86" w:line="218"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3.185</w:t>
            </w:r>
          </w:p>
        </w:tc>
        <w:tc>
          <w:tcPr>
            <w:tcW w:w="1989" w:type="dxa"/>
            <w:vAlign w:val="top"/>
          </w:tcPr>
          <w:p w14:paraId="57594A0C">
            <w:pPr>
              <w:spacing w:before="86" w:line="218"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3.109</w:t>
            </w:r>
          </w:p>
        </w:tc>
      </w:tr>
      <w:tr w14:paraId="57F4C3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58A9DC5">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-43</w:t>
            </w:r>
          </w:p>
        </w:tc>
        <w:tc>
          <w:tcPr>
            <w:tcW w:w="1842" w:type="dxa"/>
            <w:vAlign w:val="top"/>
          </w:tcPr>
          <w:p w14:paraId="63B4DB9F">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0.106</w:t>
            </w:r>
          </w:p>
        </w:tc>
        <w:tc>
          <w:tcPr>
            <w:tcW w:w="1840" w:type="dxa"/>
            <w:vAlign w:val="top"/>
          </w:tcPr>
          <w:p w14:paraId="21B89D4A">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0.136</w:t>
            </w:r>
          </w:p>
        </w:tc>
        <w:tc>
          <w:tcPr>
            <w:tcW w:w="1843" w:type="dxa"/>
            <w:vAlign w:val="top"/>
          </w:tcPr>
          <w:p w14:paraId="2DC7F8BB">
            <w:pPr>
              <w:spacing w:before="86" w:line="218"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3.337</w:t>
            </w:r>
          </w:p>
        </w:tc>
        <w:tc>
          <w:tcPr>
            <w:tcW w:w="1989" w:type="dxa"/>
            <w:vAlign w:val="top"/>
          </w:tcPr>
          <w:p w14:paraId="63F86EA6">
            <w:pPr>
              <w:spacing w:before="86" w:line="218"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3.253</w:t>
            </w:r>
          </w:p>
        </w:tc>
      </w:tr>
      <w:tr w14:paraId="51F9F5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CC42D63">
            <w:pPr>
              <w:spacing w:before="87"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-42</w:t>
            </w:r>
          </w:p>
        </w:tc>
        <w:tc>
          <w:tcPr>
            <w:tcW w:w="1842" w:type="dxa"/>
            <w:vAlign w:val="top"/>
          </w:tcPr>
          <w:p w14:paraId="78F3C045">
            <w:pPr>
              <w:spacing w:before="87" w:line="218"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0.113</w:t>
            </w:r>
          </w:p>
        </w:tc>
        <w:tc>
          <w:tcPr>
            <w:tcW w:w="1840" w:type="dxa"/>
            <w:vAlign w:val="top"/>
          </w:tcPr>
          <w:p w14:paraId="6FAC74A0">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0.146</w:t>
            </w:r>
          </w:p>
        </w:tc>
        <w:tc>
          <w:tcPr>
            <w:tcW w:w="1843" w:type="dxa"/>
            <w:vAlign w:val="top"/>
          </w:tcPr>
          <w:p w14:paraId="2F7D3217">
            <w:pPr>
              <w:spacing w:before="87" w:line="218"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3.500</w:t>
            </w:r>
          </w:p>
        </w:tc>
        <w:tc>
          <w:tcPr>
            <w:tcW w:w="1989" w:type="dxa"/>
            <w:vAlign w:val="top"/>
          </w:tcPr>
          <w:p w14:paraId="5A09A474">
            <w:pPr>
              <w:spacing w:before="87" w:line="218"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3.408</w:t>
            </w:r>
          </w:p>
        </w:tc>
      </w:tr>
      <w:tr w14:paraId="00648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390B308">
            <w:pPr>
              <w:spacing w:before="86"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-41</w:t>
            </w:r>
          </w:p>
        </w:tc>
        <w:tc>
          <w:tcPr>
            <w:tcW w:w="1842" w:type="dxa"/>
            <w:vAlign w:val="top"/>
          </w:tcPr>
          <w:p w14:paraId="54C18BBC">
            <w:pPr>
              <w:spacing w:before="86"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0.121</w:t>
            </w:r>
          </w:p>
        </w:tc>
        <w:tc>
          <w:tcPr>
            <w:tcW w:w="1840" w:type="dxa"/>
            <w:vAlign w:val="top"/>
          </w:tcPr>
          <w:p w14:paraId="0D9B0272">
            <w:pPr>
              <w:spacing w:before="86"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0.156</w:t>
            </w:r>
          </w:p>
        </w:tc>
        <w:tc>
          <w:tcPr>
            <w:tcW w:w="1843" w:type="dxa"/>
            <w:vAlign w:val="top"/>
          </w:tcPr>
          <w:p w14:paraId="260691EC">
            <w:pPr>
              <w:spacing w:before="86" w:line="219"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3.675</w:t>
            </w:r>
          </w:p>
        </w:tc>
        <w:tc>
          <w:tcPr>
            <w:tcW w:w="1989" w:type="dxa"/>
            <w:vAlign w:val="top"/>
          </w:tcPr>
          <w:p w14:paraId="6F66B522">
            <w:pPr>
              <w:spacing w:before="86" w:line="219"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3.573</w:t>
            </w:r>
          </w:p>
        </w:tc>
      </w:tr>
      <w:tr w14:paraId="563429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D7A125A">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-40</w:t>
            </w:r>
          </w:p>
        </w:tc>
        <w:tc>
          <w:tcPr>
            <w:tcW w:w="1842" w:type="dxa"/>
            <w:vAlign w:val="top"/>
          </w:tcPr>
          <w:p w14:paraId="45232D65">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0.130</w:t>
            </w:r>
          </w:p>
        </w:tc>
        <w:tc>
          <w:tcPr>
            <w:tcW w:w="1840" w:type="dxa"/>
            <w:vAlign w:val="top"/>
          </w:tcPr>
          <w:p w14:paraId="30BD1273">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0.168</w:t>
            </w:r>
          </w:p>
        </w:tc>
        <w:tc>
          <w:tcPr>
            <w:tcW w:w="1843" w:type="dxa"/>
            <w:vAlign w:val="top"/>
          </w:tcPr>
          <w:p w14:paraId="41040E19">
            <w:pPr>
              <w:spacing w:before="86" w:line="218"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3.864</w:t>
            </w:r>
          </w:p>
        </w:tc>
        <w:tc>
          <w:tcPr>
            <w:tcW w:w="1989" w:type="dxa"/>
            <w:vAlign w:val="top"/>
          </w:tcPr>
          <w:p w14:paraId="42D23651">
            <w:pPr>
              <w:spacing w:before="86" w:line="218"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3.751</w:t>
            </w:r>
          </w:p>
        </w:tc>
      </w:tr>
      <w:tr w14:paraId="78AE5B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3F44B87F">
            <w:pPr>
              <w:spacing w:before="89"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-39</w:t>
            </w:r>
          </w:p>
        </w:tc>
        <w:tc>
          <w:tcPr>
            <w:tcW w:w="1842" w:type="dxa"/>
            <w:vAlign w:val="top"/>
          </w:tcPr>
          <w:p w14:paraId="748AD748">
            <w:pPr>
              <w:spacing w:before="89"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0.139</w:t>
            </w:r>
          </w:p>
        </w:tc>
        <w:tc>
          <w:tcPr>
            <w:tcW w:w="1840" w:type="dxa"/>
            <w:vAlign w:val="top"/>
          </w:tcPr>
          <w:p w14:paraId="3E2A47DE">
            <w:pPr>
              <w:spacing w:before="89"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0.180</w:t>
            </w:r>
          </w:p>
        </w:tc>
        <w:tc>
          <w:tcPr>
            <w:tcW w:w="1843" w:type="dxa"/>
            <w:vAlign w:val="top"/>
          </w:tcPr>
          <w:p w14:paraId="1C129FE6">
            <w:pPr>
              <w:spacing w:before="89" w:line="218"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4.068</w:t>
            </w:r>
          </w:p>
        </w:tc>
        <w:tc>
          <w:tcPr>
            <w:tcW w:w="1989" w:type="dxa"/>
            <w:vAlign w:val="top"/>
          </w:tcPr>
          <w:p w14:paraId="77138D33">
            <w:pPr>
              <w:spacing w:before="89" w:line="218"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3.943</w:t>
            </w:r>
          </w:p>
        </w:tc>
      </w:tr>
      <w:tr w14:paraId="73A7B8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EADD4FF">
            <w:pPr>
              <w:spacing w:before="87"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-38</w:t>
            </w:r>
          </w:p>
        </w:tc>
        <w:tc>
          <w:tcPr>
            <w:tcW w:w="1842" w:type="dxa"/>
            <w:vAlign w:val="top"/>
          </w:tcPr>
          <w:p w14:paraId="7F4934E6">
            <w:pPr>
              <w:spacing w:before="87"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0.150</w:t>
            </w:r>
          </w:p>
        </w:tc>
        <w:tc>
          <w:tcPr>
            <w:tcW w:w="1840" w:type="dxa"/>
            <w:vAlign w:val="top"/>
          </w:tcPr>
          <w:p w14:paraId="1FAED576">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0.194</w:t>
            </w:r>
          </w:p>
        </w:tc>
        <w:tc>
          <w:tcPr>
            <w:tcW w:w="1843" w:type="dxa"/>
            <w:vAlign w:val="top"/>
          </w:tcPr>
          <w:p w14:paraId="71962879">
            <w:pPr>
              <w:spacing w:before="87" w:line="218"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4.288</w:t>
            </w:r>
          </w:p>
        </w:tc>
        <w:tc>
          <w:tcPr>
            <w:tcW w:w="1989" w:type="dxa"/>
            <w:vAlign w:val="top"/>
          </w:tcPr>
          <w:p w14:paraId="1CE6F2C0">
            <w:pPr>
              <w:spacing w:before="87" w:line="218"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4.149</w:t>
            </w:r>
          </w:p>
        </w:tc>
      </w:tr>
      <w:tr w14:paraId="2CF9D2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6E855AA">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-37</w:t>
            </w:r>
          </w:p>
        </w:tc>
        <w:tc>
          <w:tcPr>
            <w:tcW w:w="1842" w:type="dxa"/>
            <w:vAlign w:val="top"/>
          </w:tcPr>
          <w:p w14:paraId="5B987EBF">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0.162</w:t>
            </w:r>
          </w:p>
        </w:tc>
        <w:tc>
          <w:tcPr>
            <w:tcW w:w="1840" w:type="dxa"/>
            <w:vAlign w:val="top"/>
          </w:tcPr>
          <w:p w14:paraId="79A1DAD9">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0.210</w:t>
            </w:r>
          </w:p>
        </w:tc>
        <w:tc>
          <w:tcPr>
            <w:tcW w:w="1843" w:type="dxa"/>
            <w:vAlign w:val="top"/>
          </w:tcPr>
          <w:p w14:paraId="563FC993">
            <w:pPr>
              <w:spacing w:before="86" w:line="218"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4.526</w:t>
            </w:r>
          </w:p>
        </w:tc>
        <w:tc>
          <w:tcPr>
            <w:tcW w:w="1989" w:type="dxa"/>
            <w:vAlign w:val="top"/>
          </w:tcPr>
          <w:p w14:paraId="0B64DCBA">
            <w:pPr>
              <w:spacing w:before="86" w:line="218"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4.372</w:t>
            </w:r>
          </w:p>
        </w:tc>
      </w:tr>
      <w:tr w14:paraId="76BDF3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0AD9A7D">
            <w:pPr>
              <w:spacing w:before="87"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-36</w:t>
            </w:r>
          </w:p>
        </w:tc>
        <w:tc>
          <w:tcPr>
            <w:tcW w:w="1842" w:type="dxa"/>
            <w:vAlign w:val="top"/>
          </w:tcPr>
          <w:p w14:paraId="0A004A60">
            <w:pPr>
              <w:spacing w:before="87"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0.175</w:t>
            </w:r>
          </w:p>
        </w:tc>
        <w:tc>
          <w:tcPr>
            <w:tcW w:w="1840" w:type="dxa"/>
            <w:vAlign w:val="top"/>
          </w:tcPr>
          <w:p w14:paraId="482EDFC1">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0.227</w:t>
            </w:r>
          </w:p>
        </w:tc>
        <w:tc>
          <w:tcPr>
            <w:tcW w:w="1843" w:type="dxa"/>
            <w:vAlign w:val="top"/>
          </w:tcPr>
          <w:p w14:paraId="7107D54C">
            <w:pPr>
              <w:spacing w:before="87" w:line="218"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4.786</w:t>
            </w:r>
          </w:p>
        </w:tc>
        <w:tc>
          <w:tcPr>
            <w:tcW w:w="1989" w:type="dxa"/>
            <w:vAlign w:val="top"/>
          </w:tcPr>
          <w:p w14:paraId="66673BC2">
            <w:pPr>
              <w:spacing w:before="87" w:line="218"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4.612</w:t>
            </w:r>
          </w:p>
        </w:tc>
      </w:tr>
      <w:tr w14:paraId="69FA79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D938A8E">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-35</w:t>
            </w:r>
          </w:p>
        </w:tc>
        <w:tc>
          <w:tcPr>
            <w:tcW w:w="1842" w:type="dxa"/>
            <w:vAlign w:val="top"/>
          </w:tcPr>
          <w:p w14:paraId="5F02B21C">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0.190</w:t>
            </w:r>
          </w:p>
        </w:tc>
        <w:tc>
          <w:tcPr>
            <w:tcW w:w="1840" w:type="dxa"/>
            <w:vAlign w:val="top"/>
          </w:tcPr>
          <w:p w14:paraId="39039860">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0.246</w:t>
            </w:r>
          </w:p>
        </w:tc>
        <w:tc>
          <w:tcPr>
            <w:tcW w:w="1843" w:type="dxa"/>
            <w:vAlign w:val="top"/>
          </w:tcPr>
          <w:p w14:paraId="6A0A9D00">
            <w:pPr>
              <w:spacing w:before="87" w:line="217"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5.067</w:t>
            </w:r>
          </w:p>
        </w:tc>
        <w:tc>
          <w:tcPr>
            <w:tcW w:w="1989" w:type="dxa"/>
            <w:vAlign w:val="top"/>
          </w:tcPr>
          <w:p w14:paraId="30BD7A26">
            <w:pPr>
              <w:spacing w:before="87" w:line="217"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4.873</w:t>
            </w:r>
          </w:p>
        </w:tc>
      </w:tr>
      <w:tr w14:paraId="29A0A6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961D8AF">
            <w:pPr>
              <w:spacing w:before="87"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-34</w:t>
            </w:r>
          </w:p>
        </w:tc>
        <w:tc>
          <w:tcPr>
            <w:tcW w:w="1842" w:type="dxa"/>
            <w:vAlign w:val="top"/>
          </w:tcPr>
          <w:p w14:paraId="5693AFDF">
            <w:pPr>
              <w:spacing w:before="87"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0.207</w:t>
            </w:r>
          </w:p>
        </w:tc>
        <w:tc>
          <w:tcPr>
            <w:tcW w:w="1840" w:type="dxa"/>
            <w:vAlign w:val="top"/>
          </w:tcPr>
          <w:p w14:paraId="6CA35954">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0.267</w:t>
            </w:r>
          </w:p>
        </w:tc>
        <w:tc>
          <w:tcPr>
            <w:tcW w:w="1843" w:type="dxa"/>
            <w:vAlign w:val="top"/>
          </w:tcPr>
          <w:p w14:paraId="1E706039">
            <w:pPr>
              <w:spacing w:before="87" w:line="218"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5.375</w:t>
            </w:r>
          </w:p>
        </w:tc>
        <w:tc>
          <w:tcPr>
            <w:tcW w:w="1989" w:type="dxa"/>
            <w:vAlign w:val="top"/>
          </w:tcPr>
          <w:p w14:paraId="5C8F816E">
            <w:pPr>
              <w:spacing w:before="87" w:line="218"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5.157</w:t>
            </w:r>
          </w:p>
        </w:tc>
      </w:tr>
      <w:tr w14:paraId="7CBAA6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0CBCE178">
            <w:pPr>
              <w:spacing w:before="89"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-33</w:t>
            </w:r>
          </w:p>
        </w:tc>
        <w:tc>
          <w:tcPr>
            <w:tcW w:w="1842" w:type="dxa"/>
            <w:vAlign w:val="top"/>
          </w:tcPr>
          <w:p w14:paraId="17E912FC">
            <w:pPr>
              <w:spacing w:before="89"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0.226</w:t>
            </w:r>
          </w:p>
        </w:tc>
        <w:tc>
          <w:tcPr>
            <w:tcW w:w="1840" w:type="dxa"/>
            <w:vAlign w:val="top"/>
          </w:tcPr>
          <w:p w14:paraId="6497DB4C">
            <w:pPr>
              <w:spacing w:before="89"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0.291</w:t>
            </w:r>
          </w:p>
        </w:tc>
        <w:tc>
          <w:tcPr>
            <w:tcW w:w="1843" w:type="dxa"/>
            <w:vAlign w:val="top"/>
          </w:tcPr>
          <w:p w14:paraId="4A07B649">
            <w:pPr>
              <w:spacing w:before="89" w:line="218"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5.712</w:t>
            </w:r>
          </w:p>
        </w:tc>
        <w:tc>
          <w:tcPr>
            <w:tcW w:w="1989" w:type="dxa"/>
            <w:vAlign w:val="top"/>
          </w:tcPr>
          <w:p w14:paraId="31DB4C0C">
            <w:pPr>
              <w:spacing w:before="89" w:line="218"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5.465</w:t>
            </w:r>
          </w:p>
        </w:tc>
      </w:tr>
      <w:tr w14:paraId="0A567B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CFD47AA">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-32</w:t>
            </w:r>
          </w:p>
        </w:tc>
        <w:tc>
          <w:tcPr>
            <w:tcW w:w="1842" w:type="dxa"/>
            <w:vAlign w:val="top"/>
          </w:tcPr>
          <w:p w14:paraId="0CEBF4C7">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0.247</w:t>
            </w:r>
          </w:p>
        </w:tc>
        <w:tc>
          <w:tcPr>
            <w:tcW w:w="1840" w:type="dxa"/>
            <w:vAlign w:val="top"/>
          </w:tcPr>
          <w:p w14:paraId="10FF7A32">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0.318</w:t>
            </w:r>
          </w:p>
        </w:tc>
        <w:tc>
          <w:tcPr>
            <w:tcW w:w="1843" w:type="dxa"/>
            <w:vAlign w:val="top"/>
          </w:tcPr>
          <w:p w14:paraId="6A282B57">
            <w:pPr>
              <w:spacing w:before="87" w:line="217"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6.081</w:t>
            </w:r>
          </w:p>
        </w:tc>
        <w:tc>
          <w:tcPr>
            <w:tcW w:w="1989" w:type="dxa"/>
            <w:vAlign w:val="top"/>
          </w:tcPr>
          <w:p w14:paraId="6C4700F7">
            <w:pPr>
              <w:spacing w:before="87" w:line="217"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5.801</w:t>
            </w:r>
          </w:p>
        </w:tc>
      </w:tr>
      <w:tr w14:paraId="00EBD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4FAB864">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-31</w:t>
            </w:r>
          </w:p>
        </w:tc>
        <w:tc>
          <w:tcPr>
            <w:tcW w:w="1842" w:type="dxa"/>
            <w:vAlign w:val="top"/>
          </w:tcPr>
          <w:p w14:paraId="483FEC29">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0.271</w:t>
            </w:r>
          </w:p>
        </w:tc>
        <w:tc>
          <w:tcPr>
            <w:tcW w:w="1840" w:type="dxa"/>
            <w:vAlign w:val="top"/>
          </w:tcPr>
          <w:p w14:paraId="1D49FB17">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0.348</w:t>
            </w:r>
          </w:p>
        </w:tc>
        <w:tc>
          <w:tcPr>
            <w:tcW w:w="1843" w:type="dxa"/>
            <w:vAlign w:val="top"/>
          </w:tcPr>
          <w:p w14:paraId="42D05F41">
            <w:pPr>
              <w:spacing w:before="88"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6.487</w:t>
            </w:r>
          </w:p>
        </w:tc>
        <w:tc>
          <w:tcPr>
            <w:tcW w:w="1989" w:type="dxa"/>
            <w:vAlign w:val="top"/>
          </w:tcPr>
          <w:p w14:paraId="60EEDA6B">
            <w:pPr>
              <w:spacing w:before="88"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6.169</w:t>
            </w:r>
          </w:p>
        </w:tc>
      </w:tr>
      <w:tr w14:paraId="5B0BA7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5EE139D">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w:t>
            </w:r>
          </w:p>
        </w:tc>
        <w:tc>
          <w:tcPr>
            <w:tcW w:w="1842" w:type="dxa"/>
            <w:vAlign w:val="top"/>
          </w:tcPr>
          <w:p w14:paraId="033F269E">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0.299</w:t>
            </w:r>
          </w:p>
        </w:tc>
        <w:tc>
          <w:tcPr>
            <w:tcW w:w="1840" w:type="dxa"/>
            <w:vAlign w:val="top"/>
          </w:tcPr>
          <w:p w14:paraId="3870F634">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0.383</w:t>
            </w:r>
          </w:p>
        </w:tc>
        <w:tc>
          <w:tcPr>
            <w:tcW w:w="1843" w:type="dxa"/>
            <w:vAlign w:val="top"/>
          </w:tcPr>
          <w:p w14:paraId="24127975">
            <w:pPr>
              <w:spacing w:before="88"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6.935</w:t>
            </w:r>
          </w:p>
        </w:tc>
        <w:tc>
          <w:tcPr>
            <w:tcW w:w="1989" w:type="dxa"/>
            <w:vAlign w:val="top"/>
          </w:tcPr>
          <w:p w14:paraId="396954A7">
            <w:pPr>
              <w:spacing w:before="88"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6.571</w:t>
            </w:r>
          </w:p>
        </w:tc>
      </w:tr>
      <w:tr w14:paraId="04075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EEAE0F6">
            <w:pPr>
              <w:spacing w:before="89"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-29</w:t>
            </w:r>
          </w:p>
        </w:tc>
        <w:tc>
          <w:tcPr>
            <w:tcW w:w="1842" w:type="dxa"/>
            <w:vAlign w:val="top"/>
          </w:tcPr>
          <w:p w14:paraId="6F85D59D">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0.331</w:t>
            </w:r>
          </w:p>
        </w:tc>
        <w:tc>
          <w:tcPr>
            <w:tcW w:w="1840" w:type="dxa"/>
            <w:vAlign w:val="top"/>
          </w:tcPr>
          <w:p w14:paraId="608F9DE6">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0.421</w:t>
            </w:r>
          </w:p>
        </w:tc>
        <w:tc>
          <w:tcPr>
            <w:tcW w:w="1843" w:type="dxa"/>
            <w:vAlign w:val="top"/>
          </w:tcPr>
          <w:p w14:paraId="025C69B6">
            <w:pPr>
              <w:spacing w:before="89"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7.431</w:t>
            </w:r>
          </w:p>
        </w:tc>
        <w:tc>
          <w:tcPr>
            <w:tcW w:w="1989" w:type="dxa"/>
            <w:vAlign w:val="top"/>
          </w:tcPr>
          <w:p w14:paraId="56546173">
            <w:pPr>
              <w:spacing w:before="89"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7.014</w:t>
            </w:r>
          </w:p>
        </w:tc>
      </w:tr>
      <w:tr w14:paraId="4DE451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71EED26">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-28</w:t>
            </w:r>
          </w:p>
        </w:tc>
        <w:tc>
          <w:tcPr>
            <w:tcW w:w="1842" w:type="dxa"/>
            <w:vAlign w:val="top"/>
          </w:tcPr>
          <w:p w14:paraId="7BA91390">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0.368</w:t>
            </w:r>
          </w:p>
        </w:tc>
        <w:tc>
          <w:tcPr>
            <w:tcW w:w="1840" w:type="dxa"/>
            <w:vAlign w:val="top"/>
          </w:tcPr>
          <w:p w14:paraId="00860D65">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0.465</w:t>
            </w:r>
          </w:p>
        </w:tc>
        <w:tc>
          <w:tcPr>
            <w:tcW w:w="1843" w:type="dxa"/>
            <w:vAlign w:val="top"/>
          </w:tcPr>
          <w:p w14:paraId="664254EB">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7.983</w:t>
            </w:r>
          </w:p>
        </w:tc>
        <w:tc>
          <w:tcPr>
            <w:tcW w:w="1989" w:type="dxa"/>
            <w:vAlign w:val="top"/>
          </w:tcPr>
          <w:p w14:paraId="302F1F41">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7.501</w:t>
            </w:r>
          </w:p>
        </w:tc>
      </w:tr>
      <w:tr w14:paraId="3DF174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61B417C7">
            <w:pPr>
              <w:spacing w:before="91"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-27</w:t>
            </w:r>
          </w:p>
        </w:tc>
        <w:tc>
          <w:tcPr>
            <w:tcW w:w="1842" w:type="dxa"/>
            <w:vAlign w:val="top"/>
          </w:tcPr>
          <w:p w14:paraId="3435C6F0">
            <w:pPr>
              <w:spacing w:before="91"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0.411</w:t>
            </w:r>
          </w:p>
        </w:tc>
        <w:tc>
          <w:tcPr>
            <w:tcW w:w="1840" w:type="dxa"/>
            <w:vAlign w:val="top"/>
          </w:tcPr>
          <w:p w14:paraId="1AF8EA17">
            <w:pPr>
              <w:spacing w:before="91"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0.515</w:t>
            </w:r>
          </w:p>
        </w:tc>
        <w:tc>
          <w:tcPr>
            <w:tcW w:w="1843" w:type="dxa"/>
            <w:vAlign w:val="top"/>
          </w:tcPr>
          <w:p w14:paraId="761BBBA8">
            <w:pPr>
              <w:spacing w:before="91" w:line="216"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8.598</w:t>
            </w:r>
          </w:p>
        </w:tc>
        <w:tc>
          <w:tcPr>
            <w:tcW w:w="1989" w:type="dxa"/>
            <w:vAlign w:val="top"/>
          </w:tcPr>
          <w:p w14:paraId="178E4656">
            <w:pPr>
              <w:spacing w:before="91" w:line="216" w:lineRule="auto"/>
              <w:ind w:left="76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8.039</w:t>
            </w:r>
          </w:p>
        </w:tc>
      </w:tr>
      <w:tr w14:paraId="1FF630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678C55B">
            <w:pPr>
              <w:spacing w:before="89"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-26</w:t>
            </w:r>
          </w:p>
        </w:tc>
        <w:tc>
          <w:tcPr>
            <w:tcW w:w="1842" w:type="dxa"/>
            <w:vAlign w:val="top"/>
          </w:tcPr>
          <w:p w14:paraId="629E9350">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0.461</w:t>
            </w:r>
          </w:p>
        </w:tc>
        <w:tc>
          <w:tcPr>
            <w:tcW w:w="1840" w:type="dxa"/>
            <w:vAlign w:val="top"/>
          </w:tcPr>
          <w:p w14:paraId="2A7E97C2">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0.572</w:t>
            </w:r>
          </w:p>
        </w:tc>
        <w:tc>
          <w:tcPr>
            <w:tcW w:w="1843" w:type="dxa"/>
            <w:vAlign w:val="top"/>
          </w:tcPr>
          <w:p w14:paraId="13E27785">
            <w:pPr>
              <w:spacing w:before="89" w:line="215"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9.286</w:t>
            </w:r>
          </w:p>
        </w:tc>
        <w:tc>
          <w:tcPr>
            <w:tcW w:w="1989" w:type="dxa"/>
            <w:vAlign w:val="top"/>
          </w:tcPr>
          <w:p w14:paraId="4033B4E5">
            <w:pPr>
              <w:spacing w:before="89" w:line="215" w:lineRule="auto"/>
              <w:ind w:left="76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8.635</w:t>
            </w:r>
          </w:p>
        </w:tc>
      </w:tr>
      <w:tr w14:paraId="6726D2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777102B">
            <w:pPr>
              <w:spacing w:before="90"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-25</w:t>
            </w:r>
          </w:p>
        </w:tc>
        <w:tc>
          <w:tcPr>
            <w:tcW w:w="1842" w:type="dxa"/>
            <w:vAlign w:val="top"/>
          </w:tcPr>
          <w:p w14:paraId="40D81B5C">
            <w:pPr>
              <w:spacing w:before="90"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0.519</w:t>
            </w:r>
          </w:p>
        </w:tc>
        <w:tc>
          <w:tcPr>
            <w:tcW w:w="1840" w:type="dxa"/>
            <w:vAlign w:val="top"/>
          </w:tcPr>
          <w:p w14:paraId="1EB9C625">
            <w:pPr>
              <w:spacing w:before="90"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0.637</w:t>
            </w:r>
          </w:p>
        </w:tc>
        <w:tc>
          <w:tcPr>
            <w:tcW w:w="1843" w:type="dxa"/>
            <w:vAlign w:val="top"/>
          </w:tcPr>
          <w:p w14:paraId="226CAB8B">
            <w:pPr>
              <w:spacing w:before="90" w:line="215"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10.061</w:t>
            </w:r>
          </w:p>
        </w:tc>
        <w:tc>
          <w:tcPr>
            <w:tcW w:w="1989" w:type="dxa"/>
            <w:vAlign w:val="top"/>
          </w:tcPr>
          <w:p w14:paraId="4C256C12">
            <w:pPr>
              <w:spacing w:before="90" w:line="215"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9.297</w:t>
            </w:r>
          </w:p>
        </w:tc>
      </w:tr>
      <w:tr w14:paraId="4774F1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3F1098A">
            <w:pPr>
              <w:spacing w:before="90" w:line="214"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-24</w:t>
            </w:r>
          </w:p>
        </w:tc>
        <w:tc>
          <w:tcPr>
            <w:tcW w:w="1842" w:type="dxa"/>
            <w:vAlign w:val="top"/>
          </w:tcPr>
          <w:p w14:paraId="55846608">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0.588</w:t>
            </w:r>
          </w:p>
        </w:tc>
        <w:tc>
          <w:tcPr>
            <w:tcW w:w="1840" w:type="dxa"/>
            <w:vAlign w:val="top"/>
          </w:tcPr>
          <w:p w14:paraId="1729293C">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0.712</w:t>
            </w:r>
          </w:p>
        </w:tc>
        <w:tc>
          <w:tcPr>
            <w:tcW w:w="1843" w:type="dxa"/>
            <w:vAlign w:val="top"/>
          </w:tcPr>
          <w:p w14:paraId="03B9809C">
            <w:pPr>
              <w:spacing w:before="90" w:line="214"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10.936</w:t>
            </w:r>
          </w:p>
        </w:tc>
        <w:tc>
          <w:tcPr>
            <w:tcW w:w="1989" w:type="dxa"/>
            <w:vAlign w:val="top"/>
          </w:tcPr>
          <w:p w14:paraId="50034ED2">
            <w:pPr>
              <w:spacing w:before="90" w:line="214"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10.034</w:t>
            </w:r>
          </w:p>
        </w:tc>
      </w:tr>
      <w:tr w14:paraId="67D55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48BA0FC">
            <w:pPr>
              <w:spacing w:before="90" w:line="214"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-23</w:t>
            </w:r>
          </w:p>
        </w:tc>
        <w:tc>
          <w:tcPr>
            <w:tcW w:w="1842" w:type="dxa"/>
            <w:vAlign w:val="top"/>
          </w:tcPr>
          <w:p w14:paraId="20119CA6">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0.669</w:t>
            </w:r>
          </w:p>
        </w:tc>
        <w:tc>
          <w:tcPr>
            <w:tcW w:w="1840" w:type="dxa"/>
            <w:vAlign w:val="top"/>
          </w:tcPr>
          <w:p w14:paraId="1A049447">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0.798</w:t>
            </w:r>
          </w:p>
        </w:tc>
        <w:tc>
          <w:tcPr>
            <w:tcW w:w="1843" w:type="dxa"/>
            <w:vAlign w:val="top"/>
          </w:tcPr>
          <w:p w14:paraId="21F02E75">
            <w:pPr>
              <w:spacing w:before="90" w:line="214" w:lineRule="auto"/>
              <w:ind w:left="659"/>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11.930</w:t>
            </w:r>
          </w:p>
        </w:tc>
        <w:tc>
          <w:tcPr>
            <w:tcW w:w="1989" w:type="dxa"/>
            <w:vAlign w:val="top"/>
          </w:tcPr>
          <w:p w14:paraId="57BF9E24">
            <w:pPr>
              <w:spacing w:before="90" w:line="214"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10.858</w:t>
            </w:r>
          </w:p>
        </w:tc>
      </w:tr>
      <w:tr w14:paraId="4D7403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D1F24CE">
            <w:pPr>
              <w:spacing w:before="91" w:line="213"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-22</w:t>
            </w:r>
          </w:p>
        </w:tc>
        <w:tc>
          <w:tcPr>
            <w:tcW w:w="1842" w:type="dxa"/>
            <w:vAlign w:val="top"/>
          </w:tcPr>
          <w:p w14:paraId="33B2786C">
            <w:pPr>
              <w:spacing w:before="91"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0.766</w:t>
            </w:r>
          </w:p>
        </w:tc>
        <w:tc>
          <w:tcPr>
            <w:tcW w:w="1840" w:type="dxa"/>
            <w:vAlign w:val="top"/>
          </w:tcPr>
          <w:p w14:paraId="604E00D8">
            <w:pPr>
              <w:spacing w:before="91"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0.897</w:t>
            </w:r>
          </w:p>
        </w:tc>
        <w:tc>
          <w:tcPr>
            <w:tcW w:w="1843" w:type="dxa"/>
            <w:vAlign w:val="top"/>
          </w:tcPr>
          <w:p w14:paraId="712A629A">
            <w:pPr>
              <w:spacing w:before="91" w:line="213"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13.065</w:t>
            </w:r>
          </w:p>
        </w:tc>
        <w:tc>
          <w:tcPr>
            <w:tcW w:w="1989" w:type="dxa"/>
            <w:vAlign w:val="top"/>
          </w:tcPr>
          <w:p w14:paraId="3DDF1A3C">
            <w:pPr>
              <w:spacing w:before="91" w:line="213" w:lineRule="auto"/>
              <w:ind w:left="732"/>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11.781</w:t>
            </w:r>
          </w:p>
        </w:tc>
      </w:tr>
      <w:tr w14:paraId="26259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607263FD">
            <w:pPr>
              <w:spacing w:before="94" w:line="213"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-21</w:t>
            </w:r>
          </w:p>
        </w:tc>
        <w:tc>
          <w:tcPr>
            <w:tcW w:w="1842" w:type="dxa"/>
            <w:vAlign w:val="top"/>
          </w:tcPr>
          <w:p w14:paraId="4E104A9C">
            <w:pPr>
              <w:spacing w:before="94"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0.882</w:t>
            </w:r>
          </w:p>
        </w:tc>
        <w:tc>
          <w:tcPr>
            <w:tcW w:w="1840" w:type="dxa"/>
            <w:vAlign w:val="top"/>
          </w:tcPr>
          <w:p w14:paraId="6FA277F1">
            <w:pPr>
              <w:spacing w:before="94" w:line="213"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1.012</w:t>
            </w:r>
          </w:p>
        </w:tc>
        <w:tc>
          <w:tcPr>
            <w:tcW w:w="1843" w:type="dxa"/>
            <w:vAlign w:val="top"/>
          </w:tcPr>
          <w:p w14:paraId="03EF1D81">
            <w:pPr>
              <w:spacing w:before="94" w:line="213"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14.367</w:t>
            </w:r>
          </w:p>
        </w:tc>
        <w:tc>
          <w:tcPr>
            <w:tcW w:w="1989" w:type="dxa"/>
            <w:vAlign w:val="top"/>
          </w:tcPr>
          <w:p w14:paraId="341EAB13">
            <w:pPr>
              <w:spacing w:before="94" w:line="213"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12.817</w:t>
            </w:r>
          </w:p>
        </w:tc>
      </w:tr>
      <w:tr w14:paraId="64392A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3C9C46D">
            <w:pPr>
              <w:spacing w:before="92" w:line="213"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-20</w:t>
            </w:r>
          </w:p>
        </w:tc>
        <w:tc>
          <w:tcPr>
            <w:tcW w:w="1842" w:type="dxa"/>
            <w:vAlign w:val="top"/>
          </w:tcPr>
          <w:p w14:paraId="3C573B3B">
            <w:pPr>
              <w:spacing w:before="92" w:line="213"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1.022</w:t>
            </w:r>
          </w:p>
        </w:tc>
        <w:tc>
          <w:tcPr>
            <w:tcW w:w="1840" w:type="dxa"/>
            <w:vAlign w:val="top"/>
          </w:tcPr>
          <w:p w14:paraId="0971C534">
            <w:pPr>
              <w:spacing w:before="92" w:line="213"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1.143</w:t>
            </w:r>
          </w:p>
        </w:tc>
        <w:tc>
          <w:tcPr>
            <w:tcW w:w="1843" w:type="dxa"/>
            <w:vAlign w:val="top"/>
          </w:tcPr>
          <w:p w14:paraId="2370CA71">
            <w:pPr>
              <w:spacing w:before="92" w:line="213"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15.872</w:t>
            </w:r>
          </w:p>
        </w:tc>
        <w:tc>
          <w:tcPr>
            <w:tcW w:w="1989" w:type="dxa"/>
            <w:vAlign w:val="top"/>
          </w:tcPr>
          <w:p w14:paraId="251AE272">
            <w:pPr>
              <w:spacing w:before="92" w:line="213"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13.985</w:t>
            </w:r>
          </w:p>
        </w:tc>
      </w:tr>
      <w:tr w14:paraId="39772F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CDB7AFE">
            <w:pPr>
              <w:spacing w:before="91" w:line="214"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-19</w:t>
            </w:r>
          </w:p>
        </w:tc>
        <w:tc>
          <w:tcPr>
            <w:tcW w:w="1842" w:type="dxa"/>
            <w:vAlign w:val="top"/>
          </w:tcPr>
          <w:p w14:paraId="5608339F">
            <w:pPr>
              <w:spacing w:before="91" w:line="214"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1.192</w:t>
            </w:r>
          </w:p>
        </w:tc>
        <w:tc>
          <w:tcPr>
            <w:tcW w:w="1840" w:type="dxa"/>
            <w:vAlign w:val="top"/>
          </w:tcPr>
          <w:p w14:paraId="715C96C8">
            <w:pPr>
              <w:spacing w:before="91" w:line="214"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1.295</w:t>
            </w:r>
          </w:p>
        </w:tc>
        <w:tc>
          <w:tcPr>
            <w:tcW w:w="1843" w:type="dxa"/>
            <w:vAlign w:val="top"/>
          </w:tcPr>
          <w:p w14:paraId="0FE2AC52">
            <w:pPr>
              <w:spacing w:before="91" w:line="214"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17.621</w:t>
            </w:r>
          </w:p>
        </w:tc>
        <w:tc>
          <w:tcPr>
            <w:tcW w:w="1989" w:type="dxa"/>
            <w:vAlign w:val="top"/>
          </w:tcPr>
          <w:p w14:paraId="3785D0FA">
            <w:pPr>
              <w:spacing w:before="91" w:line="214"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15.303</w:t>
            </w:r>
          </w:p>
        </w:tc>
      </w:tr>
      <w:tr w14:paraId="416BB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Align w:val="top"/>
          </w:tcPr>
          <w:p w14:paraId="6D6D9E6A">
            <w:pPr>
              <w:spacing w:before="91"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w:t>
            </w:r>
          </w:p>
        </w:tc>
        <w:tc>
          <w:tcPr>
            <w:tcW w:w="1842" w:type="dxa"/>
            <w:vAlign w:val="top"/>
          </w:tcPr>
          <w:p w14:paraId="51266231">
            <w:pPr>
              <w:spacing w:before="91" w:line="218"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1.399</w:t>
            </w:r>
          </w:p>
        </w:tc>
        <w:tc>
          <w:tcPr>
            <w:tcW w:w="1840" w:type="dxa"/>
            <w:vAlign w:val="top"/>
          </w:tcPr>
          <w:p w14:paraId="46D66C24">
            <w:pPr>
              <w:spacing w:before="91" w:line="218"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1.470</w:t>
            </w:r>
          </w:p>
        </w:tc>
        <w:tc>
          <w:tcPr>
            <w:tcW w:w="1843" w:type="dxa"/>
            <w:vAlign w:val="top"/>
          </w:tcPr>
          <w:p w14:paraId="784803D8">
            <w:pPr>
              <w:spacing w:before="91" w:line="218"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19.667</w:t>
            </w:r>
          </w:p>
        </w:tc>
        <w:tc>
          <w:tcPr>
            <w:tcW w:w="1989" w:type="dxa"/>
            <w:vAlign w:val="top"/>
          </w:tcPr>
          <w:p w14:paraId="666F3ADF">
            <w:pPr>
              <w:spacing w:before="91" w:line="218"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16.793</w:t>
            </w:r>
          </w:p>
        </w:tc>
      </w:tr>
    </w:tbl>
    <w:p w14:paraId="0F33809B">
      <w:pPr>
        <w:rPr>
          <w:rFonts w:ascii="Arial"/>
          <w:sz w:val="21"/>
        </w:rPr>
      </w:pPr>
    </w:p>
    <w:p w14:paraId="5C7C1E71">
      <w:pPr>
        <w:rPr>
          <w:rFonts w:ascii="Arial" w:hAnsi="Arial" w:eastAsia="Arial" w:cs="Arial"/>
          <w:sz w:val="21"/>
          <w:szCs w:val="21"/>
        </w:rPr>
        <w:sectPr>
          <w:footerReference r:id="rId104" w:type="default"/>
          <w:pgSz w:w="11907" w:h="16841"/>
          <w:pgMar w:top="400" w:right="1411" w:bottom="1126" w:left="1416" w:header="0" w:footer="925" w:gutter="0"/>
          <w:cols w:space="720" w:num="1"/>
        </w:sectPr>
      </w:pPr>
    </w:p>
    <w:p w14:paraId="6FFD9316">
      <w:pPr>
        <w:spacing w:before="2"/>
      </w:pPr>
    </w:p>
    <w:p w14:paraId="6756AC0D">
      <w:pPr>
        <w:spacing w:before="2"/>
      </w:pPr>
    </w:p>
    <w:p w14:paraId="5E54EDCD">
      <w:pPr>
        <w:spacing w:before="1"/>
      </w:pPr>
    </w:p>
    <w:p w14:paraId="3A1A5DC2">
      <w:pPr>
        <w:spacing w:before="1"/>
      </w:pPr>
    </w:p>
    <w:p w14:paraId="4A6DEDE8">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5C704D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559" w:type="dxa"/>
            <w:vAlign w:val="top"/>
          </w:tcPr>
          <w:p w14:paraId="441FCACD">
            <w:pPr>
              <w:spacing w:before="93"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w:t>
            </w:r>
          </w:p>
        </w:tc>
        <w:tc>
          <w:tcPr>
            <w:tcW w:w="1842" w:type="dxa"/>
            <w:vAlign w:val="top"/>
          </w:tcPr>
          <w:p w14:paraId="00DCF7BF">
            <w:pPr>
              <w:spacing w:before="93"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1.652</w:t>
            </w:r>
          </w:p>
        </w:tc>
        <w:tc>
          <w:tcPr>
            <w:tcW w:w="1840" w:type="dxa"/>
            <w:vAlign w:val="top"/>
          </w:tcPr>
          <w:p w14:paraId="4BC1DE15">
            <w:pPr>
              <w:spacing w:before="93"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1.669</w:t>
            </w:r>
          </w:p>
        </w:tc>
        <w:tc>
          <w:tcPr>
            <w:tcW w:w="1843" w:type="dxa"/>
            <w:vAlign w:val="top"/>
          </w:tcPr>
          <w:p w14:paraId="7DB561A7">
            <w:pPr>
              <w:spacing w:before="93" w:line="217"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22.079</w:t>
            </w:r>
          </w:p>
        </w:tc>
        <w:tc>
          <w:tcPr>
            <w:tcW w:w="1989" w:type="dxa"/>
            <w:vAlign w:val="top"/>
          </w:tcPr>
          <w:p w14:paraId="69850C11">
            <w:pPr>
              <w:spacing w:before="93" w:line="217"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18.479</w:t>
            </w:r>
          </w:p>
        </w:tc>
      </w:tr>
      <w:tr w14:paraId="22A69D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635AE880">
            <w:pPr>
              <w:spacing w:before="88"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w:t>
            </w:r>
          </w:p>
        </w:tc>
        <w:tc>
          <w:tcPr>
            <w:tcW w:w="1842" w:type="dxa"/>
            <w:vAlign w:val="top"/>
          </w:tcPr>
          <w:p w14:paraId="0F0881F5">
            <w:pPr>
              <w:spacing w:before="88" w:line="219"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1.963</w:t>
            </w:r>
          </w:p>
        </w:tc>
        <w:tc>
          <w:tcPr>
            <w:tcW w:w="1840" w:type="dxa"/>
            <w:vAlign w:val="top"/>
          </w:tcPr>
          <w:p w14:paraId="3879AAD6">
            <w:pPr>
              <w:spacing w:before="88" w:line="219"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1.895</w:t>
            </w:r>
          </w:p>
        </w:tc>
        <w:tc>
          <w:tcPr>
            <w:tcW w:w="1843" w:type="dxa"/>
            <w:vAlign w:val="top"/>
          </w:tcPr>
          <w:p w14:paraId="2B08132A">
            <w:pPr>
              <w:spacing w:before="88" w:line="219"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24.939</w:t>
            </w:r>
          </w:p>
        </w:tc>
        <w:tc>
          <w:tcPr>
            <w:tcW w:w="1989" w:type="dxa"/>
            <w:vAlign w:val="top"/>
          </w:tcPr>
          <w:p w14:paraId="7238C1D3">
            <w:pPr>
              <w:spacing w:before="88" w:line="219"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20.384</w:t>
            </w:r>
          </w:p>
        </w:tc>
      </w:tr>
      <w:tr w14:paraId="781E09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1237C23">
            <w:pPr>
              <w:spacing w:before="85"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w:t>
            </w:r>
          </w:p>
        </w:tc>
        <w:tc>
          <w:tcPr>
            <w:tcW w:w="1842" w:type="dxa"/>
            <w:vAlign w:val="top"/>
          </w:tcPr>
          <w:p w14:paraId="1E5CA676">
            <w:pPr>
              <w:spacing w:before="85" w:line="219"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2.345</w:t>
            </w:r>
          </w:p>
        </w:tc>
        <w:tc>
          <w:tcPr>
            <w:tcW w:w="1840" w:type="dxa"/>
            <w:vAlign w:val="top"/>
          </w:tcPr>
          <w:p w14:paraId="59C12170">
            <w:pPr>
              <w:spacing w:before="85" w:line="219"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2.149</w:t>
            </w:r>
          </w:p>
        </w:tc>
        <w:tc>
          <w:tcPr>
            <w:tcW w:w="1843" w:type="dxa"/>
            <w:vAlign w:val="top"/>
          </w:tcPr>
          <w:p w14:paraId="34580D37">
            <w:pPr>
              <w:spacing w:before="85" w:line="219"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28.353</w:t>
            </w:r>
          </w:p>
        </w:tc>
        <w:tc>
          <w:tcPr>
            <w:tcW w:w="1989" w:type="dxa"/>
            <w:vAlign w:val="top"/>
          </w:tcPr>
          <w:p w14:paraId="429C7D5B">
            <w:pPr>
              <w:spacing w:before="85" w:line="219"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22.533</w:t>
            </w:r>
          </w:p>
        </w:tc>
      </w:tr>
      <w:tr w14:paraId="251710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CC426E1">
            <w:pPr>
              <w:spacing w:before="86"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w:t>
            </w:r>
          </w:p>
        </w:tc>
        <w:tc>
          <w:tcPr>
            <w:tcW w:w="1842" w:type="dxa"/>
            <w:vAlign w:val="top"/>
          </w:tcPr>
          <w:p w14:paraId="3298445A">
            <w:pPr>
              <w:spacing w:before="86" w:line="219"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2.813</w:t>
            </w:r>
          </w:p>
        </w:tc>
        <w:tc>
          <w:tcPr>
            <w:tcW w:w="1840" w:type="dxa"/>
            <w:vAlign w:val="top"/>
          </w:tcPr>
          <w:p w14:paraId="3B24C848">
            <w:pPr>
              <w:spacing w:before="86" w:line="219"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2.428</w:t>
            </w:r>
          </w:p>
        </w:tc>
        <w:tc>
          <w:tcPr>
            <w:tcW w:w="1843" w:type="dxa"/>
            <w:vAlign w:val="top"/>
          </w:tcPr>
          <w:p w14:paraId="26821781">
            <w:pPr>
              <w:spacing w:before="86" w:line="219" w:lineRule="auto"/>
              <w:ind w:left="63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32.448</w:t>
            </w:r>
          </w:p>
        </w:tc>
        <w:tc>
          <w:tcPr>
            <w:tcW w:w="1989" w:type="dxa"/>
            <w:vAlign w:val="top"/>
          </w:tcPr>
          <w:p w14:paraId="4815C5EE">
            <w:pPr>
              <w:spacing w:before="86" w:line="219"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24.943</w:t>
            </w:r>
          </w:p>
        </w:tc>
      </w:tr>
      <w:tr w14:paraId="2CF0A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279B05C">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w:t>
            </w:r>
          </w:p>
        </w:tc>
        <w:tc>
          <w:tcPr>
            <w:tcW w:w="1842" w:type="dxa"/>
            <w:vAlign w:val="top"/>
          </w:tcPr>
          <w:p w14:paraId="5A5497B4">
            <w:pPr>
              <w:spacing w:before="86" w:line="218"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3.380</w:t>
            </w:r>
          </w:p>
        </w:tc>
        <w:tc>
          <w:tcPr>
            <w:tcW w:w="1840" w:type="dxa"/>
            <w:vAlign w:val="top"/>
          </w:tcPr>
          <w:p w14:paraId="2A0E9FFA">
            <w:pPr>
              <w:spacing w:before="86" w:line="218"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2.726</w:t>
            </w:r>
          </w:p>
        </w:tc>
        <w:tc>
          <w:tcPr>
            <w:tcW w:w="1843" w:type="dxa"/>
            <w:vAlign w:val="top"/>
          </w:tcPr>
          <w:p w14:paraId="28306F18">
            <w:pPr>
              <w:spacing w:before="86" w:line="218" w:lineRule="auto"/>
              <w:ind w:left="63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37.367</w:t>
            </w:r>
          </w:p>
        </w:tc>
        <w:tc>
          <w:tcPr>
            <w:tcW w:w="1989" w:type="dxa"/>
            <w:vAlign w:val="top"/>
          </w:tcPr>
          <w:p w14:paraId="19A7E49F">
            <w:pPr>
              <w:spacing w:before="86" w:line="218"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27.621</w:t>
            </w:r>
          </w:p>
        </w:tc>
      </w:tr>
      <w:tr w14:paraId="595789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2345914">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w:t>
            </w:r>
          </w:p>
        </w:tc>
        <w:tc>
          <w:tcPr>
            <w:tcW w:w="1842" w:type="dxa"/>
            <w:vAlign w:val="top"/>
          </w:tcPr>
          <w:p w14:paraId="30360098">
            <w:pPr>
              <w:spacing w:before="86" w:line="218"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4.055</w:t>
            </w:r>
          </w:p>
        </w:tc>
        <w:tc>
          <w:tcPr>
            <w:tcW w:w="1840" w:type="dxa"/>
            <w:vAlign w:val="top"/>
          </w:tcPr>
          <w:p w14:paraId="28DA1275">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3.031</w:t>
            </w:r>
          </w:p>
        </w:tc>
        <w:tc>
          <w:tcPr>
            <w:tcW w:w="1843" w:type="dxa"/>
            <w:vAlign w:val="top"/>
          </w:tcPr>
          <w:p w14:paraId="5C7AB288">
            <w:pPr>
              <w:spacing w:before="86" w:line="218" w:lineRule="auto"/>
              <w:ind w:left="6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43.258</w:t>
            </w:r>
          </w:p>
        </w:tc>
        <w:tc>
          <w:tcPr>
            <w:tcW w:w="1989" w:type="dxa"/>
            <w:vAlign w:val="top"/>
          </w:tcPr>
          <w:p w14:paraId="2E7DE91A">
            <w:pPr>
              <w:spacing w:before="86" w:line="218"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30.552</w:t>
            </w:r>
          </w:p>
        </w:tc>
      </w:tr>
      <w:tr w14:paraId="7A2323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4621C95">
            <w:pPr>
              <w:spacing w:before="87" w:line="217" w:lineRule="auto"/>
              <w:ind w:left="649"/>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w:t>
            </w:r>
          </w:p>
        </w:tc>
        <w:tc>
          <w:tcPr>
            <w:tcW w:w="1842" w:type="dxa"/>
            <w:vAlign w:val="top"/>
          </w:tcPr>
          <w:p w14:paraId="6A1074F3">
            <w:pPr>
              <w:spacing w:before="87" w:line="217"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4.827</w:t>
            </w:r>
          </w:p>
        </w:tc>
        <w:tc>
          <w:tcPr>
            <w:tcW w:w="1840" w:type="dxa"/>
            <w:vAlign w:val="top"/>
          </w:tcPr>
          <w:p w14:paraId="2CDD6822">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3.325</w:t>
            </w:r>
          </w:p>
        </w:tc>
        <w:tc>
          <w:tcPr>
            <w:tcW w:w="1843" w:type="dxa"/>
            <w:vAlign w:val="top"/>
          </w:tcPr>
          <w:p w14:paraId="27B788AF">
            <w:pPr>
              <w:spacing w:before="87" w:line="217" w:lineRule="auto"/>
              <w:ind w:left="64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50.216</w:t>
            </w:r>
          </w:p>
        </w:tc>
        <w:tc>
          <w:tcPr>
            <w:tcW w:w="1989" w:type="dxa"/>
            <w:vAlign w:val="top"/>
          </w:tcPr>
          <w:p w14:paraId="5BE0B3CC">
            <w:pPr>
              <w:spacing w:before="87" w:line="217"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33.692</w:t>
            </w:r>
          </w:p>
        </w:tc>
      </w:tr>
      <w:tr w14:paraId="07A8E9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76E2033C">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w:t>
            </w:r>
          </w:p>
        </w:tc>
        <w:tc>
          <w:tcPr>
            <w:tcW w:w="1842" w:type="dxa"/>
            <w:vAlign w:val="top"/>
          </w:tcPr>
          <w:p w14:paraId="0FCCFCBD">
            <w:pPr>
              <w:spacing w:before="90"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5.653</w:t>
            </w:r>
          </w:p>
        </w:tc>
        <w:tc>
          <w:tcPr>
            <w:tcW w:w="1840" w:type="dxa"/>
            <w:vAlign w:val="top"/>
          </w:tcPr>
          <w:p w14:paraId="496BFE0E">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3.581</w:t>
            </w:r>
          </w:p>
        </w:tc>
        <w:tc>
          <w:tcPr>
            <w:tcW w:w="1843" w:type="dxa"/>
            <w:vAlign w:val="top"/>
          </w:tcPr>
          <w:p w14:paraId="590D555A">
            <w:pPr>
              <w:spacing w:before="90" w:line="217" w:lineRule="auto"/>
              <w:ind w:left="64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58.185</w:t>
            </w:r>
          </w:p>
        </w:tc>
        <w:tc>
          <w:tcPr>
            <w:tcW w:w="1989" w:type="dxa"/>
            <w:vAlign w:val="top"/>
          </w:tcPr>
          <w:p w14:paraId="1BC2BCE4">
            <w:pPr>
              <w:spacing w:before="90" w:line="217"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36.952</w:t>
            </w:r>
          </w:p>
        </w:tc>
      </w:tr>
      <w:tr w14:paraId="633B71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91E820F">
            <w:pPr>
              <w:spacing w:before="87"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-9</w:t>
            </w:r>
          </w:p>
        </w:tc>
        <w:tc>
          <w:tcPr>
            <w:tcW w:w="1842" w:type="dxa"/>
            <w:vAlign w:val="top"/>
          </w:tcPr>
          <w:p w14:paraId="711E381A">
            <w:pPr>
              <w:spacing w:before="87"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6.431</w:t>
            </w:r>
          </w:p>
        </w:tc>
        <w:tc>
          <w:tcPr>
            <w:tcW w:w="1840" w:type="dxa"/>
            <w:vAlign w:val="top"/>
          </w:tcPr>
          <w:p w14:paraId="78775523">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3.765</w:t>
            </w:r>
          </w:p>
        </w:tc>
        <w:tc>
          <w:tcPr>
            <w:tcW w:w="1843" w:type="dxa"/>
            <w:vAlign w:val="top"/>
          </w:tcPr>
          <w:p w14:paraId="53B9C123">
            <w:pPr>
              <w:spacing w:before="87" w:line="217" w:lineRule="auto"/>
              <w:ind w:left="63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66.785</w:t>
            </w:r>
          </w:p>
        </w:tc>
        <w:tc>
          <w:tcPr>
            <w:tcW w:w="1989" w:type="dxa"/>
            <w:vAlign w:val="top"/>
          </w:tcPr>
          <w:p w14:paraId="4EECD360">
            <w:pPr>
              <w:spacing w:before="87" w:line="217" w:lineRule="auto"/>
              <w:ind w:left="7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40.199</w:t>
            </w:r>
          </w:p>
        </w:tc>
      </w:tr>
      <w:tr w14:paraId="4FC728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D0B3AA4">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-8</w:t>
            </w:r>
          </w:p>
        </w:tc>
        <w:tc>
          <w:tcPr>
            <w:tcW w:w="1842" w:type="dxa"/>
            <w:vAlign w:val="top"/>
          </w:tcPr>
          <w:p w14:paraId="34E27B40">
            <w:pPr>
              <w:spacing w:before="88"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6.995</w:t>
            </w:r>
          </w:p>
        </w:tc>
        <w:tc>
          <w:tcPr>
            <w:tcW w:w="1840" w:type="dxa"/>
            <w:vAlign w:val="top"/>
          </w:tcPr>
          <w:p w14:paraId="17C604E3">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3.841</w:t>
            </w:r>
          </w:p>
        </w:tc>
        <w:tc>
          <w:tcPr>
            <w:tcW w:w="1843" w:type="dxa"/>
            <w:vAlign w:val="top"/>
          </w:tcPr>
          <w:p w14:paraId="6EA3DBF3">
            <w:pPr>
              <w:spacing w:before="88" w:line="217" w:lineRule="auto"/>
              <w:ind w:left="6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75.145</w:t>
            </w:r>
          </w:p>
        </w:tc>
        <w:tc>
          <w:tcPr>
            <w:tcW w:w="1989" w:type="dxa"/>
            <w:vAlign w:val="top"/>
          </w:tcPr>
          <w:p w14:paraId="44F9D21F">
            <w:pPr>
              <w:spacing w:before="88" w:line="217" w:lineRule="auto"/>
              <w:ind w:left="7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43.263</w:t>
            </w:r>
          </w:p>
        </w:tc>
      </w:tr>
      <w:tr w14:paraId="1E806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8D82D64">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-7</w:t>
            </w:r>
          </w:p>
        </w:tc>
        <w:tc>
          <w:tcPr>
            <w:tcW w:w="1842" w:type="dxa"/>
            <w:vAlign w:val="top"/>
          </w:tcPr>
          <w:p w14:paraId="0F19B07E">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7.157</w:t>
            </w:r>
          </w:p>
        </w:tc>
        <w:tc>
          <w:tcPr>
            <w:tcW w:w="1840" w:type="dxa"/>
            <w:vAlign w:val="top"/>
          </w:tcPr>
          <w:p w14:paraId="0864661F">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3.782</w:t>
            </w:r>
          </w:p>
        </w:tc>
        <w:tc>
          <w:tcPr>
            <w:tcW w:w="1843" w:type="dxa"/>
            <w:vAlign w:val="top"/>
          </w:tcPr>
          <w:p w14:paraId="0C38B51D">
            <w:pPr>
              <w:spacing w:before="88" w:line="217"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82.010</w:t>
            </w:r>
          </w:p>
        </w:tc>
        <w:tc>
          <w:tcPr>
            <w:tcW w:w="1989" w:type="dxa"/>
            <w:vAlign w:val="top"/>
          </w:tcPr>
          <w:p w14:paraId="7F6ADB49">
            <w:pPr>
              <w:spacing w:before="88" w:line="217" w:lineRule="auto"/>
              <w:ind w:left="7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45.972</w:t>
            </w:r>
          </w:p>
        </w:tc>
      </w:tr>
      <w:tr w14:paraId="245A9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ABB2DEF">
            <w:pPr>
              <w:spacing w:before="87" w:line="218"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-6</w:t>
            </w:r>
          </w:p>
        </w:tc>
        <w:tc>
          <w:tcPr>
            <w:tcW w:w="1842" w:type="dxa"/>
            <w:vAlign w:val="top"/>
          </w:tcPr>
          <w:p w14:paraId="0DA8DABD">
            <w:pPr>
              <w:spacing w:before="87" w:line="218"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6.812</w:t>
            </w:r>
          </w:p>
        </w:tc>
        <w:tc>
          <w:tcPr>
            <w:tcW w:w="1840" w:type="dxa"/>
            <w:vAlign w:val="top"/>
          </w:tcPr>
          <w:p w14:paraId="5000B620">
            <w:pPr>
              <w:spacing w:before="87"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3.576</w:t>
            </w:r>
          </w:p>
        </w:tc>
        <w:tc>
          <w:tcPr>
            <w:tcW w:w="1843" w:type="dxa"/>
            <w:vAlign w:val="top"/>
          </w:tcPr>
          <w:p w14:paraId="7F502111">
            <w:pPr>
              <w:spacing w:before="87" w:line="218"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86.327</w:t>
            </w:r>
          </w:p>
        </w:tc>
        <w:tc>
          <w:tcPr>
            <w:tcW w:w="1989" w:type="dxa"/>
            <w:vAlign w:val="top"/>
          </w:tcPr>
          <w:p w14:paraId="3B0F6053">
            <w:pPr>
              <w:spacing w:before="87" w:line="218" w:lineRule="auto"/>
              <w:ind w:left="7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48.188</w:t>
            </w:r>
          </w:p>
        </w:tc>
      </w:tr>
      <w:tr w14:paraId="2713E1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1E7622A">
            <w:pPr>
              <w:spacing w:before="87"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-5</w:t>
            </w:r>
          </w:p>
        </w:tc>
        <w:tc>
          <w:tcPr>
            <w:tcW w:w="1842" w:type="dxa"/>
            <w:vAlign w:val="top"/>
          </w:tcPr>
          <w:p w14:paraId="54ECA3B5">
            <w:pPr>
              <w:spacing w:before="87"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6.014</w:t>
            </w:r>
          </w:p>
        </w:tc>
        <w:tc>
          <w:tcPr>
            <w:tcW w:w="1840" w:type="dxa"/>
            <w:vAlign w:val="top"/>
          </w:tcPr>
          <w:p w14:paraId="3C6F3271">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3.232</w:t>
            </w:r>
          </w:p>
        </w:tc>
        <w:tc>
          <w:tcPr>
            <w:tcW w:w="1843" w:type="dxa"/>
            <w:vAlign w:val="top"/>
          </w:tcPr>
          <w:p w14:paraId="1353A04E">
            <w:pPr>
              <w:spacing w:before="87" w:line="217"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87.924</w:t>
            </w:r>
          </w:p>
        </w:tc>
        <w:tc>
          <w:tcPr>
            <w:tcW w:w="1989" w:type="dxa"/>
            <w:vAlign w:val="top"/>
          </w:tcPr>
          <w:p w14:paraId="6B9A95BA">
            <w:pPr>
              <w:spacing w:before="87" w:line="217" w:lineRule="auto"/>
              <w:ind w:left="7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49.853</w:t>
            </w:r>
          </w:p>
        </w:tc>
      </w:tr>
      <w:tr w14:paraId="03A4D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04EA7E22">
            <w:pPr>
              <w:spacing w:before="90"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-4</w:t>
            </w:r>
          </w:p>
        </w:tc>
        <w:tc>
          <w:tcPr>
            <w:tcW w:w="1842" w:type="dxa"/>
            <w:vAlign w:val="top"/>
          </w:tcPr>
          <w:p w14:paraId="093BD8A7">
            <w:pPr>
              <w:spacing w:before="90" w:line="217"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4.941</w:t>
            </w:r>
          </w:p>
        </w:tc>
        <w:tc>
          <w:tcPr>
            <w:tcW w:w="1840" w:type="dxa"/>
            <w:vAlign w:val="top"/>
          </w:tcPr>
          <w:p w14:paraId="59D57B63">
            <w:pPr>
              <w:spacing w:before="90"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2.779</w:t>
            </w:r>
          </w:p>
        </w:tc>
        <w:tc>
          <w:tcPr>
            <w:tcW w:w="1843" w:type="dxa"/>
            <w:vAlign w:val="top"/>
          </w:tcPr>
          <w:p w14:paraId="275FEE12">
            <w:pPr>
              <w:spacing w:before="90" w:line="217"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87.537</w:t>
            </w:r>
          </w:p>
        </w:tc>
        <w:tc>
          <w:tcPr>
            <w:tcW w:w="1989" w:type="dxa"/>
            <w:vAlign w:val="top"/>
          </w:tcPr>
          <w:p w14:paraId="706650C3">
            <w:pPr>
              <w:spacing w:before="90" w:line="217" w:lineRule="auto"/>
              <w:ind w:left="71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50.990</w:t>
            </w:r>
          </w:p>
        </w:tc>
      </w:tr>
      <w:tr w14:paraId="434F0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A834857">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-3</w:t>
            </w:r>
          </w:p>
        </w:tc>
        <w:tc>
          <w:tcPr>
            <w:tcW w:w="1842" w:type="dxa"/>
            <w:vAlign w:val="top"/>
          </w:tcPr>
          <w:p w14:paraId="2283BA25">
            <w:pPr>
              <w:spacing w:before="88"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3.790</w:t>
            </w:r>
          </w:p>
        </w:tc>
        <w:tc>
          <w:tcPr>
            <w:tcW w:w="1840" w:type="dxa"/>
            <w:vAlign w:val="top"/>
          </w:tcPr>
          <w:p w14:paraId="05D7AC81">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2.267</w:t>
            </w:r>
          </w:p>
        </w:tc>
        <w:tc>
          <w:tcPr>
            <w:tcW w:w="1843" w:type="dxa"/>
            <w:vAlign w:val="top"/>
          </w:tcPr>
          <w:p w14:paraId="2D1949C6">
            <w:pPr>
              <w:spacing w:before="88" w:line="217"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86.216</w:t>
            </w:r>
          </w:p>
        </w:tc>
        <w:tc>
          <w:tcPr>
            <w:tcW w:w="1989" w:type="dxa"/>
            <w:vAlign w:val="top"/>
          </w:tcPr>
          <w:p w14:paraId="3143A0D7">
            <w:pPr>
              <w:spacing w:before="88" w:line="217" w:lineRule="auto"/>
              <w:ind w:left="71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51.690</w:t>
            </w:r>
          </w:p>
        </w:tc>
      </w:tr>
      <w:tr w14:paraId="0A233A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855ED13">
            <w:pPr>
              <w:spacing w:before="88" w:line="216"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-2</w:t>
            </w:r>
          </w:p>
        </w:tc>
        <w:tc>
          <w:tcPr>
            <w:tcW w:w="1842" w:type="dxa"/>
            <w:vAlign w:val="top"/>
          </w:tcPr>
          <w:p w14:paraId="4AA8B0E1">
            <w:pPr>
              <w:spacing w:before="88" w:line="216"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2.726</w:t>
            </w:r>
          </w:p>
        </w:tc>
        <w:tc>
          <w:tcPr>
            <w:tcW w:w="1840" w:type="dxa"/>
            <w:vAlign w:val="top"/>
          </w:tcPr>
          <w:p w14:paraId="5D195FDE">
            <w:pPr>
              <w:spacing w:before="88" w:line="216"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1.765</w:t>
            </w:r>
          </w:p>
        </w:tc>
        <w:tc>
          <w:tcPr>
            <w:tcW w:w="1843" w:type="dxa"/>
            <w:vAlign w:val="top"/>
          </w:tcPr>
          <w:p w14:paraId="2409C485">
            <w:pPr>
              <w:spacing w:before="88" w:line="216"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84.825</w:t>
            </w:r>
          </w:p>
        </w:tc>
        <w:tc>
          <w:tcPr>
            <w:tcW w:w="1989" w:type="dxa"/>
            <w:vAlign w:val="top"/>
          </w:tcPr>
          <w:p w14:paraId="6CFA04CC">
            <w:pPr>
              <w:spacing w:before="88" w:line="216" w:lineRule="auto"/>
              <w:ind w:left="71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52.065</w:t>
            </w:r>
          </w:p>
        </w:tc>
      </w:tr>
      <w:tr w14:paraId="3C6784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0E839A7">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w:t>
            </w:r>
          </w:p>
        </w:tc>
        <w:tc>
          <w:tcPr>
            <w:tcW w:w="1842" w:type="dxa"/>
            <w:vAlign w:val="top"/>
          </w:tcPr>
          <w:p w14:paraId="7FB2D6B8">
            <w:pPr>
              <w:spacing w:before="88"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1.946</w:t>
            </w:r>
          </w:p>
        </w:tc>
        <w:tc>
          <w:tcPr>
            <w:tcW w:w="1840" w:type="dxa"/>
            <w:vAlign w:val="top"/>
          </w:tcPr>
          <w:p w14:paraId="47BBE518">
            <w:pPr>
              <w:spacing w:before="88"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1.391</w:t>
            </w:r>
          </w:p>
        </w:tc>
        <w:tc>
          <w:tcPr>
            <w:tcW w:w="1843" w:type="dxa"/>
            <w:vAlign w:val="top"/>
          </w:tcPr>
          <w:p w14:paraId="4BDAAA7F">
            <w:pPr>
              <w:spacing w:before="88" w:line="217"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83.900</w:t>
            </w:r>
          </w:p>
        </w:tc>
        <w:tc>
          <w:tcPr>
            <w:tcW w:w="1989" w:type="dxa"/>
            <w:vAlign w:val="top"/>
          </w:tcPr>
          <w:p w14:paraId="549FF25F">
            <w:pPr>
              <w:spacing w:before="88" w:line="217" w:lineRule="auto"/>
              <w:ind w:left="71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52.214</w:t>
            </w:r>
          </w:p>
        </w:tc>
      </w:tr>
      <w:tr w14:paraId="71420D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A856793">
            <w:pPr>
              <w:spacing w:before="88" w:line="216"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842" w:type="dxa"/>
            <w:vAlign w:val="top"/>
          </w:tcPr>
          <w:p w14:paraId="45369B47">
            <w:pPr>
              <w:spacing w:before="88" w:line="216"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1.802</w:t>
            </w:r>
          </w:p>
        </w:tc>
        <w:tc>
          <w:tcPr>
            <w:tcW w:w="1840" w:type="dxa"/>
            <w:vAlign w:val="top"/>
          </w:tcPr>
          <w:p w14:paraId="5B35EAFB">
            <w:pPr>
              <w:spacing w:before="88" w:line="216"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1.320</w:t>
            </w:r>
          </w:p>
        </w:tc>
        <w:tc>
          <w:tcPr>
            <w:tcW w:w="1843" w:type="dxa"/>
            <w:vAlign w:val="top"/>
          </w:tcPr>
          <w:p w14:paraId="56378F50">
            <w:pPr>
              <w:spacing w:before="88" w:line="216"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83.695</w:t>
            </w:r>
          </w:p>
        </w:tc>
        <w:tc>
          <w:tcPr>
            <w:tcW w:w="1989" w:type="dxa"/>
            <w:vAlign w:val="top"/>
          </w:tcPr>
          <w:p w14:paraId="700AC727">
            <w:pPr>
              <w:spacing w:before="88" w:line="216" w:lineRule="auto"/>
              <w:ind w:left="71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52.200</w:t>
            </w:r>
          </w:p>
        </w:tc>
      </w:tr>
      <w:tr w14:paraId="158AD4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A9848AD">
            <w:pPr>
              <w:spacing w:before="88" w:line="217" w:lineRule="auto"/>
              <w:ind w:left="749"/>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842" w:type="dxa"/>
            <w:vAlign w:val="top"/>
          </w:tcPr>
          <w:p w14:paraId="0A3C9F1C">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2.399</w:t>
            </w:r>
          </w:p>
        </w:tc>
        <w:tc>
          <w:tcPr>
            <w:tcW w:w="1840" w:type="dxa"/>
            <w:vAlign w:val="top"/>
          </w:tcPr>
          <w:p w14:paraId="334395AD">
            <w:pPr>
              <w:spacing w:before="88"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1.597</w:t>
            </w:r>
          </w:p>
        </w:tc>
        <w:tc>
          <w:tcPr>
            <w:tcW w:w="1843" w:type="dxa"/>
            <w:vAlign w:val="top"/>
          </w:tcPr>
          <w:p w14:paraId="088204C5">
            <w:pPr>
              <w:spacing w:before="88" w:line="217"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84.247</w:t>
            </w:r>
          </w:p>
        </w:tc>
        <w:tc>
          <w:tcPr>
            <w:tcW w:w="1989" w:type="dxa"/>
            <w:vAlign w:val="top"/>
          </w:tcPr>
          <w:p w14:paraId="65349B5D">
            <w:pPr>
              <w:spacing w:before="88" w:line="217" w:lineRule="auto"/>
              <w:ind w:left="71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52.034</w:t>
            </w:r>
          </w:p>
        </w:tc>
      </w:tr>
      <w:tr w14:paraId="4706515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62F9A2EE">
            <w:pPr>
              <w:spacing w:before="90" w:line="217" w:lineRule="auto"/>
              <w:ind w:left="728"/>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842" w:type="dxa"/>
            <w:vAlign w:val="top"/>
          </w:tcPr>
          <w:p w14:paraId="1D826414">
            <w:pPr>
              <w:spacing w:before="90"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3.389</w:t>
            </w:r>
          </w:p>
        </w:tc>
        <w:tc>
          <w:tcPr>
            <w:tcW w:w="1840" w:type="dxa"/>
            <w:vAlign w:val="top"/>
          </w:tcPr>
          <w:p w14:paraId="6F24C649">
            <w:pPr>
              <w:spacing w:before="90"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2.065</w:t>
            </w:r>
          </w:p>
        </w:tc>
        <w:tc>
          <w:tcPr>
            <w:tcW w:w="1843" w:type="dxa"/>
            <w:vAlign w:val="top"/>
          </w:tcPr>
          <w:p w14:paraId="6A37E840">
            <w:pPr>
              <w:spacing w:before="90" w:line="217"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85.385</w:t>
            </w:r>
          </w:p>
        </w:tc>
        <w:tc>
          <w:tcPr>
            <w:tcW w:w="1989" w:type="dxa"/>
            <w:vAlign w:val="top"/>
          </w:tcPr>
          <w:p w14:paraId="55D73E9D">
            <w:pPr>
              <w:spacing w:before="90" w:line="217" w:lineRule="auto"/>
              <w:ind w:left="71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51.673</w:t>
            </w:r>
          </w:p>
        </w:tc>
      </w:tr>
      <w:tr w14:paraId="1778C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F7AF402">
            <w:pPr>
              <w:spacing w:before="88" w:line="217" w:lineRule="auto"/>
              <w:ind w:left="733"/>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842" w:type="dxa"/>
            <w:vAlign w:val="top"/>
          </w:tcPr>
          <w:p w14:paraId="3DCF32D8">
            <w:pPr>
              <w:spacing w:before="88" w:line="217"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4.523</w:t>
            </w:r>
          </w:p>
        </w:tc>
        <w:tc>
          <w:tcPr>
            <w:tcW w:w="1840" w:type="dxa"/>
            <w:vAlign w:val="top"/>
          </w:tcPr>
          <w:p w14:paraId="4AC496EB">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2.578</w:t>
            </w:r>
          </w:p>
        </w:tc>
        <w:tc>
          <w:tcPr>
            <w:tcW w:w="1843" w:type="dxa"/>
            <w:vAlign w:val="top"/>
          </w:tcPr>
          <w:p w14:paraId="53DFB2B9">
            <w:pPr>
              <w:spacing w:before="88" w:line="217"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86.676</w:t>
            </w:r>
          </w:p>
        </w:tc>
        <w:tc>
          <w:tcPr>
            <w:tcW w:w="1989" w:type="dxa"/>
            <w:vAlign w:val="top"/>
          </w:tcPr>
          <w:p w14:paraId="6EBB4E04">
            <w:pPr>
              <w:spacing w:before="88" w:line="217" w:lineRule="auto"/>
              <w:ind w:left="71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51.030</w:t>
            </w:r>
          </w:p>
        </w:tc>
      </w:tr>
      <w:tr w14:paraId="435ED4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3A38CBE">
            <w:pPr>
              <w:spacing w:before="88" w:line="216" w:lineRule="auto"/>
              <w:ind w:left="727"/>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842" w:type="dxa"/>
            <w:vAlign w:val="top"/>
          </w:tcPr>
          <w:p w14:paraId="69862405">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5.635</w:t>
            </w:r>
          </w:p>
        </w:tc>
        <w:tc>
          <w:tcPr>
            <w:tcW w:w="1840" w:type="dxa"/>
            <w:vAlign w:val="top"/>
          </w:tcPr>
          <w:p w14:paraId="64A31857">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3.052</w:t>
            </w:r>
          </w:p>
        </w:tc>
        <w:tc>
          <w:tcPr>
            <w:tcW w:w="1843" w:type="dxa"/>
            <w:vAlign w:val="top"/>
          </w:tcPr>
          <w:p w14:paraId="00ADEB60">
            <w:pPr>
              <w:spacing w:before="88" w:line="216"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87.364</w:t>
            </w:r>
          </w:p>
        </w:tc>
        <w:tc>
          <w:tcPr>
            <w:tcW w:w="1989" w:type="dxa"/>
            <w:vAlign w:val="top"/>
          </w:tcPr>
          <w:p w14:paraId="09005F6C">
            <w:pPr>
              <w:spacing w:before="88" w:line="216" w:lineRule="auto"/>
              <w:ind w:left="7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49.997</w:t>
            </w:r>
          </w:p>
        </w:tc>
      </w:tr>
      <w:tr w14:paraId="50377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834E914">
            <w:pPr>
              <w:spacing w:before="88" w:line="217" w:lineRule="auto"/>
              <w:ind w:left="734"/>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842" w:type="dxa"/>
            <w:vAlign w:val="top"/>
          </w:tcPr>
          <w:p w14:paraId="2F6C43B9">
            <w:pPr>
              <w:spacing w:before="88"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6.537</w:t>
            </w:r>
          </w:p>
        </w:tc>
        <w:tc>
          <w:tcPr>
            <w:tcW w:w="1840" w:type="dxa"/>
            <w:vAlign w:val="top"/>
          </w:tcPr>
          <w:p w14:paraId="4C44FE06">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3.432</w:t>
            </w:r>
          </w:p>
        </w:tc>
        <w:tc>
          <w:tcPr>
            <w:tcW w:w="1843" w:type="dxa"/>
            <w:vAlign w:val="top"/>
          </w:tcPr>
          <w:p w14:paraId="1EA75018">
            <w:pPr>
              <w:spacing w:before="88" w:line="217"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86.426</w:t>
            </w:r>
          </w:p>
        </w:tc>
        <w:tc>
          <w:tcPr>
            <w:tcW w:w="1989" w:type="dxa"/>
            <w:vAlign w:val="top"/>
          </w:tcPr>
          <w:p w14:paraId="3C3D8082">
            <w:pPr>
              <w:spacing w:before="88" w:line="217" w:lineRule="auto"/>
              <w:ind w:left="7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48.473</w:t>
            </w:r>
          </w:p>
        </w:tc>
      </w:tr>
      <w:tr w14:paraId="504524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8DED879">
            <w:pPr>
              <w:spacing w:before="88" w:line="217" w:lineRule="auto"/>
              <w:ind w:left="733"/>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842" w:type="dxa"/>
            <w:vAlign w:val="top"/>
          </w:tcPr>
          <w:p w14:paraId="72F63CFD">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7.035</w:t>
            </w:r>
          </w:p>
        </w:tc>
        <w:tc>
          <w:tcPr>
            <w:tcW w:w="1840" w:type="dxa"/>
            <w:vAlign w:val="top"/>
          </w:tcPr>
          <w:p w14:paraId="4830B28B">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3.683</w:t>
            </w:r>
          </w:p>
        </w:tc>
        <w:tc>
          <w:tcPr>
            <w:tcW w:w="1843" w:type="dxa"/>
            <w:vAlign w:val="top"/>
          </w:tcPr>
          <w:p w14:paraId="522F33F5">
            <w:pPr>
              <w:spacing w:before="88" w:line="217" w:lineRule="auto"/>
              <w:ind w:left="64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82.963</w:t>
            </w:r>
          </w:p>
        </w:tc>
        <w:tc>
          <w:tcPr>
            <w:tcW w:w="1989" w:type="dxa"/>
            <w:vAlign w:val="top"/>
          </w:tcPr>
          <w:p w14:paraId="2AA3A870">
            <w:pPr>
              <w:spacing w:before="88" w:line="217" w:lineRule="auto"/>
              <w:ind w:left="7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46.412</w:t>
            </w:r>
          </w:p>
        </w:tc>
      </w:tr>
      <w:tr w14:paraId="16E5F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2B92C45">
            <w:pPr>
              <w:spacing w:before="88" w:line="217"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1842" w:type="dxa"/>
            <w:vAlign w:val="top"/>
          </w:tcPr>
          <w:p w14:paraId="31D5682A">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7.024</w:t>
            </w:r>
          </w:p>
        </w:tc>
        <w:tc>
          <w:tcPr>
            <w:tcW w:w="1840" w:type="dxa"/>
            <w:vAlign w:val="top"/>
          </w:tcPr>
          <w:p w14:paraId="50CEDAD7">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3.787</w:t>
            </w:r>
          </w:p>
        </w:tc>
        <w:tc>
          <w:tcPr>
            <w:tcW w:w="1843" w:type="dxa"/>
            <w:vAlign w:val="top"/>
          </w:tcPr>
          <w:p w14:paraId="61B5E606">
            <w:pPr>
              <w:spacing w:before="88" w:line="217" w:lineRule="auto"/>
              <w:ind w:left="6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76.830</w:t>
            </w:r>
          </w:p>
        </w:tc>
        <w:tc>
          <w:tcPr>
            <w:tcW w:w="1989" w:type="dxa"/>
            <w:vAlign w:val="top"/>
          </w:tcPr>
          <w:p w14:paraId="6C86544F">
            <w:pPr>
              <w:spacing w:before="88" w:line="217" w:lineRule="auto"/>
              <w:ind w:left="7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43.845</w:t>
            </w:r>
          </w:p>
        </w:tc>
      </w:tr>
      <w:tr w14:paraId="6CFA03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63DBECC7">
            <w:pPr>
              <w:spacing w:before="90" w:line="217" w:lineRule="auto"/>
              <w:ind w:left="737"/>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1842" w:type="dxa"/>
            <w:vAlign w:val="top"/>
          </w:tcPr>
          <w:p w14:paraId="29FBF174">
            <w:pPr>
              <w:spacing w:before="90"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6.566</w:t>
            </w:r>
          </w:p>
        </w:tc>
        <w:tc>
          <w:tcPr>
            <w:tcW w:w="1840" w:type="dxa"/>
            <w:vAlign w:val="top"/>
          </w:tcPr>
          <w:p w14:paraId="407EA0D2">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3.751</w:t>
            </w:r>
          </w:p>
        </w:tc>
        <w:tc>
          <w:tcPr>
            <w:tcW w:w="1843" w:type="dxa"/>
            <w:vAlign w:val="top"/>
          </w:tcPr>
          <w:p w14:paraId="2156571D">
            <w:pPr>
              <w:spacing w:before="90" w:line="217" w:lineRule="auto"/>
              <w:ind w:left="63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68.854</w:t>
            </w:r>
          </w:p>
        </w:tc>
        <w:tc>
          <w:tcPr>
            <w:tcW w:w="1989" w:type="dxa"/>
            <w:vAlign w:val="top"/>
          </w:tcPr>
          <w:p w14:paraId="0DD8A67E">
            <w:pPr>
              <w:spacing w:before="90" w:line="217" w:lineRule="auto"/>
              <w:ind w:left="70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40.885</w:t>
            </w:r>
          </w:p>
        </w:tc>
      </w:tr>
      <w:tr w14:paraId="6B45D9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E741F42">
            <w:pPr>
              <w:spacing w:before="87" w:line="217"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1842" w:type="dxa"/>
            <w:vAlign w:val="top"/>
          </w:tcPr>
          <w:p w14:paraId="079D7B96">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5.837</w:t>
            </w:r>
          </w:p>
        </w:tc>
        <w:tc>
          <w:tcPr>
            <w:tcW w:w="1840" w:type="dxa"/>
            <w:vAlign w:val="top"/>
          </w:tcPr>
          <w:p w14:paraId="23BC4BE3">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3.598</w:t>
            </w:r>
          </w:p>
        </w:tc>
        <w:tc>
          <w:tcPr>
            <w:tcW w:w="1843" w:type="dxa"/>
            <w:vAlign w:val="top"/>
          </w:tcPr>
          <w:p w14:paraId="1A69187E">
            <w:pPr>
              <w:spacing w:before="87" w:line="217" w:lineRule="auto"/>
              <w:ind w:left="63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60.293</w:t>
            </w:r>
          </w:p>
        </w:tc>
        <w:tc>
          <w:tcPr>
            <w:tcW w:w="1989" w:type="dxa"/>
            <w:vAlign w:val="top"/>
          </w:tcPr>
          <w:p w14:paraId="65D218E0">
            <w:pPr>
              <w:spacing w:before="87" w:line="217"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37.695</w:t>
            </w:r>
          </w:p>
        </w:tc>
      </w:tr>
      <w:tr w14:paraId="7FFF5F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7C33DFF">
            <w:pPr>
              <w:spacing w:before="88"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842" w:type="dxa"/>
            <w:vAlign w:val="top"/>
          </w:tcPr>
          <w:p w14:paraId="778E7A53">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5.016</w:t>
            </w:r>
          </w:p>
        </w:tc>
        <w:tc>
          <w:tcPr>
            <w:tcW w:w="1840" w:type="dxa"/>
            <w:vAlign w:val="top"/>
          </w:tcPr>
          <w:p w14:paraId="69FA6702">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3.362</w:t>
            </w:r>
          </w:p>
        </w:tc>
        <w:tc>
          <w:tcPr>
            <w:tcW w:w="1843" w:type="dxa"/>
            <w:vAlign w:val="top"/>
          </w:tcPr>
          <w:p w14:paraId="3499747F">
            <w:pPr>
              <w:spacing w:before="88" w:line="217" w:lineRule="auto"/>
              <w:ind w:left="64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52.151</w:t>
            </w:r>
          </w:p>
        </w:tc>
        <w:tc>
          <w:tcPr>
            <w:tcW w:w="1989" w:type="dxa"/>
            <w:vAlign w:val="top"/>
          </w:tcPr>
          <w:p w14:paraId="4ABA2D8E">
            <w:pPr>
              <w:spacing w:before="88" w:line="217"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34.448</w:t>
            </w:r>
          </w:p>
        </w:tc>
      </w:tr>
      <w:tr w14:paraId="45C1C7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96AF19F">
            <w:pPr>
              <w:spacing w:before="88" w:line="216" w:lineRule="auto"/>
              <w:ind w:left="701"/>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11</w:t>
            </w:r>
          </w:p>
        </w:tc>
        <w:tc>
          <w:tcPr>
            <w:tcW w:w="1842" w:type="dxa"/>
            <w:vAlign w:val="top"/>
          </w:tcPr>
          <w:p w14:paraId="4CC4CFA8">
            <w:pPr>
              <w:spacing w:before="88" w:line="216"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4.225</w:t>
            </w:r>
          </w:p>
        </w:tc>
        <w:tc>
          <w:tcPr>
            <w:tcW w:w="1840" w:type="dxa"/>
            <w:vAlign w:val="top"/>
          </w:tcPr>
          <w:p w14:paraId="5264C4B5">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3.079</w:t>
            </w:r>
          </w:p>
        </w:tc>
        <w:tc>
          <w:tcPr>
            <w:tcW w:w="1843" w:type="dxa"/>
            <w:vAlign w:val="top"/>
          </w:tcPr>
          <w:p w14:paraId="3C39D4B8">
            <w:pPr>
              <w:spacing w:before="88" w:line="216" w:lineRule="auto"/>
              <w:ind w:left="6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44.938</w:t>
            </w:r>
          </w:p>
        </w:tc>
        <w:tc>
          <w:tcPr>
            <w:tcW w:w="1989" w:type="dxa"/>
            <w:vAlign w:val="top"/>
          </w:tcPr>
          <w:p w14:paraId="18231350">
            <w:pPr>
              <w:spacing w:before="88" w:line="216"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31.286</w:t>
            </w:r>
          </w:p>
        </w:tc>
      </w:tr>
      <w:tr w14:paraId="4EED555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87D09EB">
            <w:pPr>
              <w:spacing w:before="88" w:line="216"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c>
          <w:tcPr>
            <w:tcW w:w="1842" w:type="dxa"/>
            <w:vAlign w:val="top"/>
          </w:tcPr>
          <w:p w14:paraId="3781E598">
            <w:pPr>
              <w:spacing w:before="88" w:line="216"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3.524</w:t>
            </w:r>
          </w:p>
        </w:tc>
        <w:tc>
          <w:tcPr>
            <w:tcW w:w="1840" w:type="dxa"/>
            <w:vAlign w:val="top"/>
          </w:tcPr>
          <w:p w14:paraId="09D992B7">
            <w:pPr>
              <w:spacing w:before="88" w:line="216"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2.777</w:t>
            </w:r>
          </w:p>
        </w:tc>
        <w:tc>
          <w:tcPr>
            <w:tcW w:w="1843" w:type="dxa"/>
            <w:vAlign w:val="top"/>
          </w:tcPr>
          <w:p w14:paraId="13703CBA">
            <w:pPr>
              <w:spacing w:before="88" w:line="216" w:lineRule="auto"/>
              <w:ind w:left="63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38.787</w:t>
            </w:r>
          </w:p>
        </w:tc>
        <w:tc>
          <w:tcPr>
            <w:tcW w:w="1989" w:type="dxa"/>
            <w:vAlign w:val="top"/>
          </w:tcPr>
          <w:p w14:paraId="01CA1236">
            <w:pPr>
              <w:spacing w:before="88" w:line="216"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28.309</w:t>
            </w:r>
          </w:p>
        </w:tc>
      </w:tr>
      <w:tr w14:paraId="748E39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5DD5D46">
            <w:pPr>
              <w:spacing w:before="89" w:line="215"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13</w:t>
            </w:r>
          </w:p>
        </w:tc>
        <w:tc>
          <w:tcPr>
            <w:tcW w:w="1842" w:type="dxa"/>
            <w:vAlign w:val="top"/>
          </w:tcPr>
          <w:p w14:paraId="32A2A624">
            <w:pPr>
              <w:spacing w:before="89" w:line="215"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2.930</w:t>
            </w:r>
          </w:p>
        </w:tc>
        <w:tc>
          <w:tcPr>
            <w:tcW w:w="1840" w:type="dxa"/>
            <w:vAlign w:val="top"/>
          </w:tcPr>
          <w:p w14:paraId="4914BCB2">
            <w:pPr>
              <w:spacing w:before="89" w:line="215"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2.478</w:t>
            </w:r>
          </w:p>
        </w:tc>
        <w:tc>
          <w:tcPr>
            <w:tcW w:w="1843" w:type="dxa"/>
            <w:vAlign w:val="top"/>
          </w:tcPr>
          <w:p w14:paraId="459C3BA5">
            <w:pPr>
              <w:spacing w:before="89" w:line="215" w:lineRule="auto"/>
              <w:ind w:left="63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33.634</w:t>
            </w:r>
          </w:p>
        </w:tc>
        <w:tc>
          <w:tcPr>
            <w:tcW w:w="1989" w:type="dxa"/>
            <w:vAlign w:val="top"/>
          </w:tcPr>
          <w:p w14:paraId="1ADA1E02">
            <w:pPr>
              <w:spacing w:before="89"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25.575</w:t>
            </w:r>
          </w:p>
        </w:tc>
      </w:tr>
      <w:tr w14:paraId="7F60A7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0CDADB59">
            <w:pPr>
              <w:spacing w:before="92" w:line="215"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tc>
        <w:tc>
          <w:tcPr>
            <w:tcW w:w="1842" w:type="dxa"/>
            <w:vAlign w:val="top"/>
          </w:tcPr>
          <w:p w14:paraId="0BA07BD5">
            <w:pPr>
              <w:spacing w:before="92" w:line="215"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2.438</w:t>
            </w:r>
          </w:p>
        </w:tc>
        <w:tc>
          <w:tcPr>
            <w:tcW w:w="1840" w:type="dxa"/>
            <w:vAlign w:val="top"/>
          </w:tcPr>
          <w:p w14:paraId="0CF23B94">
            <w:pPr>
              <w:spacing w:before="92" w:line="215"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2.195</w:t>
            </w:r>
          </w:p>
        </w:tc>
        <w:tc>
          <w:tcPr>
            <w:tcW w:w="1843" w:type="dxa"/>
            <w:vAlign w:val="top"/>
          </w:tcPr>
          <w:p w14:paraId="5B8C8E1D">
            <w:pPr>
              <w:spacing w:before="92" w:line="215"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29.343</w:t>
            </w:r>
          </w:p>
        </w:tc>
        <w:tc>
          <w:tcPr>
            <w:tcW w:w="1989" w:type="dxa"/>
            <w:vAlign w:val="top"/>
          </w:tcPr>
          <w:p w14:paraId="686BEE66">
            <w:pPr>
              <w:spacing w:before="92"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23.104</w:t>
            </w:r>
          </w:p>
        </w:tc>
      </w:tr>
      <w:tr w14:paraId="5BFCA5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BA4B935">
            <w:pPr>
              <w:spacing w:before="89" w:line="215"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842" w:type="dxa"/>
            <w:vAlign w:val="top"/>
          </w:tcPr>
          <w:p w14:paraId="5F0EB0E9">
            <w:pPr>
              <w:spacing w:before="89" w:line="215"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2.036</w:t>
            </w:r>
          </w:p>
        </w:tc>
        <w:tc>
          <w:tcPr>
            <w:tcW w:w="1840" w:type="dxa"/>
            <w:vAlign w:val="top"/>
          </w:tcPr>
          <w:p w14:paraId="2BAB6217">
            <w:pPr>
              <w:spacing w:before="89" w:line="215"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1.936</w:t>
            </w:r>
          </w:p>
        </w:tc>
        <w:tc>
          <w:tcPr>
            <w:tcW w:w="1843" w:type="dxa"/>
            <w:vAlign w:val="top"/>
          </w:tcPr>
          <w:p w14:paraId="0EA136A5">
            <w:pPr>
              <w:spacing w:before="89" w:line="215"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25.766</w:t>
            </w:r>
          </w:p>
        </w:tc>
        <w:tc>
          <w:tcPr>
            <w:tcW w:w="1989" w:type="dxa"/>
            <w:vAlign w:val="top"/>
          </w:tcPr>
          <w:p w14:paraId="69767CB7">
            <w:pPr>
              <w:spacing w:before="89"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20.895</w:t>
            </w:r>
          </w:p>
        </w:tc>
      </w:tr>
      <w:tr w14:paraId="25CBA1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970A440">
            <w:pPr>
              <w:spacing w:before="90" w:line="215"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tc>
        <w:tc>
          <w:tcPr>
            <w:tcW w:w="1842" w:type="dxa"/>
            <w:vAlign w:val="top"/>
          </w:tcPr>
          <w:p w14:paraId="3B56FB53">
            <w:pPr>
              <w:spacing w:before="90" w:line="215"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1.709</w:t>
            </w:r>
          </w:p>
        </w:tc>
        <w:tc>
          <w:tcPr>
            <w:tcW w:w="1840" w:type="dxa"/>
            <w:vAlign w:val="top"/>
          </w:tcPr>
          <w:p w14:paraId="22261C65">
            <w:pPr>
              <w:spacing w:before="90" w:line="215"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1.704</w:t>
            </w:r>
          </w:p>
        </w:tc>
        <w:tc>
          <w:tcPr>
            <w:tcW w:w="1843" w:type="dxa"/>
            <w:vAlign w:val="top"/>
          </w:tcPr>
          <w:p w14:paraId="1FC98CF7">
            <w:pPr>
              <w:spacing w:before="90" w:line="215"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22.774</w:t>
            </w:r>
          </w:p>
        </w:tc>
        <w:tc>
          <w:tcPr>
            <w:tcW w:w="1989" w:type="dxa"/>
            <w:vAlign w:val="top"/>
          </w:tcPr>
          <w:p w14:paraId="1204C666">
            <w:pPr>
              <w:spacing w:before="90" w:line="215"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18.933</w:t>
            </w:r>
          </w:p>
        </w:tc>
      </w:tr>
      <w:tr w14:paraId="20B64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CA9610A">
            <w:pPr>
              <w:spacing w:before="90" w:line="215"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tc>
        <w:tc>
          <w:tcPr>
            <w:tcW w:w="1842" w:type="dxa"/>
            <w:vAlign w:val="top"/>
          </w:tcPr>
          <w:p w14:paraId="481FCAAC">
            <w:pPr>
              <w:spacing w:before="90" w:line="215"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1.443</w:t>
            </w:r>
          </w:p>
        </w:tc>
        <w:tc>
          <w:tcPr>
            <w:tcW w:w="1840" w:type="dxa"/>
            <w:vAlign w:val="top"/>
          </w:tcPr>
          <w:p w14:paraId="598E0B46">
            <w:pPr>
              <w:spacing w:before="90" w:line="215"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1.500</w:t>
            </w:r>
          </w:p>
        </w:tc>
        <w:tc>
          <w:tcPr>
            <w:tcW w:w="1843" w:type="dxa"/>
            <w:vAlign w:val="top"/>
          </w:tcPr>
          <w:p w14:paraId="71E684E5">
            <w:pPr>
              <w:spacing w:before="90" w:line="215"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20.255</w:t>
            </w:r>
          </w:p>
        </w:tc>
        <w:tc>
          <w:tcPr>
            <w:tcW w:w="1989" w:type="dxa"/>
            <w:vAlign w:val="top"/>
          </w:tcPr>
          <w:p w14:paraId="29A34265">
            <w:pPr>
              <w:spacing w:before="90" w:line="215"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17.196</w:t>
            </w:r>
          </w:p>
        </w:tc>
      </w:tr>
      <w:tr w14:paraId="0FD811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1D57BF2">
            <w:pPr>
              <w:spacing w:before="90" w:line="214"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tc>
        <w:tc>
          <w:tcPr>
            <w:tcW w:w="1842" w:type="dxa"/>
            <w:vAlign w:val="top"/>
          </w:tcPr>
          <w:p w14:paraId="0BF6BEC7">
            <w:pPr>
              <w:spacing w:before="90" w:line="214"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1.227</w:t>
            </w:r>
          </w:p>
        </w:tc>
        <w:tc>
          <w:tcPr>
            <w:tcW w:w="1840" w:type="dxa"/>
            <w:vAlign w:val="top"/>
          </w:tcPr>
          <w:p w14:paraId="63BE53C2">
            <w:pPr>
              <w:spacing w:before="90" w:line="214"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1.320</w:t>
            </w:r>
          </w:p>
        </w:tc>
        <w:tc>
          <w:tcPr>
            <w:tcW w:w="1843" w:type="dxa"/>
            <w:vAlign w:val="top"/>
          </w:tcPr>
          <w:p w14:paraId="11134A32">
            <w:pPr>
              <w:spacing w:before="90" w:line="214"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18.121</w:t>
            </w:r>
          </w:p>
        </w:tc>
        <w:tc>
          <w:tcPr>
            <w:tcW w:w="1989" w:type="dxa"/>
            <w:vAlign w:val="top"/>
          </w:tcPr>
          <w:p w14:paraId="4A5E8A31">
            <w:pPr>
              <w:spacing w:before="90" w:line="214"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15.661</w:t>
            </w:r>
          </w:p>
        </w:tc>
      </w:tr>
      <w:tr w14:paraId="26C4F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BE48E9F">
            <w:pPr>
              <w:spacing w:before="90" w:line="215"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tc>
        <w:tc>
          <w:tcPr>
            <w:tcW w:w="1842" w:type="dxa"/>
            <w:vAlign w:val="top"/>
          </w:tcPr>
          <w:p w14:paraId="64B74439">
            <w:pPr>
              <w:spacing w:before="90" w:line="215"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1.050</w:t>
            </w:r>
          </w:p>
        </w:tc>
        <w:tc>
          <w:tcPr>
            <w:tcW w:w="1840" w:type="dxa"/>
            <w:vAlign w:val="top"/>
          </w:tcPr>
          <w:p w14:paraId="2C3F8B8F">
            <w:pPr>
              <w:spacing w:before="90" w:line="215"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1.164</w:t>
            </w:r>
          </w:p>
        </w:tc>
        <w:tc>
          <w:tcPr>
            <w:tcW w:w="1843" w:type="dxa"/>
            <w:vAlign w:val="top"/>
          </w:tcPr>
          <w:p w14:paraId="62961205">
            <w:pPr>
              <w:spacing w:before="90" w:line="215"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16.301</w:t>
            </w:r>
          </w:p>
        </w:tc>
        <w:tc>
          <w:tcPr>
            <w:tcW w:w="1989" w:type="dxa"/>
            <w:vAlign w:val="top"/>
          </w:tcPr>
          <w:p w14:paraId="1BC92ED4">
            <w:pPr>
              <w:spacing w:before="90" w:line="215"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14.302</w:t>
            </w:r>
          </w:p>
        </w:tc>
      </w:tr>
      <w:tr w14:paraId="7FF93F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48E4D1E1">
            <w:pPr>
              <w:spacing w:before="92" w:line="215"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842" w:type="dxa"/>
            <w:vAlign w:val="top"/>
          </w:tcPr>
          <w:p w14:paraId="4FA7B62A">
            <w:pPr>
              <w:spacing w:before="92"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0.904</w:t>
            </w:r>
          </w:p>
        </w:tc>
        <w:tc>
          <w:tcPr>
            <w:tcW w:w="1840" w:type="dxa"/>
            <w:vAlign w:val="top"/>
          </w:tcPr>
          <w:p w14:paraId="041CF05E">
            <w:pPr>
              <w:spacing w:before="92" w:line="215"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1.029</w:t>
            </w:r>
          </w:p>
        </w:tc>
        <w:tc>
          <w:tcPr>
            <w:tcW w:w="1843" w:type="dxa"/>
            <w:vAlign w:val="top"/>
          </w:tcPr>
          <w:p w14:paraId="5E44924C">
            <w:pPr>
              <w:spacing w:before="92" w:line="215"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14.737</w:t>
            </w:r>
          </w:p>
        </w:tc>
        <w:tc>
          <w:tcPr>
            <w:tcW w:w="1989" w:type="dxa"/>
            <w:vAlign w:val="top"/>
          </w:tcPr>
          <w:p w14:paraId="0E7D1F87">
            <w:pPr>
              <w:spacing w:before="92" w:line="215"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13.099</w:t>
            </w:r>
          </w:p>
        </w:tc>
      </w:tr>
      <w:tr w14:paraId="018E60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7436626">
            <w:pPr>
              <w:spacing w:before="90" w:line="214"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c>
          <w:tcPr>
            <w:tcW w:w="1842" w:type="dxa"/>
            <w:vAlign w:val="top"/>
          </w:tcPr>
          <w:p w14:paraId="1BDC918F">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0.784</w:t>
            </w:r>
          </w:p>
        </w:tc>
        <w:tc>
          <w:tcPr>
            <w:tcW w:w="1840" w:type="dxa"/>
            <w:vAlign w:val="top"/>
          </w:tcPr>
          <w:p w14:paraId="7AB053A0">
            <w:pPr>
              <w:spacing w:before="90" w:line="214"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0.911</w:t>
            </w:r>
          </w:p>
        </w:tc>
        <w:tc>
          <w:tcPr>
            <w:tcW w:w="1843" w:type="dxa"/>
            <w:vAlign w:val="top"/>
          </w:tcPr>
          <w:p w14:paraId="0D219D9A">
            <w:pPr>
              <w:spacing w:before="90" w:line="214"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13.386</w:t>
            </w:r>
          </w:p>
        </w:tc>
        <w:tc>
          <w:tcPr>
            <w:tcW w:w="1989" w:type="dxa"/>
            <w:vAlign w:val="top"/>
          </w:tcPr>
          <w:p w14:paraId="01C12E02">
            <w:pPr>
              <w:spacing w:before="90" w:line="214"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12.032</w:t>
            </w:r>
          </w:p>
        </w:tc>
      </w:tr>
      <w:tr w14:paraId="4DDD47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22ADF03">
            <w:pPr>
              <w:spacing w:before="91" w:line="214"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tc>
        <w:tc>
          <w:tcPr>
            <w:tcW w:w="1842" w:type="dxa"/>
            <w:vAlign w:val="top"/>
          </w:tcPr>
          <w:p w14:paraId="26C5B737">
            <w:pPr>
              <w:spacing w:before="91"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0.683</w:t>
            </w:r>
          </w:p>
        </w:tc>
        <w:tc>
          <w:tcPr>
            <w:tcW w:w="1840" w:type="dxa"/>
            <w:vAlign w:val="top"/>
          </w:tcPr>
          <w:p w14:paraId="43D90649">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0.810</w:t>
            </w:r>
          </w:p>
        </w:tc>
        <w:tc>
          <w:tcPr>
            <w:tcW w:w="1843" w:type="dxa"/>
            <w:vAlign w:val="top"/>
          </w:tcPr>
          <w:p w14:paraId="536C1885">
            <w:pPr>
              <w:spacing w:before="91" w:line="214"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12.210</w:t>
            </w:r>
          </w:p>
        </w:tc>
        <w:tc>
          <w:tcPr>
            <w:tcW w:w="1989" w:type="dxa"/>
            <w:vAlign w:val="top"/>
          </w:tcPr>
          <w:p w14:paraId="25AC2C19">
            <w:pPr>
              <w:spacing w:before="91" w:line="214" w:lineRule="auto"/>
              <w:ind w:left="732"/>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11.082</w:t>
            </w:r>
          </w:p>
        </w:tc>
      </w:tr>
      <w:tr w14:paraId="61D0A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513144E">
            <w:pPr>
              <w:spacing w:before="90" w:line="214"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tc>
        <w:tc>
          <w:tcPr>
            <w:tcW w:w="1842" w:type="dxa"/>
            <w:vAlign w:val="top"/>
          </w:tcPr>
          <w:p w14:paraId="2A4A9F2F">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0.599</w:t>
            </w:r>
          </w:p>
        </w:tc>
        <w:tc>
          <w:tcPr>
            <w:tcW w:w="1840" w:type="dxa"/>
            <w:vAlign w:val="top"/>
          </w:tcPr>
          <w:p w14:paraId="104F8D16">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0.722</w:t>
            </w:r>
          </w:p>
        </w:tc>
        <w:tc>
          <w:tcPr>
            <w:tcW w:w="1843" w:type="dxa"/>
            <w:vAlign w:val="top"/>
          </w:tcPr>
          <w:p w14:paraId="312EA3D1">
            <w:pPr>
              <w:spacing w:before="90" w:line="214" w:lineRule="auto"/>
              <w:ind w:left="659"/>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11.182</w:t>
            </w:r>
          </w:p>
        </w:tc>
        <w:tc>
          <w:tcPr>
            <w:tcW w:w="1989" w:type="dxa"/>
            <w:vAlign w:val="top"/>
          </w:tcPr>
          <w:p w14:paraId="202ADE44">
            <w:pPr>
              <w:spacing w:before="90" w:line="214"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10.235</w:t>
            </w:r>
          </w:p>
        </w:tc>
      </w:tr>
      <w:tr w14:paraId="5362DD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Align w:val="top"/>
          </w:tcPr>
          <w:p w14:paraId="440BFF12">
            <w:pPr>
              <w:spacing w:before="91" w:line="218"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tc>
        <w:tc>
          <w:tcPr>
            <w:tcW w:w="1842" w:type="dxa"/>
            <w:vAlign w:val="top"/>
          </w:tcPr>
          <w:p w14:paraId="19E8F2BC">
            <w:pPr>
              <w:spacing w:before="91"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0.529</w:t>
            </w:r>
          </w:p>
        </w:tc>
        <w:tc>
          <w:tcPr>
            <w:tcW w:w="1840" w:type="dxa"/>
            <w:vAlign w:val="top"/>
          </w:tcPr>
          <w:p w14:paraId="22CD1071">
            <w:pPr>
              <w:spacing w:before="91"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0.645</w:t>
            </w:r>
          </w:p>
        </w:tc>
        <w:tc>
          <w:tcPr>
            <w:tcW w:w="1843" w:type="dxa"/>
            <w:vAlign w:val="top"/>
          </w:tcPr>
          <w:p w14:paraId="5C862D8A">
            <w:pPr>
              <w:spacing w:before="91" w:line="218"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10.278</w:t>
            </w:r>
          </w:p>
        </w:tc>
        <w:tc>
          <w:tcPr>
            <w:tcW w:w="1989" w:type="dxa"/>
            <w:vAlign w:val="top"/>
          </w:tcPr>
          <w:p w14:paraId="539B88F5">
            <w:pPr>
              <w:spacing w:before="91" w:line="218"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9.477</w:t>
            </w:r>
          </w:p>
        </w:tc>
      </w:tr>
    </w:tbl>
    <w:p w14:paraId="0E98DED4">
      <w:pPr>
        <w:rPr>
          <w:rFonts w:ascii="Arial"/>
          <w:sz w:val="21"/>
        </w:rPr>
      </w:pPr>
    </w:p>
    <w:p w14:paraId="417BA589">
      <w:pPr>
        <w:rPr>
          <w:rFonts w:ascii="Arial" w:hAnsi="Arial" w:eastAsia="Arial" w:cs="Arial"/>
          <w:sz w:val="21"/>
          <w:szCs w:val="21"/>
        </w:rPr>
        <w:sectPr>
          <w:footerReference r:id="rId105" w:type="default"/>
          <w:pgSz w:w="11907" w:h="16841"/>
          <w:pgMar w:top="400" w:right="1411" w:bottom="1126" w:left="1416" w:header="0" w:footer="925" w:gutter="0"/>
          <w:cols w:space="720" w:num="1"/>
        </w:sectPr>
      </w:pPr>
    </w:p>
    <w:p w14:paraId="55C00923">
      <w:pPr>
        <w:spacing w:before="2"/>
      </w:pPr>
    </w:p>
    <w:p w14:paraId="14FF1E98">
      <w:pPr>
        <w:spacing w:before="2"/>
      </w:pPr>
    </w:p>
    <w:p w14:paraId="0EF88C9D">
      <w:pPr>
        <w:spacing w:before="1"/>
      </w:pPr>
    </w:p>
    <w:p w14:paraId="3F063B40">
      <w:pPr>
        <w:spacing w:before="1"/>
      </w:pPr>
    </w:p>
    <w:p w14:paraId="7B3BE542">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467E54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559" w:type="dxa"/>
            <w:vAlign w:val="top"/>
          </w:tcPr>
          <w:p w14:paraId="5968C980">
            <w:pPr>
              <w:spacing w:before="93"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tc>
        <w:tc>
          <w:tcPr>
            <w:tcW w:w="1842" w:type="dxa"/>
            <w:vAlign w:val="top"/>
          </w:tcPr>
          <w:p w14:paraId="1E0D1619">
            <w:pPr>
              <w:spacing w:before="93"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0.469</w:t>
            </w:r>
          </w:p>
        </w:tc>
        <w:tc>
          <w:tcPr>
            <w:tcW w:w="1840" w:type="dxa"/>
            <w:vAlign w:val="top"/>
          </w:tcPr>
          <w:p w14:paraId="2B2ED457">
            <w:pPr>
              <w:spacing w:before="93"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0.578</w:t>
            </w:r>
          </w:p>
        </w:tc>
        <w:tc>
          <w:tcPr>
            <w:tcW w:w="1843" w:type="dxa"/>
            <w:vAlign w:val="top"/>
          </w:tcPr>
          <w:p w14:paraId="6BB4F437">
            <w:pPr>
              <w:spacing w:before="93"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9.479</w:t>
            </w:r>
          </w:p>
        </w:tc>
        <w:tc>
          <w:tcPr>
            <w:tcW w:w="1989" w:type="dxa"/>
            <w:vAlign w:val="top"/>
          </w:tcPr>
          <w:p w14:paraId="09D51E30">
            <w:pPr>
              <w:spacing w:before="93" w:line="217" w:lineRule="auto"/>
              <w:ind w:left="76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8.797</w:t>
            </w:r>
          </w:p>
        </w:tc>
      </w:tr>
      <w:tr w14:paraId="59C2D0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7DF64CF6">
            <w:pPr>
              <w:spacing w:before="88" w:line="219"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tc>
        <w:tc>
          <w:tcPr>
            <w:tcW w:w="1842" w:type="dxa"/>
            <w:vAlign w:val="top"/>
          </w:tcPr>
          <w:p w14:paraId="4465250B">
            <w:pPr>
              <w:spacing w:before="88"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0.418</w:t>
            </w:r>
          </w:p>
        </w:tc>
        <w:tc>
          <w:tcPr>
            <w:tcW w:w="1840" w:type="dxa"/>
            <w:vAlign w:val="top"/>
          </w:tcPr>
          <w:p w14:paraId="515C080C">
            <w:pPr>
              <w:spacing w:before="88"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0.520</w:t>
            </w:r>
          </w:p>
        </w:tc>
        <w:tc>
          <w:tcPr>
            <w:tcW w:w="1843" w:type="dxa"/>
            <w:vAlign w:val="top"/>
          </w:tcPr>
          <w:p w14:paraId="20452264">
            <w:pPr>
              <w:spacing w:before="88" w:line="219"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8.769</w:t>
            </w:r>
          </w:p>
        </w:tc>
        <w:tc>
          <w:tcPr>
            <w:tcW w:w="1989" w:type="dxa"/>
            <w:vAlign w:val="top"/>
          </w:tcPr>
          <w:p w14:paraId="6A412C6E">
            <w:pPr>
              <w:spacing w:before="88" w:line="219" w:lineRule="auto"/>
              <w:ind w:left="76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8.186</w:t>
            </w:r>
          </w:p>
        </w:tc>
      </w:tr>
      <w:tr w14:paraId="41FAC5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D1A061C">
            <w:pPr>
              <w:spacing w:before="85" w:line="219"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w:t>
            </w:r>
          </w:p>
        </w:tc>
        <w:tc>
          <w:tcPr>
            <w:tcW w:w="1842" w:type="dxa"/>
            <w:vAlign w:val="top"/>
          </w:tcPr>
          <w:p w14:paraId="2629853C">
            <w:pPr>
              <w:spacing w:before="85"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0.374</w:t>
            </w:r>
          </w:p>
        </w:tc>
        <w:tc>
          <w:tcPr>
            <w:tcW w:w="1840" w:type="dxa"/>
            <w:vAlign w:val="top"/>
          </w:tcPr>
          <w:p w14:paraId="0AE53FDB">
            <w:pPr>
              <w:spacing w:before="85"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0.469</w:t>
            </w:r>
          </w:p>
        </w:tc>
        <w:tc>
          <w:tcPr>
            <w:tcW w:w="1843" w:type="dxa"/>
            <w:vAlign w:val="top"/>
          </w:tcPr>
          <w:p w14:paraId="1D11A82C">
            <w:pPr>
              <w:spacing w:before="85" w:line="219"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8.136</w:t>
            </w:r>
          </w:p>
        </w:tc>
        <w:tc>
          <w:tcPr>
            <w:tcW w:w="1989" w:type="dxa"/>
            <w:vAlign w:val="top"/>
          </w:tcPr>
          <w:p w14:paraId="5DCA8ED2">
            <w:pPr>
              <w:spacing w:before="85" w:line="219"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7.634</w:t>
            </w:r>
          </w:p>
        </w:tc>
      </w:tr>
      <w:tr w14:paraId="694EDC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1D03C77">
            <w:pPr>
              <w:spacing w:before="86" w:line="219"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w:t>
            </w:r>
          </w:p>
        </w:tc>
        <w:tc>
          <w:tcPr>
            <w:tcW w:w="1842" w:type="dxa"/>
            <w:vAlign w:val="top"/>
          </w:tcPr>
          <w:p w14:paraId="4F1A6B2B">
            <w:pPr>
              <w:spacing w:before="86"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0.336</w:t>
            </w:r>
          </w:p>
        </w:tc>
        <w:tc>
          <w:tcPr>
            <w:tcW w:w="1840" w:type="dxa"/>
            <w:vAlign w:val="top"/>
          </w:tcPr>
          <w:p w14:paraId="7624C6E6">
            <w:pPr>
              <w:spacing w:before="86"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0.425</w:t>
            </w:r>
          </w:p>
        </w:tc>
        <w:tc>
          <w:tcPr>
            <w:tcW w:w="1843" w:type="dxa"/>
            <w:vAlign w:val="top"/>
          </w:tcPr>
          <w:p w14:paraId="6A4401D3">
            <w:pPr>
              <w:spacing w:before="86" w:line="219"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7.569</w:t>
            </w:r>
          </w:p>
        </w:tc>
        <w:tc>
          <w:tcPr>
            <w:tcW w:w="1989" w:type="dxa"/>
            <w:vAlign w:val="top"/>
          </w:tcPr>
          <w:p w14:paraId="4BB79313">
            <w:pPr>
              <w:spacing w:before="86" w:line="219"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7.134</w:t>
            </w:r>
          </w:p>
        </w:tc>
      </w:tr>
      <w:tr w14:paraId="3A3E8E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A518C8F">
            <w:pPr>
              <w:spacing w:before="86" w:line="218"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w:t>
            </w:r>
          </w:p>
        </w:tc>
        <w:tc>
          <w:tcPr>
            <w:tcW w:w="1842" w:type="dxa"/>
            <w:vAlign w:val="top"/>
          </w:tcPr>
          <w:p w14:paraId="5BABBA98">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0.304</w:t>
            </w:r>
          </w:p>
        </w:tc>
        <w:tc>
          <w:tcPr>
            <w:tcW w:w="1840" w:type="dxa"/>
            <w:vAlign w:val="top"/>
          </w:tcPr>
          <w:p w14:paraId="01BDC106">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0.385</w:t>
            </w:r>
          </w:p>
        </w:tc>
        <w:tc>
          <w:tcPr>
            <w:tcW w:w="1843" w:type="dxa"/>
            <w:vAlign w:val="top"/>
          </w:tcPr>
          <w:p w14:paraId="7AD0A897">
            <w:pPr>
              <w:spacing w:before="86"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7.059</w:t>
            </w:r>
          </w:p>
        </w:tc>
        <w:tc>
          <w:tcPr>
            <w:tcW w:w="1989" w:type="dxa"/>
            <w:vAlign w:val="top"/>
          </w:tcPr>
          <w:p w14:paraId="36623A9B">
            <w:pPr>
              <w:spacing w:before="86" w:line="218"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6.681</w:t>
            </w:r>
          </w:p>
        </w:tc>
      </w:tr>
      <w:tr w14:paraId="6CCF55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8B9F339">
            <w:pPr>
              <w:spacing w:before="86" w:line="218"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c>
          <w:tcPr>
            <w:tcW w:w="1842" w:type="dxa"/>
            <w:vAlign w:val="top"/>
          </w:tcPr>
          <w:p w14:paraId="7AACD271">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0.276</w:t>
            </w:r>
          </w:p>
        </w:tc>
        <w:tc>
          <w:tcPr>
            <w:tcW w:w="1840" w:type="dxa"/>
            <w:vAlign w:val="top"/>
          </w:tcPr>
          <w:p w14:paraId="7748ECAB">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0.351</w:t>
            </w:r>
          </w:p>
        </w:tc>
        <w:tc>
          <w:tcPr>
            <w:tcW w:w="1843" w:type="dxa"/>
            <w:vAlign w:val="top"/>
          </w:tcPr>
          <w:p w14:paraId="30E836C7">
            <w:pPr>
              <w:spacing w:before="86" w:line="218"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6.599</w:t>
            </w:r>
          </w:p>
        </w:tc>
        <w:tc>
          <w:tcPr>
            <w:tcW w:w="1989" w:type="dxa"/>
            <w:vAlign w:val="top"/>
          </w:tcPr>
          <w:p w14:paraId="0B3BB7F2">
            <w:pPr>
              <w:spacing w:before="86" w:line="218"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6.268</w:t>
            </w:r>
          </w:p>
        </w:tc>
      </w:tr>
      <w:tr w14:paraId="43B8B5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4952695">
            <w:pPr>
              <w:spacing w:before="87" w:line="217"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31</w:t>
            </w:r>
          </w:p>
        </w:tc>
        <w:tc>
          <w:tcPr>
            <w:tcW w:w="1842" w:type="dxa"/>
            <w:vAlign w:val="top"/>
          </w:tcPr>
          <w:p w14:paraId="6A28AAA2">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0.251</w:t>
            </w:r>
          </w:p>
        </w:tc>
        <w:tc>
          <w:tcPr>
            <w:tcW w:w="1840" w:type="dxa"/>
            <w:vAlign w:val="top"/>
          </w:tcPr>
          <w:p w14:paraId="774E653A">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0.320</w:t>
            </w:r>
          </w:p>
        </w:tc>
        <w:tc>
          <w:tcPr>
            <w:tcW w:w="1843" w:type="dxa"/>
            <w:vAlign w:val="top"/>
          </w:tcPr>
          <w:p w14:paraId="276235C0">
            <w:pPr>
              <w:spacing w:before="87" w:line="217"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6.183</w:t>
            </w:r>
          </w:p>
        </w:tc>
        <w:tc>
          <w:tcPr>
            <w:tcW w:w="1989" w:type="dxa"/>
            <w:vAlign w:val="top"/>
          </w:tcPr>
          <w:p w14:paraId="36F316C2">
            <w:pPr>
              <w:spacing w:before="87" w:line="217"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5.892</w:t>
            </w:r>
          </w:p>
        </w:tc>
      </w:tr>
      <w:tr w14:paraId="5509E2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52C4F9CC">
            <w:pPr>
              <w:spacing w:before="90" w:line="217"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32</w:t>
            </w:r>
          </w:p>
        </w:tc>
        <w:tc>
          <w:tcPr>
            <w:tcW w:w="1842" w:type="dxa"/>
            <w:vAlign w:val="top"/>
          </w:tcPr>
          <w:p w14:paraId="463C9344">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0.229</w:t>
            </w:r>
          </w:p>
        </w:tc>
        <w:tc>
          <w:tcPr>
            <w:tcW w:w="1840" w:type="dxa"/>
            <w:vAlign w:val="top"/>
          </w:tcPr>
          <w:p w14:paraId="5D9D78CD">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0.293</w:t>
            </w:r>
          </w:p>
        </w:tc>
        <w:tc>
          <w:tcPr>
            <w:tcW w:w="1843" w:type="dxa"/>
            <w:vAlign w:val="top"/>
          </w:tcPr>
          <w:p w14:paraId="48D3BC36">
            <w:pPr>
              <w:spacing w:before="90" w:line="217"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5.804</w:t>
            </w:r>
          </w:p>
        </w:tc>
        <w:tc>
          <w:tcPr>
            <w:tcW w:w="1989" w:type="dxa"/>
            <w:vAlign w:val="top"/>
          </w:tcPr>
          <w:p w14:paraId="1E6AE6BE">
            <w:pPr>
              <w:spacing w:before="90" w:line="217"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5.549</w:t>
            </w:r>
          </w:p>
        </w:tc>
      </w:tr>
      <w:tr w14:paraId="2E6B53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51ACCBB">
            <w:pPr>
              <w:spacing w:before="87" w:line="217"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33</w:t>
            </w:r>
          </w:p>
        </w:tc>
        <w:tc>
          <w:tcPr>
            <w:tcW w:w="1842" w:type="dxa"/>
            <w:vAlign w:val="top"/>
          </w:tcPr>
          <w:p w14:paraId="272B928C">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0.210</w:t>
            </w:r>
          </w:p>
        </w:tc>
        <w:tc>
          <w:tcPr>
            <w:tcW w:w="1840" w:type="dxa"/>
            <w:vAlign w:val="top"/>
          </w:tcPr>
          <w:p w14:paraId="1722D4C1">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0.269</w:t>
            </w:r>
          </w:p>
        </w:tc>
        <w:tc>
          <w:tcPr>
            <w:tcW w:w="1843" w:type="dxa"/>
            <w:vAlign w:val="top"/>
          </w:tcPr>
          <w:p w14:paraId="4A131782">
            <w:pPr>
              <w:spacing w:before="87" w:line="217"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5.460</w:t>
            </w:r>
          </w:p>
        </w:tc>
        <w:tc>
          <w:tcPr>
            <w:tcW w:w="1989" w:type="dxa"/>
            <w:vAlign w:val="top"/>
          </w:tcPr>
          <w:p w14:paraId="01C983BA">
            <w:pPr>
              <w:spacing w:before="87" w:line="217"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5.233</w:t>
            </w:r>
          </w:p>
        </w:tc>
      </w:tr>
      <w:tr w14:paraId="7854BB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E79C32B">
            <w:pPr>
              <w:spacing w:before="88"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34</w:t>
            </w:r>
          </w:p>
        </w:tc>
        <w:tc>
          <w:tcPr>
            <w:tcW w:w="1842" w:type="dxa"/>
            <w:vAlign w:val="top"/>
          </w:tcPr>
          <w:p w14:paraId="434792B6">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0.193</w:t>
            </w:r>
          </w:p>
        </w:tc>
        <w:tc>
          <w:tcPr>
            <w:tcW w:w="1840" w:type="dxa"/>
            <w:vAlign w:val="top"/>
          </w:tcPr>
          <w:p w14:paraId="7A9CCBEB">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0.247</w:t>
            </w:r>
          </w:p>
        </w:tc>
        <w:tc>
          <w:tcPr>
            <w:tcW w:w="1843" w:type="dxa"/>
            <w:vAlign w:val="top"/>
          </w:tcPr>
          <w:p w14:paraId="6145B85E">
            <w:pPr>
              <w:spacing w:before="88" w:line="216"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5.145</w:t>
            </w:r>
          </w:p>
        </w:tc>
        <w:tc>
          <w:tcPr>
            <w:tcW w:w="1989" w:type="dxa"/>
            <w:vAlign w:val="top"/>
          </w:tcPr>
          <w:p w14:paraId="64120D42">
            <w:pPr>
              <w:spacing w:before="88" w:line="216"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4.944</w:t>
            </w:r>
          </w:p>
        </w:tc>
      </w:tr>
      <w:tr w14:paraId="2A39BE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E9A1FD6">
            <w:pPr>
              <w:spacing w:before="89"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w:t>
            </w:r>
          </w:p>
        </w:tc>
        <w:tc>
          <w:tcPr>
            <w:tcW w:w="1842" w:type="dxa"/>
            <w:vAlign w:val="top"/>
          </w:tcPr>
          <w:p w14:paraId="086FFB87">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0.178</w:t>
            </w:r>
          </w:p>
        </w:tc>
        <w:tc>
          <w:tcPr>
            <w:tcW w:w="1840" w:type="dxa"/>
            <w:vAlign w:val="top"/>
          </w:tcPr>
          <w:p w14:paraId="162FB2DF">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0.228</w:t>
            </w:r>
          </w:p>
        </w:tc>
        <w:tc>
          <w:tcPr>
            <w:tcW w:w="1843" w:type="dxa"/>
            <w:vAlign w:val="top"/>
          </w:tcPr>
          <w:p w14:paraId="5EADFFDE">
            <w:pPr>
              <w:spacing w:before="89" w:line="215"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4.857</w:t>
            </w:r>
          </w:p>
        </w:tc>
        <w:tc>
          <w:tcPr>
            <w:tcW w:w="1989" w:type="dxa"/>
            <w:vAlign w:val="top"/>
          </w:tcPr>
          <w:p w14:paraId="5E6FF384">
            <w:pPr>
              <w:spacing w:before="89" w:line="215"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4.678</w:t>
            </w:r>
          </w:p>
        </w:tc>
      </w:tr>
      <w:tr w14:paraId="6302FB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8B37BFF">
            <w:pPr>
              <w:spacing w:before="89"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36</w:t>
            </w:r>
          </w:p>
        </w:tc>
        <w:tc>
          <w:tcPr>
            <w:tcW w:w="1842" w:type="dxa"/>
            <w:vAlign w:val="top"/>
          </w:tcPr>
          <w:p w14:paraId="0BA5000E">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0.165</w:t>
            </w:r>
          </w:p>
        </w:tc>
        <w:tc>
          <w:tcPr>
            <w:tcW w:w="1840" w:type="dxa"/>
            <w:vAlign w:val="top"/>
          </w:tcPr>
          <w:p w14:paraId="64481E21">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0.210</w:t>
            </w:r>
          </w:p>
        </w:tc>
        <w:tc>
          <w:tcPr>
            <w:tcW w:w="1843" w:type="dxa"/>
            <w:vAlign w:val="top"/>
          </w:tcPr>
          <w:p w14:paraId="0C5A4305">
            <w:pPr>
              <w:spacing w:before="89" w:line="216"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4.592</w:t>
            </w:r>
          </w:p>
        </w:tc>
        <w:tc>
          <w:tcPr>
            <w:tcW w:w="1989" w:type="dxa"/>
            <w:vAlign w:val="top"/>
          </w:tcPr>
          <w:p w14:paraId="31540CD8">
            <w:pPr>
              <w:spacing w:before="89" w:line="216"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4.432</w:t>
            </w:r>
          </w:p>
        </w:tc>
      </w:tr>
      <w:tr w14:paraId="4ADF4B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958ABE1">
            <w:pPr>
              <w:spacing w:before="89"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1842" w:type="dxa"/>
            <w:vAlign w:val="top"/>
          </w:tcPr>
          <w:p w14:paraId="3EE669C0">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0.153</w:t>
            </w:r>
          </w:p>
        </w:tc>
        <w:tc>
          <w:tcPr>
            <w:tcW w:w="1840" w:type="dxa"/>
            <w:vAlign w:val="top"/>
          </w:tcPr>
          <w:p w14:paraId="02FDF9ED">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0.195</w:t>
            </w:r>
          </w:p>
        </w:tc>
        <w:tc>
          <w:tcPr>
            <w:tcW w:w="1843" w:type="dxa"/>
            <w:vAlign w:val="top"/>
          </w:tcPr>
          <w:p w14:paraId="5B1EBB8F">
            <w:pPr>
              <w:spacing w:before="89" w:line="215"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4.348</w:t>
            </w:r>
          </w:p>
        </w:tc>
        <w:tc>
          <w:tcPr>
            <w:tcW w:w="1989" w:type="dxa"/>
            <w:vAlign w:val="top"/>
          </w:tcPr>
          <w:p w14:paraId="6F680BD2">
            <w:pPr>
              <w:spacing w:before="89" w:line="215"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4.205</w:t>
            </w:r>
          </w:p>
        </w:tc>
      </w:tr>
      <w:tr w14:paraId="5737C9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39DC6D11">
            <w:pPr>
              <w:spacing w:before="92"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1842" w:type="dxa"/>
            <w:vAlign w:val="top"/>
          </w:tcPr>
          <w:p w14:paraId="307F24A3">
            <w:pPr>
              <w:spacing w:before="92"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0.142</w:t>
            </w:r>
          </w:p>
        </w:tc>
        <w:tc>
          <w:tcPr>
            <w:tcW w:w="1840" w:type="dxa"/>
            <w:vAlign w:val="top"/>
          </w:tcPr>
          <w:p w14:paraId="7C6A7BBB">
            <w:pPr>
              <w:spacing w:before="92"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0.181</w:t>
            </w:r>
          </w:p>
        </w:tc>
        <w:tc>
          <w:tcPr>
            <w:tcW w:w="1843" w:type="dxa"/>
            <w:vAlign w:val="top"/>
          </w:tcPr>
          <w:p w14:paraId="2EBDE206">
            <w:pPr>
              <w:spacing w:before="92" w:line="215"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4.124</w:t>
            </w:r>
          </w:p>
        </w:tc>
        <w:tc>
          <w:tcPr>
            <w:tcW w:w="1989" w:type="dxa"/>
            <w:vAlign w:val="top"/>
          </w:tcPr>
          <w:p w14:paraId="4B87DBF8">
            <w:pPr>
              <w:spacing w:before="92" w:line="215"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3.994</w:t>
            </w:r>
          </w:p>
        </w:tc>
      </w:tr>
      <w:tr w14:paraId="42ECB9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9C99DE4">
            <w:pPr>
              <w:spacing w:before="90" w:line="214"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w:t>
            </w:r>
          </w:p>
        </w:tc>
        <w:tc>
          <w:tcPr>
            <w:tcW w:w="1842" w:type="dxa"/>
            <w:vAlign w:val="top"/>
          </w:tcPr>
          <w:p w14:paraId="19295557">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0.132</w:t>
            </w:r>
          </w:p>
        </w:tc>
        <w:tc>
          <w:tcPr>
            <w:tcW w:w="1840" w:type="dxa"/>
            <w:vAlign w:val="top"/>
          </w:tcPr>
          <w:p w14:paraId="2C1F6777">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0.168</w:t>
            </w:r>
          </w:p>
        </w:tc>
        <w:tc>
          <w:tcPr>
            <w:tcW w:w="1843" w:type="dxa"/>
            <w:vAlign w:val="top"/>
          </w:tcPr>
          <w:p w14:paraId="57AB7BAA">
            <w:pPr>
              <w:spacing w:before="90" w:line="214"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3.916</w:t>
            </w:r>
          </w:p>
        </w:tc>
        <w:tc>
          <w:tcPr>
            <w:tcW w:w="1989" w:type="dxa"/>
            <w:vAlign w:val="top"/>
          </w:tcPr>
          <w:p w14:paraId="670317B9">
            <w:pPr>
              <w:spacing w:before="90" w:line="214"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3.799</w:t>
            </w:r>
          </w:p>
        </w:tc>
      </w:tr>
      <w:tr w14:paraId="566F9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67A20BF">
            <w:pPr>
              <w:spacing w:before="91" w:line="213"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842" w:type="dxa"/>
            <w:vAlign w:val="top"/>
          </w:tcPr>
          <w:p w14:paraId="6268A08A">
            <w:pPr>
              <w:spacing w:before="91"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0.123</w:t>
            </w:r>
          </w:p>
        </w:tc>
        <w:tc>
          <w:tcPr>
            <w:tcW w:w="1840" w:type="dxa"/>
            <w:vAlign w:val="top"/>
          </w:tcPr>
          <w:p w14:paraId="1222E4EC">
            <w:pPr>
              <w:spacing w:before="91"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0.157</w:t>
            </w:r>
          </w:p>
        </w:tc>
        <w:tc>
          <w:tcPr>
            <w:tcW w:w="1843" w:type="dxa"/>
            <w:vAlign w:val="top"/>
          </w:tcPr>
          <w:p w14:paraId="6622BF39">
            <w:pPr>
              <w:spacing w:before="91" w:line="213"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3.723</w:t>
            </w:r>
          </w:p>
        </w:tc>
        <w:tc>
          <w:tcPr>
            <w:tcW w:w="1989" w:type="dxa"/>
            <w:vAlign w:val="top"/>
          </w:tcPr>
          <w:p w14:paraId="25DC24C0">
            <w:pPr>
              <w:spacing w:before="91" w:line="213"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3.618</w:t>
            </w:r>
          </w:p>
        </w:tc>
      </w:tr>
      <w:tr w14:paraId="6ABA27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9CA5C1F">
            <w:pPr>
              <w:spacing w:before="91"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w:t>
            </w:r>
          </w:p>
        </w:tc>
        <w:tc>
          <w:tcPr>
            <w:tcW w:w="1842" w:type="dxa"/>
            <w:vAlign w:val="top"/>
          </w:tcPr>
          <w:p w14:paraId="26E6570A">
            <w:pPr>
              <w:spacing w:before="91" w:line="214"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0.115</w:t>
            </w:r>
          </w:p>
        </w:tc>
        <w:tc>
          <w:tcPr>
            <w:tcW w:w="1840" w:type="dxa"/>
            <w:vAlign w:val="top"/>
          </w:tcPr>
          <w:p w14:paraId="650B7884">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0.146</w:t>
            </w:r>
          </w:p>
        </w:tc>
        <w:tc>
          <w:tcPr>
            <w:tcW w:w="1843" w:type="dxa"/>
            <w:vAlign w:val="top"/>
          </w:tcPr>
          <w:p w14:paraId="71432E3E">
            <w:pPr>
              <w:spacing w:before="91" w:line="214"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3.545</w:t>
            </w:r>
          </w:p>
        </w:tc>
        <w:tc>
          <w:tcPr>
            <w:tcW w:w="1989" w:type="dxa"/>
            <w:vAlign w:val="top"/>
          </w:tcPr>
          <w:p w14:paraId="631A735E">
            <w:pPr>
              <w:spacing w:before="91" w:line="214"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3.449</w:t>
            </w:r>
          </w:p>
        </w:tc>
      </w:tr>
      <w:tr w14:paraId="55BE3C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BE1A87B">
            <w:pPr>
              <w:spacing w:before="91" w:line="213"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w:t>
            </w:r>
          </w:p>
        </w:tc>
        <w:tc>
          <w:tcPr>
            <w:tcW w:w="1842" w:type="dxa"/>
            <w:vAlign w:val="top"/>
          </w:tcPr>
          <w:p w14:paraId="53DE3394">
            <w:pPr>
              <w:spacing w:before="91"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0.108</w:t>
            </w:r>
          </w:p>
        </w:tc>
        <w:tc>
          <w:tcPr>
            <w:tcW w:w="1840" w:type="dxa"/>
            <w:vAlign w:val="top"/>
          </w:tcPr>
          <w:p w14:paraId="620D1B62">
            <w:pPr>
              <w:spacing w:before="91"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0.137</w:t>
            </w:r>
          </w:p>
        </w:tc>
        <w:tc>
          <w:tcPr>
            <w:tcW w:w="1843" w:type="dxa"/>
            <w:vAlign w:val="top"/>
          </w:tcPr>
          <w:p w14:paraId="053D3D20">
            <w:pPr>
              <w:spacing w:before="91" w:line="213"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3.379</w:t>
            </w:r>
          </w:p>
        </w:tc>
        <w:tc>
          <w:tcPr>
            <w:tcW w:w="1989" w:type="dxa"/>
            <w:vAlign w:val="top"/>
          </w:tcPr>
          <w:p w14:paraId="5F844551">
            <w:pPr>
              <w:spacing w:before="91" w:line="213"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3.292</w:t>
            </w:r>
          </w:p>
        </w:tc>
      </w:tr>
      <w:tr w14:paraId="4D3382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91755F6">
            <w:pPr>
              <w:spacing w:before="91" w:line="213"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1842" w:type="dxa"/>
            <w:vAlign w:val="top"/>
          </w:tcPr>
          <w:p w14:paraId="05E7CF1C">
            <w:pPr>
              <w:spacing w:before="91"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0.102</w:t>
            </w:r>
          </w:p>
        </w:tc>
        <w:tc>
          <w:tcPr>
            <w:tcW w:w="1840" w:type="dxa"/>
            <w:vAlign w:val="top"/>
          </w:tcPr>
          <w:p w14:paraId="39756B68">
            <w:pPr>
              <w:spacing w:before="91"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0.128</w:t>
            </w:r>
          </w:p>
        </w:tc>
        <w:tc>
          <w:tcPr>
            <w:tcW w:w="1843" w:type="dxa"/>
            <w:vAlign w:val="top"/>
          </w:tcPr>
          <w:p w14:paraId="68AB59E9">
            <w:pPr>
              <w:spacing w:before="91" w:line="213"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3.224</w:t>
            </w:r>
          </w:p>
        </w:tc>
        <w:tc>
          <w:tcPr>
            <w:tcW w:w="1989" w:type="dxa"/>
            <w:vAlign w:val="top"/>
          </w:tcPr>
          <w:p w14:paraId="36808093">
            <w:pPr>
              <w:spacing w:before="91" w:line="213"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3.145</w:t>
            </w:r>
          </w:p>
        </w:tc>
      </w:tr>
      <w:tr w14:paraId="111EB9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5BA27A95">
            <w:pPr>
              <w:spacing w:before="94" w:line="213"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w:t>
            </w:r>
          </w:p>
        </w:tc>
        <w:tc>
          <w:tcPr>
            <w:tcW w:w="1842" w:type="dxa"/>
            <w:vAlign w:val="top"/>
          </w:tcPr>
          <w:p w14:paraId="53C40DF9">
            <w:pPr>
              <w:spacing w:before="94"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0.096</w:t>
            </w:r>
          </w:p>
        </w:tc>
        <w:tc>
          <w:tcPr>
            <w:tcW w:w="1840" w:type="dxa"/>
            <w:vAlign w:val="top"/>
          </w:tcPr>
          <w:p w14:paraId="3EF94808">
            <w:pPr>
              <w:spacing w:before="94"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0.120</w:t>
            </w:r>
          </w:p>
        </w:tc>
        <w:tc>
          <w:tcPr>
            <w:tcW w:w="1843" w:type="dxa"/>
            <w:vAlign w:val="top"/>
          </w:tcPr>
          <w:p w14:paraId="50C9F284">
            <w:pPr>
              <w:spacing w:before="94" w:line="213"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3.080</w:t>
            </w:r>
          </w:p>
        </w:tc>
        <w:tc>
          <w:tcPr>
            <w:tcW w:w="1989" w:type="dxa"/>
            <w:vAlign w:val="top"/>
          </w:tcPr>
          <w:p w14:paraId="7FCF479E">
            <w:pPr>
              <w:spacing w:before="94" w:line="213"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3.008</w:t>
            </w:r>
          </w:p>
        </w:tc>
      </w:tr>
      <w:tr w14:paraId="4ABA24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893DCE3">
            <w:pPr>
              <w:spacing w:before="92" w:line="213"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c>
          <w:tcPr>
            <w:tcW w:w="1842" w:type="dxa"/>
            <w:vAlign w:val="top"/>
          </w:tcPr>
          <w:p w14:paraId="0A813FC3">
            <w:pPr>
              <w:spacing w:before="92"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0.090</w:t>
            </w:r>
          </w:p>
        </w:tc>
        <w:tc>
          <w:tcPr>
            <w:tcW w:w="1840" w:type="dxa"/>
            <w:vAlign w:val="top"/>
          </w:tcPr>
          <w:p w14:paraId="55AC2F9F">
            <w:pPr>
              <w:spacing w:before="92" w:line="213"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0.113</w:t>
            </w:r>
          </w:p>
        </w:tc>
        <w:tc>
          <w:tcPr>
            <w:tcW w:w="1843" w:type="dxa"/>
            <w:vAlign w:val="top"/>
          </w:tcPr>
          <w:p w14:paraId="41ABA0C9">
            <w:pPr>
              <w:spacing w:before="92"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2.945</w:t>
            </w:r>
          </w:p>
        </w:tc>
        <w:tc>
          <w:tcPr>
            <w:tcW w:w="1989" w:type="dxa"/>
            <w:vAlign w:val="top"/>
          </w:tcPr>
          <w:p w14:paraId="4E296E64">
            <w:pPr>
              <w:spacing w:before="92" w:line="213"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2.879</w:t>
            </w:r>
          </w:p>
        </w:tc>
      </w:tr>
      <w:tr w14:paraId="3E3E5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AEF118F">
            <w:pPr>
              <w:spacing w:before="92" w:line="212"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w:t>
            </w:r>
          </w:p>
        </w:tc>
        <w:tc>
          <w:tcPr>
            <w:tcW w:w="1842" w:type="dxa"/>
            <w:vAlign w:val="top"/>
          </w:tcPr>
          <w:p w14:paraId="1E6960F4">
            <w:pPr>
              <w:spacing w:before="92" w:line="212"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0.085</w:t>
            </w:r>
          </w:p>
        </w:tc>
        <w:tc>
          <w:tcPr>
            <w:tcW w:w="1840" w:type="dxa"/>
            <w:vAlign w:val="top"/>
          </w:tcPr>
          <w:p w14:paraId="09C2CF2A">
            <w:pPr>
              <w:spacing w:before="92" w:line="212"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0.106</w:t>
            </w:r>
          </w:p>
        </w:tc>
        <w:tc>
          <w:tcPr>
            <w:tcW w:w="1843" w:type="dxa"/>
            <w:vAlign w:val="top"/>
          </w:tcPr>
          <w:p w14:paraId="2C92E3D6">
            <w:pPr>
              <w:spacing w:before="92" w:line="212"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2.819</w:t>
            </w:r>
          </w:p>
        </w:tc>
        <w:tc>
          <w:tcPr>
            <w:tcW w:w="1989" w:type="dxa"/>
            <w:vAlign w:val="top"/>
          </w:tcPr>
          <w:p w14:paraId="46604294">
            <w:pPr>
              <w:spacing w:before="92" w:line="212"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2.759</w:t>
            </w:r>
          </w:p>
        </w:tc>
      </w:tr>
      <w:tr w14:paraId="52CEA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753CC8A">
            <w:pPr>
              <w:spacing w:before="92" w:line="213"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w:t>
            </w:r>
          </w:p>
        </w:tc>
        <w:tc>
          <w:tcPr>
            <w:tcW w:w="1842" w:type="dxa"/>
            <w:vAlign w:val="top"/>
          </w:tcPr>
          <w:p w14:paraId="48FE83CA">
            <w:pPr>
              <w:spacing w:before="92"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0.081</w:t>
            </w:r>
          </w:p>
        </w:tc>
        <w:tc>
          <w:tcPr>
            <w:tcW w:w="1840" w:type="dxa"/>
            <w:vAlign w:val="top"/>
          </w:tcPr>
          <w:p w14:paraId="429A50F0">
            <w:pPr>
              <w:spacing w:before="92"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0.100</w:t>
            </w:r>
          </w:p>
        </w:tc>
        <w:tc>
          <w:tcPr>
            <w:tcW w:w="1843" w:type="dxa"/>
            <w:vAlign w:val="top"/>
          </w:tcPr>
          <w:p w14:paraId="252C6584">
            <w:pPr>
              <w:spacing w:before="92"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2.701</w:t>
            </w:r>
          </w:p>
        </w:tc>
        <w:tc>
          <w:tcPr>
            <w:tcW w:w="1989" w:type="dxa"/>
            <w:vAlign w:val="top"/>
          </w:tcPr>
          <w:p w14:paraId="18B3292C">
            <w:pPr>
              <w:spacing w:before="92" w:line="213"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2.645</w:t>
            </w:r>
          </w:p>
        </w:tc>
      </w:tr>
      <w:tr w14:paraId="1FED8B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4602F8E">
            <w:pPr>
              <w:spacing w:before="92" w:line="213"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w:t>
            </w:r>
          </w:p>
        </w:tc>
        <w:tc>
          <w:tcPr>
            <w:tcW w:w="1842" w:type="dxa"/>
            <w:vAlign w:val="top"/>
          </w:tcPr>
          <w:p w14:paraId="16229599">
            <w:pPr>
              <w:spacing w:before="92"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0.076</w:t>
            </w:r>
          </w:p>
        </w:tc>
        <w:tc>
          <w:tcPr>
            <w:tcW w:w="1840" w:type="dxa"/>
            <w:vAlign w:val="top"/>
          </w:tcPr>
          <w:p w14:paraId="58D4F253">
            <w:pPr>
              <w:spacing w:before="92"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0.094</w:t>
            </w:r>
          </w:p>
        </w:tc>
        <w:tc>
          <w:tcPr>
            <w:tcW w:w="1843" w:type="dxa"/>
            <w:vAlign w:val="top"/>
          </w:tcPr>
          <w:p w14:paraId="2C050B4F">
            <w:pPr>
              <w:spacing w:before="92"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2.590</w:t>
            </w:r>
          </w:p>
        </w:tc>
        <w:tc>
          <w:tcPr>
            <w:tcW w:w="1989" w:type="dxa"/>
            <w:vAlign w:val="top"/>
          </w:tcPr>
          <w:p w14:paraId="53B1430A">
            <w:pPr>
              <w:spacing w:before="92" w:line="213"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2.539</w:t>
            </w:r>
          </w:p>
        </w:tc>
      </w:tr>
      <w:tr w14:paraId="1B4168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F0B3372">
            <w:pPr>
              <w:spacing w:before="92" w:line="213"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w:t>
            </w:r>
          </w:p>
        </w:tc>
        <w:tc>
          <w:tcPr>
            <w:tcW w:w="1842" w:type="dxa"/>
            <w:vAlign w:val="top"/>
          </w:tcPr>
          <w:p w14:paraId="6AD27B4A">
            <w:pPr>
              <w:spacing w:before="92"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0.072</w:t>
            </w:r>
          </w:p>
        </w:tc>
        <w:tc>
          <w:tcPr>
            <w:tcW w:w="1840" w:type="dxa"/>
            <w:vAlign w:val="top"/>
          </w:tcPr>
          <w:p w14:paraId="5B175C76">
            <w:pPr>
              <w:spacing w:before="92"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0.089</w:t>
            </w:r>
          </w:p>
        </w:tc>
        <w:tc>
          <w:tcPr>
            <w:tcW w:w="1843" w:type="dxa"/>
            <w:vAlign w:val="top"/>
          </w:tcPr>
          <w:p w14:paraId="5361886E">
            <w:pPr>
              <w:spacing w:before="92"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2.486</w:t>
            </w:r>
          </w:p>
        </w:tc>
        <w:tc>
          <w:tcPr>
            <w:tcW w:w="1989" w:type="dxa"/>
            <w:vAlign w:val="top"/>
          </w:tcPr>
          <w:p w14:paraId="2B83289A">
            <w:pPr>
              <w:spacing w:before="92" w:line="213"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2.439</w:t>
            </w:r>
          </w:p>
        </w:tc>
      </w:tr>
      <w:tr w14:paraId="36A47C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559" w:type="dxa"/>
            <w:vAlign w:val="top"/>
          </w:tcPr>
          <w:p w14:paraId="5825C30B">
            <w:pPr>
              <w:spacing w:before="94" w:line="218" w:lineRule="auto"/>
              <w:ind w:left="68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1842" w:type="dxa"/>
            <w:vAlign w:val="top"/>
          </w:tcPr>
          <w:p w14:paraId="29B5F14D">
            <w:pPr>
              <w:spacing w:before="94"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0.069</w:t>
            </w:r>
          </w:p>
        </w:tc>
        <w:tc>
          <w:tcPr>
            <w:tcW w:w="1840" w:type="dxa"/>
            <w:vAlign w:val="top"/>
          </w:tcPr>
          <w:p w14:paraId="474B87FF">
            <w:pPr>
              <w:spacing w:before="94"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0.084</w:t>
            </w:r>
          </w:p>
        </w:tc>
        <w:tc>
          <w:tcPr>
            <w:tcW w:w="1843" w:type="dxa"/>
            <w:vAlign w:val="top"/>
          </w:tcPr>
          <w:p w14:paraId="03DE2B63">
            <w:pPr>
              <w:spacing w:before="94"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2.388</w:t>
            </w:r>
          </w:p>
        </w:tc>
        <w:tc>
          <w:tcPr>
            <w:tcW w:w="1989" w:type="dxa"/>
            <w:vAlign w:val="top"/>
          </w:tcPr>
          <w:p w14:paraId="5DB50D95">
            <w:pPr>
              <w:spacing w:before="94" w:line="218"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2.344</w:t>
            </w:r>
          </w:p>
        </w:tc>
      </w:tr>
    </w:tbl>
    <w:p w14:paraId="0C23DA36">
      <w:pPr>
        <w:spacing w:before="8" w:line="4031" w:lineRule="exact"/>
        <w:ind w:firstLine="1184"/>
      </w:pPr>
      <w:r>
        <mc:AlternateContent>
          <mc:Choice Requires="wps">
            <w:drawing>
              <wp:anchor distT="0" distB="0" distL="0" distR="0" simplePos="0" relativeHeight="251672576" behindDoc="0" locked="0" layoutInCell="1" allowOverlap="1">
                <wp:simplePos x="0" y="0"/>
                <wp:positionH relativeFrom="column">
                  <wp:posOffset>483870</wp:posOffset>
                </wp:positionH>
                <wp:positionV relativeFrom="paragraph">
                  <wp:posOffset>1108075</wp:posOffset>
                </wp:positionV>
                <wp:extent cx="1038860" cy="208280"/>
                <wp:effectExtent l="0" t="0" r="0" b="0"/>
                <wp:wrapNone/>
                <wp:docPr id="82" name="TextBox 82"/>
                <wp:cNvGraphicFramePr/>
                <a:graphic xmlns:a="http://schemas.openxmlformats.org/drawingml/2006/main">
                  <a:graphicData uri="http://schemas.microsoft.com/office/word/2010/wordprocessingShape">
                    <wps:wsp>
                      <wps:cNvSpPr txBox="1"/>
                      <wps:spPr>
                        <a:xfrm rot="16200000">
                          <a:off x="484434" y="1108456"/>
                          <a:ext cx="1038860" cy="20827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AFCD6F1">
                            <w:pPr>
                              <w:spacing w:before="56" w:line="251" w:lineRule="exact"/>
                              <w:ind w:left="20"/>
                              <w:rPr>
                                <w:rFonts w:ascii="宋体" w:hAnsi="宋体" w:eastAsia="宋体" w:cs="宋体"/>
                                <w:sz w:val="19"/>
                                <w:szCs w:val="19"/>
                              </w:rPr>
                            </w:pPr>
                            <w:r>
                              <w:rPr>
                                <w:rFonts w:ascii="宋体" w:hAnsi="宋体" w:eastAsia="宋体" w:cs="宋体"/>
                                <w:color w:val="595959"/>
                                <w:spacing w:val="4"/>
                                <w:position w:val="1"/>
                                <w:sz w:val="19"/>
                                <w:szCs w:val="19"/>
                              </w:rPr>
                              <w:t>电场强度（</w:t>
                            </w:r>
                            <w:r>
                              <w:rPr>
                                <w:rFonts w:ascii="Times New Roman" w:hAnsi="Times New Roman" w:eastAsia="Times New Roman" w:cs="Times New Roman"/>
                                <w:color w:val="595959"/>
                                <w:position w:val="1"/>
                                <w:sz w:val="19"/>
                                <w:szCs w:val="19"/>
                              </w:rPr>
                              <w:t>kV</w:t>
                            </w:r>
                            <w:r>
                              <w:rPr>
                                <w:rFonts w:ascii="Times New Roman" w:hAnsi="Times New Roman" w:eastAsia="Times New Roman" w:cs="Times New Roman"/>
                                <w:color w:val="595959"/>
                                <w:spacing w:val="4"/>
                                <w:position w:val="1"/>
                                <w:sz w:val="19"/>
                                <w:szCs w:val="19"/>
                              </w:rPr>
                              <w:t>/m</w:t>
                            </w:r>
                            <w:r>
                              <w:rPr>
                                <w:rFonts w:ascii="宋体" w:hAnsi="宋体" w:eastAsia="宋体" w:cs="宋体"/>
                                <w:color w:val="595959"/>
                                <w:spacing w:val="4"/>
                                <w:position w:val="1"/>
                                <w:sz w:val="19"/>
                                <w:szCs w:val="19"/>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82" o:spid="_x0000_s1026" o:spt="202" type="#_x0000_t202" style="position:absolute;left:0pt;margin-left:38.1pt;margin-top:87.25pt;height:16.4pt;width:81.8pt;rotation:-5898240f;z-index:251672576;mso-width-relative:page;mso-height-relative:page;" filled="f" stroked="f" coordsize="21600,21600" o:gfxdata="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BgCsZ02QAAAAoBAAAP&#10;AAAAAAAAAAEAIAAAACIAAABkcnMvZG93bnJldi54bWxQSwECFAAUAAAACACHTuJAs4XMh1ACAACj&#10;BAAADgAAAAAAAAABACAAAAAoAQAAZHJzL2Uyb0RvYy54bWxQSwUGAAAAAAYABgBZAQAA6gUAAAAA&#10;">
                <v:fill on="f" focussize="0,0"/>
                <v:stroke on="f" weight="0pt" miterlimit="0" joinstyle="miter"/>
                <v:imagedata o:title=""/>
                <o:lock v:ext="edit" aspectratio="f"/>
                <v:textbox inset="0mm,0mm,0mm,0mm">
                  <w:txbxContent>
                    <w:p w14:paraId="4AFCD6F1">
                      <w:pPr>
                        <w:spacing w:before="56" w:line="251" w:lineRule="exact"/>
                        <w:ind w:left="20"/>
                        <w:rPr>
                          <w:rFonts w:ascii="宋体" w:hAnsi="宋体" w:eastAsia="宋体" w:cs="宋体"/>
                          <w:sz w:val="19"/>
                          <w:szCs w:val="19"/>
                        </w:rPr>
                      </w:pPr>
                      <w:r>
                        <w:rPr>
                          <w:rFonts w:ascii="宋体" w:hAnsi="宋体" w:eastAsia="宋体" w:cs="宋体"/>
                          <w:color w:val="595959"/>
                          <w:spacing w:val="4"/>
                          <w:position w:val="1"/>
                          <w:sz w:val="19"/>
                          <w:szCs w:val="19"/>
                        </w:rPr>
                        <w:t>电场强度（</w:t>
                      </w:r>
                      <w:r>
                        <w:rPr>
                          <w:rFonts w:ascii="Times New Roman" w:hAnsi="Times New Roman" w:eastAsia="Times New Roman" w:cs="Times New Roman"/>
                          <w:color w:val="595959"/>
                          <w:position w:val="1"/>
                          <w:sz w:val="19"/>
                          <w:szCs w:val="19"/>
                        </w:rPr>
                        <w:t>kV</w:t>
                      </w:r>
                      <w:r>
                        <w:rPr>
                          <w:rFonts w:ascii="Times New Roman" w:hAnsi="Times New Roman" w:eastAsia="Times New Roman" w:cs="Times New Roman"/>
                          <w:color w:val="595959"/>
                          <w:spacing w:val="4"/>
                          <w:position w:val="1"/>
                          <w:sz w:val="19"/>
                          <w:szCs w:val="19"/>
                        </w:rPr>
                        <w:t>/m</w:t>
                      </w:r>
                      <w:r>
                        <w:rPr>
                          <w:rFonts w:ascii="宋体" w:hAnsi="宋体" w:eastAsia="宋体" w:cs="宋体"/>
                          <w:color w:val="595959"/>
                          <w:spacing w:val="4"/>
                          <w:position w:val="1"/>
                          <w:sz w:val="19"/>
                          <w:szCs w:val="19"/>
                        </w:rPr>
                        <w:t>）</w:t>
                      </w:r>
                    </w:p>
                  </w:txbxContent>
                </v:textbox>
              </v:shape>
            </w:pict>
          </mc:Fallback>
        </mc:AlternateContent>
      </w:r>
      <w:r>
        <w:rPr>
          <w:position w:val="-80"/>
        </w:rPr>
        <w:pict>
          <v:group id="_x0000_s1168" o:spid="_x0000_s1168" o:spt="203" style="height:201.6pt;width:335.25pt;" coordsize="6705,4032">
            <o:lock v:ext="edit"/>
            <v:group id="_x0000_s1169" o:spid="_x0000_s1169" o:spt="203" style="position:absolute;left:0;top:0;height:4032;width:6705;" coordsize="6705,4032">
              <o:lock v:ext="edit"/>
              <v:shape id="_x0000_s1170" o:spid="_x0000_s1170" style="position:absolute;left:1000;top:719;height:2375;width:5417;" filled="f" stroked="t" coordsize="5417,2375" path="m0,2366l5417,2366m0,2304l5417,2304m0,2241l5417,2241m0,2179l5417,2179m0,2054l5417,2054m0,1994l5417,1994m0,1932l5417,1932m0,1869l5417,1869m0,1745l5417,1745m0,1682l5417,1682m0,1620l5417,1620m0,1560l5417,1560m0,1435l5417,1435m0,1373l5417,1373m0,1310l5417,1310m0,1248l5417,1248m0,1123l5417,1123m0,1063l5417,1063m0,1001l5417,1001m0,938l5417,938m0,813l5417,813m0,751l5417,751m0,689l5417,689m0,629l5417,629m0,504l5417,504m0,441l5417,441m0,379l5417,379m0,317l5417,317m0,194l5417,194m0,132l5417,132m0,69l5417,69m0,7l5417,7e">
                <v:fill on="f" focussize="0,0"/>
                <v:stroke color="#F2F2F2" miterlimit="10"/>
                <v:imagedata o:title=""/>
                <o:lock v:ext="edit"/>
              </v:shape>
              <v:shape id="_x0000_s1171" o:spid="_x0000_s1171" style="position:absolute;left:1000;top:657;height:2186;width:5417;" filled="f" stroked="t" coordsize="5417,2186" path="m0,2179l5417,2179m0,1869l5417,1869m0,1559l5417,1559m0,1247l5417,1247m0,938l5417,938m0,628l5417,628m0,316l5417,316m0,7l5417,7e">
                <v:fill on="f" focussize="0,0"/>
                <v:stroke color="#D9D9D9" miterlimit="10"/>
                <v:imagedata o:title=""/>
                <o:lock v:ext="edit"/>
              </v:shape>
              <v:shape id="_x0000_s1172" o:spid="_x0000_s1172" style="position:absolute;left:1128;top:664;height:2483;width:5111;" filled="f" stroked="t" coordsize="5111,2483" path="m7,0l7,2482m273,0l273,2482m542,0l542,2482m811,0l811,2482m1080,0l1080,2482m1346,0l1346,2482m1615,0l1615,2482m1884,0l1884,2482m2153,0l2153,2482m2419,0l2419,2482m2688,0l2688,2482m2957,0l2957,2482m3225,0l3225,2482m3492,0l3492,2482m3761,0l3761,2482m4029,0l4029,2482m4298,0l4298,2482m4565,0l4565,2482m4833,0l4833,2482m5102,0l5102,2482e">
                <v:fill on="f" focussize="0,0"/>
                <v:stroke color="#F2F2F2" miterlimit="10"/>
                <v:imagedata o:title=""/>
                <o:lock v:ext="edit"/>
              </v:shape>
              <v:shape id="_x0000_s1173" o:spid="_x0000_s1173" style="position:absolute;left:993;top:664;height:2483;width:5380;" filled="f" stroked="t" coordsize="5380,2483" path="m7,0l7,2482m274,0l274,2482m543,0l543,2482m812,0l812,2482m1081,0l1081,2482m1347,0l1347,2482m1616,0l1616,2482m1885,0l1885,2482m2153,0l2153,2482m2420,0l2420,2482m2689,0l2689,2482m2957,0l2957,2482m3226,0l3226,2482m3495,0l3495,2482m3761,0l3761,2482m4030,0l4030,2482m4299,0l4299,2482m4568,0l4568,2482m4834,0l4834,2482m5103,0l5103,2482m5371,0l5371,2482e">
                <v:fill on="f" focussize="0,0"/>
                <v:stroke color="#D9D9D9" miterlimit="10"/>
                <v:imagedata o:title=""/>
                <o:lock v:ext="edit"/>
              </v:shape>
              <v:shape id="_x0000_s1174" o:spid="_x0000_s1174" style="position:absolute;left:993;top:3093;height:106;width:5425;" filled="f" stroked="t" coordsize="5425,106" path="m7,53l5425,53m7,0l7,106m274,0l274,106m543,0l543,106m812,0l812,106m1081,0l1081,106m1347,0l1347,106m1616,0l1616,106m1885,0l1885,106m2153,0l2153,106m2420,0l2420,106m2689,0l2689,106m2957,0l2957,106m3226,0l3226,106m3495,0l3495,106m3761,0l3761,106m4030,0l4030,106m4299,0l4299,106m4568,0l4568,106m4834,0l4834,106m5103,0l5103,106m5371,0l5371,106e">
                <v:fill on="f" focussize="0,0"/>
                <v:stroke color="#000000" miterlimit="10"/>
                <v:imagedata o:title=""/>
                <o:lock v:ext="edit"/>
              </v:shape>
              <v:shape id="_x0000_s1175" o:spid="_x0000_s1175" style="position:absolute;left:1012;top:909;height:2231;width:5395;" filled="f" stroked="t" coordsize="5395,2231" path="m15,2215c33,2214,50,2214,68,2214c86,2213,104,2213,122,2212c140,2212,158,2211,176,2211c193,2210,211,2210,229,2209c247,2209,265,2208,283,2208c301,2207,319,2206,336,2206c354,2205,372,2205,390,2204c408,2203,426,2203,444,2202c462,2201,480,2200,497,2199c515,2198,533,2197,551,2197c569,2196,587,2195,605,2194c623,2193,640,2192,658,2190c676,2189,694,2188,712,2187c730,2185,748,2184,766,2183c784,2181,801,2180,819,2178c837,2176,855,2175,873,2173c891,2171,909,2169,927,2167c944,2165,962,2163,980,2160c998,2158,1016,2155,1034,2153c1052,2150,1070,2147,1088,2144c1105,2141,1123,2138,1141,2134c1159,2131,1177,2127,1195,2123c1213,2119,1231,2114,1248,2109c1266,2105,1284,2099,1302,2094c1320,2088,1338,2082,1356,2076c1374,2069,1391,2062,1409,2054c1427,2047,1445,2038,1463,2029c1481,2020,1499,2010,1516,1999c1534,1988,1552,1976,1570,1963c1588,1950,1606,1936,1624,1920c1642,1904,1660,1886,1678,1867c1695,1847,1713,1827,1731,1803c1749,1779,1767,1753,1785,1724c1803,1695,1821,1664,1838,1628c1856,1592,1874,1553,1892,1509c1910,1465,1928,1418,1946,1364c1963,1310,1982,1252,1999,1188c2017,1124,2035,1053,2053,979c2071,904,2089,822,2107,739c2124,656,2142,566,2160,483c2178,400,2196,311,2214,241c2232,172,2250,104,2268,66c2283,33,2306,8,2321,16c2338,25,2358,66,2375,123c2393,182,2411,274,2428,371c2446,467,2464,589,2482,704c2500,819,2518,946,2536,1061c2554,1175,2572,1296,2590,1391c2607,1486,2625,1585,2643,1633c2655,1666,2684,1694,2697,1678c2714,1654,2732,1575,2750,1492c2768,1410,2786,1295,2804,1185c2822,1075,2840,950,2858,833c2876,717,2893,592,2911,488c2929,384,2947,281,2965,208c2983,136,3001,79,3018,54c3034,32,3057,36,3072,57c3090,82,3108,138,3126,199c3144,261,3162,345,3180,426c3197,506,3215,597,3233,680c3251,764,3269,849,3287,926c3305,1003,3322,1076,3341,1143c3358,1210,3376,1272,3394,1328c3412,1384,3430,1434,3448,1480c3466,1527,3483,1567,3501,1605c3519,1643,3537,1676,3555,1707c3573,1737,3591,1764,3609,1789c3626,1814,3644,1836,3662,1856c3680,1876,3698,1894,3716,1911c3734,1928,3752,1943,3770,1956c3788,1970,3805,1982,3823,1994c3841,2005,3859,2015,3877,2025c3895,2035,3913,2043,3931,2051c3948,2059,3966,2066,3984,2073c4002,2079,4020,2086,4038,2091c4056,2097,4073,2102,4092,2107c4109,2112,4127,2117,4145,2121c4163,2125,4181,2129,4199,2133c4217,2136,4234,2139,4252,2143c4270,2146,4288,2148,4306,2151c4324,2154,4342,2157,4360,2159c4378,2161,4396,2164,4413,2166c4431,2168,4449,2170,4467,2172c4485,2174,4503,2175,4521,2177c4538,2179,4556,2180,4574,2182c4592,2183,4610,2184,4628,2186c4646,2187,4664,2188,4682,2189c4700,2191,4717,2192,4735,2193c4753,2194,4771,2195,4789,2196c4807,2197,4824,2198,4842,2199c4860,2200,4878,2200,4896,2201c4914,2202,4932,2203,4950,2203c4968,2204,4986,2205,5003,2205c5021,2206,5039,2206,5057,2207c5075,2208,5093,2208,5111,2209c5129,2210,5146,2210,5164,2210c5182,2211,5200,2211,5218,2212c5236,2212,5254,2213,5272,2213c5290,2214,5307,2214,5325,2215c5343,2215,5361,2215,5379,2215e">
                <v:fill on="f" focussize="0,0"/>
                <v:stroke weight="1.5pt" color="#FF0000" miterlimit="10" endcap="round"/>
                <v:imagedata o:title=""/>
                <o:lock v:ext="edit"/>
              </v:shape>
              <v:shape id="_x0000_s1176" o:spid="_x0000_s1176" style="position:absolute;left:1012;top:1940;height:1195;width:5395;" filled="f" stroked="t" coordsize="5395,1195" path="m15,1179c33,1178,50,1178,68,1177c86,1177,104,1176,122,1175c140,1175,158,1174,176,1174c193,1173,211,1172,229,1171c247,1171,265,1170,283,1169c301,1168,319,1168,336,1167c354,1166,372,1165,390,1164c408,1163,426,1162,444,1161c462,1160,480,1159,497,1158c515,1157,533,1156,551,1154c569,1153,587,1152,605,1151c623,1149,640,1148,658,1146c676,1145,694,1143,712,1141c730,1140,748,1138,766,1136c784,1134,801,1132,819,1130c837,1128,855,1126,873,1124c891,1121,909,1119,927,1116c944,1114,962,1111,980,1108c998,1105,1016,1102,1034,1098c1052,1095,1070,1091,1088,1088c1105,1084,1123,1080,1141,1076c1159,1072,1177,1067,1195,1062c1213,1057,1231,1052,1248,1047c1266,1041,1284,1035,1302,1029c1320,1023,1338,1016,1356,1009c1374,1002,1391,994,1409,986c1427,977,1445,968,1463,959c1481,949,1499,939,1516,928c1534,917,1552,905,1570,892c1588,880,1606,866,1624,852c1642,837,1660,822,1678,805c1695,788,1713,770,1731,750c1749,731,1767,711,1785,689c1803,667,1821,643,1838,618c1856,594,1874,567,1892,540c1910,512,1928,483,1946,453c1963,423,1982,392,1999,361c2017,329,2035,297,2053,266c2071,235,2089,203,2107,175c2124,146,2142,118,2160,95c2178,73,2196,52,2214,38c2232,25,2250,15,2268,15c2286,14,2303,19,2321,33c2339,47,2357,68,2375,97c2393,125,2411,162,2428,204c2446,245,2464,294,2482,344c2500,394,2518,451,2536,503c2554,555,2572,613,2590,659c2607,704,2625,752,2643,775c2661,798,2679,807,2697,797c2714,786,2732,749,2750,711c2768,672,2786,616,2804,566c2822,515,2840,458,2858,407c2876,355,2893,304,2911,259c2929,215,2947,174,2965,141c2983,109,3001,82,3018,64c3036,45,3054,35,3072,31c3090,28,3108,33,3126,43c3144,52,3162,70,3180,90c3197,110,3215,136,3233,163c3251,190,3269,221,3287,251c3305,281,3322,314,3341,345c3358,376,3376,407,3394,438c3412,468,3430,497,3448,525c3466,553,3483,580,3501,606c3519,631,3537,655,3555,678c3573,700,3591,721,3609,741c3626,761,3644,779,3662,797c3680,814,3698,830,3716,845c3734,860,3752,874,3770,887c3788,900,3805,912,3823,924c3841,935,3859,945,3877,955c3895,965,3913,974,3931,982c3948,991,3966,999,3984,1006c4002,1014,4020,1021,4038,1027c4056,1034,4073,1039,4092,1045c4109,1051,4127,1056,4145,1061c4163,1066,4181,1070,4199,1075c4217,1079,4234,1083,4252,1087c4270,1091,4288,1094,4306,1098c4324,1101,4342,1104,4360,1107c4378,1110,4396,1113,4413,1116c4431,1118,4449,1121,4467,1123c4485,1125,4503,1128,4521,1130c4538,1132,4556,1134,4574,1136c4592,1138,4610,1140,4628,1141c4646,1143,4664,1144,4682,1146c4700,1147,4717,1149,4735,1150c4753,1152,4771,1153,4789,1154c4807,1156,4824,1157,4842,1158c4860,1159,4878,1160,4896,1161c4914,1162,4932,1163,4950,1164c4968,1165,4986,1166,5003,1167c5021,1168,5039,1168,5057,1169c5075,1170,5093,1171,5111,1171c5129,1172,5146,1173,5164,1174c5182,1174,5200,1175,5218,1175c5236,1176,5254,1177,5272,1177c5290,1178,5307,1178,5325,1179c5343,1179,5361,1180,5379,1180e">
                <v:fill on="f" focussize="0,0"/>
                <v:stroke weight="1.5pt" color="#00B050" miterlimit="10" endcap="round"/>
                <v:imagedata o:title=""/>
                <o:lock v:ext="edit"/>
              </v:shape>
              <v:shape id="_x0000_s1177" o:spid="_x0000_s1177" style="position:absolute;left:2498;top:271;height:30;width:414;" filled="f" stroked="t" coordsize="414,30" path="m15,15l398,15e">
                <v:fill on="f" focussize="0,0"/>
                <v:stroke weight="1.5pt" color="#FF0000" miterlimit="10" endcap="round"/>
                <v:imagedata o:title=""/>
                <o:lock v:ext="edit"/>
              </v:shape>
              <v:shape id="_x0000_s1178" o:spid="_x0000_s1178" style="position:absolute;left:3456;top:271;height:30;width:414;" filled="f" stroked="t" coordsize="414,30" path="m15,15l398,15e">
                <v:fill on="f" focussize="0,0"/>
                <v:stroke weight="1.5pt" color="#00B050" miterlimit="10" endcap="round"/>
                <v:imagedata o:title=""/>
                <o:lock v:ext="edit"/>
              </v:shape>
              <v:shape id="_x0000_s1179" o:spid="_x0000_s1179" style="position:absolute;left:0;top:0;height:4032;width:6705;" filled="f" stroked="t" coordsize="6705,4032" path="m7,4023l6696,4023,6696,7,7,7,7,4023xe">
                <v:fill on="f" focussize="0,0"/>
                <v:stroke color="#000000" miterlimit="10"/>
                <v:imagedata o:title=""/>
                <o:lock v:ext="edit"/>
              </v:shape>
            </v:group>
            <v:shape id="_x0000_s1180" o:spid="_x0000_s1180" o:spt="202" type="#_x0000_t202" style="position:absolute;left:895;top:198;height:3581;width:5610;" filled="f" stroked="f" coordsize="21600,21600">
              <v:path/>
              <v:fill on="f" focussize="0,0"/>
              <v:stroke on="f"/>
              <v:imagedata o:title=""/>
              <o:lock v:ext="edit" aspectratio="f"/>
              <v:textbox inset="0mm,0mm,0mm,0mm">
                <w:txbxContent>
                  <w:p w14:paraId="17B74214">
                    <w:pPr>
                      <w:spacing w:before="20" w:line="232" w:lineRule="auto"/>
                      <w:ind w:left="2051"/>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6.5m</w:t>
                    </w:r>
                    <w:r>
                      <w:rPr>
                        <w:rFonts w:ascii="Times New Roman" w:hAnsi="Times New Roman" w:eastAsia="Times New Roman" w:cs="Times New Roman"/>
                        <w:color w:val="595959"/>
                        <w:spacing w:val="1"/>
                        <w:sz w:val="18"/>
                        <w:szCs w:val="18"/>
                      </w:rPr>
                      <w:t xml:space="preserve">             </w:t>
                    </w:r>
                    <w:r>
                      <w:rPr>
                        <w:rFonts w:ascii="Times New Roman" w:hAnsi="Times New Roman" w:eastAsia="Times New Roman" w:cs="Times New Roman"/>
                        <w:color w:val="595959"/>
                        <w:spacing w:val="-2"/>
                        <w:sz w:val="18"/>
                        <w:szCs w:val="18"/>
                      </w:rPr>
                      <w:t>9.5m</w:t>
                    </w:r>
                  </w:p>
                  <w:p w14:paraId="72ED2257">
                    <w:pPr>
                      <w:spacing w:line="254" w:lineRule="auto"/>
                      <w:rPr>
                        <w:rFonts w:ascii="Arial"/>
                        <w:sz w:val="21"/>
                      </w:rPr>
                    </w:pPr>
                  </w:p>
                  <w:p w14:paraId="29CF0847">
                    <w:pPr>
                      <w:spacing w:line="255" w:lineRule="auto"/>
                      <w:rPr>
                        <w:rFonts w:ascii="Arial"/>
                        <w:sz w:val="21"/>
                      </w:rPr>
                    </w:pPr>
                  </w:p>
                  <w:p w14:paraId="483B8ABE">
                    <w:pPr>
                      <w:spacing w:line="255" w:lineRule="auto"/>
                      <w:rPr>
                        <w:rFonts w:ascii="Arial"/>
                        <w:sz w:val="21"/>
                      </w:rPr>
                    </w:pPr>
                  </w:p>
                  <w:p w14:paraId="77F83D77">
                    <w:pPr>
                      <w:spacing w:line="255" w:lineRule="auto"/>
                      <w:rPr>
                        <w:rFonts w:ascii="Arial"/>
                        <w:sz w:val="21"/>
                      </w:rPr>
                    </w:pPr>
                  </w:p>
                  <w:p w14:paraId="3E6FE28A">
                    <w:pPr>
                      <w:spacing w:line="255" w:lineRule="auto"/>
                      <w:rPr>
                        <w:rFonts w:ascii="Arial"/>
                        <w:sz w:val="21"/>
                      </w:rPr>
                    </w:pPr>
                  </w:p>
                  <w:p w14:paraId="7333FD9D">
                    <w:pPr>
                      <w:spacing w:line="255" w:lineRule="auto"/>
                      <w:rPr>
                        <w:rFonts w:ascii="Arial"/>
                        <w:sz w:val="21"/>
                      </w:rPr>
                    </w:pPr>
                  </w:p>
                  <w:p w14:paraId="0A0472B0">
                    <w:pPr>
                      <w:spacing w:line="255" w:lineRule="auto"/>
                      <w:rPr>
                        <w:rFonts w:ascii="Arial"/>
                        <w:sz w:val="21"/>
                      </w:rPr>
                    </w:pPr>
                  </w:p>
                  <w:p w14:paraId="4B890DC3">
                    <w:pPr>
                      <w:spacing w:line="255" w:lineRule="auto"/>
                      <w:rPr>
                        <w:rFonts w:ascii="Arial"/>
                        <w:sz w:val="21"/>
                      </w:rPr>
                    </w:pPr>
                  </w:p>
                  <w:p w14:paraId="57EF6515">
                    <w:pPr>
                      <w:spacing w:line="255" w:lineRule="auto"/>
                      <w:rPr>
                        <w:rFonts w:ascii="Arial"/>
                        <w:sz w:val="21"/>
                      </w:rPr>
                    </w:pPr>
                  </w:p>
                  <w:p w14:paraId="505893CE">
                    <w:pPr>
                      <w:spacing w:line="255" w:lineRule="auto"/>
                      <w:rPr>
                        <w:rFonts w:ascii="Arial"/>
                        <w:sz w:val="21"/>
                      </w:rPr>
                    </w:pPr>
                  </w:p>
                  <w:p w14:paraId="3636AAA4">
                    <w:pPr>
                      <w:spacing w:line="255" w:lineRule="auto"/>
                      <w:rPr>
                        <w:rFonts w:ascii="Arial"/>
                        <w:sz w:val="21"/>
                      </w:rPr>
                    </w:pPr>
                  </w:p>
                  <w:p w14:paraId="191A5366">
                    <w:pPr>
                      <w:spacing w:before="51"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-50 -45 -40 -35 -30</w:t>
                    </w:r>
                    <w:r>
                      <w:rPr>
                        <w:rFonts w:ascii="Times New Roman" w:hAnsi="Times New Roman" w:eastAsia="Times New Roman" w:cs="Times New Roman"/>
                        <w:color w:val="595959"/>
                        <w:spacing w:val="-8"/>
                        <w:sz w:val="18"/>
                        <w:szCs w:val="18"/>
                      </w:rPr>
                      <w:t xml:space="preserve"> </w:t>
                    </w:r>
                    <w:r>
                      <w:rPr>
                        <w:rFonts w:ascii="Times New Roman" w:hAnsi="Times New Roman" w:eastAsia="Times New Roman" w:cs="Times New Roman"/>
                        <w:color w:val="595959"/>
                        <w:spacing w:val="-2"/>
                        <w:sz w:val="18"/>
                        <w:szCs w:val="18"/>
                      </w:rPr>
                      <w:t>-25</w:t>
                    </w:r>
                    <w:r>
                      <w:rPr>
                        <w:rFonts w:ascii="Times New Roman" w:hAnsi="Times New Roman" w:eastAsia="Times New Roman" w:cs="Times New Roman"/>
                        <w:color w:val="595959"/>
                        <w:spacing w:val="-9"/>
                        <w:sz w:val="18"/>
                        <w:szCs w:val="18"/>
                      </w:rPr>
                      <w:t xml:space="preserve"> </w:t>
                    </w:r>
                    <w:r>
                      <w:rPr>
                        <w:rFonts w:ascii="Times New Roman" w:hAnsi="Times New Roman" w:eastAsia="Times New Roman" w:cs="Times New Roman"/>
                        <w:color w:val="595959"/>
                        <w:spacing w:val="-2"/>
                        <w:sz w:val="18"/>
                        <w:szCs w:val="18"/>
                      </w:rPr>
                      <w:t>-20</w:t>
                    </w:r>
                    <w:r>
                      <w:rPr>
                        <w:rFonts w:ascii="Times New Roman" w:hAnsi="Times New Roman" w:eastAsia="Times New Roman" w:cs="Times New Roman"/>
                        <w:color w:val="595959"/>
                        <w:spacing w:val="-8"/>
                        <w:sz w:val="18"/>
                        <w:szCs w:val="18"/>
                      </w:rPr>
                      <w:t xml:space="preserve"> </w:t>
                    </w:r>
                    <w:r>
                      <w:rPr>
                        <w:rFonts w:ascii="Times New Roman" w:hAnsi="Times New Roman" w:eastAsia="Times New Roman" w:cs="Times New Roman"/>
                        <w:color w:val="595959"/>
                        <w:spacing w:val="-2"/>
                        <w:sz w:val="18"/>
                        <w:szCs w:val="18"/>
                      </w:rPr>
                      <w:t>-15</w:t>
                    </w:r>
                    <w:r>
                      <w:rPr>
                        <w:rFonts w:ascii="Times New Roman" w:hAnsi="Times New Roman" w:eastAsia="Times New Roman" w:cs="Times New Roman"/>
                        <w:color w:val="595959"/>
                        <w:spacing w:val="-8"/>
                        <w:sz w:val="18"/>
                        <w:szCs w:val="18"/>
                      </w:rPr>
                      <w:t xml:space="preserve"> </w:t>
                    </w:r>
                    <w:r>
                      <w:rPr>
                        <w:rFonts w:ascii="Times New Roman" w:hAnsi="Times New Roman" w:eastAsia="Times New Roman" w:cs="Times New Roman"/>
                        <w:color w:val="595959"/>
                        <w:spacing w:val="-2"/>
                        <w:sz w:val="18"/>
                        <w:szCs w:val="18"/>
                      </w:rPr>
                      <w:t>-10</w:t>
                    </w:r>
                    <w:r>
                      <w:rPr>
                        <w:rFonts w:ascii="Times New Roman" w:hAnsi="Times New Roman" w:eastAsia="Times New Roman" w:cs="Times New Roman"/>
                        <w:color w:val="595959"/>
                        <w:spacing w:val="37"/>
                        <w:w w:val="101"/>
                        <w:sz w:val="18"/>
                        <w:szCs w:val="18"/>
                      </w:rPr>
                      <w:t xml:space="preserve"> </w:t>
                    </w:r>
                    <w:r>
                      <w:rPr>
                        <w:rFonts w:ascii="Times New Roman" w:hAnsi="Times New Roman" w:eastAsia="Times New Roman" w:cs="Times New Roman"/>
                        <w:color w:val="595959"/>
                        <w:spacing w:val="-2"/>
                        <w:sz w:val="18"/>
                        <w:szCs w:val="18"/>
                      </w:rPr>
                      <w:t xml:space="preserve">-5   0   </w:t>
                    </w:r>
                    <w:r>
                      <w:rPr>
                        <w:rFonts w:ascii="Times New Roman" w:hAnsi="Times New Roman" w:eastAsia="Times New Roman" w:cs="Times New Roman"/>
                        <w:color w:val="595959"/>
                        <w:spacing w:val="-3"/>
                        <w:sz w:val="18"/>
                        <w:szCs w:val="18"/>
                      </w:rPr>
                      <w:t xml:space="preserve"> 5   10</w:t>
                    </w:r>
                    <w:r>
                      <w:rPr>
                        <w:rFonts w:ascii="Times New Roman" w:hAnsi="Times New Roman" w:eastAsia="Times New Roman" w:cs="Times New Roman"/>
                        <w:color w:val="595959"/>
                        <w:spacing w:val="9"/>
                        <w:sz w:val="18"/>
                        <w:szCs w:val="18"/>
                      </w:rPr>
                      <w:t xml:space="preserve">  </w:t>
                    </w:r>
                    <w:r>
                      <w:rPr>
                        <w:rFonts w:ascii="Times New Roman" w:hAnsi="Times New Roman" w:eastAsia="Times New Roman" w:cs="Times New Roman"/>
                        <w:color w:val="595959"/>
                        <w:spacing w:val="-3"/>
                        <w:sz w:val="18"/>
                        <w:szCs w:val="18"/>
                      </w:rPr>
                      <w:t>15</w:t>
                    </w:r>
                    <w:r>
                      <w:rPr>
                        <w:rFonts w:ascii="Times New Roman" w:hAnsi="Times New Roman" w:eastAsia="Times New Roman" w:cs="Times New Roman"/>
                        <w:color w:val="595959"/>
                        <w:sz w:val="18"/>
                        <w:szCs w:val="18"/>
                      </w:rPr>
                      <w:t xml:space="preserve">  </w:t>
                    </w:r>
                    <w:r>
                      <w:rPr>
                        <w:rFonts w:ascii="Times New Roman" w:hAnsi="Times New Roman" w:eastAsia="Times New Roman" w:cs="Times New Roman"/>
                        <w:color w:val="595959"/>
                        <w:spacing w:val="-3"/>
                        <w:sz w:val="18"/>
                        <w:szCs w:val="18"/>
                      </w:rPr>
                      <w:t>20</w:t>
                    </w:r>
                    <w:r>
                      <w:rPr>
                        <w:rFonts w:ascii="Times New Roman" w:hAnsi="Times New Roman" w:eastAsia="Times New Roman" w:cs="Times New Roman"/>
                        <w:color w:val="595959"/>
                        <w:spacing w:val="1"/>
                        <w:sz w:val="18"/>
                        <w:szCs w:val="18"/>
                      </w:rPr>
                      <w:t xml:space="preserve">  </w:t>
                    </w:r>
                    <w:r>
                      <w:rPr>
                        <w:rFonts w:ascii="Times New Roman" w:hAnsi="Times New Roman" w:eastAsia="Times New Roman" w:cs="Times New Roman"/>
                        <w:color w:val="595959"/>
                        <w:spacing w:val="-3"/>
                        <w:sz w:val="18"/>
                        <w:szCs w:val="18"/>
                      </w:rPr>
                      <w:t>25</w:t>
                    </w:r>
                    <w:r>
                      <w:rPr>
                        <w:rFonts w:ascii="Times New Roman" w:hAnsi="Times New Roman" w:eastAsia="Times New Roman" w:cs="Times New Roman"/>
                        <w:color w:val="595959"/>
                        <w:spacing w:val="2"/>
                        <w:sz w:val="18"/>
                        <w:szCs w:val="18"/>
                      </w:rPr>
                      <w:t xml:space="preserve">  </w:t>
                    </w:r>
                    <w:r>
                      <w:rPr>
                        <w:rFonts w:ascii="Times New Roman" w:hAnsi="Times New Roman" w:eastAsia="Times New Roman" w:cs="Times New Roman"/>
                        <w:color w:val="595959"/>
                        <w:spacing w:val="-3"/>
                        <w:sz w:val="18"/>
                        <w:szCs w:val="18"/>
                      </w:rPr>
                      <w:t>30</w:t>
                    </w:r>
                    <w:r>
                      <w:rPr>
                        <w:rFonts w:ascii="Times New Roman" w:hAnsi="Times New Roman" w:eastAsia="Times New Roman" w:cs="Times New Roman"/>
                        <w:color w:val="595959"/>
                        <w:spacing w:val="2"/>
                        <w:sz w:val="18"/>
                        <w:szCs w:val="18"/>
                      </w:rPr>
                      <w:t xml:space="preserve">  </w:t>
                    </w:r>
                    <w:r>
                      <w:rPr>
                        <w:rFonts w:ascii="Times New Roman" w:hAnsi="Times New Roman" w:eastAsia="Times New Roman" w:cs="Times New Roman"/>
                        <w:color w:val="595959"/>
                        <w:spacing w:val="-3"/>
                        <w:sz w:val="18"/>
                        <w:szCs w:val="18"/>
                      </w:rPr>
                      <w:t>35  40</w:t>
                    </w:r>
                    <w:r>
                      <w:rPr>
                        <w:rFonts w:ascii="Times New Roman" w:hAnsi="Times New Roman" w:eastAsia="Times New Roman" w:cs="Times New Roman"/>
                        <w:color w:val="595959"/>
                        <w:spacing w:val="45"/>
                        <w:w w:val="102"/>
                        <w:sz w:val="18"/>
                        <w:szCs w:val="18"/>
                      </w:rPr>
                      <w:t xml:space="preserve"> </w:t>
                    </w:r>
                    <w:r>
                      <w:rPr>
                        <w:rFonts w:ascii="Times New Roman" w:hAnsi="Times New Roman" w:eastAsia="Times New Roman" w:cs="Times New Roman"/>
                        <w:color w:val="595959"/>
                        <w:spacing w:val="-3"/>
                        <w:sz w:val="18"/>
                        <w:szCs w:val="18"/>
                      </w:rPr>
                      <w:t>45</w:t>
                    </w:r>
                    <w:r>
                      <w:rPr>
                        <w:rFonts w:ascii="Times New Roman" w:hAnsi="Times New Roman" w:eastAsia="Times New Roman" w:cs="Times New Roman"/>
                        <w:color w:val="595959"/>
                        <w:spacing w:val="2"/>
                        <w:sz w:val="18"/>
                        <w:szCs w:val="18"/>
                      </w:rPr>
                      <w:t xml:space="preserve">  </w:t>
                    </w:r>
                    <w:r>
                      <w:rPr>
                        <w:rFonts w:ascii="Times New Roman" w:hAnsi="Times New Roman" w:eastAsia="Times New Roman" w:cs="Times New Roman"/>
                        <w:color w:val="595959"/>
                        <w:spacing w:val="-3"/>
                        <w:sz w:val="18"/>
                        <w:szCs w:val="18"/>
                      </w:rPr>
                      <w:t>50</w:t>
                    </w:r>
                  </w:p>
                  <w:p w14:paraId="2E686965">
                    <w:pPr>
                      <w:spacing w:before="53" w:line="250" w:lineRule="exact"/>
                      <w:ind w:left="1850"/>
                      <w:rPr>
                        <w:rFonts w:ascii="宋体" w:hAnsi="宋体" w:eastAsia="宋体" w:cs="宋体"/>
                        <w:sz w:val="19"/>
                        <w:szCs w:val="19"/>
                      </w:rPr>
                    </w:pPr>
                    <w:r>
                      <w:rPr>
                        <w:rFonts w:ascii="宋体" w:hAnsi="宋体" w:eastAsia="宋体" w:cs="宋体"/>
                        <w:color w:val="595959"/>
                        <w:spacing w:val="7"/>
                        <w:position w:val="1"/>
                        <w:sz w:val="19"/>
                        <w:szCs w:val="19"/>
                      </w:rPr>
                      <w:t>距线路中心距离（</w:t>
                    </w:r>
                    <w:r>
                      <w:rPr>
                        <w:rFonts w:ascii="Times New Roman" w:hAnsi="Times New Roman" w:eastAsia="Times New Roman" w:cs="Times New Roman"/>
                        <w:color w:val="595959"/>
                        <w:spacing w:val="7"/>
                        <w:position w:val="1"/>
                        <w:sz w:val="19"/>
                        <w:szCs w:val="19"/>
                      </w:rPr>
                      <w:t>m</w:t>
                    </w:r>
                    <w:r>
                      <w:rPr>
                        <w:rFonts w:ascii="宋体" w:hAnsi="宋体" w:eastAsia="宋体" w:cs="宋体"/>
                        <w:color w:val="595959"/>
                        <w:spacing w:val="7"/>
                        <w:position w:val="1"/>
                        <w:sz w:val="19"/>
                        <w:szCs w:val="19"/>
                      </w:rPr>
                      <w:t>）</w:t>
                    </w:r>
                  </w:p>
                </w:txbxContent>
              </v:textbox>
            </v:shape>
            <v:shape id="_x0000_s1181" o:spid="_x0000_s1181" o:spt="202" type="#_x0000_t202" style="position:absolute;left:560;top:577;height:2687;width:262;" filled="f" stroked="f" coordsize="21600,21600">
              <v:path/>
              <v:fill on="f" focussize="0,0"/>
              <v:stroke on="f"/>
              <v:imagedata o:title=""/>
              <o:lock v:ext="edit" aspectratio="f"/>
              <v:textbox inset="0mm,0mm,0mm,0mm">
                <w:txbxContent>
                  <w:p w14:paraId="33446460">
                    <w:pPr>
                      <w:spacing w:before="20" w:line="232" w:lineRule="auto"/>
                      <w:ind w:left="28"/>
                      <w:rPr>
                        <w:rFonts w:ascii="Times New Roman" w:hAnsi="Times New Roman" w:eastAsia="Times New Roman" w:cs="Times New Roman"/>
                        <w:sz w:val="18"/>
                        <w:szCs w:val="18"/>
                      </w:rPr>
                    </w:pPr>
                    <w:r>
                      <w:rPr>
                        <w:rFonts w:ascii="Times New Roman" w:hAnsi="Times New Roman" w:eastAsia="Times New Roman" w:cs="Times New Roman"/>
                        <w:color w:val="595959"/>
                        <w:spacing w:val="-4"/>
                        <w:sz w:val="18"/>
                        <w:szCs w:val="18"/>
                      </w:rPr>
                      <w:t>8.0</w:t>
                    </w:r>
                  </w:p>
                  <w:p w14:paraId="03904741">
                    <w:pPr>
                      <w:spacing w:before="110" w:line="232" w:lineRule="auto"/>
                      <w:ind w:left="23"/>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7.0</w:t>
                    </w:r>
                  </w:p>
                  <w:p w14:paraId="1E25CBA8">
                    <w:pPr>
                      <w:spacing w:before="110" w:line="232" w:lineRule="auto"/>
                      <w:ind w:left="24"/>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6.0</w:t>
                    </w:r>
                  </w:p>
                  <w:p w14:paraId="456FFC2B">
                    <w:pPr>
                      <w:spacing w:before="110" w:line="232" w:lineRule="auto"/>
                      <w:ind w:left="25"/>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5.0</w:t>
                    </w:r>
                  </w:p>
                  <w:p w14:paraId="06107223">
                    <w:pPr>
                      <w:spacing w:before="110"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1"/>
                        <w:sz w:val="18"/>
                        <w:szCs w:val="18"/>
                      </w:rPr>
                      <w:t>4.0</w:t>
                    </w:r>
                  </w:p>
                  <w:p w14:paraId="52DFB852">
                    <w:pPr>
                      <w:spacing w:before="110" w:line="232" w:lineRule="auto"/>
                      <w:ind w:left="24"/>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3.0</w:t>
                    </w:r>
                  </w:p>
                  <w:p w14:paraId="7B960071">
                    <w:pPr>
                      <w:spacing w:before="110"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1"/>
                        <w:sz w:val="18"/>
                        <w:szCs w:val="18"/>
                      </w:rPr>
                      <w:t>2.0</w:t>
                    </w:r>
                  </w:p>
                  <w:p w14:paraId="6B2E30EE">
                    <w:pPr>
                      <w:spacing w:before="110" w:line="232" w:lineRule="auto"/>
                      <w:ind w:left="38"/>
                      <w:rPr>
                        <w:rFonts w:ascii="Times New Roman" w:hAnsi="Times New Roman" w:eastAsia="Times New Roman" w:cs="Times New Roman"/>
                        <w:sz w:val="18"/>
                        <w:szCs w:val="18"/>
                      </w:rPr>
                    </w:pPr>
                    <w:r>
                      <w:rPr>
                        <w:rFonts w:ascii="Times New Roman" w:hAnsi="Times New Roman" w:eastAsia="Times New Roman" w:cs="Times New Roman"/>
                        <w:color w:val="595959"/>
                        <w:spacing w:val="-7"/>
                        <w:sz w:val="18"/>
                        <w:szCs w:val="18"/>
                      </w:rPr>
                      <w:t>1.0</w:t>
                    </w:r>
                  </w:p>
                  <w:p w14:paraId="0C1F3B5B">
                    <w:pPr>
                      <w:spacing w:before="110" w:line="232" w:lineRule="auto"/>
                      <w:ind w:left="23"/>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0.0</w:t>
                    </w:r>
                  </w:p>
                </w:txbxContent>
              </v:textbox>
            </v:shape>
            <w10:wrap type="none"/>
            <w10:anchorlock/>
          </v:group>
        </w:pict>
      </w:r>
    </w:p>
    <w:p w14:paraId="157FBF1D">
      <w:pPr>
        <w:spacing w:before="144" w:line="234" w:lineRule="auto"/>
        <w:ind w:left="1980"/>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45"/>
          <w:sz w:val="21"/>
          <w:szCs w:val="21"/>
        </w:rPr>
        <w:t xml:space="preserve"> </w:t>
      </w:r>
      <w:r>
        <w:rPr>
          <w:rFonts w:ascii="Times New Roman" w:hAnsi="Times New Roman" w:eastAsia="Times New Roman" w:cs="Times New Roman"/>
          <w:b/>
          <w:bCs/>
          <w:spacing w:val="-3"/>
          <w:sz w:val="21"/>
          <w:szCs w:val="21"/>
        </w:rPr>
        <w:t>4-1    C</w:t>
      </w:r>
      <w:r>
        <w:rPr>
          <w:rFonts w:ascii="Times New Roman" w:hAnsi="Times New Roman" w:eastAsia="Times New Roman" w:cs="Times New Roman"/>
          <w:b/>
          <w:bCs/>
          <w:spacing w:val="28"/>
          <w:w w:val="101"/>
          <w:sz w:val="21"/>
          <w:szCs w:val="21"/>
        </w:rPr>
        <w:t xml:space="preserve"> </w:t>
      </w:r>
      <w:r>
        <w:rPr>
          <w:rFonts w:ascii="宋体" w:hAnsi="宋体" w:eastAsia="宋体" w:cs="宋体"/>
          <w:b/>
          <w:bCs/>
          <w:spacing w:val="-3"/>
          <w:sz w:val="21"/>
          <w:szCs w:val="21"/>
        </w:rPr>
        <w:t>回线单回三角排列最不利塔型</w:t>
      </w:r>
      <w:r>
        <w:rPr>
          <w:rFonts w:ascii="宋体" w:hAnsi="宋体" w:eastAsia="宋体" w:cs="宋体"/>
          <w:b/>
          <w:bCs/>
          <w:spacing w:val="-4"/>
          <w:sz w:val="21"/>
          <w:szCs w:val="21"/>
        </w:rPr>
        <w:t>电场强度分布图</w:t>
      </w:r>
    </w:p>
    <w:p w14:paraId="721F78CF">
      <w:pPr>
        <w:spacing w:line="234" w:lineRule="auto"/>
        <w:rPr>
          <w:rFonts w:ascii="宋体" w:hAnsi="宋体" w:eastAsia="宋体" w:cs="宋体"/>
          <w:sz w:val="21"/>
          <w:szCs w:val="21"/>
        </w:rPr>
        <w:sectPr>
          <w:footerReference r:id="rId106" w:type="default"/>
          <w:pgSz w:w="11907" w:h="16841"/>
          <w:pgMar w:top="400" w:right="1411" w:bottom="1126" w:left="1416" w:header="0" w:footer="925" w:gutter="0"/>
          <w:cols w:space="720" w:num="1"/>
        </w:sectPr>
      </w:pPr>
    </w:p>
    <w:p w14:paraId="24352E05">
      <w:pPr>
        <w:spacing w:line="243" w:lineRule="auto"/>
        <w:rPr>
          <w:rFonts w:ascii="Arial"/>
          <w:sz w:val="21"/>
        </w:rPr>
      </w:pPr>
    </w:p>
    <w:p w14:paraId="6C32A6A1">
      <w:pPr>
        <w:spacing w:line="243" w:lineRule="auto"/>
        <w:rPr>
          <w:rFonts w:ascii="Arial"/>
          <w:sz w:val="21"/>
        </w:rPr>
      </w:pPr>
    </w:p>
    <w:p w14:paraId="47CDBE1B">
      <w:pPr>
        <w:spacing w:line="244" w:lineRule="auto"/>
        <w:rPr>
          <w:rFonts w:ascii="Arial"/>
          <w:sz w:val="21"/>
        </w:rPr>
      </w:pPr>
    </w:p>
    <w:p w14:paraId="66549553">
      <w:pPr>
        <w:spacing w:line="244" w:lineRule="auto"/>
        <w:rPr>
          <w:rFonts w:ascii="Arial"/>
          <w:sz w:val="21"/>
        </w:rPr>
      </w:pPr>
    </w:p>
    <w:p w14:paraId="3D192F12">
      <w:pPr>
        <w:spacing w:line="244" w:lineRule="auto"/>
        <w:rPr>
          <w:rFonts w:ascii="Arial"/>
          <w:sz w:val="21"/>
        </w:rPr>
      </w:pPr>
    </w:p>
    <w:p w14:paraId="578D42A4">
      <w:pPr>
        <w:spacing w:line="4031" w:lineRule="exact"/>
        <w:ind w:firstLine="1184"/>
      </w:pPr>
      <w:r>
        <mc:AlternateContent>
          <mc:Choice Requires="wps">
            <w:drawing>
              <wp:anchor distT="0" distB="0" distL="0" distR="0" simplePos="0" relativeHeight="251673600" behindDoc="0" locked="0" layoutInCell="1" allowOverlap="1">
                <wp:simplePos x="0" y="0"/>
                <wp:positionH relativeFrom="column">
                  <wp:posOffset>481965</wp:posOffset>
                </wp:positionH>
                <wp:positionV relativeFrom="paragraph">
                  <wp:posOffset>1124585</wp:posOffset>
                </wp:positionV>
                <wp:extent cx="1042670" cy="179705"/>
                <wp:effectExtent l="0" t="0" r="0" b="0"/>
                <wp:wrapNone/>
                <wp:docPr id="84" name="TextBox 84"/>
                <wp:cNvGraphicFramePr/>
                <a:graphic xmlns:a="http://schemas.openxmlformats.org/drawingml/2006/main">
                  <a:graphicData uri="http://schemas.microsoft.com/office/word/2010/wordprocessingShape">
                    <wps:wsp>
                      <wps:cNvSpPr txBox="1"/>
                      <wps:spPr>
                        <a:xfrm rot="16200000">
                          <a:off x="482367" y="1125217"/>
                          <a:ext cx="1042669" cy="17970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083B3950">
                            <w:pPr>
                              <w:spacing w:before="34" w:line="222" w:lineRule="auto"/>
                              <w:ind w:left="20"/>
                              <w:rPr>
                                <w:rFonts w:ascii="宋体" w:hAnsi="宋体" w:eastAsia="宋体" w:cs="宋体"/>
                                <w:sz w:val="19"/>
                                <w:szCs w:val="19"/>
                              </w:rPr>
                            </w:pPr>
                            <w:r>
                              <w:rPr>
                                <w:rFonts w:ascii="宋体" w:hAnsi="宋体" w:eastAsia="宋体" w:cs="宋体"/>
                                <w:color w:val="595959"/>
                                <w:sz w:val="19"/>
                                <w:szCs w:val="19"/>
                              </w:rPr>
                              <w:t>磁感应强度</w:t>
                            </w:r>
                            <w:r>
                              <w:rPr>
                                <w:rFonts w:ascii="宋体" w:hAnsi="宋体" w:eastAsia="宋体" w:cs="宋体"/>
                                <w:color w:val="595959"/>
                                <w:spacing w:val="17"/>
                                <w:sz w:val="19"/>
                                <w:szCs w:val="19"/>
                              </w:rPr>
                              <w:t xml:space="preserve"> </w:t>
                            </w:r>
                            <w:r>
                              <w:rPr>
                                <w:rFonts w:ascii="宋体" w:hAnsi="宋体" w:eastAsia="宋体" w:cs="宋体"/>
                                <w:color w:val="595959"/>
                                <w:sz w:val="19"/>
                                <w:szCs w:val="19"/>
                              </w:rPr>
                              <w:t>(</w:t>
                            </w:r>
                            <w:r>
                              <w:rPr>
                                <w:rFonts w:ascii="宋体" w:hAnsi="宋体" w:eastAsia="宋体" w:cs="宋体"/>
                                <w:color w:val="595959"/>
                                <w:spacing w:val="-54"/>
                                <w:sz w:val="19"/>
                                <w:szCs w:val="19"/>
                              </w:rPr>
                              <w:t xml:space="preserve"> </w:t>
                            </w:r>
                            <w:r>
                              <w:rPr>
                                <w:rFonts w:ascii="Times New Roman" w:hAnsi="Times New Roman" w:eastAsia="Times New Roman" w:cs="Times New Roman"/>
                                <w:color w:val="595959"/>
                                <w:sz w:val="19"/>
                                <w:szCs w:val="19"/>
                              </w:rPr>
                              <w:t>μT</w:t>
                            </w:r>
                            <w:r>
                              <w:rPr>
                                <w:rFonts w:ascii="宋体" w:hAnsi="宋体" w:eastAsia="宋体" w:cs="宋体"/>
                                <w:color w:val="595959"/>
                                <w:sz w:val="19"/>
                                <w:szCs w:val="19"/>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84" o:spid="_x0000_s1026" o:spt="202" type="#_x0000_t202" style="position:absolute;left:0pt;margin-left:37.95pt;margin-top:88.55pt;height:14.15pt;width:82.1pt;rotation:-5898240f;z-index:251673600;mso-width-relative:page;mso-height-relative:page;" filled="f" stroked="f" coordsize="21600,21600" o:gfxdata="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DRgEdDYAAAACgEAAA8A&#10;AAAAAAAAAQAgAAAAIgAAAGRycy9kb3ducmV2LnhtbFBLAQIUABQAAAAIAIdO4kCL2TNvUAIAAKME&#10;AAAOAAAAAAAAAAEAIAAAACcBAABkcnMvZTJvRG9jLnhtbFBLBQYAAAAABgAGAFkBAADpBQAAAAA=&#10;">
                <v:fill on="f" focussize="0,0"/>
                <v:stroke on="f" weight="0pt" miterlimit="0" joinstyle="miter"/>
                <v:imagedata o:title=""/>
                <o:lock v:ext="edit" aspectratio="f"/>
                <v:textbox inset="0mm,0mm,0mm,0mm">
                  <w:txbxContent>
                    <w:p w14:paraId="083B3950">
                      <w:pPr>
                        <w:spacing w:before="34" w:line="222" w:lineRule="auto"/>
                        <w:ind w:left="20"/>
                        <w:rPr>
                          <w:rFonts w:ascii="宋体" w:hAnsi="宋体" w:eastAsia="宋体" w:cs="宋体"/>
                          <w:sz w:val="19"/>
                          <w:szCs w:val="19"/>
                        </w:rPr>
                      </w:pPr>
                      <w:r>
                        <w:rPr>
                          <w:rFonts w:ascii="宋体" w:hAnsi="宋体" w:eastAsia="宋体" w:cs="宋体"/>
                          <w:color w:val="595959"/>
                          <w:sz w:val="19"/>
                          <w:szCs w:val="19"/>
                        </w:rPr>
                        <w:t>磁感应强度</w:t>
                      </w:r>
                      <w:r>
                        <w:rPr>
                          <w:rFonts w:ascii="宋体" w:hAnsi="宋体" w:eastAsia="宋体" w:cs="宋体"/>
                          <w:color w:val="595959"/>
                          <w:spacing w:val="17"/>
                          <w:sz w:val="19"/>
                          <w:szCs w:val="19"/>
                        </w:rPr>
                        <w:t xml:space="preserve"> </w:t>
                      </w:r>
                      <w:r>
                        <w:rPr>
                          <w:rFonts w:ascii="宋体" w:hAnsi="宋体" w:eastAsia="宋体" w:cs="宋体"/>
                          <w:color w:val="595959"/>
                          <w:sz w:val="19"/>
                          <w:szCs w:val="19"/>
                        </w:rPr>
                        <w:t>(</w:t>
                      </w:r>
                      <w:r>
                        <w:rPr>
                          <w:rFonts w:ascii="宋体" w:hAnsi="宋体" w:eastAsia="宋体" w:cs="宋体"/>
                          <w:color w:val="595959"/>
                          <w:spacing w:val="-54"/>
                          <w:sz w:val="19"/>
                          <w:szCs w:val="19"/>
                        </w:rPr>
                        <w:t xml:space="preserve"> </w:t>
                      </w:r>
                      <w:r>
                        <w:rPr>
                          <w:rFonts w:ascii="Times New Roman" w:hAnsi="Times New Roman" w:eastAsia="Times New Roman" w:cs="Times New Roman"/>
                          <w:color w:val="595959"/>
                          <w:sz w:val="19"/>
                          <w:szCs w:val="19"/>
                        </w:rPr>
                        <w:t>μT</w:t>
                      </w:r>
                      <w:r>
                        <w:rPr>
                          <w:rFonts w:ascii="宋体" w:hAnsi="宋体" w:eastAsia="宋体" w:cs="宋体"/>
                          <w:color w:val="595959"/>
                          <w:sz w:val="19"/>
                          <w:szCs w:val="19"/>
                        </w:rPr>
                        <w:t>）</w:t>
                      </w:r>
                    </w:p>
                  </w:txbxContent>
                </v:textbox>
              </v:shape>
            </w:pict>
          </mc:Fallback>
        </mc:AlternateContent>
      </w:r>
      <w:r>
        <w:rPr>
          <w:position w:val="-80"/>
        </w:rPr>
        <w:pict>
          <v:group id="_x0000_s1182" o:spid="_x0000_s1182" o:spt="203" style="height:201.55pt;width:335.25pt;" coordsize="6705,4031">
            <o:lock v:ext="edit"/>
            <v:group id="_x0000_s1183" o:spid="_x0000_s1183" o:spt="203" style="position:absolute;left:0;top:0;height:4031;width:6705;" coordsize="6705,4031">
              <o:lock v:ext="edit"/>
              <v:shape id="_x0000_s1184" o:spid="_x0000_s1184" style="position:absolute;left:1045;top:705;height:2398;width:5372;" filled="f" stroked="t" coordsize="5372,2398" path="m0,2390l5372,2390m0,2342l5372,2342m0,2292l5372,2292m0,2241l5372,2241m0,2143l5372,2143m0,2093l5372,2093m0,2045l5372,2045m0,1994l5372,1994m0,1896l5372,1896m0,1845l5372,1845m0,1795l5372,1795m0,1745l5372,1745m0,1646l5372,1646m0,1596l5372,1596m0,1548l5372,1548m0,1497l5372,1497m0,1399l5372,1399m0,1349l5372,1349m0,1298l5372,1298m0,1250l5372,1250m0,1149l5372,1149m0,1101l5372,1101m0,1051l5372,1051m0,1001l5372,1001m0,902l5372,902m0,852l5372,852m0,801l5372,801m0,753l5372,753m0,653l5372,653m0,605l5372,605m0,554l5372,554m0,504l5372,504m0,405l5372,405m0,355l5372,355m0,307l5372,307m0,257l5372,257m0,156l5372,156m0,108l5372,108m0,57l5372,57m0,7l5372,7e">
                <v:fill on="f" focussize="0,0"/>
                <v:stroke color="#F2F2F2" miterlimit="10"/>
                <v:imagedata o:title=""/>
                <o:lock v:ext="edit"/>
              </v:shape>
              <v:shape id="_x0000_s1185" o:spid="_x0000_s1185" style="position:absolute;left:1045;top:657;height:2251;width:5372;" filled="f" stroked="t" coordsize="5372,2251" path="m0,2242l5372,2242m0,1993l5372,1993m0,1745l5372,1745m0,1496l5372,1496m0,1249l5372,1249m0,999l5372,999m0,752l5372,752m0,505l5372,505m0,255l5372,255m0,7l5372,7e">
                <v:fill on="f" focussize="0,0"/>
                <v:stroke color="#D9D9D9" miterlimit="10"/>
                <v:imagedata o:title=""/>
                <o:lock v:ext="edit"/>
              </v:shape>
              <v:shape id="_x0000_s1186" o:spid="_x0000_s1186" style="position:absolute;left:1171;top:664;height:2483;width:5070;" filled="f" stroked="t" coordsize="5070,2483" path="m7,0l7,2482m273,0l273,2482m537,0l537,2482m804,0l804,2482m1070,0l1070,2482m1337,0l1337,2482m1603,0l1603,2482m1869,0l1869,2482m2133,0l2133,2482m2400,0l2400,2482m2666,0l2666,2482m2933,0l2933,2482m3199,0l3199,2482m3465,0l3465,2482m3729,0l3729,2482m3996,0l3996,2482m4262,0l4262,2482m4529,0l4529,2482m4795,0l4795,2482m5061,0l5061,2482e">
                <v:fill on="f" focussize="0,0"/>
                <v:stroke color="#F2F2F2" miterlimit="10"/>
                <v:imagedata o:title=""/>
                <o:lock v:ext="edit"/>
              </v:shape>
              <v:shape id="_x0000_s1187" o:spid="_x0000_s1187" style="position:absolute;left:1038;top:664;height:2483;width:5335;" filled="f" stroked="t" coordsize="5335,2483" path="m7,0l7,2482m272,0l272,2482m539,0l539,2482m805,0l805,2482m1072,0l1072,2482m1338,0l1338,2482m1602,0l1602,2482m1868,0l1868,2482m2135,0l2135,2482m2401,0l2401,2482m2668,0l2668,2482m2934,0l2934,2482m3198,0l3198,2482m3464,0l3464,2482m3731,0l3731,2482m3997,0l3997,2482m4264,0l4264,2482m4530,0l4530,2482m4794,0l4794,2482m5060,0l5060,2482m5327,0l5327,2482e">
                <v:fill on="f" focussize="0,0"/>
                <v:stroke color="#D9D9D9" miterlimit="10"/>
                <v:imagedata o:title=""/>
                <o:lock v:ext="edit"/>
              </v:shape>
              <v:shape id="_x0000_s1188" o:spid="_x0000_s1188" style="position:absolute;left:1038;top:3093;height:108;width:5380;" filled="f" stroked="t" coordsize="5380,108" path="m7,53l5380,53m7,0l7,107m272,0l272,107m539,0l539,107m805,0l805,107m1072,0l1072,107m1338,0l1338,107m1602,0l1602,107m1868,0l1868,107m2135,0l2135,107m2401,0l2401,107m2668,0l2668,107m2934,0l2934,107m3198,0l3198,107m3464,0l3464,107m3731,0l3731,107m3997,0l3997,107m4264,0l4264,107m4530,0l4530,107m4794,0l4794,107m5060,0l5060,107m5327,0l5327,107e">
                <v:fill on="f" focussize="0,0"/>
                <v:stroke color="#000000" miterlimit="10"/>
                <v:imagedata o:title=""/>
                <o:lock v:ext="edit"/>
              </v:shape>
              <v:shape id="_x0000_s1189" o:spid="_x0000_s1189" style="position:absolute;left:1057;top:947;height:2155;width:5350;" filled="f" stroked="t" coordsize="5350,2155" path="m15,2138c32,2137,50,2136,68,2135c85,2134,103,2133,121,2132c139,2132,156,2131,174,2130c192,2129,209,2128,227,2126c245,2125,263,2124,280,2123c298,2122,316,2121,334,2120c351,2118,369,2117,387,2116c405,2115,422,2113,440,2112c458,2110,475,2109,493,2108c511,2106,529,2104,546,2103c564,2101,582,2100,600,2098c617,2096,635,2094,653,2092c671,2090,688,2088,706,2086c724,2084,741,2082,759,2080c777,2078,795,2075,812,2073c830,2071,848,2068,866,2065c883,2063,901,2060,919,2057c937,2054,954,2051,972,2048c990,2045,1007,2041,1025,2038c1043,2034,1061,2030,1078,2027c1096,2023,1114,2019,1132,2014c1149,2010,1167,2005,1185,2001c1203,1996,1220,1991,1238,1985c1256,1980,1273,1974,1291,1968c1309,1962,1327,1956,1345,1949c1362,1942,1380,1935,1398,1927c1415,1920,1433,1911,1451,1903c1468,1894,1486,1884,1504,1874c1522,1864,1540,1854,1557,1842c1575,1830,1593,1818,1610,1805c1628,1791,1646,1777,1664,1761c1681,1746,1699,1729,1717,1711c1735,1692,1752,1672,1770,1651c1788,1629,1806,1606,1823,1580c1841,1554,1859,1526,1877,1495c1894,1464,1912,1431,1930,1393c1947,1356,1965,1316,1983,1271c2000,1226,2018,1178,2036,1125c2054,1072,2072,1014,2089,952c2107,890,2125,823,2142,754c2160,686,2178,611,2196,541c2213,471,2231,396,2249,333c2267,270,2284,209,2302,163c2320,117,2337,80,2355,56c2373,31,2391,21,2408,16c2426,11,2444,19,2462,26c2479,33,2497,47,2515,58c2532,70,2550,83,2568,93c2586,103,2604,111,2621,116c2639,121,2657,122,2675,121c2692,120,2710,114,2728,107c2745,100,2763,89,2781,79c2798,69,2816,55,2834,47c2852,39,2870,29,2887,30c2905,31,2923,35,2940,53c2958,71,2976,100,2994,139c3011,179,3029,233,3047,291c3065,350,3082,421,3100,489c3118,558,3136,633,3153,702c3171,771,3189,841,3206,904c3224,968,3242,1028,3260,1083c3277,1138,3295,1189,3313,1236c3330,1283,3348,1325,3366,1364c3384,1403,3402,1438,3419,1470c3437,1503,3455,1532,3472,1559c3490,1586,3508,1611,3526,1633c3543,1656,3561,1677,3579,1696c3597,1715,3614,1733,3632,1749c3650,1765,3667,1780,3685,1794c3703,1808,3721,1821,3738,1833c3756,1845,3774,1856,3792,1866c3809,1877,3827,1887,3845,1896c3862,1905,3880,1913,3898,1921c3916,1929,3934,1937,3951,1944c3969,1951,3987,1957,4004,1963c4022,1970,4040,1976,4057,1981c4075,1987,4093,1992,4111,1997c4128,2002,4146,2006,4164,2011c4182,2015,4200,2020,4217,2024c4235,2028,4253,2031,4270,2035c4288,2039,4306,2042,4324,2045c4341,2049,4359,2052,4377,2055c4395,2058,4412,2060,4430,2063c4448,2066,4466,2069,4483,2071c4501,2074,4519,2076,4536,2078c4554,2080,4572,2083,4590,2085c4607,2087,4625,2089,4643,2091c4660,2093,4678,2095,4696,2096c4714,2098,4732,2100,4749,2102c4767,2103,4785,2105,4802,2106c4820,2108,4838,2109,4856,2111c4873,2112,4891,2114,4909,2115c4927,2116,4944,2117,4962,2119c4980,2120,4997,2121,5015,2122c5033,2123,5050,2125,5068,2126c5086,2127,5104,2128,5122,2129c5139,2130,5157,2131,5175,2132c5192,2133,5210,2134,5228,2134c5246,2135,5263,2136,5281,2137c5299,2138,5317,2139,5334,2139e">
                <v:fill on="f" focussize="0,0"/>
                <v:stroke weight="1.5pt" color="#FF0000" miterlimit="10" endcap="round"/>
                <v:imagedata o:title=""/>
                <o:lock v:ext="edit"/>
              </v:shape>
              <v:shape id="_x0000_s1190" o:spid="_x0000_s1190" style="position:absolute;left:1057;top:1835;height:1269;width:5350;" filled="f" stroked="t" coordsize="5350,1269" path="m15,1251c32,1250,50,1249,68,1249c85,1248,103,1247,121,1246c139,1245,156,1244,174,1243c192,1242,209,1241,227,1240c245,1239,263,1238,280,1237c298,1236,316,1235,334,1234c351,1233,369,1231,387,1230c405,1229,422,1228,440,1226c458,1225,475,1224,493,1222c511,1221,529,1219,546,1218c564,1216,582,1215,600,1213c617,1211,635,1210,653,1208c671,1206,688,1204,706,1202c724,1201,741,1199,759,1196c777,1194,795,1192,812,1190c830,1188,848,1185,866,1183c883,1180,901,1178,919,1175c937,1173,954,1170,972,1167c990,1164,1007,1161,1025,1158c1043,1155,1061,1151,1078,1148c1096,1144,1114,1141,1132,1137c1149,1133,1167,1129,1185,1125c1203,1121,1220,1116,1238,1111c1256,1107,1273,1102,1291,1097c1309,1091,1327,1086,1345,1080c1362,1074,1380,1068,1398,1062c1415,1055,1433,1049,1451,1041c1468,1034,1486,1027,1504,1018c1522,1010,1540,1002,1557,993c1575,984,1593,974,1610,964c1628,953,1646,943,1664,931c1681,919,1699,907,1717,894c1735,881,1752,867,1770,852c1788,837,1806,822,1823,805c1841,788,1859,770,1877,752c1894,733,1912,713,1930,692c1947,671,1965,648,1983,625c2000,602,2018,578,2036,553c2054,527,2072,501,2089,475c2107,448,2125,421,2142,394c2160,367,2178,339,2196,313c2213,287,2231,261,2249,237c2267,213,2284,190,2302,170c2320,149,2337,131,2355,115c2373,99,2391,85,2408,73c2426,62,2444,53,2462,45c2479,38,2497,32,2515,28c2532,23,2550,21,2568,18c2586,16,2604,15,2621,15c2639,14,2657,14,2675,15c2692,16,2710,17,2728,19c2745,21,2763,24,2781,28c2798,32,2816,37,2834,44c2852,51,2870,59,2887,70c2905,80,2923,93,2940,108c2958,122,2976,140,2994,159c3011,178,3029,200,3047,223c3065,245,3082,271,3100,296c3118,321,3136,349,3153,375c3171,402,3189,429,3206,456c3224,482,3242,509,3260,534c3277,560,3295,585,3313,608c3330,632,3348,655,3366,676c3384,698,3402,718,3419,737c3437,757,3455,775,3472,792c3490,809,3508,826,3526,841c3543,856,3561,871,3579,884c3597,898,3614,910,3632,922c3650,934,3667,945,3685,956c3703,967,3721,976,3738,986c3756,995,3774,1004,3792,1012c3809,1021,3827,1028,3845,1036c3862,1043,3880,1050,3898,1057c3916,1064,3934,1070,3951,1076c3969,1082,3987,1087,4004,1093c4022,1098,4040,1103,4057,1108c4075,1113,4093,1117,4111,1121c4128,1126,4146,1130,4164,1134c4182,1138,4200,1142,4217,1145c4235,1149,4253,1152,4270,1155c4288,1159,4306,1162,4324,1165c4341,1168,4359,1170,4377,1173c4395,1176,4412,1179,4430,1181c4448,1184,4466,1186,4483,1188c4501,1191,4519,1193,4536,1195c4554,1197,4572,1199,4590,1201c4607,1203,4625,1205,4643,1207c4660,1208,4678,1210,4696,1212c4714,1213,4732,1215,4749,1217c4767,1218,4785,1220,4802,1221c4820,1223,4838,1224,4856,1225c4873,1227,4891,1228,4909,1229c4927,1230,4944,1232,4962,1233c4980,1234,4997,1235,5015,1236c5033,1237,5050,1238,5068,1239c5086,1241,5104,1241,5122,1242c5139,1243,5157,1244,5175,1245c5192,1246,5210,1247,5228,1248c5246,1249,5263,1250,5281,1250c5299,1251,5317,1252,5334,1253e">
                <v:fill on="f" focussize="0,0"/>
                <v:stroke weight="1.5pt" color="#00B050" miterlimit="10" endcap="round"/>
                <v:imagedata o:title=""/>
                <o:lock v:ext="edit"/>
              </v:shape>
              <v:shape id="_x0000_s1191" o:spid="_x0000_s1191" style="position:absolute;left:2498;top:271;height:30;width:414;" filled="f" stroked="t" coordsize="414,30" path="m15,15l398,15e">
                <v:fill on="f" focussize="0,0"/>
                <v:stroke weight="1.5pt" color="#FF0000" miterlimit="10" endcap="round"/>
                <v:imagedata o:title=""/>
                <o:lock v:ext="edit"/>
              </v:shape>
              <v:shape id="_x0000_s1192" o:spid="_x0000_s1192" style="position:absolute;left:3456;top:271;height:30;width:414;" filled="f" stroked="t" coordsize="414,30" path="m15,15l398,15e">
                <v:fill on="f" focussize="0,0"/>
                <v:stroke weight="1.5pt" color="#00B050" miterlimit="10" endcap="round"/>
                <v:imagedata o:title=""/>
                <o:lock v:ext="edit"/>
              </v:shape>
              <v:shape id="_x0000_s1193" o:spid="_x0000_s1193" style="position:absolute;left:0;top:0;height:4031;width:6705;" filled="f" stroked="t" coordsize="6705,4031" path="m7,4023l6696,4023,6696,7,7,7,7,4023xe">
                <v:fill on="f" focussize="0,0"/>
                <v:stroke color="#000000" miterlimit="10"/>
                <v:imagedata o:title=""/>
                <o:lock v:ext="edit"/>
              </v:shape>
            </v:group>
            <v:shape id="_x0000_s1194" o:spid="_x0000_s1194" o:spt="202" type="#_x0000_t202" style="position:absolute;left:579;top:576;height:3202;width:5927;" filled="f" stroked="f" coordsize="21600,21600">
              <v:path/>
              <v:fill on="f" focussize="0,0"/>
              <v:stroke on="f"/>
              <v:imagedata o:title=""/>
              <o:lock v:ext="edit" aspectratio="f"/>
              <v:textbox inset="0mm,0mm,0mm,0mm">
                <w:txbxContent>
                  <w:p w14:paraId="2143CDA9">
                    <w:pPr>
                      <w:spacing w:before="20"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7"/>
                        <w:sz w:val="18"/>
                        <w:szCs w:val="18"/>
                      </w:rPr>
                      <w:t>100</w:t>
                    </w:r>
                  </w:p>
                  <w:p w14:paraId="43018556">
                    <w:pPr>
                      <w:spacing w:before="47" w:line="232" w:lineRule="auto"/>
                      <w:ind w:left="96"/>
                      <w:rPr>
                        <w:rFonts w:ascii="Times New Roman" w:hAnsi="Times New Roman" w:eastAsia="Times New Roman" w:cs="Times New Roman"/>
                        <w:sz w:val="18"/>
                        <w:szCs w:val="18"/>
                      </w:rPr>
                    </w:pPr>
                    <w:r>
                      <w:rPr>
                        <w:rFonts w:ascii="Times New Roman" w:hAnsi="Times New Roman" w:eastAsia="Times New Roman" w:cs="Times New Roman"/>
                        <w:color w:val="595959"/>
                        <w:spacing w:val="-4"/>
                        <w:sz w:val="18"/>
                        <w:szCs w:val="18"/>
                      </w:rPr>
                      <w:t>90</w:t>
                    </w:r>
                  </w:p>
                  <w:p w14:paraId="58BE5124">
                    <w:pPr>
                      <w:spacing w:before="48" w:line="232" w:lineRule="auto"/>
                      <w:ind w:left="100"/>
                      <w:rPr>
                        <w:rFonts w:ascii="Times New Roman" w:hAnsi="Times New Roman" w:eastAsia="Times New Roman" w:cs="Times New Roman"/>
                        <w:sz w:val="18"/>
                        <w:szCs w:val="18"/>
                      </w:rPr>
                    </w:pPr>
                    <w:r>
                      <w:rPr>
                        <w:rFonts w:ascii="Times New Roman" w:hAnsi="Times New Roman" w:eastAsia="Times New Roman" w:cs="Times New Roman"/>
                        <w:color w:val="595959"/>
                        <w:spacing w:val="-5"/>
                        <w:sz w:val="18"/>
                        <w:szCs w:val="18"/>
                      </w:rPr>
                      <w:t>80</w:t>
                    </w:r>
                  </w:p>
                  <w:p w14:paraId="22EC9979">
                    <w:pPr>
                      <w:spacing w:before="47" w:line="232" w:lineRule="auto"/>
                      <w:ind w:left="95"/>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70</w:t>
                    </w:r>
                  </w:p>
                  <w:p w14:paraId="07F4AA97">
                    <w:pPr>
                      <w:spacing w:before="49" w:line="232" w:lineRule="auto"/>
                      <w:ind w:left="96"/>
                      <w:rPr>
                        <w:rFonts w:ascii="Times New Roman" w:hAnsi="Times New Roman" w:eastAsia="Times New Roman" w:cs="Times New Roman"/>
                        <w:sz w:val="18"/>
                        <w:szCs w:val="18"/>
                      </w:rPr>
                    </w:pPr>
                    <w:r>
                      <w:rPr>
                        <w:rFonts w:ascii="Times New Roman" w:hAnsi="Times New Roman" w:eastAsia="Times New Roman" w:cs="Times New Roman"/>
                        <w:color w:val="595959"/>
                        <w:spacing w:val="-4"/>
                        <w:sz w:val="18"/>
                        <w:szCs w:val="18"/>
                      </w:rPr>
                      <w:t>60</w:t>
                    </w:r>
                  </w:p>
                  <w:p w14:paraId="305D4746">
                    <w:pPr>
                      <w:spacing w:before="48" w:line="232" w:lineRule="auto"/>
                      <w:ind w:left="97"/>
                      <w:rPr>
                        <w:rFonts w:ascii="Times New Roman" w:hAnsi="Times New Roman" w:eastAsia="Times New Roman" w:cs="Times New Roman"/>
                        <w:sz w:val="18"/>
                        <w:szCs w:val="18"/>
                      </w:rPr>
                    </w:pPr>
                    <w:r>
                      <w:rPr>
                        <w:rFonts w:ascii="Times New Roman" w:hAnsi="Times New Roman" w:eastAsia="Times New Roman" w:cs="Times New Roman"/>
                        <w:color w:val="595959"/>
                        <w:spacing w:val="-4"/>
                        <w:sz w:val="18"/>
                        <w:szCs w:val="18"/>
                      </w:rPr>
                      <w:t>50</w:t>
                    </w:r>
                  </w:p>
                  <w:p w14:paraId="18307845">
                    <w:pPr>
                      <w:spacing w:before="48" w:line="232" w:lineRule="auto"/>
                      <w:ind w:left="92"/>
                      <w:rPr>
                        <w:rFonts w:ascii="Times New Roman" w:hAnsi="Times New Roman" w:eastAsia="Times New Roman" w:cs="Times New Roman"/>
                        <w:sz w:val="18"/>
                        <w:szCs w:val="18"/>
                      </w:rPr>
                    </w:pPr>
                    <w:r>
                      <w:rPr>
                        <w:rFonts w:ascii="Times New Roman" w:hAnsi="Times New Roman" w:eastAsia="Times New Roman" w:cs="Times New Roman"/>
                        <w:color w:val="595959"/>
                        <w:spacing w:val="-1"/>
                        <w:sz w:val="18"/>
                        <w:szCs w:val="18"/>
                      </w:rPr>
                      <w:t>40</w:t>
                    </w:r>
                  </w:p>
                  <w:p w14:paraId="0BC983D6">
                    <w:pPr>
                      <w:spacing w:before="48" w:line="232" w:lineRule="auto"/>
                      <w:ind w:left="96"/>
                      <w:rPr>
                        <w:rFonts w:ascii="Times New Roman" w:hAnsi="Times New Roman" w:eastAsia="Times New Roman" w:cs="Times New Roman"/>
                        <w:sz w:val="18"/>
                        <w:szCs w:val="18"/>
                      </w:rPr>
                    </w:pPr>
                    <w:r>
                      <w:rPr>
                        <w:rFonts w:ascii="Times New Roman" w:hAnsi="Times New Roman" w:eastAsia="Times New Roman" w:cs="Times New Roman"/>
                        <w:color w:val="595959"/>
                        <w:spacing w:val="-4"/>
                        <w:sz w:val="18"/>
                        <w:szCs w:val="18"/>
                      </w:rPr>
                      <w:t>30</w:t>
                    </w:r>
                  </w:p>
                  <w:p w14:paraId="605D45A7">
                    <w:pPr>
                      <w:spacing w:before="48" w:line="232" w:lineRule="auto"/>
                      <w:ind w:left="92"/>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20</w:t>
                    </w:r>
                  </w:p>
                  <w:p w14:paraId="42192804">
                    <w:pPr>
                      <w:spacing w:before="49" w:line="232" w:lineRule="auto"/>
                      <w:ind w:left="110"/>
                      <w:rPr>
                        <w:rFonts w:ascii="Times New Roman" w:hAnsi="Times New Roman" w:eastAsia="Times New Roman" w:cs="Times New Roman"/>
                        <w:sz w:val="18"/>
                        <w:szCs w:val="18"/>
                      </w:rPr>
                    </w:pPr>
                    <w:r>
                      <w:rPr>
                        <w:rFonts w:ascii="Times New Roman" w:hAnsi="Times New Roman" w:eastAsia="Times New Roman" w:cs="Times New Roman"/>
                        <w:color w:val="595959"/>
                        <w:spacing w:val="-10"/>
                        <w:sz w:val="18"/>
                        <w:szCs w:val="18"/>
                      </w:rPr>
                      <w:t>10</w:t>
                    </w:r>
                  </w:p>
                  <w:p w14:paraId="7A1D612B">
                    <w:pPr>
                      <w:spacing w:before="48" w:line="232" w:lineRule="auto"/>
                      <w:ind w:left="185"/>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0</w:t>
                    </w:r>
                  </w:p>
                  <w:p w14:paraId="16207A40">
                    <w:pPr>
                      <w:spacing w:before="10" w:line="233" w:lineRule="auto"/>
                      <w:ind w:right="20"/>
                      <w:jc w:val="right"/>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-50</w:t>
                    </w:r>
                    <w:r>
                      <w:rPr>
                        <w:rFonts w:ascii="Times New Roman" w:hAnsi="Times New Roman" w:eastAsia="Times New Roman" w:cs="Times New Roman"/>
                        <w:color w:val="595959"/>
                        <w:spacing w:val="-10"/>
                        <w:sz w:val="18"/>
                        <w:szCs w:val="18"/>
                      </w:rPr>
                      <w:t xml:space="preserve"> </w:t>
                    </w:r>
                    <w:r>
                      <w:rPr>
                        <w:rFonts w:ascii="Times New Roman" w:hAnsi="Times New Roman" w:eastAsia="Times New Roman" w:cs="Times New Roman"/>
                        <w:color w:val="595959"/>
                        <w:spacing w:val="-2"/>
                        <w:sz w:val="18"/>
                        <w:szCs w:val="18"/>
                      </w:rPr>
                      <w:t>-45</w:t>
                    </w:r>
                    <w:r>
                      <w:rPr>
                        <w:rFonts w:ascii="Times New Roman" w:hAnsi="Times New Roman" w:eastAsia="Times New Roman" w:cs="Times New Roman"/>
                        <w:color w:val="595959"/>
                        <w:spacing w:val="-11"/>
                        <w:sz w:val="18"/>
                        <w:szCs w:val="18"/>
                      </w:rPr>
                      <w:t xml:space="preserve"> </w:t>
                    </w:r>
                    <w:r>
                      <w:rPr>
                        <w:rFonts w:ascii="Times New Roman" w:hAnsi="Times New Roman" w:eastAsia="Times New Roman" w:cs="Times New Roman"/>
                        <w:color w:val="595959"/>
                        <w:spacing w:val="-2"/>
                        <w:sz w:val="18"/>
                        <w:szCs w:val="18"/>
                      </w:rPr>
                      <w:t>-40</w:t>
                    </w:r>
                    <w:r>
                      <w:rPr>
                        <w:rFonts w:ascii="Times New Roman" w:hAnsi="Times New Roman" w:eastAsia="Times New Roman" w:cs="Times New Roman"/>
                        <w:color w:val="595959"/>
                        <w:spacing w:val="-10"/>
                        <w:sz w:val="18"/>
                        <w:szCs w:val="18"/>
                      </w:rPr>
                      <w:t xml:space="preserve"> </w:t>
                    </w:r>
                    <w:r>
                      <w:rPr>
                        <w:rFonts w:ascii="Times New Roman" w:hAnsi="Times New Roman" w:eastAsia="Times New Roman" w:cs="Times New Roman"/>
                        <w:color w:val="595959"/>
                        <w:spacing w:val="-2"/>
                        <w:sz w:val="18"/>
                        <w:szCs w:val="18"/>
                      </w:rPr>
                      <w:t>-35</w:t>
                    </w:r>
                    <w:r>
                      <w:rPr>
                        <w:rFonts w:ascii="Times New Roman" w:hAnsi="Times New Roman" w:eastAsia="Times New Roman" w:cs="Times New Roman"/>
                        <w:color w:val="595959"/>
                        <w:spacing w:val="-11"/>
                        <w:sz w:val="18"/>
                        <w:szCs w:val="18"/>
                      </w:rPr>
                      <w:t xml:space="preserve"> </w:t>
                    </w:r>
                    <w:r>
                      <w:rPr>
                        <w:rFonts w:ascii="Times New Roman" w:hAnsi="Times New Roman" w:eastAsia="Times New Roman" w:cs="Times New Roman"/>
                        <w:color w:val="595959"/>
                        <w:spacing w:val="-2"/>
                        <w:sz w:val="18"/>
                        <w:szCs w:val="18"/>
                      </w:rPr>
                      <w:t>-30</w:t>
                    </w:r>
                    <w:r>
                      <w:rPr>
                        <w:rFonts w:ascii="Times New Roman" w:hAnsi="Times New Roman" w:eastAsia="Times New Roman" w:cs="Times New Roman"/>
                        <w:color w:val="595959"/>
                        <w:spacing w:val="-10"/>
                        <w:sz w:val="18"/>
                        <w:szCs w:val="18"/>
                      </w:rPr>
                      <w:t xml:space="preserve"> </w:t>
                    </w:r>
                    <w:r>
                      <w:rPr>
                        <w:rFonts w:ascii="Times New Roman" w:hAnsi="Times New Roman" w:eastAsia="Times New Roman" w:cs="Times New Roman"/>
                        <w:color w:val="595959"/>
                        <w:spacing w:val="-2"/>
                        <w:sz w:val="18"/>
                        <w:szCs w:val="18"/>
                      </w:rPr>
                      <w:t>-25</w:t>
                    </w:r>
                    <w:r>
                      <w:rPr>
                        <w:rFonts w:ascii="Times New Roman" w:hAnsi="Times New Roman" w:eastAsia="Times New Roman" w:cs="Times New Roman"/>
                        <w:color w:val="595959"/>
                        <w:spacing w:val="-11"/>
                        <w:sz w:val="18"/>
                        <w:szCs w:val="18"/>
                      </w:rPr>
                      <w:t xml:space="preserve"> </w:t>
                    </w:r>
                    <w:r>
                      <w:rPr>
                        <w:rFonts w:ascii="Times New Roman" w:hAnsi="Times New Roman" w:eastAsia="Times New Roman" w:cs="Times New Roman"/>
                        <w:color w:val="595959"/>
                        <w:spacing w:val="-2"/>
                        <w:sz w:val="18"/>
                        <w:szCs w:val="18"/>
                      </w:rPr>
                      <w:t>-20</w:t>
                    </w:r>
                    <w:r>
                      <w:rPr>
                        <w:rFonts w:ascii="Times New Roman" w:hAnsi="Times New Roman" w:eastAsia="Times New Roman" w:cs="Times New Roman"/>
                        <w:color w:val="595959"/>
                        <w:spacing w:val="-10"/>
                        <w:sz w:val="18"/>
                        <w:szCs w:val="18"/>
                      </w:rPr>
                      <w:t xml:space="preserve"> </w:t>
                    </w:r>
                    <w:r>
                      <w:rPr>
                        <w:rFonts w:ascii="Times New Roman" w:hAnsi="Times New Roman" w:eastAsia="Times New Roman" w:cs="Times New Roman"/>
                        <w:color w:val="595959"/>
                        <w:spacing w:val="-2"/>
                        <w:sz w:val="18"/>
                        <w:szCs w:val="18"/>
                      </w:rPr>
                      <w:t>-15</w:t>
                    </w:r>
                    <w:r>
                      <w:rPr>
                        <w:rFonts w:ascii="Times New Roman" w:hAnsi="Times New Roman" w:eastAsia="Times New Roman" w:cs="Times New Roman"/>
                        <w:color w:val="595959"/>
                        <w:spacing w:val="-11"/>
                        <w:sz w:val="18"/>
                        <w:szCs w:val="18"/>
                      </w:rPr>
                      <w:t xml:space="preserve"> </w:t>
                    </w:r>
                    <w:r>
                      <w:rPr>
                        <w:rFonts w:ascii="Times New Roman" w:hAnsi="Times New Roman" w:eastAsia="Times New Roman" w:cs="Times New Roman"/>
                        <w:color w:val="595959"/>
                        <w:spacing w:val="-2"/>
                        <w:sz w:val="18"/>
                        <w:szCs w:val="18"/>
                      </w:rPr>
                      <w:t>-10</w:t>
                    </w:r>
                    <w:r>
                      <w:rPr>
                        <w:rFonts w:ascii="Times New Roman" w:hAnsi="Times New Roman" w:eastAsia="Times New Roman" w:cs="Times New Roman"/>
                        <w:color w:val="595959"/>
                        <w:spacing w:val="35"/>
                        <w:sz w:val="18"/>
                        <w:szCs w:val="18"/>
                      </w:rPr>
                      <w:t xml:space="preserve"> </w:t>
                    </w:r>
                    <w:r>
                      <w:rPr>
                        <w:rFonts w:ascii="Times New Roman" w:hAnsi="Times New Roman" w:eastAsia="Times New Roman" w:cs="Times New Roman"/>
                        <w:color w:val="595959"/>
                        <w:spacing w:val="-2"/>
                        <w:sz w:val="18"/>
                        <w:szCs w:val="18"/>
                      </w:rPr>
                      <w:t>-5   0    5    10  15  2</w:t>
                    </w:r>
                    <w:r>
                      <w:rPr>
                        <w:rFonts w:ascii="Times New Roman" w:hAnsi="Times New Roman" w:eastAsia="Times New Roman" w:cs="Times New Roman"/>
                        <w:color w:val="595959"/>
                        <w:spacing w:val="-3"/>
                        <w:sz w:val="18"/>
                        <w:szCs w:val="18"/>
                      </w:rPr>
                      <w:t>0  25  30</w:t>
                    </w:r>
                    <w:r>
                      <w:rPr>
                        <w:rFonts w:ascii="Times New Roman" w:hAnsi="Times New Roman" w:eastAsia="Times New Roman" w:cs="Times New Roman"/>
                        <w:color w:val="595959"/>
                        <w:spacing w:val="1"/>
                        <w:sz w:val="18"/>
                        <w:szCs w:val="18"/>
                      </w:rPr>
                      <w:t xml:space="preserve">  </w:t>
                    </w:r>
                    <w:r>
                      <w:rPr>
                        <w:rFonts w:ascii="Times New Roman" w:hAnsi="Times New Roman" w:eastAsia="Times New Roman" w:cs="Times New Roman"/>
                        <w:color w:val="595959"/>
                        <w:spacing w:val="-3"/>
                        <w:sz w:val="18"/>
                        <w:szCs w:val="18"/>
                      </w:rPr>
                      <w:t>35  40</w:t>
                    </w:r>
                    <w:r>
                      <w:rPr>
                        <w:rFonts w:ascii="Times New Roman" w:hAnsi="Times New Roman" w:eastAsia="Times New Roman" w:cs="Times New Roman"/>
                        <w:color w:val="595959"/>
                        <w:spacing w:val="42"/>
                        <w:sz w:val="18"/>
                        <w:szCs w:val="18"/>
                      </w:rPr>
                      <w:t xml:space="preserve"> </w:t>
                    </w:r>
                    <w:r>
                      <w:rPr>
                        <w:rFonts w:ascii="Times New Roman" w:hAnsi="Times New Roman" w:eastAsia="Times New Roman" w:cs="Times New Roman"/>
                        <w:color w:val="595959"/>
                        <w:spacing w:val="-3"/>
                        <w:sz w:val="18"/>
                        <w:szCs w:val="18"/>
                      </w:rPr>
                      <w:t>45</w:t>
                    </w:r>
                    <w:r>
                      <w:rPr>
                        <w:rFonts w:ascii="Times New Roman" w:hAnsi="Times New Roman" w:eastAsia="Times New Roman" w:cs="Times New Roman"/>
                        <w:color w:val="595959"/>
                        <w:spacing w:val="1"/>
                        <w:sz w:val="18"/>
                        <w:szCs w:val="18"/>
                      </w:rPr>
                      <w:t xml:space="preserve">  </w:t>
                    </w:r>
                    <w:r>
                      <w:rPr>
                        <w:rFonts w:ascii="Times New Roman" w:hAnsi="Times New Roman" w:eastAsia="Times New Roman" w:cs="Times New Roman"/>
                        <w:color w:val="595959"/>
                        <w:spacing w:val="-3"/>
                        <w:sz w:val="18"/>
                        <w:szCs w:val="18"/>
                      </w:rPr>
                      <w:t>50</w:t>
                    </w:r>
                  </w:p>
                  <w:p w14:paraId="0F33AFAB">
                    <w:pPr>
                      <w:spacing w:before="53" w:line="251" w:lineRule="exact"/>
                      <w:ind w:left="2189"/>
                      <w:rPr>
                        <w:rFonts w:ascii="宋体" w:hAnsi="宋体" w:eastAsia="宋体" w:cs="宋体"/>
                        <w:sz w:val="19"/>
                        <w:szCs w:val="19"/>
                      </w:rPr>
                    </w:pPr>
                    <w:r>
                      <w:rPr>
                        <w:rFonts w:ascii="宋体" w:hAnsi="宋体" w:eastAsia="宋体" w:cs="宋体"/>
                        <w:color w:val="595959"/>
                        <w:spacing w:val="7"/>
                        <w:position w:val="1"/>
                        <w:sz w:val="19"/>
                        <w:szCs w:val="19"/>
                      </w:rPr>
                      <w:t>距线路中心距离（</w:t>
                    </w:r>
                    <w:r>
                      <w:rPr>
                        <w:rFonts w:ascii="Times New Roman" w:hAnsi="Times New Roman" w:eastAsia="Times New Roman" w:cs="Times New Roman"/>
                        <w:color w:val="595959"/>
                        <w:spacing w:val="7"/>
                        <w:position w:val="1"/>
                        <w:sz w:val="19"/>
                        <w:szCs w:val="19"/>
                      </w:rPr>
                      <w:t>m</w:t>
                    </w:r>
                    <w:r>
                      <w:rPr>
                        <w:rFonts w:ascii="宋体" w:hAnsi="宋体" w:eastAsia="宋体" w:cs="宋体"/>
                        <w:color w:val="595959"/>
                        <w:spacing w:val="7"/>
                        <w:position w:val="1"/>
                        <w:sz w:val="19"/>
                        <w:szCs w:val="19"/>
                      </w:rPr>
                      <w:t>）</w:t>
                    </w:r>
                  </w:p>
                </w:txbxContent>
              </v:textbox>
            </v:shape>
            <v:shape id="_x0000_s1195" o:spid="_x0000_s1195" o:spt="202" type="#_x0000_t202" style="position:absolute;left:2927;top:198;height:203;width:1356;" filled="f" stroked="f" coordsize="21600,21600">
              <v:path/>
              <v:fill on="f" focussize="0,0"/>
              <v:stroke on="f"/>
              <v:imagedata o:title=""/>
              <o:lock v:ext="edit" aspectratio="f"/>
              <v:textbox inset="0mm,0mm,0mm,0mm">
                <w:txbxContent>
                  <w:p w14:paraId="47B3E5E8">
                    <w:pPr>
                      <w:spacing w:before="20"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6.5m</w:t>
                    </w:r>
                    <w:r>
                      <w:rPr>
                        <w:rFonts w:ascii="Times New Roman" w:hAnsi="Times New Roman" w:eastAsia="Times New Roman" w:cs="Times New Roman"/>
                        <w:color w:val="595959"/>
                        <w:spacing w:val="1"/>
                        <w:sz w:val="18"/>
                        <w:szCs w:val="18"/>
                      </w:rPr>
                      <w:t xml:space="preserve">             </w:t>
                    </w:r>
                    <w:r>
                      <w:rPr>
                        <w:rFonts w:ascii="Times New Roman" w:hAnsi="Times New Roman" w:eastAsia="Times New Roman" w:cs="Times New Roman"/>
                        <w:color w:val="595959"/>
                        <w:spacing w:val="-2"/>
                        <w:sz w:val="18"/>
                        <w:szCs w:val="18"/>
                      </w:rPr>
                      <w:t>9.5m</w:t>
                    </w:r>
                  </w:p>
                </w:txbxContent>
              </v:textbox>
            </v:shape>
            <w10:wrap type="none"/>
            <w10:anchorlock/>
          </v:group>
        </w:pict>
      </w:r>
    </w:p>
    <w:p w14:paraId="040AAAF5">
      <w:pPr>
        <w:spacing w:before="142" w:line="234" w:lineRule="auto"/>
        <w:ind w:left="1875"/>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44"/>
          <w:sz w:val="21"/>
          <w:szCs w:val="21"/>
        </w:rPr>
        <w:t xml:space="preserve"> </w:t>
      </w:r>
      <w:r>
        <w:rPr>
          <w:rFonts w:ascii="Times New Roman" w:hAnsi="Times New Roman" w:eastAsia="Times New Roman" w:cs="Times New Roman"/>
          <w:b/>
          <w:bCs/>
          <w:spacing w:val="-3"/>
          <w:sz w:val="21"/>
          <w:szCs w:val="21"/>
        </w:rPr>
        <w:t>4-2    C</w:t>
      </w:r>
      <w:r>
        <w:rPr>
          <w:rFonts w:ascii="Times New Roman" w:hAnsi="Times New Roman" w:eastAsia="Times New Roman" w:cs="Times New Roman"/>
          <w:b/>
          <w:bCs/>
          <w:spacing w:val="28"/>
          <w:sz w:val="21"/>
          <w:szCs w:val="21"/>
        </w:rPr>
        <w:t xml:space="preserve"> </w:t>
      </w:r>
      <w:r>
        <w:rPr>
          <w:rFonts w:ascii="宋体" w:hAnsi="宋体" w:eastAsia="宋体" w:cs="宋体"/>
          <w:b/>
          <w:bCs/>
          <w:spacing w:val="-3"/>
          <w:sz w:val="21"/>
          <w:szCs w:val="21"/>
        </w:rPr>
        <w:t>回线单回三角排列最不利塔型磁感</w:t>
      </w:r>
      <w:r>
        <w:rPr>
          <w:rFonts w:ascii="宋体" w:hAnsi="宋体" w:eastAsia="宋体" w:cs="宋体"/>
          <w:b/>
          <w:bCs/>
          <w:spacing w:val="-4"/>
          <w:sz w:val="21"/>
          <w:szCs w:val="21"/>
        </w:rPr>
        <w:t>应强度分布图</w:t>
      </w:r>
    </w:p>
    <w:p w14:paraId="743BEDA2">
      <w:pPr>
        <w:spacing w:before="189" w:line="233" w:lineRule="auto"/>
        <w:ind w:left="487"/>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w:t>
      </w:r>
      <w:r>
        <w:rPr>
          <w:rFonts w:ascii="Times New Roman" w:hAnsi="Times New Roman" w:eastAsia="Times New Roman" w:cs="Times New Roman"/>
          <w:spacing w:val="-2"/>
          <w:sz w:val="24"/>
          <w:szCs w:val="24"/>
        </w:rPr>
        <w:t>C</w:t>
      </w:r>
      <w:r>
        <w:rPr>
          <w:rFonts w:ascii="Times New Roman" w:hAnsi="Times New Roman" w:eastAsia="Times New Roman" w:cs="Times New Roman"/>
          <w:spacing w:val="49"/>
          <w:sz w:val="24"/>
          <w:szCs w:val="24"/>
        </w:rPr>
        <w:t xml:space="preserve"> </w:t>
      </w:r>
      <w:r>
        <w:rPr>
          <w:rFonts w:ascii="宋体" w:hAnsi="宋体" w:eastAsia="宋体" w:cs="宋体"/>
          <w:spacing w:val="-2"/>
          <w:sz w:val="24"/>
          <w:szCs w:val="24"/>
        </w:rPr>
        <w:t>回：双回垂直排列（单边挂线）最不利塔型</w:t>
      </w:r>
      <w:r>
        <w:rPr>
          <w:rFonts w:ascii="宋体" w:hAnsi="宋体" w:eastAsia="宋体" w:cs="宋体"/>
          <w:spacing w:val="-54"/>
          <w:sz w:val="24"/>
          <w:szCs w:val="24"/>
        </w:rPr>
        <w:t xml:space="preserve"> </w:t>
      </w:r>
      <w:r>
        <w:rPr>
          <w:rFonts w:ascii="Times New Roman" w:hAnsi="Times New Roman" w:eastAsia="Times New Roman" w:cs="Times New Roman"/>
          <w:spacing w:val="-2"/>
          <w:sz w:val="24"/>
          <w:szCs w:val="24"/>
        </w:rPr>
        <w:t>2D2Z5-JD</w:t>
      </w:r>
    </w:p>
    <w:p w14:paraId="0C25887D">
      <w:pPr>
        <w:spacing w:before="101" w:line="229" w:lineRule="auto"/>
        <w:ind w:left="1536"/>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44"/>
          <w:sz w:val="21"/>
          <w:szCs w:val="21"/>
        </w:rPr>
        <w:t xml:space="preserve"> </w:t>
      </w:r>
      <w:r>
        <w:rPr>
          <w:rFonts w:ascii="Times New Roman" w:hAnsi="Times New Roman" w:eastAsia="Times New Roman" w:cs="Times New Roman"/>
          <w:b/>
          <w:bCs/>
          <w:spacing w:val="-2"/>
          <w:sz w:val="21"/>
          <w:szCs w:val="21"/>
        </w:rPr>
        <w:t>4-5    C</w:t>
      </w:r>
      <w:r>
        <w:rPr>
          <w:rFonts w:ascii="Times New Roman" w:hAnsi="Times New Roman" w:eastAsia="Times New Roman" w:cs="Times New Roman"/>
          <w:b/>
          <w:bCs/>
          <w:spacing w:val="28"/>
          <w:sz w:val="21"/>
          <w:szCs w:val="21"/>
        </w:rPr>
        <w:t xml:space="preserve"> </w:t>
      </w:r>
      <w:r>
        <w:rPr>
          <w:rFonts w:ascii="宋体" w:hAnsi="宋体" w:eastAsia="宋体" w:cs="宋体"/>
          <w:b/>
          <w:bCs/>
          <w:spacing w:val="-2"/>
          <w:sz w:val="21"/>
          <w:szCs w:val="21"/>
        </w:rPr>
        <w:t>回线双回垂直排列（单边挂线）</w:t>
      </w:r>
      <w:r>
        <w:rPr>
          <w:rFonts w:ascii="宋体" w:hAnsi="宋体" w:eastAsia="宋体" w:cs="宋体"/>
          <w:b/>
          <w:bCs/>
          <w:spacing w:val="-3"/>
          <w:sz w:val="21"/>
          <w:szCs w:val="21"/>
        </w:rPr>
        <w:t>线路电磁场强度预测值</w:t>
      </w: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2364B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Merge w:val="restart"/>
            <w:tcBorders>
              <w:bottom w:val="nil"/>
            </w:tcBorders>
            <w:vAlign w:val="top"/>
          </w:tcPr>
          <w:p w14:paraId="7CE3B5BE">
            <w:pPr>
              <w:pStyle w:val="6"/>
              <w:spacing w:before="63" w:line="251" w:lineRule="auto"/>
              <w:ind w:left="178" w:right="142" w:hanging="27"/>
            </w:pPr>
            <w:r>
              <w:rPr>
                <w:b/>
                <w:bCs/>
                <w:spacing w:val="-3"/>
              </w:rPr>
              <w:t>距线路走廊中</w:t>
            </w:r>
            <w:r>
              <w:rPr>
                <w:b/>
                <w:bCs/>
                <w:spacing w:val="-4"/>
              </w:rPr>
              <w:t>心距离（</w:t>
            </w:r>
            <w:r>
              <w:rPr>
                <w:rFonts w:ascii="Times New Roman" w:hAnsi="Times New Roman" w:eastAsia="Times New Roman" w:cs="Times New Roman"/>
                <w:b/>
                <w:bCs/>
                <w:spacing w:val="-4"/>
              </w:rPr>
              <w:t>m</w:t>
            </w:r>
            <w:r>
              <w:rPr>
                <w:b/>
                <w:bCs/>
                <w:spacing w:val="-4"/>
              </w:rPr>
              <w:t>）</w:t>
            </w:r>
          </w:p>
        </w:tc>
        <w:tc>
          <w:tcPr>
            <w:tcW w:w="3682" w:type="dxa"/>
            <w:gridSpan w:val="2"/>
            <w:vAlign w:val="top"/>
          </w:tcPr>
          <w:p w14:paraId="6A1D2A1A">
            <w:pPr>
              <w:pStyle w:val="6"/>
              <w:spacing w:before="56" w:line="221" w:lineRule="auto"/>
              <w:ind w:left="753"/>
            </w:pPr>
            <w:r>
              <w:rPr>
                <w:b/>
                <w:bCs/>
                <w:spacing w:val="-2"/>
              </w:rPr>
              <w:t>工频电场强度（</w:t>
            </w:r>
            <w:r>
              <w:rPr>
                <w:rFonts w:ascii="Times New Roman" w:hAnsi="Times New Roman" w:eastAsia="Times New Roman" w:cs="Times New Roman"/>
                <w:b/>
                <w:bCs/>
                <w:spacing w:val="-2"/>
              </w:rPr>
              <w:t>kV/m</w:t>
            </w:r>
            <w:r>
              <w:rPr>
                <w:b/>
                <w:bCs/>
                <w:spacing w:val="-2"/>
              </w:rPr>
              <w:t>）</w:t>
            </w:r>
          </w:p>
        </w:tc>
        <w:tc>
          <w:tcPr>
            <w:tcW w:w="3832" w:type="dxa"/>
            <w:gridSpan w:val="2"/>
            <w:vAlign w:val="top"/>
          </w:tcPr>
          <w:p w14:paraId="4FE71120">
            <w:pPr>
              <w:pStyle w:val="6"/>
              <w:spacing w:before="56" w:line="213" w:lineRule="auto"/>
              <w:ind w:left="844"/>
            </w:pPr>
            <w:r>
              <w:rPr>
                <w:b/>
                <w:bCs/>
                <w:spacing w:val="7"/>
              </w:rPr>
              <w:t>工频磁感应强度(</w:t>
            </w:r>
            <w:r>
              <w:rPr>
                <w:rFonts w:ascii="Times New Roman" w:hAnsi="Times New Roman" w:eastAsia="Times New Roman" w:cs="Times New Roman"/>
                <w:b/>
                <w:bCs/>
                <w:spacing w:val="7"/>
              </w:rPr>
              <w:t>µT</w:t>
            </w:r>
            <w:r>
              <w:rPr>
                <w:b/>
                <w:bCs/>
                <w:spacing w:val="7"/>
              </w:rPr>
              <w:t>）</w:t>
            </w:r>
          </w:p>
        </w:tc>
      </w:tr>
      <w:tr w14:paraId="0CB2D1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Merge w:val="continue"/>
            <w:tcBorders>
              <w:top w:val="nil"/>
            </w:tcBorders>
            <w:vAlign w:val="top"/>
          </w:tcPr>
          <w:p w14:paraId="74CDD3F4">
            <w:pPr>
              <w:rPr>
                <w:rFonts w:ascii="Arial"/>
                <w:sz w:val="21"/>
              </w:rPr>
            </w:pPr>
          </w:p>
        </w:tc>
        <w:tc>
          <w:tcPr>
            <w:tcW w:w="1842" w:type="dxa"/>
            <w:vAlign w:val="top"/>
          </w:tcPr>
          <w:p w14:paraId="515095B2">
            <w:pPr>
              <w:pStyle w:val="6"/>
              <w:spacing w:before="54" w:line="224" w:lineRule="auto"/>
              <w:ind w:left="261"/>
              <w:rPr>
                <w:rFonts w:ascii="Times New Roman" w:hAnsi="Times New Roman" w:eastAsia="Times New Roman" w:cs="Times New Roman"/>
              </w:rPr>
            </w:pPr>
            <w:r>
              <w:rPr>
                <w:b/>
                <w:bCs/>
                <w:spacing w:val="-3"/>
              </w:rPr>
              <w:t>非居民区</w:t>
            </w:r>
            <w:r>
              <w:rPr>
                <w:spacing w:val="-42"/>
              </w:rPr>
              <w:t xml:space="preserve"> </w:t>
            </w:r>
            <w:r>
              <w:rPr>
                <w:rFonts w:ascii="Times New Roman" w:hAnsi="Times New Roman" w:eastAsia="Times New Roman" w:cs="Times New Roman"/>
                <w:b/>
                <w:bCs/>
                <w:spacing w:val="-3"/>
              </w:rPr>
              <w:t>6.5m</w:t>
            </w:r>
          </w:p>
        </w:tc>
        <w:tc>
          <w:tcPr>
            <w:tcW w:w="1840" w:type="dxa"/>
            <w:vAlign w:val="top"/>
          </w:tcPr>
          <w:p w14:paraId="34EDC636">
            <w:pPr>
              <w:pStyle w:val="6"/>
              <w:spacing w:before="54" w:line="224" w:lineRule="auto"/>
              <w:ind w:left="365"/>
              <w:rPr>
                <w:rFonts w:ascii="Times New Roman" w:hAnsi="Times New Roman" w:eastAsia="Times New Roman" w:cs="Times New Roman"/>
              </w:rPr>
            </w:pPr>
            <w:r>
              <w:rPr>
                <w:b/>
                <w:bCs/>
                <w:spacing w:val="-3"/>
              </w:rPr>
              <w:t>居民区</w:t>
            </w:r>
            <w:r>
              <w:rPr>
                <w:spacing w:val="-43"/>
              </w:rPr>
              <w:t xml:space="preserve"> </w:t>
            </w:r>
            <w:r>
              <w:rPr>
                <w:rFonts w:ascii="Times New Roman" w:hAnsi="Times New Roman" w:eastAsia="Times New Roman" w:cs="Times New Roman"/>
                <w:b/>
                <w:bCs/>
                <w:spacing w:val="-3"/>
              </w:rPr>
              <w:t>9.5m</w:t>
            </w:r>
          </w:p>
        </w:tc>
        <w:tc>
          <w:tcPr>
            <w:tcW w:w="1843" w:type="dxa"/>
            <w:vAlign w:val="top"/>
          </w:tcPr>
          <w:p w14:paraId="637F84B2">
            <w:pPr>
              <w:pStyle w:val="6"/>
              <w:spacing w:before="54" w:line="224" w:lineRule="auto"/>
              <w:ind w:left="264"/>
              <w:rPr>
                <w:rFonts w:ascii="Times New Roman" w:hAnsi="Times New Roman" w:eastAsia="Times New Roman" w:cs="Times New Roman"/>
              </w:rPr>
            </w:pPr>
            <w:r>
              <w:rPr>
                <w:b/>
                <w:bCs/>
                <w:spacing w:val="-3"/>
              </w:rPr>
              <w:t>非居民区</w:t>
            </w:r>
            <w:r>
              <w:rPr>
                <w:spacing w:val="-42"/>
              </w:rPr>
              <w:t xml:space="preserve"> </w:t>
            </w:r>
            <w:r>
              <w:rPr>
                <w:rFonts w:ascii="Times New Roman" w:hAnsi="Times New Roman" w:eastAsia="Times New Roman" w:cs="Times New Roman"/>
                <w:b/>
                <w:bCs/>
                <w:spacing w:val="-3"/>
              </w:rPr>
              <w:t>6.5m</w:t>
            </w:r>
          </w:p>
        </w:tc>
        <w:tc>
          <w:tcPr>
            <w:tcW w:w="1989" w:type="dxa"/>
            <w:vAlign w:val="top"/>
          </w:tcPr>
          <w:p w14:paraId="0E4C8181">
            <w:pPr>
              <w:pStyle w:val="6"/>
              <w:spacing w:before="54" w:line="224" w:lineRule="auto"/>
              <w:ind w:left="439"/>
              <w:rPr>
                <w:rFonts w:ascii="Times New Roman" w:hAnsi="Times New Roman" w:eastAsia="Times New Roman" w:cs="Times New Roman"/>
              </w:rPr>
            </w:pPr>
            <w:r>
              <w:rPr>
                <w:b/>
                <w:bCs/>
                <w:spacing w:val="-3"/>
              </w:rPr>
              <w:t>居民区</w:t>
            </w:r>
            <w:r>
              <w:rPr>
                <w:spacing w:val="-43"/>
              </w:rPr>
              <w:t xml:space="preserve"> </w:t>
            </w:r>
            <w:r>
              <w:rPr>
                <w:rFonts w:ascii="Times New Roman" w:hAnsi="Times New Roman" w:eastAsia="Times New Roman" w:cs="Times New Roman"/>
                <w:b/>
                <w:bCs/>
                <w:spacing w:val="-3"/>
              </w:rPr>
              <w:t>9.5m</w:t>
            </w:r>
          </w:p>
        </w:tc>
      </w:tr>
      <w:tr w14:paraId="4A2F8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B5CF6A4">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1842" w:type="dxa"/>
            <w:vAlign w:val="top"/>
          </w:tcPr>
          <w:p w14:paraId="55B1DA99">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0.093</w:t>
            </w:r>
          </w:p>
        </w:tc>
        <w:tc>
          <w:tcPr>
            <w:tcW w:w="1840" w:type="dxa"/>
            <w:vAlign w:val="top"/>
          </w:tcPr>
          <w:p w14:paraId="09AABE4B">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0.080</w:t>
            </w:r>
          </w:p>
        </w:tc>
        <w:tc>
          <w:tcPr>
            <w:tcW w:w="1843" w:type="dxa"/>
            <w:vAlign w:val="top"/>
          </w:tcPr>
          <w:p w14:paraId="2BAF8B33">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2.160</w:t>
            </w:r>
          </w:p>
        </w:tc>
        <w:tc>
          <w:tcPr>
            <w:tcW w:w="1989" w:type="dxa"/>
            <w:vAlign w:val="top"/>
          </w:tcPr>
          <w:p w14:paraId="63CB5A55">
            <w:pPr>
              <w:spacing w:before="86" w:line="218"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2.100</w:t>
            </w:r>
          </w:p>
        </w:tc>
      </w:tr>
      <w:tr w14:paraId="6DDF85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D59FFAC">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-49</w:t>
            </w:r>
          </w:p>
        </w:tc>
        <w:tc>
          <w:tcPr>
            <w:tcW w:w="1842" w:type="dxa"/>
            <w:vAlign w:val="top"/>
          </w:tcPr>
          <w:p w14:paraId="6F2E9F07">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0.096</w:t>
            </w:r>
          </w:p>
        </w:tc>
        <w:tc>
          <w:tcPr>
            <w:tcW w:w="1840" w:type="dxa"/>
            <w:vAlign w:val="top"/>
          </w:tcPr>
          <w:p w14:paraId="283B656B">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0.082</w:t>
            </w:r>
          </w:p>
        </w:tc>
        <w:tc>
          <w:tcPr>
            <w:tcW w:w="1843" w:type="dxa"/>
            <w:vAlign w:val="top"/>
          </w:tcPr>
          <w:p w14:paraId="5B78D131">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2.243</w:t>
            </w:r>
          </w:p>
        </w:tc>
        <w:tc>
          <w:tcPr>
            <w:tcW w:w="1989" w:type="dxa"/>
            <w:vAlign w:val="top"/>
          </w:tcPr>
          <w:p w14:paraId="6DD0DBBA">
            <w:pPr>
              <w:spacing w:before="87"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2.178</w:t>
            </w:r>
          </w:p>
        </w:tc>
      </w:tr>
      <w:tr w14:paraId="505D33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7D3B2A1">
            <w:pPr>
              <w:spacing w:before="87"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-48</w:t>
            </w:r>
          </w:p>
        </w:tc>
        <w:tc>
          <w:tcPr>
            <w:tcW w:w="1842" w:type="dxa"/>
            <w:vAlign w:val="top"/>
          </w:tcPr>
          <w:p w14:paraId="3EAE5FED">
            <w:pPr>
              <w:spacing w:before="87"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0.099</w:t>
            </w:r>
          </w:p>
        </w:tc>
        <w:tc>
          <w:tcPr>
            <w:tcW w:w="1840" w:type="dxa"/>
            <w:vAlign w:val="top"/>
          </w:tcPr>
          <w:p w14:paraId="6B77FC00">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0.083</w:t>
            </w:r>
          </w:p>
        </w:tc>
        <w:tc>
          <w:tcPr>
            <w:tcW w:w="1843" w:type="dxa"/>
            <w:vAlign w:val="top"/>
          </w:tcPr>
          <w:p w14:paraId="332FCF82">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2.331</w:t>
            </w:r>
          </w:p>
        </w:tc>
        <w:tc>
          <w:tcPr>
            <w:tcW w:w="1989" w:type="dxa"/>
            <w:vAlign w:val="top"/>
          </w:tcPr>
          <w:p w14:paraId="6EC3A456">
            <w:pPr>
              <w:spacing w:before="87" w:line="218"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2.261</w:t>
            </w:r>
          </w:p>
        </w:tc>
      </w:tr>
      <w:tr w14:paraId="24C428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3015E6C">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-47</w:t>
            </w:r>
          </w:p>
        </w:tc>
        <w:tc>
          <w:tcPr>
            <w:tcW w:w="1842" w:type="dxa"/>
            <w:vAlign w:val="top"/>
          </w:tcPr>
          <w:p w14:paraId="15AB760F">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0.102</w:t>
            </w:r>
          </w:p>
        </w:tc>
        <w:tc>
          <w:tcPr>
            <w:tcW w:w="1840" w:type="dxa"/>
            <w:vAlign w:val="top"/>
          </w:tcPr>
          <w:p w14:paraId="2F171A81">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0.085</w:t>
            </w:r>
          </w:p>
        </w:tc>
        <w:tc>
          <w:tcPr>
            <w:tcW w:w="1843" w:type="dxa"/>
            <w:vAlign w:val="top"/>
          </w:tcPr>
          <w:p w14:paraId="40D078BD">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2.424</w:t>
            </w:r>
          </w:p>
        </w:tc>
        <w:tc>
          <w:tcPr>
            <w:tcW w:w="1989" w:type="dxa"/>
            <w:vAlign w:val="top"/>
          </w:tcPr>
          <w:p w14:paraId="5E58A175">
            <w:pPr>
              <w:spacing w:before="87"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2.348</w:t>
            </w:r>
          </w:p>
        </w:tc>
      </w:tr>
      <w:tr w14:paraId="5AB72A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8DDA0BA">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-46</w:t>
            </w:r>
          </w:p>
        </w:tc>
        <w:tc>
          <w:tcPr>
            <w:tcW w:w="1842" w:type="dxa"/>
            <w:vAlign w:val="top"/>
          </w:tcPr>
          <w:p w14:paraId="42061394">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0.105</w:t>
            </w:r>
          </w:p>
        </w:tc>
        <w:tc>
          <w:tcPr>
            <w:tcW w:w="1840" w:type="dxa"/>
            <w:vAlign w:val="top"/>
          </w:tcPr>
          <w:p w14:paraId="3D99C158">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0.087</w:t>
            </w:r>
          </w:p>
        </w:tc>
        <w:tc>
          <w:tcPr>
            <w:tcW w:w="1843" w:type="dxa"/>
            <w:vAlign w:val="top"/>
          </w:tcPr>
          <w:p w14:paraId="292145EE">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2.523</w:t>
            </w:r>
          </w:p>
        </w:tc>
        <w:tc>
          <w:tcPr>
            <w:tcW w:w="1989" w:type="dxa"/>
            <w:vAlign w:val="top"/>
          </w:tcPr>
          <w:p w14:paraId="5F105E83">
            <w:pPr>
              <w:spacing w:before="88"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2.441</w:t>
            </w:r>
          </w:p>
        </w:tc>
      </w:tr>
      <w:tr w14:paraId="7C1034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30C0869A">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-45</w:t>
            </w:r>
          </w:p>
        </w:tc>
        <w:tc>
          <w:tcPr>
            <w:tcW w:w="1842" w:type="dxa"/>
            <w:vAlign w:val="top"/>
          </w:tcPr>
          <w:p w14:paraId="457A2D82">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0.108</w:t>
            </w:r>
          </w:p>
        </w:tc>
        <w:tc>
          <w:tcPr>
            <w:tcW w:w="1840" w:type="dxa"/>
            <w:vAlign w:val="top"/>
          </w:tcPr>
          <w:p w14:paraId="2C1B3557">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0.089</w:t>
            </w:r>
          </w:p>
        </w:tc>
        <w:tc>
          <w:tcPr>
            <w:tcW w:w="1843" w:type="dxa"/>
            <w:vAlign w:val="top"/>
          </w:tcPr>
          <w:p w14:paraId="755CF0DE">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2.627</w:t>
            </w:r>
          </w:p>
        </w:tc>
        <w:tc>
          <w:tcPr>
            <w:tcW w:w="1989" w:type="dxa"/>
            <w:vAlign w:val="top"/>
          </w:tcPr>
          <w:p w14:paraId="5DEC1A21">
            <w:pPr>
              <w:spacing w:before="90"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2.539</w:t>
            </w:r>
          </w:p>
        </w:tc>
      </w:tr>
      <w:tr w14:paraId="0FC7F1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6A32651">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-44</w:t>
            </w:r>
          </w:p>
        </w:tc>
        <w:tc>
          <w:tcPr>
            <w:tcW w:w="1842" w:type="dxa"/>
            <w:vAlign w:val="top"/>
          </w:tcPr>
          <w:p w14:paraId="63541483">
            <w:pPr>
              <w:spacing w:before="87"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0.111</w:t>
            </w:r>
          </w:p>
        </w:tc>
        <w:tc>
          <w:tcPr>
            <w:tcW w:w="1840" w:type="dxa"/>
            <w:vAlign w:val="top"/>
          </w:tcPr>
          <w:p w14:paraId="73372D98">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0.091</w:t>
            </w:r>
          </w:p>
        </w:tc>
        <w:tc>
          <w:tcPr>
            <w:tcW w:w="1843" w:type="dxa"/>
            <w:vAlign w:val="top"/>
          </w:tcPr>
          <w:p w14:paraId="6DA8363B">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2.738</w:t>
            </w:r>
          </w:p>
        </w:tc>
        <w:tc>
          <w:tcPr>
            <w:tcW w:w="1989" w:type="dxa"/>
            <w:vAlign w:val="top"/>
          </w:tcPr>
          <w:p w14:paraId="7A607D3A">
            <w:pPr>
              <w:spacing w:before="87"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2.642</w:t>
            </w:r>
          </w:p>
        </w:tc>
      </w:tr>
      <w:tr w14:paraId="703E27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DD1A7E6">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-43</w:t>
            </w:r>
          </w:p>
        </w:tc>
        <w:tc>
          <w:tcPr>
            <w:tcW w:w="1842" w:type="dxa"/>
            <w:vAlign w:val="top"/>
          </w:tcPr>
          <w:p w14:paraId="16A76912">
            <w:pPr>
              <w:spacing w:before="88" w:line="217"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0.114</w:t>
            </w:r>
          </w:p>
        </w:tc>
        <w:tc>
          <w:tcPr>
            <w:tcW w:w="1840" w:type="dxa"/>
            <w:vAlign w:val="top"/>
          </w:tcPr>
          <w:p w14:paraId="67640634">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0.093</w:t>
            </w:r>
          </w:p>
        </w:tc>
        <w:tc>
          <w:tcPr>
            <w:tcW w:w="1843" w:type="dxa"/>
            <w:vAlign w:val="top"/>
          </w:tcPr>
          <w:p w14:paraId="14097D98">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2.856</w:t>
            </w:r>
          </w:p>
        </w:tc>
        <w:tc>
          <w:tcPr>
            <w:tcW w:w="1989" w:type="dxa"/>
            <w:vAlign w:val="top"/>
          </w:tcPr>
          <w:p w14:paraId="0711A1CA">
            <w:pPr>
              <w:spacing w:before="88"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2.752</w:t>
            </w:r>
          </w:p>
        </w:tc>
      </w:tr>
      <w:tr w14:paraId="6C4772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51588EF">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-42</w:t>
            </w:r>
          </w:p>
        </w:tc>
        <w:tc>
          <w:tcPr>
            <w:tcW w:w="1842" w:type="dxa"/>
            <w:vAlign w:val="top"/>
          </w:tcPr>
          <w:p w14:paraId="5E0A7A74">
            <w:pPr>
              <w:spacing w:before="88"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0.118</w:t>
            </w:r>
          </w:p>
        </w:tc>
        <w:tc>
          <w:tcPr>
            <w:tcW w:w="1840" w:type="dxa"/>
            <w:vAlign w:val="top"/>
          </w:tcPr>
          <w:p w14:paraId="4FC96FC5">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0.094</w:t>
            </w:r>
          </w:p>
        </w:tc>
        <w:tc>
          <w:tcPr>
            <w:tcW w:w="1843" w:type="dxa"/>
            <w:vAlign w:val="top"/>
          </w:tcPr>
          <w:p w14:paraId="406F6B72">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2.982</w:t>
            </w:r>
          </w:p>
        </w:tc>
        <w:tc>
          <w:tcPr>
            <w:tcW w:w="1989" w:type="dxa"/>
            <w:vAlign w:val="top"/>
          </w:tcPr>
          <w:p w14:paraId="3C606FC0">
            <w:pPr>
              <w:spacing w:before="88" w:line="216"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2.869</w:t>
            </w:r>
          </w:p>
        </w:tc>
      </w:tr>
      <w:tr w14:paraId="6F5A39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91AB6EC">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-41</w:t>
            </w:r>
          </w:p>
        </w:tc>
        <w:tc>
          <w:tcPr>
            <w:tcW w:w="1842" w:type="dxa"/>
            <w:vAlign w:val="top"/>
          </w:tcPr>
          <w:p w14:paraId="0D873A44">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0.121</w:t>
            </w:r>
          </w:p>
        </w:tc>
        <w:tc>
          <w:tcPr>
            <w:tcW w:w="1840" w:type="dxa"/>
            <w:vAlign w:val="top"/>
          </w:tcPr>
          <w:p w14:paraId="62096669">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0.096</w:t>
            </w:r>
          </w:p>
        </w:tc>
        <w:tc>
          <w:tcPr>
            <w:tcW w:w="1843" w:type="dxa"/>
            <w:vAlign w:val="top"/>
          </w:tcPr>
          <w:p w14:paraId="3588D956">
            <w:pPr>
              <w:spacing w:before="88"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3.116</w:t>
            </w:r>
          </w:p>
        </w:tc>
        <w:tc>
          <w:tcPr>
            <w:tcW w:w="1989" w:type="dxa"/>
            <w:vAlign w:val="top"/>
          </w:tcPr>
          <w:p w14:paraId="3C63AA9A">
            <w:pPr>
              <w:spacing w:before="88"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2.993</w:t>
            </w:r>
          </w:p>
        </w:tc>
      </w:tr>
      <w:tr w14:paraId="02042B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DE427C2">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-40</w:t>
            </w:r>
          </w:p>
        </w:tc>
        <w:tc>
          <w:tcPr>
            <w:tcW w:w="1842" w:type="dxa"/>
            <w:vAlign w:val="top"/>
          </w:tcPr>
          <w:p w14:paraId="464060E4">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0.125</w:t>
            </w:r>
          </w:p>
        </w:tc>
        <w:tc>
          <w:tcPr>
            <w:tcW w:w="1840" w:type="dxa"/>
            <w:vAlign w:val="top"/>
          </w:tcPr>
          <w:p w14:paraId="69005FD9">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0.097</w:t>
            </w:r>
          </w:p>
        </w:tc>
        <w:tc>
          <w:tcPr>
            <w:tcW w:w="1843" w:type="dxa"/>
            <w:vAlign w:val="top"/>
          </w:tcPr>
          <w:p w14:paraId="09395EB3">
            <w:pPr>
              <w:spacing w:before="88" w:line="216"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3.259</w:t>
            </w:r>
          </w:p>
        </w:tc>
        <w:tc>
          <w:tcPr>
            <w:tcW w:w="1989" w:type="dxa"/>
            <w:vAlign w:val="top"/>
          </w:tcPr>
          <w:p w14:paraId="02CC4217">
            <w:pPr>
              <w:spacing w:before="88"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3.124</w:t>
            </w:r>
          </w:p>
        </w:tc>
      </w:tr>
      <w:tr w14:paraId="6B7D87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10217E8B">
            <w:pPr>
              <w:spacing w:before="91"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-39</w:t>
            </w:r>
          </w:p>
        </w:tc>
        <w:tc>
          <w:tcPr>
            <w:tcW w:w="1842" w:type="dxa"/>
            <w:vAlign w:val="top"/>
          </w:tcPr>
          <w:p w14:paraId="58976AA7">
            <w:pPr>
              <w:spacing w:before="91"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0.128</w:t>
            </w:r>
          </w:p>
        </w:tc>
        <w:tc>
          <w:tcPr>
            <w:tcW w:w="1840" w:type="dxa"/>
            <w:vAlign w:val="top"/>
          </w:tcPr>
          <w:p w14:paraId="0817C707">
            <w:pPr>
              <w:spacing w:before="91"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0.099</w:t>
            </w:r>
          </w:p>
        </w:tc>
        <w:tc>
          <w:tcPr>
            <w:tcW w:w="1843" w:type="dxa"/>
            <w:vAlign w:val="top"/>
          </w:tcPr>
          <w:p w14:paraId="6E25A133">
            <w:pPr>
              <w:spacing w:before="91" w:line="216"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3.411</w:t>
            </w:r>
          </w:p>
        </w:tc>
        <w:tc>
          <w:tcPr>
            <w:tcW w:w="1989" w:type="dxa"/>
            <w:vAlign w:val="top"/>
          </w:tcPr>
          <w:p w14:paraId="7D1F407B">
            <w:pPr>
              <w:spacing w:before="91"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3.265</w:t>
            </w:r>
          </w:p>
        </w:tc>
      </w:tr>
      <w:tr w14:paraId="261762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B8F5CEE">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-38</w:t>
            </w:r>
          </w:p>
        </w:tc>
        <w:tc>
          <w:tcPr>
            <w:tcW w:w="1842" w:type="dxa"/>
            <w:vAlign w:val="top"/>
          </w:tcPr>
          <w:p w14:paraId="0DB3F062">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0.132</w:t>
            </w:r>
          </w:p>
        </w:tc>
        <w:tc>
          <w:tcPr>
            <w:tcW w:w="1840" w:type="dxa"/>
            <w:vAlign w:val="top"/>
          </w:tcPr>
          <w:p w14:paraId="44227DEA">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0.100</w:t>
            </w:r>
          </w:p>
        </w:tc>
        <w:tc>
          <w:tcPr>
            <w:tcW w:w="1843" w:type="dxa"/>
            <w:vAlign w:val="top"/>
          </w:tcPr>
          <w:p w14:paraId="578D5932">
            <w:pPr>
              <w:spacing w:before="88" w:line="216"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3.574</w:t>
            </w:r>
          </w:p>
        </w:tc>
        <w:tc>
          <w:tcPr>
            <w:tcW w:w="1989" w:type="dxa"/>
            <w:vAlign w:val="top"/>
          </w:tcPr>
          <w:p w14:paraId="36767F76">
            <w:pPr>
              <w:spacing w:before="88"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3.414</w:t>
            </w:r>
          </w:p>
        </w:tc>
      </w:tr>
      <w:tr w14:paraId="719E7F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40C0DCD">
            <w:pPr>
              <w:spacing w:before="89"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-37</w:t>
            </w:r>
          </w:p>
        </w:tc>
        <w:tc>
          <w:tcPr>
            <w:tcW w:w="1842" w:type="dxa"/>
            <w:vAlign w:val="top"/>
          </w:tcPr>
          <w:p w14:paraId="7EBA57F5">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0.136</w:t>
            </w:r>
          </w:p>
        </w:tc>
        <w:tc>
          <w:tcPr>
            <w:tcW w:w="1840" w:type="dxa"/>
            <w:vAlign w:val="top"/>
          </w:tcPr>
          <w:p w14:paraId="745BF544">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0.101</w:t>
            </w:r>
          </w:p>
        </w:tc>
        <w:tc>
          <w:tcPr>
            <w:tcW w:w="1843" w:type="dxa"/>
            <w:vAlign w:val="top"/>
          </w:tcPr>
          <w:p w14:paraId="142D6E81">
            <w:pPr>
              <w:spacing w:before="89" w:line="216"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3.749</w:t>
            </w:r>
          </w:p>
        </w:tc>
        <w:tc>
          <w:tcPr>
            <w:tcW w:w="1989" w:type="dxa"/>
            <w:vAlign w:val="top"/>
          </w:tcPr>
          <w:p w14:paraId="6BD86FDD">
            <w:pPr>
              <w:spacing w:before="89"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3.573</w:t>
            </w:r>
          </w:p>
        </w:tc>
      </w:tr>
      <w:tr w14:paraId="78D76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F2A1367">
            <w:pPr>
              <w:spacing w:before="89"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-36</w:t>
            </w:r>
          </w:p>
        </w:tc>
        <w:tc>
          <w:tcPr>
            <w:tcW w:w="1842" w:type="dxa"/>
            <w:vAlign w:val="top"/>
          </w:tcPr>
          <w:p w14:paraId="38C02AD0">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0.140</w:t>
            </w:r>
          </w:p>
        </w:tc>
        <w:tc>
          <w:tcPr>
            <w:tcW w:w="1840" w:type="dxa"/>
            <w:vAlign w:val="top"/>
          </w:tcPr>
          <w:p w14:paraId="63425378">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0.102</w:t>
            </w:r>
          </w:p>
        </w:tc>
        <w:tc>
          <w:tcPr>
            <w:tcW w:w="1843" w:type="dxa"/>
            <w:vAlign w:val="top"/>
          </w:tcPr>
          <w:p w14:paraId="3AC31B68">
            <w:pPr>
              <w:spacing w:before="89" w:line="215"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3.936</w:t>
            </w:r>
          </w:p>
        </w:tc>
        <w:tc>
          <w:tcPr>
            <w:tcW w:w="1989" w:type="dxa"/>
            <w:vAlign w:val="top"/>
          </w:tcPr>
          <w:p w14:paraId="0BD14F8E">
            <w:pPr>
              <w:spacing w:before="89" w:line="215"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3.744</w:t>
            </w:r>
          </w:p>
        </w:tc>
      </w:tr>
      <w:tr w14:paraId="61569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2036046">
            <w:pPr>
              <w:spacing w:before="89"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-35</w:t>
            </w:r>
          </w:p>
        </w:tc>
        <w:tc>
          <w:tcPr>
            <w:tcW w:w="1842" w:type="dxa"/>
            <w:vAlign w:val="top"/>
          </w:tcPr>
          <w:p w14:paraId="5099148A">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0.144</w:t>
            </w:r>
          </w:p>
        </w:tc>
        <w:tc>
          <w:tcPr>
            <w:tcW w:w="1840" w:type="dxa"/>
            <w:vAlign w:val="top"/>
          </w:tcPr>
          <w:p w14:paraId="5E4B3883">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0.103</w:t>
            </w:r>
          </w:p>
        </w:tc>
        <w:tc>
          <w:tcPr>
            <w:tcW w:w="1843" w:type="dxa"/>
            <w:vAlign w:val="top"/>
          </w:tcPr>
          <w:p w14:paraId="202E80A3">
            <w:pPr>
              <w:spacing w:before="89" w:line="215"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4.137</w:t>
            </w:r>
          </w:p>
        </w:tc>
        <w:tc>
          <w:tcPr>
            <w:tcW w:w="1989" w:type="dxa"/>
            <w:vAlign w:val="top"/>
          </w:tcPr>
          <w:p w14:paraId="7479ED45">
            <w:pPr>
              <w:spacing w:before="89" w:line="215"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3.926</w:t>
            </w:r>
          </w:p>
        </w:tc>
      </w:tr>
      <w:tr w14:paraId="7CAF6C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F86E3BA">
            <w:pPr>
              <w:spacing w:before="90"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-34</w:t>
            </w:r>
          </w:p>
        </w:tc>
        <w:tc>
          <w:tcPr>
            <w:tcW w:w="1842" w:type="dxa"/>
            <w:vAlign w:val="top"/>
          </w:tcPr>
          <w:p w14:paraId="6BFB94B1">
            <w:pPr>
              <w:spacing w:before="90"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0.147</w:t>
            </w:r>
          </w:p>
        </w:tc>
        <w:tc>
          <w:tcPr>
            <w:tcW w:w="1840" w:type="dxa"/>
            <w:vAlign w:val="top"/>
          </w:tcPr>
          <w:p w14:paraId="66130F74">
            <w:pPr>
              <w:spacing w:before="90"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0.103</w:t>
            </w:r>
          </w:p>
        </w:tc>
        <w:tc>
          <w:tcPr>
            <w:tcW w:w="1843" w:type="dxa"/>
            <w:vAlign w:val="top"/>
          </w:tcPr>
          <w:p w14:paraId="0F21D4B4">
            <w:pPr>
              <w:spacing w:before="90" w:line="215"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4.354</w:t>
            </w:r>
          </w:p>
        </w:tc>
        <w:tc>
          <w:tcPr>
            <w:tcW w:w="1989" w:type="dxa"/>
            <w:vAlign w:val="top"/>
          </w:tcPr>
          <w:p w14:paraId="15574B1F">
            <w:pPr>
              <w:spacing w:before="90" w:line="215"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4.120</w:t>
            </w:r>
          </w:p>
        </w:tc>
      </w:tr>
      <w:tr w14:paraId="4541D8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6B164B5D">
            <w:pPr>
              <w:spacing w:before="92"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-33</w:t>
            </w:r>
          </w:p>
        </w:tc>
        <w:tc>
          <w:tcPr>
            <w:tcW w:w="1842" w:type="dxa"/>
            <w:vAlign w:val="top"/>
          </w:tcPr>
          <w:p w14:paraId="47C0A3E9">
            <w:pPr>
              <w:spacing w:before="92"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0.151</w:t>
            </w:r>
          </w:p>
        </w:tc>
        <w:tc>
          <w:tcPr>
            <w:tcW w:w="1840" w:type="dxa"/>
            <w:vAlign w:val="top"/>
          </w:tcPr>
          <w:p w14:paraId="05121194">
            <w:pPr>
              <w:spacing w:before="92"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0.103</w:t>
            </w:r>
          </w:p>
        </w:tc>
        <w:tc>
          <w:tcPr>
            <w:tcW w:w="1843" w:type="dxa"/>
            <w:vAlign w:val="top"/>
          </w:tcPr>
          <w:p w14:paraId="51BB3635">
            <w:pPr>
              <w:spacing w:before="92" w:line="215"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4.587</w:t>
            </w:r>
          </w:p>
        </w:tc>
        <w:tc>
          <w:tcPr>
            <w:tcW w:w="1989" w:type="dxa"/>
            <w:vAlign w:val="top"/>
          </w:tcPr>
          <w:p w14:paraId="091ACC9E">
            <w:pPr>
              <w:spacing w:before="92" w:line="215"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4.329</w:t>
            </w:r>
          </w:p>
        </w:tc>
      </w:tr>
      <w:tr w14:paraId="7552F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A03151B">
            <w:pPr>
              <w:spacing w:before="90"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-32</w:t>
            </w:r>
          </w:p>
        </w:tc>
        <w:tc>
          <w:tcPr>
            <w:tcW w:w="1842" w:type="dxa"/>
            <w:vAlign w:val="top"/>
          </w:tcPr>
          <w:p w14:paraId="03DB130E">
            <w:pPr>
              <w:spacing w:before="90"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0.155</w:t>
            </w:r>
          </w:p>
        </w:tc>
        <w:tc>
          <w:tcPr>
            <w:tcW w:w="1840" w:type="dxa"/>
            <w:vAlign w:val="top"/>
          </w:tcPr>
          <w:p w14:paraId="31A6A4B0">
            <w:pPr>
              <w:spacing w:before="90"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0.102</w:t>
            </w:r>
          </w:p>
        </w:tc>
        <w:tc>
          <w:tcPr>
            <w:tcW w:w="1843" w:type="dxa"/>
            <w:vAlign w:val="top"/>
          </w:tcPr>
          <w:p w14:paraId="689EBC65">
            <w:pPr>
              <w:spacing w:before="90" w:line="215"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4.839</w:t>
            </w:r>
          </w:p>
        </w:tc>
        <w:tc>
          <w:tcPr>
            <w:tcW w:w="1989" w:type="dxa"/>
            <w:vAlign w:val="top"/>
          </w:tcPr>
          <w:p w14:paraId="1B689428">
            <w:pPr>
              <w:spacing w:before="90" w:line="215"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4.554</w:t>
            </w:r>
          </w:p>
        </w:tc>
      </w:tr>
      <w:tr w14:paraId="4F57F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C1A6FED">
            <w:pPr>
              <w:spacing w:before="90" w:line="214"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-31</w:t>
            </w:r>
          </w:p>
        </w:tc>
        <w:tc>
          <w:tcPr>
            <w:tcW w:w="1842" w:type="dxa"/>
            <w:vAlign w:val="top"/>
          </w:tcPr>
          <w:p w14:paraId="15455219">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0.158</w:t>
            </w:r>
          </w:p>
        </w:tc>
        <w:tc>
          <w:tcPr>
            <w:tcW w:w="1840" w:type="dxa"/>
            <w:vAlign w:val="top"/>
          </w:tcPr>
          <w:p w14:paraId="433A53D3">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0.100</w:t>
            </w:r>
          </w:p>
        </w:tc>
        <w:tc>
          <w:tcPr>
            <w:tcW w:w="1843" w:type="dxa"/>
            <w:vAlign w:val="top"/>
          </w:tcPr>
          <w:p w14:paraId="3E696815">
            <w:pPr>
              <w:spacing w:before="90" w:line="214" w:lineRule="auto"/>
              <w:ind w:left="702"/>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5.111</w:t>
            </w:r>
          </w:p>
        </w:tc>
        <w:tc>
          <w:tcPr>
            <w:tcW w:w="1989" w:type="dxa"/>
            <w:vAlign w:val="top"/>
          </w:tcPr>
          <w:p w14:paraId="22FC4999">
            <w:pPr>
              <w:spacing w:before="90" w:line="214"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4.795</w:t>
            </w:r>
          </w:p>
        </w:tc>
      </w:tr>
      <w:tr w14:paraId="3AFB7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9040566">
            <w:pPr>
              <w:spacing w:before="90" w:line="214"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w:t>
            </w:r>
          </w:p>
        </w:tc>
        <w:tc>
          <w:tcPr>
            <w:tcW w:w="1842" w:type="dxa"/>
            <w:vAlign w:val="top"/>
          </w:tcPr>
          <w:p w14:paraId="384FBBC8">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0.161</w:t>
            </w:r>
          </w:p>
        </w:tc>
        <w:tc>
          <w:tcPr>
            <w:tcW w:w="1840" w:type="dxa"/>
            <w:vAlign w:val="top"/>
          </w:tcPr>
          <w:p w14:paraId="1657379D">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0.098</w:t>
            </w:r>
          </w:p>
        </w:tc>
        <w:tc>
          <w:tcPr>
            <w:tcW w:w="1843" w:type="dxa"/>
            <w:vAlign w:val="top"/>
          </w:tcPr>
          <w:p w14:paraId="4099D4BB">
            <w:pPr>
              <w:spacing w:before="90" w:line="214"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5.405</w:t>
            </w:r>
          </w:p>
        </w:tc>
        <w:tc>
          <w:tcPr>
            <w:tcW w:w="1989" w:type="dxa"/>
            <w:vAlign w:val="top"/>
          </w:tcPr>
          <w:p w14:paraId="41288F36">
            <w:pPr>
              <w:spacing w:before="90" w:line="214"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5.054</w:t>
            </w:r>
          </w:p>
        </w:tc>
      </w:tr>
      <w:tr w14:paraId="69C1C4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C670709">
            <w:pPr>
              <w:spacing w:before="91" w:line="213"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-29</w:t>
            </w:r>
          </w:p>
        </w:tc>
        <w:tc>
          <w:tcPr>
            <w:tcW w:w="1842" w:type="dxa"/>
            <w:vAlign w:val="top"/>
          </w:tcPr>
          <w:p w14:paraId="42E4C5EF">
            <w:pPr>
              <w:spacing w:before="91"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0.164</w:t>
            </w:r>
          </w:p>
        </w:tc>
        <w:tc>
          <w:tcPr>
            <w:tcW w:w="1840" w:type="dxa"/>
            <w:vAlign w:val="top"/>
          </w:tcPr>
          <w:p w14:paraId="140E01EB">
            <w:pPr>
              <w:spacing w:before="91"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0.095</w:t>
            </w:r>
          </w:p>
        </w:tc>
        <w:tc>
          <w:tcPr>
            <w:tcW w:w="1843" w:type="dxa"/>
            <w:vAlign w:val="top"/>
          </w:tcPr>
          <w:p w14:paraId="3A0A82CF">
            <w:pPr>
              <w:spacing w:before="91" w:line="213"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5.725</w:t>
            </w:r>
          </w:p>
        </w:tc>
        <w:tc>
          <w:tcPr>
            <w:tcW w:w="1989" w:type="dxa"/>
            <w:vAlign w:val="top"/>
          </w:tcPr>
          <w:p w14:paraId="7E778FA0">
            <w:pPr>
              <w:spacing w:before="91" w:line="213"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5.334</w:t>
            </w:r>
          </w:p>
        </w:tc>
      </w:tr>
      <w:tr w14:paraId="04EAE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559" w:type="dxa"/>
            <w:vAlign w:val="top"/>
          </w:tcPr>
          <w:p w14:paraId="366AD39A">
            <w:pPr>
              <w:spacing w:before="91" w:line="221"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-28</w:t>
            </w:r>
          </w:p>
        </w:tc>
        <w:tc>
          <w:tcPr>
            <w:tcW w:w="1842" w:type="dxa"/>
            <w:vAlign w:val="top"/>
          </w:tcPr>
          <w:p w14:paraId="642A9119">
            <w:pPr>
              <w:spacing w:before="91" w:line="221"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0.166</w:t>
            </w:r>
          </w:p>
        </w:tc>
        <w:tc>
          <w:tcPr>
            <w:tcW w:w="1840" w:type="dxa"/>
            <w:vAlign w:val="top"/>
          </w:tcPr>
          <w:p w14:paraId="297348BD">
            <w:pPr>
              <w:spacing w:before="91" w:line="221"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0.091</w:t>
            </w:r>
          </w:p>
        </w:tc>
        <w:tc>
          <w:tcPr>
            <w:tcW w:w="1843" w:type="dxa"/>
            <w:vAlign w:val="top"/>
          </w:tcPr>
          <w:p w14:paraId="2C07D271">
            <w:pPr>
              <w:spacing w:before="91" w:line="221"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6.072</w:t>
            </w:r>
          </w:p>
        </w:tc>
        <w:tc>
          <w:tcPr>
            <w:tcW w:w="1989" w:type="dxa"/>
            <w:vAlign w:val="top"/>
          </w:tcPr>
          <w:p w14:paraId="7E652047">
            <w:pPr>
              <w:spacing w:before="91" w:line="221"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5.635</w:t>
            </w:r>
          </w:p>
        </w:tc>
      </w:tr>
    </w:tbl>
    <w:p w14:paraId="7C993470">
      <w:pPr>
        <w:rPr>
          <w:rFonts w:ascii="Arial"/>
          <w:sz w:val="21"/>
        </w:rPr>
      </w:pPr>
    </w:p>
    <w:p w14:paraId="73CA2EDB">
      <w:pPr>
        <w:rPr>
          <w:rFonts w:ascii="Arial" w:hAnsi="Arial" w:eastAsia="Arial" w:cs="Arial"/>
          <w:sz w:val="21"/>
          <w:szCs w:val="21"/>
        </w:rPr>
        <w:sectPr>
          <w:footerReference r:id="rId107" w:type="default"/>
          <w:pgSz w:w="11907" w:h="16841"/>
          <w:pgMar w:top="400" w:right="1411" w:bottom="1126" w:left="1416" w:header="0" w:footer="925" w:gutter="0"/>
          <w:cols w:space="720" w:num="1"/>
        </w:sectPr>
      </w:pPr>
    </w:p>
    <w:p w14:paraId="62441B18">
      <w:pPr>
        <w:spacing w:before="2"/>
      </w:pPr>
    </w:p>
    <w:p w14:paraId="424F4A80">
      <w:pPr>
        <w:spacing w:before="2"/>
      </w:pPr>
    </w:p>
    <w:p w14:paraId="238D7A70">
      <w:pPr>
        <w:spacing w:before="1"/>
      </w:pPr>
    </w:p>
    <w:p w14:paraId="6CFA71AF">
      <w:pPr>
        <w:spacing w:before="1"/>
      </w:pPr>
    </w:p>
    <w:p w14:paraId="61F6C76A">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279FD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559" w:type="dxa"/>
            <w:vAlign w:val="top"/>
          </w:tcPr>
          <w:p w14:paraId="260D4C2A">
            <w:pPr>
              <w:spacing w:before="93"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-27</w:t>
            </w:r>
          </w:p>
        </w:tc>
        <w:tc>
          <w:tcPr>
            <w:tcW w:w="1842" w:type="dxa"/>
            <w:vAlign w:val="top"/>
          </w:tcPr>
          <w:p w14:paraId="78D325AE">
            <w:pPr>
              <w:spacing w:before="93"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0.168</w:t>
            </w:r>
          </w:p>
        </w:tc>
        <w:tc>
          <w:tcPr>
            <w:tcW w:w="1840" w:type="dxa"/>
            <w:vAlign w:val="top"/>
          </w:tcPr>
          <w:p w14:paraId="2A080595">
            <w:pPr>
              <w:spacing w:before="93"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0.085</w:t>
            </w:r>
          </w:p>
        </w:tc>
        <w:tc>
          <w:tcPr>
            <w:tcW w:w="1843" w:type="dxa"/>
            <w:vAlign w:val="top"/>
          </w:tcPr>
          <w:p w14:paraId="462F4002">
            <w:pPr>
              <w:spacing w:before="93" w:line="217"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6.450</w:t>
            </w:r>
          </w:p>
        </w:tc>
        <w:tc>
          <w:tcPr>
            <w:tcW w:w="1989" w:type="dxa"/>
            <w:vAlign w:val="top"/>
          </w:tcPr>
          <w:p w14:paraId="64E0BF84">
            <w:pPr>
              <w:spacing w:before="93" w:line="217"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5.962</w:t>
            </w:r>
          </w:p>
        </w:tc>
      </w:tr>
      <w:tr w14:paraId="45C187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17DB7647">
            <w:pPr>
              <w:spacing w:before="88"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-26</w:t>
            </w:r>
          </w:p>
        </w:tc>
        <w:tc>
          <w:tcPr>
            <w:tcW w:w="1842" w:type="dxa"/>
            <w:vAlign w:val="top"/>
          </w:tcPr>
          <w:p w14:paraId="5792908A">
            <w:pPr>
              <w:spacing w:before="88"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0.168</w:t>
            </w:r>
          </w:p>
        </w:tc>
        <w:tc>
          <w:tcPr>
            <w:tcW w:w="1840" w:type="dxa"/>
            <w:vAlign w:val="top"/>
          </w:tcPr>
          <w:p w14:paraId="21210CE0">
            <w:pPr>
              <w:spacing w:before="88"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0.078</w:t>
            </w:r>
          </w:p>
        </w:tc>
        <w:tc>
          <w:tcPr>
            <w:tcW w:w="1843" w:type="dxa"/>
            <w:vAlign w:val="top"/>
          </w:tcPr>
          <w:p w14:paraId="21D07CD9">
            <w:pPr>
              <w:spacing w:before="88" w:line="219"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6.863</w:t>
            </w:r>
          </w:p>
        </w:tc>
        <w:tc>
          <w:tcPr>
            <w:tcW w:w="1989" w:type="dxa"/>
            <w:vAlign w:val="top"/>
          </w:tcPr>
          <w:p w14:paraId="771B81FA">
            <w:pPr>
              <w:spacing w:before="88" w:line="219"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6.315</w:t>
            </w:r>
          </w:p>
        </w:tc>
      </w:tr>
      <w:tr w14:paraId="303C13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054297B">
            <w:pPr>
              <w:spacing w:before="85"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-25</w:t>
            </w:r>
          </w:p>
        </w:tc>
        <w:tc>
          <w:tcPr>
            <w:tcW w:w="1842" w:type="dxa"/>
            <w:vAlign w:val="top"/>
          </w:tcPr>
          <w:p w14:paraId="673B04D4">
            <w:pPr>
              <w:spacing w:before="85"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0.167</w:t>
            </w:r>
          </w:p>
        </w:tc>
        <w:tc>
          <w:tcPr>
            <w:tcW w:w="1840" w:type="dxa"/>
            <w:vAlign w:val="top"/>
          </w:tcPr>
          <w:p w14:paraId="3C7643D9">
            <w:pPr>
              <w:spacing w:before="85"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0.069</w:t>
            </w:r>
          </w:p>
        </w:tc>
        <w:tc>
          <w:tcPr>
            <w:tcW w:w="1843" w:type="dxa"/>
            <w:vAlign w:val="top"/>
          </w:tcPr>
          <w:p w14:paraId="49B13015">
            <w:pPr>
              <w:spacing w:before="85" w:line="219"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7.315</w:t>
            </w:r>
          </w:p>
        </w:tc>
        <w:tc>
          <w:tcPr>
            <w:tcW w:w="1989" w:type="dxa"/>
            <w:vAlign w:val="top"/>
          </w:tcPr>
          <w:p w14:paraId="70FF608C">
            <w:pPr>
              <w:spacing w:before="85" w:line="219"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6.697</w:t>
            </w:r>
          </w:p>
        </w:tc>
      </w:tr>
      <w:tr w14:paraId="24A186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E241D43">
            <w:pPr>
              <w:spacing w:before="86"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-24</w:t>
            </w:r>
          </w:p>
        </w:tc>
        <w:tc>
          <w:tcPr>
            <w:tcW w:w="1842" w:type="dxa"/>
            <w:vAlign w:val="top"/>
          </w:tcPr>
          <w:p w14:paraId="2A5E1E71">
            <w:pPr>
              <w:spacing w:before="86"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0.165</w:t>
            </w:r>
          </w:p>
        </w:tc>
        <w:tc>
          <w:tcPr>
            <w:tcW w:w="1840" w:type="dxa"/>
            <w:vAlign w:val="top"/>
          </w:tcPr>
          <w:p w14:paraId="7F2FB06A">
            <w:pPr>
              <w:spacing w:before="86"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0.060</w:t>
            </w:r>
          </w:p>
        </w:tc>
        <w:tc>
          <w:tcPr>
            <w:tcW w:w="1843" w:type="dxa"/>
            <w:vAlign w:val="top"/>
          </w:tcPr>
          <w:p w14:paraId="3E7D3C1D">
            <w:pPr>
              <w:spacing w:before="86" w:line="219"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7.810</w:t>
            </w:r>
          </w:p>
        </w:tc>
        <w:tc>
          <w:tcPr>
            <w:tcW w:w="1989" w:type="dxa"/>
            <w:vAlign w:val="top"/>
          </w:tcPr>
          <w:p w14:paraId="062E8E92">
            <w:pPr>
              <w:spacing w:before="86" w:line="219"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7.112</w:t>
            </w:r>
          </w:p>
        </w:tc>
      </w:tr>
      <w:tr w14:paraId="5A3EA8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F5E820D">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-23</w:t>
            </w:r>
          </w:p>
        </w:tc>
        <w:tc>
          <w:tcPr>
            <w:tcW w:w="1842" w:type="dxa"/>
            <w:vAlign w:val="top"/>
          </w:tcPr>
          <w:p w14:paraId="27141160">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0.161</w:t>
            </w:r>
          </w:p>
        </w:tc>
        <w:tc>
          <w:tcPr>
            <w:tcW w:w="1840" w:type="dxa"/>
            <w:vAlign w:val="top"/>
          </w:tcPr>
          <w:p w14:paraId="7999AA58">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0.050</w:t>
            </w:r>
          </w:p>
        </w:tc>
        <w:tc>
          <w:tcPr>
            <w:tcW w:w="1843" w:type="dxa"/>
            <w:vAlign w:val="top"/>
          </w:tcPr>
          <w:p w14:paraId="06F1AE45">
            <w:pPr>
              <w:spacing w:before="86" w:line="218"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8.353</w:t>
            </w:r>
          </w:p>
        </w:tc>
        <w:tc>
          <w:tcPr>
            <w:tcW w:w="1989" w:type="dxa"/>
            <w:vAlign w:val="top"/>
          </w:tcPr>
          <w:p w14:paraId="5EB6551E">
            <w:pPr>
              <w:spacing w:before="86"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7.564</w:t>
            </w:r>
          </w:p>
        </w:tc>
      </w:tr>
      <w:tr w14:paraId="099C4B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31BB704">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-22</w:t>
            </w:r>
          </w:p>
        </w:tc>
        <w:tc>
          <w:tcPr>
            <w:tcW w:w="1842" w:type="dxa"/>
            <w:vAlign w:val="top"/>
          </w:tcPr>
          <w:p w14:paraId="0F3830EF">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0.154</w:t>
            </w:r>
          </w:p>
        </w:tc>
        <w:tc>
          <w:tcPr>
            <w:tcW w:w="1840" w:type="dxa"/>
            <w:vAlign w:val="top"/>
          </w:tcPr>
          <w:p w14:paraId="34702964">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0.044</w:t>
            </w:r>
          </w:p>
        </w:tc>
        <w:tc>
          <w:tcPr>
            <w:tcW w:w="1843" w:type="dxa"/>
            <w:vAlign w:val="top"/>
          </w:tcPr>
          <w:p w14:paraId="46F0B8A3">
            <w:pPr>
              <w:spacing w:before="86" w:line="218"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8.952</w:t>
            </w:r>
          </w:p>
        </w:tc>
        <w:tc>
          <w:tcPr>
            <w:tcW w:w="1989" w:type="dxa"/>
            <w:vAlign w:val="top"/>
          </w:tcPr>
          <w:p w14:paraId="4E0D36B6">
            <w:pPr>
              <w:spacing w:before="86" w:line="218" w:lineRule="auto"/>
              <w:ind w:left="76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8.056</w:t>
            </w:r>
          </w:p>
        </w:tc>
      </w:tr>
      <w:tr w14:paraId="6A9F2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CAB1AD6">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-21</w:t>
            </w:r>
          </w:p>
        </w:tc>
        <w:tc>
          <w:tcPr>
            <w:tcW w:w="1842" w:type="dxa"/>
            <w:vAlign w:val="top"/>
          </w:tcPr>
          <w:p w14:paraId="007D1E74">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0.145</w:t>
            </w:r>
          </w:p>
        </w:tc>
        <w:tc>
          <w:tcPr>
            <w:tcW w:w="1840" w:type="dxa"/>
            <w:vAlign w:val="top"/>
          </w:tcPr>
          <w:p w14:paraId="1F0C9892">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0.050</w:t>
            </w:r>
          </w:p>
        </w:tc>
        <w:tc>
          <w:tcPr>
            <w:tcW w:w="1843" w:type="dxa"/>
            <w:vAlign w:val="top"/>
          </w:tcPr>
          <w:p w14:paraId="5147AFE5">
            <w:pPr>
              <w:spacing w:before="87"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9.613</w:t>
            </w:r>
          </w:p>
        </w:tc>
        <w:tc>
          <w:tcPr>
            <w:tcW w:w="1989" w:type="dxa"/>
            <w:vAlign w:val="top"/>
          </w:tcPr>
          <w:p w14:paraId="2C32D221">
            <w:pPr>
              <w:spacing w:before="87" w:line="217" w:lineRule="auto"/>
              <w:ind w:left="76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8.592</w:t>
            </w:r>
          </w:p>
        </w:tc>
      </w:tr>
      <w:tr w14:paraId="33D4A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52DB91EC">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-20</w:t>
            </w:r>
          </w:p>
        </w:tc>
        <w:tc>
          <w:tcPr>
            <w:tcW w:w="1842" w:type="dxa"/>
            <w:vAlign w:val="top"/>
          </w:tcPr>
          <w:p w14:paraId="72DE7484">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0.132</w:t>
            </w:r>
          </w:p>
        </w:tc>
        <w:tc>
          <w:tcPr>
            <w:tcW w:w="1840" w:type="dxa"/>
            <w:vAlign w:val="top"/>
          </w:tcPr>
          <w:p w14:paraId="4C98D104">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0.070</w:t>
            </w:r>
          </w:p>
        </w:tc>
        <w:tc>
          <w:tcPr>
            <w:tcW w:w="1843" w:type="dxa"/>
            <w:vAlign w:val="top"/>
          </w:tcPr>
          <w:p w14:paraId="65BAA906">
            <w:pPr>
              <w:spacing w:before="90" w:line="217"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10.345</w:t>
            </w:r>
          </w:p>
        </w:tc>
        <w:tc>
          <w:tcPr>
            <w:tcW w:w="1989" w:type="dxa"/>
            <w:vAlign w:val="top"/>
          </w:tcPr>
          <w:p w14:paraId="515A1666">
            <w:pPr>
              <w:spacing w:before="90"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9.177</w:t>
            </w:r>
          </w:p>
        </w:tc>
      </w:tr>
      <w:tr w14:paraId="038F5A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99F1DCE">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-19</w:t>
            </w:r>
          </w:p>
        </w:tc>
        <w:tc>
          <w:tcPr>
            <w:tcW w:w="1842" w:type="dxa"/>
            <w:vAlign w:val="top"/>
          </w:tcPr>
          <w:p w14:paraId="7F0DD7C1">
            <w:pPr>
              <w:spacing w:before="87" w:line="217"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0.115</w:t>
            </w:r>
          </w:p>
        </w:tc>
        <w:tc>
          <w:tcPr>
            <w:tcW w:w="1840" w:type="dxa"/>
            <w:vAlign w:val="top"/>
          </w:tcPr>
          <w:p w14:paraId="0E809BFD">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0.103</w:t>
            </w:r>
          </w:p>
        </w:tc>
        <w:tc>
          <w:tcPr>
            <w:tcW w:w="1843" w:type="dxa"/>
            <w:vAlign w:val="top"/>
          </w:tcPr>
          <w:p w14:paraId="5EA8E2E7">
            <w:pPr>
              <w:spacing w:before="87" w:line="217" w:lineRule="auto"/>
              <w:ind w:left="659"/>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11.158</w:t>
            </w:r>
          </w:p>
        </w:tc>
        <w:tc>
          <w:tcPr>
            <w:tcW w:w="1989" w:type="dxa"/>
            <w:vAlign w:val="top"/>
          </w:tcPr>
          <w:p w14:paraId="4C1DC348">
            <w:pPr>
              <w:spacing w:before="87"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9.818</w:t>
            </w:r>
          </w:p>
        </w:tc>
      </w:tr>
      <w:tr w14:paraId="548E45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810768F">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w:t>
            </w:r>
          </w:p>
        </w:tc>
        <w:tc>
          <w:tcPr>
            <w:tcW w:w="1842" w:type="dxa"/>
            <w:vAlign w:val="top"/>
          </w:tcPr>
          <w:p w14:paraId="41DB9839">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0.096</w:t>
            </w:r>
          </w:p>
        </w:tc>
        <w:tc>
          <w:tcPr>
            <w:tcW w:w="1840" w:type="dxa"/>
            <w:vAlign w:val="top"/>
          </w:tcPr>
          <w:p w14:paraId="52E4486F">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0.147</w:t>
            </w:r>
          </w:p>
        </w:tc>
        <w:tc>
          <w:tcPr>
            <w:tcW w:w="1843" w:type="dxa"/>
            <w:vAlign w:val="top"/>
          </w:tcPr>
          <w:p w14:paraId="21A80742">
            <w:pPr>
              <w:spacing w:before="88" w:line="217"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12.064</w:t>
            </w:r>
          </w:p>
        </w:tc>
        <w:tc>
          <w:tcPr>
            <w:tcW w:w="1989" w:type="dxa"/>
            <w:vAlign w:val="top"/>
          </w:tcPr>
          <w:p w14:paraId="354DA315">
            <w:pPr>
              <w:spacing w:before="88" w:line="217"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10.519</w:t>
            </w:r>
          </w:p>
        </w:tc>
      </w:tr>
      <w:tr w14:paraId="0DF7D7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D92B253">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w:t>
            </w:r>
          </w:p>
        </w:tc>
        <w:tc>
          <w:tcPr>
            <w:tcW w:w="1842" w:type="dxa"/>
            <w:vAlign w:val="top"/>
          </w:tcPr>
          <w:p w14:paraId="592901EC">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0.081</w:t>
            </w:r>
          </w:p>
        </w:tc>
        <w:tc>
          <w:tcPr>
            <w:tcW w:w="1840" w:type="dxa"/>
            <w:vAlign w:val="top"/>
          </w:tcPr>
          <w:p w14:paraId="3C702AB9">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0.202</w:t>
            </w:r>
          </w:p>
        </w:tc>
        <w:tc>
          <w:tcPr>
            <w:tcW w:w="1843" w:type="dxa"/>
            <w:vAlign w:val="top"/>
          </w:tcPr>
          <w:p w14:paraId="1D4357AF">
            <w:pPr>
              <w:spacing w:before="88" w:line="217"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13.075</w:t>
            </w:r>
          </w:p>
        </w:tc>
        <w:tc>
          <w:tcPr>
            <w:tcW w:w="1989" w:type="dxa"/>
            <w:vAlign w:val="top"/>
          </w:tcPr>
          <w:p w14:paraId="2246FEB1">
            <w:pPr>
              <w:spacing w:before="88" w:line="217" w:lineRule="auto"/>
              <w:ind w:left="732"/>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11.288</w:t>
            </w:r>
          </w:p>
        </w:tc>
      </w:tr>
      <w:tr w14:paraId="44870C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8C02932">
            <w:pPr>
              <w:spacing w:before="87"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w:t>
            </w:r>
          </w:p>
        </w:tc>
        <w:tc>
          <w:tcPr>
            <w:tcW w:w="1842" w:type="dxa"/>
            <w:vAlign w:val="top"/>
          </w:tcPr>
          <w:p w14:paraId="055BD916">
            <w:pPr>
              <w:spacing w:before="87"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0.089</w:t>
            </w:r>
          </w:p>
        </w:tc>
        <w:tc>
          <w:tcPr>
            <w:tcW w:w="1840" w:type="dxa"/>
            <w:vAlign w:val="top"/>
          </w:tcPr>
          <w:p w14:paraId="37013C12">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0.271</w:t>
            </w:r>
          </w:p>
        </w:tc>
        <w:tc>
          <w:tcPr>
            <w:tcW w:w="1843" w:type="dxa"/>
            <w:vAlign w:val="top"/>
          </w:tcPr>
          <w:p w14:paraId="55CD06EA">
            <w:pPr>
              <w:spacing w:before="87" w:line="218"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14.209</w:t>
            </w:r>
          </w:p>
        </w:tc>
        <w:tc>
          <w:tcPr>
            <w:tcW w:w="1989" w:type="dxa"/>
            <w:vAlign w:val="top"/>
          </w:tcPr>
          <w:p w14:paraId="36DC3410">
            <w:pPr>
              <w:spacing w:before="87" w:line="218"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12.133</w:t>
            </w:r>
          </w:p>
        </w:tc>
      </w:tr>
      <w:tr w14:paraId="26430A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450A539">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w:t>
            </w:r>
          </w:p>
        </w:tc>
        <w:tc>
          <w:tcPr>
            <w:tcW w:w="1842" w:type="dxa"/>
            <w:vAlign w:val="top"/>
          </w:tcPr>
          <w:p w14:paraId="4C6A436F">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0.133</w:t>
            </w:r>
          </w:p>
        </w:tc>
        <w:tc>
          <w:tcPr>
            <w:tcW w:w="1840" w:type="dxa"/>
            <w:vAlign w:val="top"/>
          </w:tcPr>
          <w:p w14:paraId="2CA4A28F">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0.354</w:t>
            </w:r>
          </w:p>
        </w:tc>
        <w:tc>
          <w:tcPr>
            <w:tcW w:w="1843" w:type="dxa"/>
            <w:vAlign w:val="top"/>
          </w:tcPr>
          <w:p w14:paraId="58301388">
            <w:pPr>
              <w:spacing w:before="87" w:line="217"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15.485</w:t>
            </w:r>
          </w:p>
        </w:tc>
        <w:tc>
          <w:tcPr>
            <w:tcW w:w="1989" w:type="dxa"/>
            <w:vAlign w:val="top"/>
          </w:tcPr>
          <w:p w14:paraId="64530548">
            <w:pPr>
              <w:spacing w:before="87" w:line="217"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13.061</w:t>
            </w:r>
          </w:p>
        </w:tc>
      </w:tr>
      <w:tr w14:paraId="76FFFA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0E7CDCCC">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w:t>
            </w:r>
          </w:p>
        </w:tc>
        <w:tc>
          <w:tcPr>
            <w:tcW w:w="1842" w:type="dxa"/>
            <w:vAlign w:val="top"/>
          </w:tcPr>
          <w:p w14:paraId="720D86D7">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0.210</w:t>
            </w:r>
          </w:p>
        </w:tc>
        <w:tc>
          <w:tcPr>
            <w:tcW w:w="1840" w:type="dxa"/>
            <w:vAlign w:val="top"/>
          </w:tcPr>
          <w:p w14:paraId="49595D92">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0.454</w:t>
            </w:r>
          </w:p>
        </w:tc>
        <w:tc>
          <w:tcPr>
            <w:tcW w:w="1843" w:type="dxa"/>
            <w:vAlign w:val="top"/>
          </w:tcPr>
          <w:p w14:paraId="3161F42E">
            <w:pPr>
              <w:spacing w:before="90" w:line="217"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16.925</w:t>
            </w:r>
          </w:p>
        </w:tc>
        <w:tc>
          <w:tcPr>
            <w:tcW w:w="1989" w:type="dxa"/>
            <w:vAlign w:val="top"/>
          </w:tcPr>
          <w:p w14:paraId="53535BC8">
            <w:pPr>
              <w:spacing w:before="90" w:line="217"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14.081</w:t>
            </w:r>
          </w:p>
        </w:tc>
      </w:tr>
      <w:tr w14:paraId="068DF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C9A9A93">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w:t>
            </w:r>
          </w:p>
        </w:tc>
        <w:tc>
          <w:tcPr>
            <w:tcW w:w="1842" w:type="dxa"/>
            <w:vAlign w:val="top"/>
          </w:tcPr>
          <w:p w14:paraId="3578E127">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0.317</w:t>
            </w:r>
          </w:p>
        </w:tc>
        <w:tc>
          <w:tcPr>
            <w:tcW w:w="1840" w:type="dxa"/>
            <w:vAlign w:val="top"/>
          </w:tcPr>
          <w:p w14:paraId="1BB01E57">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0.575</w:t>
            </w:r>
          </w:p>
        </w:tc>
        <w:tc>
          <w:tcPr>
            <w:tcW w:w="1843" w:type="dxa"/>
            <w:vAlign w:val="top"/>
          </w:tcPr>
          <w:p w14:paraId="5D5776D9">
            <w:pPr>
              <w:spacing w:before="88" w:line="217"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18.559</w:t>
            </w:r>
          </w:p>
        </w:tc>
        <w:tc>
          <w:tcPr>
            <w:tcW w:w="1989" w:type="dxa"/>
            <w:vAlign w:val="top"/>
          </w:tcPr>
          <w:p w14:paraId="2F06F09B">
            <w:pPr>
              <w:spacing w:before="88" w:line="217"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15.203</w:t>
            </w:r>
          </w:p>
        </w:tc>
      </w:tr>
      <w:tr w14:paraId="53C248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061ED6A">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w:t>
            </w:r>
          </w:p>
        </w:tc>
        <w:tc>
          <w:tcPr>
            <w:tcW w:w="1842" w:type="dxa"/>
            <w:vAlign w:val="top"/>
          </w:tcPr>
          <w:p w14:paraId="08FC3163">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0.459</w:t>
            </w:r>
          </w:p>
        </w:tc>
        <w:tc>
          <w:tcPr>
            <w:tcW w:w="1840" w:type="dxa"/>
            <w:vAlign w:val="top"/>
          </w:tcPr>
          <w:p w14:paraId="4706FF9B">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0.720</w:t>
            </w:r>
          </w:p>
        </w:tc>
        <w:tc>
          <w:tcPr>
            <w:tcW w:w="1843" w:type="dxa"/>
            <w:vAlign w:val="top"/>
          </w:tcPr>
          <w:p w14:paraId="72CE8A11">
            <w:pPr>
              <w:spacing w:before="88" w:line="216"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20.418</w:t>
            </w:r>
          </w:p>
        </w:tc>
        <w:tc>
          <w:tcPr>
            <w:tcW w:w="1989" w:type="dxa"/>
            <w:vAlign w:val="top"/>
          </w:tcPr>
          <w:p w14:paraId="77D540C2">
            <w:pPr>
              <w:spacing w:before="88" w:line="216"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16.435</w:t>
            </w:r>
          </w:p>
        </w:tc>
      </w:tr>
      <w:tr w14:paraId="39B222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4518C5C">
            <w:pPr>
              <w:spacing w:before="88" w:line="217" w:lineRule="auto"/>
              <w:ind w:left="649"/>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w:t>
            </w:r>
          </w:p>
        </w:tc>
        <w:tc>
          <w:tcPr>
            <w:tcW w:w="1842" w:type="dxa"/>
            <w:vAlign w:val="top"/>
          </w:tcPr>
          <w:p w14:paraId="5631E005">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0.644</w:t>
            </w:r>
          </w:p>
        </w:tc>
        <w:tc>
          <w:tcPr>
            <w:tcW w:w="1840" w:type="dxa"/>
            <w:vAlign w:val="top"/>
          </w:tcPr>
          <w:p w14:paraId="28066FB4">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0.892</w:t>
            </w:r>
          </w:p>
        </w:tc>
        <w:tc>
          <w:tcPr>
            <w:tcW w:w="1843" w:type="dxa"/>
            <w:vAlign w:val="top"/>
          </w:tcPr>
          <w:p w14:paraId="7A56CAB5">
            <w:pPr>
              <w:spacing w:before="88" w:line="217"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22.543</w:t>
            </w:r>
          </w:p>
        </w:tc>
        <w:tc>
          <w:tcPr>
            <w:tcW w:w="1989" w:type="dxa"/>
            <w:vAlign w:val="top"/>
          </w:tcPr>
          <w:p w14:paraId="4BAC64C9">
            <w:pPr>
              <w:spacing w:before="88" w:line="217"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17.787</w:t>
            </w:r>
          </w:p>
        </w:tc>
      </w:tr>
      <w:tr w14:paraId="072B0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2058D31">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w:t>
            </w:r>
          </w:p>
        </w:tc>
        <w:tc>
          <w:tcPr>
            <w:tcW w:w="1842" w:type="dxa"/>
            <w:vAlign w:val="top"/>
          </w:tcPr>
          <w:p w14:paraId="037E6A45">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0.881</w:t>
            </w:r>
          </w:p>
        </w:tc>
        <w:tc>
          <w:tcPr>
            <w:tcW w:w="1840" w:type="dxa"/>
            <w:vAlign w:val="top"/>
          </w:tcPr>
          <w:p w14:paraId="6BBBE1FA">
            <w:pPr>
              <w:spacing w:before="88" w:line="216"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1.095</w:t>
            </w:r>
          </w:p>
        </w:tc>
        <w:tc>
          <w:tcPr>
            <w:tcW w:w="1843" w:type="dxa"/>
            <w:vAlign w:val="top"/>
          </w:tcPr>
          <w:p w14:paraId="1800A5C5">
            <w:pPr>
              <w:spacing w:before="88" w:line="216"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24.983</w:t>
            </w:r>
          </w:p>
        </w:tc>
        <w:tc>
          <w:tcPr>
            <w:tcW w:w="1989" w:type="dxa"/>
            <w:vAlign w:val="top"/>
          </w:tcPr>
          <w:p w14:paraId="71E56DF4">
            <w:pPr>
              <w:spacing w:before="88" w:line="216"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19.266</w:t>
            </w:r>
          </w:p>
        </w:tc>
      </w:tr>
      <w:tr w14:paraId="76F042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22E84A2">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-9</w:t>
            </w:r>
          </w:p>
        </w:tc>
        <w:tc>
          <w:tcPr>
            <w:tcW w:w="1842" w:type="dxa"/>
            <w:vAlign w:val="top"/>
          </w:tcPr>
          <w:p w14:paraId="0CC3F968">
            <w:pPr>
              <w:spacing w:before="88"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1.184</w:t>
            </w:r>
          </w:p>
        </w:tc>
        <w:tc>
          <w:tcPr>
            <w:tcW w:w="1840" w:type="dxa"/>
            <w:vAlign w:val="top"/>
          </w:tcPr>
          <w:p w14:paraId="00739229">
            <w:pPr>
              <w:spacing w:before="88"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1.332</w:t>
            </w:r>
          </w:p>
        </w:tc>
        <w:tc>
          <w:tcPr>
            <w:tcW w:w="1843" w:type="dxa"/>
            <w:vAlign w:val="top"/>
          </w:tcPr>
          <w:p w14:paraId="6779EAA8">
            <w:pPr>
              <w:spacing w:before="88" w:line="217"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27.792</w:t>
            </w:r>
          </w:p>
        </w:tc>
        <w:tc>
          <w:tcPr>
            <w:tcW w:w="1989" w:type="dxa"/>
            <w:vAlign w:val="top"/>
          </w:tcPr>
          <w:p w14:paraId="4B96BC8A">
            <w:pPr>
              <w:spacing w:before="88"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20.874</w:t>
            </w:r>
          </w:p>
        </w:tc>
      </w:tr>
      <w:tr w14:paraId="3CDD6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596CCB87">
            <w:pPr>
              <w:spacing w:before="90"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-8</w:t>
            </w:r>
          </w:p>
        </w:tc>
        <w:tc>
          <w:tcPr>
            <w:tcW w:w="1842" w:type="dxa"/>
            <w:vAlign w:val="top"/>
          </w:tcPr>
          <w:p w14:paraId="32DFA0A6">
            <w:pPr>
              <w:spacing w:before="90"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1.570</w:t>
            </w:r>
          </w:p>
        </w:tc>
        <w:tc>
          <w:tcPr>
            <w:tcW w:w="1840" w:type="dxa"/>
            <w:vAlign w:val="top"/>
          </w:tcPr>
          <w:p w14:paraId="2FE357AD">
            <w:pPr>
              <w:spacing w:before="90"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1.605</w:t>
            </w:r>
          </w:p>
        </w:tc>
        <w:tc>
          <w:tcPr>
            <w:tcW w:w="1843" w:type="dxa"/>
            <w:vAlign w:val="top"/>
          </w:tcPr>
          <w:p w14:paraId="48F1CC64">
            <w:pPr>
              <w:spacing w:before="90" w:line="217" w:lineRule="auto"/>
              <w:ind w:left="63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31.036</w:t>
            </w:r>
          </w:p>
        </w:tc>
        <w:tc>
          <w:tcPr>
            <w:tcW w:w="1989" w:type="dxa"/>
            <w:vAlign w:val="top"/>
          </w:tcPr>
          <w:p w14:paraId="1594AF9D">
            <w:pPr>
              <w:spacing w:before="90"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22.609</w:t>
            </w:r>
          </w:p>
        </w:tc>
      </w:tr>
      <w:tr w14:paraId="35798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054B777">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-7</w:t>
            </w:r>
          </w:p>
        </w:tc>
        <w:tc>
          <w:tcPr>
            <w:tcW w:w="1842" w:type="dxa"/>
            <w:vAlign w:val="top"/>
          </w:tcPr>
          <w:p w14:paraId="54FA4E35">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2.056</w:t>
            </w:r>
          </w:p>
        </w:tc>
        <w:tc>
          <w:tcPr>
            <w:tcW w:w="1840" w:type="dxa"/>
            <w:vAlign w:val="top"/>
          </w:tcPr>
          <w:p w14:paraId="7FDC5768">
            <w:pPr>
              <w:spacing w:before="88"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1.913</w:t>
            </w:r>
          </w:p>
        </w:tc>
        <w:tc>
          <w:tcPr>
            <w:tcW w:w="1843" w:type="dxa"/>
            <w:vAlign w:val="top"/>
          </w:tcPr>
          <w:p w14:paraId="74AC1506">
            <w:pPr>
              <w:spacing w:before="88" w:line="217" w:lineRule="auto"/>
              <w:ind w:left="63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34.782</w:t>
            </w:r>
          </w:p>
        </w:tc>
        <w:tc>
          <w:tcPr>
            <w:tcW w:w="1989" w:type="dxa"/>
            <w:vAlign w:val="top"/>
          </w:tcPr>
          <w:p w14:paraId="5B715191">
            <w:pPr>
              <w:spacing w:before="88"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24.456</w:t>
            </w:r>
          </w:p>
        </w:tc>
      </w:tr>
      <w:tr w14:paraId="69D447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96E21BF">
            <w:pPr>
              <w:spacing w:before="88" w:line="216"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-6</w:t>
            </w:r>
          </w:p>
        </w:tc>
        <w:tc>
          <w:tcPr>
            <w:tcW w:w="1842" w:type="dxa"/>
            <w:vAlign w:val="top"/>
          </w:tcPr>
          <w:p w14:paraId="5D6C1474">
            <w:pPr>
              <w:spacing w:before="88" w:line="216"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2.659</w:t>
            </w:r>
          </w:p>
        </w:tc>
        <w:tc>
          <w:tcPr>
            <w:tcW w:w="1840" w:type="dxa"/>
            <w:vAlign w:val="top"/>
          </w:tcPr>
          <w:p w14:paraId="486625B4">
            <w:pPr>
              <w:spacing w:before="88" w:line="216"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2.251</w:t>
            </w:r>
          </w:p>
        </w:tc>
        <w:tc>
          <w:tcPr>
            <w:tcW w:w="1843" w:type="dxa"/>
            <w:vAlign w:val="top"/>
          </w:tcPr>
          <w:p w14:paraId="3E987B15">
            <w:pPr>
              <w:spacing w:before="88" w:line="216" w:lineRule="auto"/>
              <w:ind w:left="63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39.088</w:t>
            </w:r>
          </w:p>
        </w:tc>
        <w:tc>
          <w:tcPr>
            <w:tcW w:w="1989" w:type="dxa"/>
            <w:vAlign w:val="top"/>
          </w:tcPr>
          <w:p w14:paraId="2A5656FA">
            <w:pPr>
              <w:spacing w:before="88" w:line="216"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26.384</w:t>
            </w:r>
          </w:p>
        </w:tc>
      </w:tr>
      <w:tr w14:paraId="77A8C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9A67951">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-5</w:t>
            </w:r>
          </w:p>
        </w:tc>
        <w:tc>
          <w:tcPr>
            <w:tcW w:w="1842" w:type="dxa"/>
            <w:vAlign w:val="top"/>
          </w:tcPr>
          <w:p w14:paraId="14047AAC">
            <w:pPr>
              <w:spacing w:before="88"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3.389</w:t>
            </w:r>
          </w:p>
        </w:tc>
        <w:tc>
          <w:tcPr>
            <w:tcW w:w="1840" w:type="dxa"/>
            <w:vAlign w:val="top"/>
          </w:tcPr>
          <w:p w14:paraId="666467CE">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2.607</w:t>
            </w:r>
          </w:p>
        </w:tc>
        <w:tc>
          <w:tcPr>
            <w:tcW w:w="1843" w:type="dxa"/>
            <w:vAlign w:val="top"/>
          </w:tcPr>
          <w:p w14:paraId="1B572E04">
            <w:pPr>
              <w:spacing w:before="88" w:line="217" w:lineRule="auto"/>
              <w:ind w:left="6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43.973</w:t>
            </w:r>
          </w:p>
        </w:tc>
        <w:tc>
          <w:tcPr>
            <w:tcW w:w="1989" w:type="dxa"/>
            <w:vAlign w:val="top"/>
          </w:tcPr>
          <w:p w14:paraId="06A039A6">
            <w:pPr>
              <w:spacing w:before="88"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28.338</w:t>
            </w:r>
          </w:p>
        </w:tc>
      </w:tr>
      <w:tr w14:paraId="1D4BD9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3E9AF86">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-4</w:t>
            </w:r>
          </w:p>
        </w:tc>
        <w:tc>
          <w:tcPr>
            <w:tcW w:w="1842" w:type="dxa"/>
            <w:vAlign w:val="top"/>
          </w:tcPr>
          <w:p w14:paraId="13377508">
            <w:pPr>
              <w:spacing w:before="88" w:line="217"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4.234</w:t>
            </w:r>
          </w:p>
        </w:tc>
        <w:tc>
          <w:tcPr>
            <w:tcW w:w="1840" w:type="dxa"/>
            <w:vAlign w:val="top"/>
          </w:tcPr>
          <w:p w14:paraId="3D3B3BA6">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2.964</w:t>
            </w:r>
          </w:p>
        </w:tc>
        <w:tc>
          <w:tcPr>
            <w:tcW w:w="1843" w:type="dxa"/>
            <w:vAlign w:val="top"/>
          </w:tcPr>
          <w:p w14:paraId="1267ED42">
            <w:pPr>
              <w:spacing w:before="88" w:line="217" w:lineRule="auto"/>
              <w:ind w:left="6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49.361</w:t>
            </w:r>
          </w:p>
        </w:tc>
        <w:tc>
          <w:tcPr>
            <w:tcW w:w="1989" w:type="dxa"/>
            <w:vAlign w:val="top"/>
          </w:tcPr>
          <w:p w14:paraId="45893ADA">
            <w:pPr>
              <w:spacing w:before="88" w:line="217"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30.233</w:t>
            </w:r>
          </w:p>
        </w:tc>
      </w:tr>
      <w:tr w14:paraId="4713BD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56C76DE">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-3</w:t>
            </w:r>
          </w:p>
        </w:tc>
        <w:tc>
          <w:tcPr>
            <w:tcW w:w="1842" w:type="dxa"/>
            <w:vAlign w:val="top"/>
          </w:tcPr>
          <w:p w14:paraId="3DE09D5D">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5.144</w:t>
            </w:r>
          </w:p>
        </w:tc>
        <w:tc>
          <w:tcPr>
            <w:tcW w:w="1840" w:type="dxa"/>
            <w:vAlign w:val="top"/>
          </w:tcPr>
          <w:p w14:paraId="47FC3FF7">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3.294</w:t>
            </w:r>
          </w:p>
        </w:tc>
        <w:tc>
          <w:tcPr>
            <w:tcW w:w="1843" w:type="dxa"/>
            <w:vAlign w:val="top"/>
          </w:tcPr>
          <w:p w14:paraId="086C7D71">
            <w:pPr>
              <w:spacing w:before="88" w:line="217" w:lineRule="auto"/>
              <w:ind w:left="64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54.976</w:t>
            </w:r>
          </w:p>
        </w:tc>
        <w:tc>
          <w:tcPr>
            <w:tcW w:w="1989" w:type="dxa"/>
            <w:vAlign w:val="top"/>
          </w:tcPr>
          <w:p w14:paraId="6101659D">
            <w:pPr>
              <w:spacing w:before="88" w:line="217"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31.952</w:t>
            </w:r>
          </w:p>
        </w:tc>
      </w:tr>
      <w:tr w14:paraId="7AF7D0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4197ECCE">
            <w:pPr>
              <w:spacing w:before="90"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-2</w:t>
            </w:r>
          </w:p>
        </w:tc>
        <w:tc>
          <w:tcPr>
            <w:tcW w:w="1842" w:type="dxa"/>
            <w:vAlign w:val="top"/>
          </w:tcPr>
          <w:p w14:paraId="263DAB7D">
            <w:pPr>
              <w:spacing w:before="90"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6.007</w:t>
            </w:r>
          </w:p>
        </w:tc>
        <w:tc>
          <w:tcPr>
            <w:tcW w:w="1840" w:type="dxa"/>
            <w:vAlign w:val="top"/>
          </w:tcPr>
          <w:p w14:paraId="061B2D5E">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3.564</w:t>
            </w:r>
          </w:p>
        </w:tc>
        <w:tc>
          <w:tcPr>
            <w:tcW w:w="1843" w:type="dxa"/>
            <w:vAlign w:val="top"/>
          </w:tcPr>
          <w:p w14:paraId="70B8CDE2">
            <w:pPr>
              <w:spacing w:before="90" w:line="217" w:lineRule="auto"/>
              <w:ind w:left="63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60.219</w:t>
            </w:r>
          </w:p>
        </w:tc>
        <w:tc>
          <w:tcPr>
            <w:tcW w:w="1989" w:type="dxa"/>
            <w:vAlign w:val="top"/>
          </w:tcPr>
          <w:p w14:paraId="270C8F6F">
            <w:pPr>
              <w:spacing w:before="90" w:line="217"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33.352</w:t>
            </w:r>
          </w:p>
        </w:tc>
      </w:tr>
      <w:tr w14:paraId="75340C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0FEB3D3">
            <w:pPr>
              <w:spacing w:before="87"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w:t>
            </w:r>
          </w:p>
        </w:tc>
        <w:tc>
          <w:tcPr>
            <w:tcW w:w="1842" w:type="dxa"/>
            <w:vAlign w:val="top"/>
          </w:tcPr>
          <w:p w14:paraId="021A0CBC">
            <w:pPr>
              <w:spacing w:before="87"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6.644</w:t>
            </w:r>
          </w:p>
        </w:tc>
        <w:tc>
          <w:tcPr>
            <w:tcW w:w="1840" w:type="dxa"/>
            <w:vAlign w:val="top"/>
          </w:tcPr>
          <w:p w14:paraId="3D563538">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3.739</w:t>
            </w:r>
          </w:p>
        </w:tc>
        <w:tc>
          <w:tcPr>
            <w:tcW w:w="1843" w:type="dxa"/>
            <w:vAlign w:val="top"/>
          </w:tcPr>
          <w:p w14:paraId="44476B70">
            <w:pPr>
              <w:spacing w:before="87" w:line="217" w:lineRule="auto"/>
              <w:ind w:left="63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64.139</w:t>
            </w:r>
          </w:p>
        </w:tc>
        <w:tc>
          <w:tcPr>
            <w:tcW w:w="1989" w:type="dxa"/>
            <w:vAlign w:val="top"/>
          </w:tcPr>
          <w:p w14:paraId="7AA2EA87">
            <w:pPr>
              <w:spacing w:before="87" w:line="217"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34.289</w:t>
            </w:r>
          </w:p>
        </w:tc>
      </w:tr>
      <w:tr w14:paraId="1977C6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AC671D2">
            <w:pPr>
              <w:spacing w:before="88" w:line="217"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842" w:type="dxa"/>
            <w:vAlign w:val="top"/>
          </w:tcPr>
          <w:p w14:paraId="3BC90E77">
            <w:pPr>
              <w:spacing w:before="88"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6.871</w:t>
            </w:r>
          </w:p>
        </w:tc>
        <w:tc>
          <w:tcPr>
            <w:tcW w:w="1840" w:type="dxa"/>
            <w:vAlign w:val="top"/>
          </w:tcPr>
          <w:p w14:paraId="4DAFC594">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3.794</w:t>
            </w:r>
          </w:p>
        </w:tc>
        <w:tc>
          <w:tcPr>
            <w:tcW w:w="1843" w:type="dxa"/>
            <w:vAlign w:val="top"/>
          </w:tcPr>
          <w:p w14:paraId="5083DF46">
            <w:pPr>
              <w:spacing w:before="88" w:line="217" w:lineRule="auto"/>
              <w:ind w:left="63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65.718</w:t>
            </w:r>
          </w:p>
        </w:tc>
        <w:tc>
          <w:tcPr>
            <w:tcW w:w="1989" w:type="dxa"/>
            <w:vAlign w:val="top"/>
          </w:tcPr>
          <w:p w14:paraId="2CE74881">
            <w:pPr>
              <w:spacing w:before="88" w:line="217"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34.651</w:t>
            </w:r>
          </w:p>
        </w:tc>
      </w:tr>
      <w:tr w14:paraId="7C06E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E78982C">
            <w:pPr>
              <w:spacing w:before="88" w:line="216" w:lineRule="auto"/>
              <w:ind w:left="749"/>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842" w:type="dxa"/>
            <w:vAlign w:val="top"/>
          </w:tcPr>
          <w:p w14:paraId="6DD70B41">
            <w:pPr>
              <w:spacing w:before="88" w:line="216"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6.609</w:t>
            </w:r>
          </w:p>
        </w:tc>
        <w:tc>
          <w:tcPr>
            <w:tcW w:w="1840" w:type="dxa"/>
            <w:vAlign w:val="top"/>
          </w:tcPr>
          <w:p w14:paraId="613D0D22">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3.720</w:t>
            </w:r>
          </w:p>
        </w:tc>
        <w:tc>
          <w:tcPr>
            <w:tcW w:w="1843" w:type="dxa"/>
            <w:vAlign w:val="top"/>
          </w:tcPr>
          <w:p w14:paraId="1430E5E8">
            <w:pPr>
              <w:spacing w:before="88" w:line="216" w:lineRule="auto"/>
              <w:ind w:left="63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64.479</w:t>
            </w:r>
          </w:p>
        </w:tc>
        <w:tc>
          <w:tcPr>
            <w:tcW w:w="1989" w:type="dxa"/>
            <w:vAlign w:val="top"/>
          </w:tcPr>
          <w:p w14:paraId="18EE7A23">
            <w:pPr>
              <w:spacing w:before="88" w:line="216"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34.392</w:t>
            </w:r>
          </w:p>
        </w:tc>
      </w:tr>
      <w:tr w14:paraId="46AB5D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B228621">
            <w:pPr>
              <w:spacing w:before="88" w:line="216" w:lineRule="auto"/>
              <w:ind w:left="728"/>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842" w:type="dxa"/>
            <w:vAlign w:val="top"/>
          </w:tcPr>
          <w:p w14:paraId="3B59D3E9">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5.943</w:t>
            </w:r>
          </w:p>
        </w:tc>
        <w:tc>
          <w:tcPr>
            <w:tcW w:w="1840" w:type="dxa"/>
            <w:vAlign w:val="top"/>
          </w:tcPr>
          <w:p w14:paraId="64D4312D">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3.528</w:t>
            </w:r>
          </w:p>
        </w:tc>
        <w:tc>
          <w:tcPr>
            <w:tcW w:w="1843" w:type="dxa"/>
            <w:vAlign w:val="top"/>
          </w:tcPr>
          <w:p w14:paraId="00AD6CD5">
            <w:pPr>
              <w:spacing w:before="88" w:line="216" w:lineRule="auto"/>
              <w:ind w:left="63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60.842</w:t>
            </w:r>
          </w:p>
        </w:tc>
        <w:tc>
          <w:tcPr>
            <w:tcW w:w="1989" w:type="dxa"/>
            <w:vAlign w:val="top"/>
          </w:tcPr>
          <w:p w14:paraId="52AF79C2">
            <w:pPr>
              <w:spacing w:before="88" w:line="216"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33.549</w:t>
            </w:r>
          </w:p>
        </w:tc>
      </w:tr>
      <w:tr w14:paraId="33101C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FE2C8FD">
            <w:pPr>
              <w:spacing w:before="89" w:line="215" w:lineRule="auto"/>
              <w:ind w:left="733"/>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842" w:type="dxa"/>
            <w:vAlign w:val="top"/>
          </w:tcPr>
          <w:p w14:paraId="11F1BBB4">
            <w:pPr>
              <w:spacing w:before="89"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5.062</w:t>
            </w:r>
          </w:p>
        </w:tc>
        <w:tc>
          <w:tcPr>
            <w:tcW w:w="1840" w:type="dxa"/>
            <w:vAlign w:val="top"/>
          </w:tcPr>
          <w:p w14:paraId="0C9AFED4">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3.244</w:t>
            </w:r>
          </w:p>
        </w:tc>
        <w:tc>
          <w:tcPr>
            <w:tcW w:w="1843" w:type="dxa"/>
            <w:vAlign w:val="top"/>
          </w:tcPr>
          <w:p w14:paraId="227ECBC3">
            <w:pPr>
              <w:spacing w:before="89" w:line="215" w:lineRule="auto"/>
              <w:ind w:left="64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55.792</w:t>
            </w:r>
          </w:p>
        </w:tc>
        <w:tc>
          <w:tcPr>
            <w:tcW w:w="1989" w:type="dxa"/>
            <w:vAlign w:val="top"/>
          </w:tcPr>
          <w:p w14:paraId="5D4111DE">
            <w:pPr>
              <w:spacing w:before="89" w:line="215"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32.227</w:t>
            </w:r>
          </w:p>
        </w:tc>
      </w:tr>
      <w:tr w14:paraId="4D4EB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3A9A91DA">
            <w:pPr>
              <w:spacing w:before="92" w:line="215" w:lineRule="auto"/>
              <w:ind w:left="727"/>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842" w:type="dxa"/>
            <w:vAlign w:val="top"/>
          </w:tcPr>
          <w:p w14:paraId="56FF55CF">
            <w:pPr>
              <w:spacing w:before="92" w:line="215"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4.146</w:t>
            </w:r>
          </w:p>
        </w:tc>
        <w:tc>
          <w:tcPr>
            <w:tcW w:w="1840" w:type="dxa"/>
            <w:vAlign w:val="top"/>
          </w:tcPr>
          <w:p w14:paraId="4EE62BCA">
            <w:pPr>
              <w:spacing w:before="92" w:line="215"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2.905</w:t>
            </w:r>
          </w:p>
        </w:tc>
        <w:tc>
          <w:tcPr>
            <w:tcW w:w="1843" w:type="dxa"/>
            <w:vAlign w:val="top"/>
          </w:tcPr>
          <w:p w14:paraId="2A2AABAE">
            <w:pPr>
              <w:spacing w:before="92" w:line="215" w:lineRule="auto"/>
              <w:ind w:left="64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50.280</w:t>
            </w:r>
          </w:p>
        </w:tc>
        <w:tc>
          <w:tcPr>
            <w:tcW w:w="1989" w:type="dxa"/>
            <w:vAlign w:val="top"/>
          </w:tcPr>
          <w:p w14:paraId="626D3DB9">
            <w:pPr>
              <w:spacing w:before="92" w:line="215" w:lineRule="auto"/>
              <w:ind w:left="7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30.567</w:t>
            </w:r>
          </w:p>
        </w:tc>
      </w:tr>
      <w:tr w14:paraId="03149E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BDFE037">
            <w:pPr>
              <w:spacing w:before="89" w:line="215" w:lineRule="auto"/>
              <w:ind w:left="734"/>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842" w:type="dxa"/>
            <w:vAlign w:val="top"/>
          </w:tcPr>
          <w:p w14:paraId="3073FACB">
            <w:pPr>
              <w:spacing w:before="89" w:line="215"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3.308</w:t>
            </w:r>
          </w:p>
        </w:tc>
        <w:tc>
          <w:tcPr>
            <w:tcW w:w="1840" w:type="dxa"/>
            <w:vAlign w:val="top"/>
          </w:tcPr>
          <w:p w14:paraId="3880DDD2">
            <w:pPr>
              <w:spacing w:before="89" w:line="215"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2.543</w:t>
            </w:r>
          </w:p>
        </w:tc>
        <w:tc>
          <w:tcPr>
            <w:tcW w:w="1843" w:type="dxa"/>
            <w:vAlign w:val="top"/>
          </w:tcPr>
          <w:p w14:paraId="20CF7C0B">
            <w:pPr>
              <w:spacing w:before="89" w:line="215" w:lineRule="auto"/>
              <w:ind w:left="6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44.923</w:t>
            </w:r>
          </w:p>
        </w:tc>
        <w:tc>
          <w:tcPr>
            <w:tcW w:w="1989" w:type="dxa"/>
            <w:vAlign w:val="top"/>
          </w:tcPr>
          <w:p w14:paraId="72E49032">
            <w:pPr>
              <w:spacing w:before="89" w:line="215" w:lineRule="auto"/>
              <w:ind w:left="71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28.711</w:t>
            </w:r>
          </w:p>
        </w:tc>
      </w:tr>
      <w:tr w14:paraId="4257B5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E66A84B">
            <w:pPr>
              <w:spacing w:before="90" w:line="215" w:lineRule="auto"/>
              <w:ind w:left="733"/>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842" w:type="dxa"/>
            <w:vAlign w:val="top"/>
          </w:tcPr>
          <w:p w14:paraId="252813B3">
            <w:pPr>
              <w:spacing w:before="90" w:line="215"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2.597</w:t>
            </w:r>
          </w:p>
        </w:tc>
        <w:tc>
          <w:tcPr>
            <w:tcW w:w="1840" w:type="dxa"/>
            <w:vAlign w:val="top"/>
          </w:tcPr>
          <w:p w14:paraId="16003F76">
            <w:pPr>
              <w:spacing w:before="90" w:line="215"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2.186</w:t>
            </w:r>
          </w:p>
        </w:tc>
        <w:tc>
          <w:tcPr>
            <w:tcW w:w="1843" w:type="dxa"/>
            <w:vAlign w:val="top"/>
          </w:tcPr>
          <w:p w14:paraId="0793FD08">
            <w:pPr>
              <w:spacing w:before="90" w:line="215" w:lineRule="auto"/>
              <w:ind w:left="6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40.018</w:t>
            </w:r>
          </w:p>
        </w:tc>
        <w:tc>
          <w:tcPr>
            <w:tcW w:w="1989" w:type="dxa"/>
            <w:vAlign w:val="top"/>
          </w:tcPr>
          <w:p w14:paraId="27FED44A">
            <w:pPr>
              <w:spacing w:before="90"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26.778</w:t>
            </w:r>
          </w:p>
        </w:tc>
      </w:tr>
      <w:tr w14:paraId="0BD337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9599198">
            <w:pPr>
              <w:spacing w:before="90" w:line="215"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1842" w:type="dxa"/>
            <w:vAlign w:val="top"/>
          </w:tcPr>
          <w:p w14:paraId="3E41424A">
            <w:pPr>
              <w:spacing w:before="90" w:line="215"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2.021</w:t>
            </w:r>
          </w:p>
        </w:tc>
        <w:tc>
          <w:tcPr>
            <w:tcW w:w="1840" w:type="dxa"/>
            <w:vAlign w:val="top"/>
          </w:tcPr>
          <w:p w14:paraId="00989F1F">
            <w:pPr>
              <w:spacing w:before="90" w:line="215"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1.853</w:t>
            </w:r>
          </w:p>
        </w:tc>
        <w:tc>
          <w:tcPr>
            <w:tcW w:w="1843" w:type="dxa"/>
            <w:vAlign w:val="top"/>
          </w:tcPr>
          <w:p w14:paraId="6E8A13A2">
            <w:pPr>
              <w:spacing w:before="90" w:line="215" w:lineRule="auto"/>
              <w:ind w:left="63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35.661</w:t>
            </w:r>
          </w:p>
        </w:tc>
        <w:tc>
          <w:tcPr>
            <w:tcW w:w="1989" w:type="dxa"/>
            <w:vAlign w:val="top"/>
          </w:tcPr>
          <w:p w14:paraId="48280A82">
            <w:pPr>
              <w:spacing w:before="90"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24.855</w:t>
            </w:r>
          </w:p>
        </w:tc>
      </w:tr>
      <w:tr w14:paraId="2EEF22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411C234">
            <w:pPr>
              <w:spacing w:before="90" w:line="214" w:lineRule="auto"/>
              <w:ind w:left="737"/>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1842" w:type="dxa"/>
            <w:vAlign w:val="top"/>
          </w:tcPr>
          <w:p w14:paraId="23DED7AB">
            <w:pPr>
              <w:spacing w:before="90" w:line="214"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1.568</w:t>
            </w:r>
          </w:p>
        </w:tc>
        <w:tc>
          <w:tcPr>
            <w:tcW w:w="1840" w:type="dxa"/>
            <w:vAlign w:val="top"/>
          </w:tcPr>
          <w:p w14:paraId="2010B1E7">
            <w:pPr>
              <w:spacing w:before="90" w:line="214"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1.553</w:t>
            </w:r>
          </w:p>
        </w:tc>
        <w:tc>
          <w:tcPr>
            <w:tcW w:w="1843" w:type="dxa"/>
            <w:vAlign w:val="top"/>
          </w:tcPr>
          <w:p w14:paraId="1BBBE9A7">
            <w:pPr>
              <w:spacing w:before="90" w:line="214" w:lineRule="auto"/>
              <w:ind w:left="63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31.846</w:t>
            </w:r>
          </w:p>
        </w:tc>
        <w:tc>
          <w:tcPr>
            <w:tcW w:w="1989" w:type="dxa"/>
            <w:vAlign w:val="top"/>
          </w:tcPr>
          <w:p w14:paraId="543BD213">
            <w:pPr>
              <w:spacing w:before="90" w:line="214"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23.003</w:t>
            </w:r>
          </w:p>
        </w:tc>
      </w:tr>
      <w:tr w14:paraId="0690DD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B62627E">
            <w:pPr>
              <w:spacing w:before="90" w:line="215"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1842" w:type="dxa"/>
            <w:vAlign w:val="top"/>
          </w:tcPr>
          <w:p w14:paraId="6786D7DE">
            <w:pPr>
              <w:spacing w:before="90" w:line="215"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1.219</w:t>
            </w:r>
          </w:p>
        </w:tc>
        <w:tc>
          <w:tcPr>
            <w:tcW w:w="1840" w:type="dxa"/>
            <w:vAlign w:val="top"/>
          </w:tcPr>
          <w:p w14:paraId="59089E43">
            <w:pPr>
              <w:spacing w:before="90" w:line="215"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1.290</w:t>
            </w:r>
          </w:p>
        </w:tc>
        <w:tc>
          <w:tcPr>
            <w:tcW w:w="1843" w:type="dxa"/>
            <w:vAlign w:val="top"/>
          </w:tcPr>
          <w:p w14:paraId="327593FF">
            <w:pPr>
              <w:spacing w:before="90" w:line="215"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28.526</w:t>
            </w:r>
          </w:p>
        </w:tc>
        <w:tc>
          <w:tcPr>
            <w:tcW w:w="1989" w:type="dxa"/>
            <w:vAlign w:val="top"/>
          </w:tcPr>
          <w:p w14:paraId="0101FFC5">
            <w:pPr>
              <w:spacing w:before="90"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21.253</w:t>
            </w:r>
          </w:p>
        </w:tc>
      </w:tr>
      <w:tr w14:paraId="4FB21C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68041E02">
            <w:pPr>
              <w:spacing w:before="92" w:line="215"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842" w:type="dxa"/>
            <w:vAlign w:val="top"/>
          </w:tcPr>
          <w:p w14:paraId="050D0F6E">
            <w:pPr>
              <w:spacing w:before="92"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0.954</w:t>
            </w:r>
          </w:p>
        </w:tc>
        <w:tc>
          <w:tcPr>
            <w:tcW w:w="1840" w:type="dxa"/>
            <w:vAlign w:val="top"/>
          </w:tcPr>
          <w:p w14:paraId="3DEF7C20">
            <w:pPr>
              <w:spacing w:before="92" w:line="215"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1.065</w:t>
            </w:r>
          </w:p>
        </w:tc>
        <w:tc>
          <w:tcPr>
            <w:tcW w:w="1843" w:type="dxa"/>
            <w:vAlign w:val="top"/>
          </w:tcPr>
          <w:p w14:paraId="3A94D563">
            <w:pPr>
              <w:spacing w:before="92" w:line="215"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25.639</w:t>
            </w:r>
          </w:p>
        </w:tc>
        <w:tc>
          <w:tcPr>
            <w:tcW w:w="1989" w:type="dxa"/>
            <w:vAlign w:val="top"/>
          </w:tcPr>
          <w:p w14:paraId="44321683">
            <w:pPr>
              <w:spacing w:before="92" w:line="215"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19.625</w:t>
            </w:r>
          </w:p>
        </w:tc>
      </w:tr>
      <w:tr w14:paraId="0F40E9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39A402D">
            <w:pPr>
              <w:spacing w:before="90" w:line="214" w:lineRule="auto"/>
              <w:ind w:left="701"/>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11</w:t>
            </w:r>
          </w:p>
        </w:tc>
        <w:tc>
          <w:tcPr>
            <w:tcW w:w="1842" w:type="dxa"/>
            <w:vAlign w:val="top"/>
          </w:tcPr>
          <w:p w14:paraId="40AB9C54">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0.754</w:t>
            </w:r>
          </w:p>
        </w:tc>
        <w:tc>
          <w:tcPr>
            <w:tcW w:w="1840" w:type="dxa"/>
            <w:vAlign w:val="top"/>
          </w:tcPr>
          <w:p w14:paraId="18E3AEAE">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0.875</w:t>
            </w:r>
          </w:p>
        </w:tc>
        <w:tc>
          <w:tcPr>
            <w:tcW w:w="1843" w:type="dxa"/>
            <w:vAlign w:val="top"/>
          </w:tcPr>
          <w:p w14:paraId="52A0D626">
            <w:pPr>
              <w:spacing w:before="90" w:line="214"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23.127</w:t>
            </w:r>
          </w:p>
        </w:tc>
        <w:tc>
          <w:tcPr>
            <w:tcW w:w="1989" w:type="dxa"/>
            <w:vAlign w:val="top"/>
          </w:tcPr>
          <w:p w14:paraId="5CEC2C52">
            <w:pPr>
              <w:spacing w:before="90" w:line="214"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18.123</w:t>
            </w:r>
          </w:p>
        </w:tc>
      </w:tr>
      <w:tr w14:paraId="0E467E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527080B">
            <w:pPr>
              <w:spacing w:before="91" w:line="214"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c>
          <w:tcPr>
            <w:tcW w:w="1842" w:type="dxa"/>
            <w:vAlign w:val="top"/>
          </w:tcPr>
          <w:p w14:paraId="7D2425B6">
            <w:pPr>
              <w:spacing w:before="91"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0.607</w:t>
            </w:r>
          </w:p>
        </w:tc>
        <w:tc>
          <w:tcPr>
            <w:tcW w:w="1840" w:type="dxa"/>
            <w:vAlign w:val="top"/>
          </w:tcPr>
          <w:p w14:paraId="00A66D37">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0.716</w:t>
            </w:r>
          </w:p>
        </w:tc>
        <w:tc>
          <w:tcPr>
            <w:tcW w:w="1843" w:type="dxa"/>
            <w:vAlign w:val="top"/>
          </w:tcPr>
          <w:p w14:paraId="2D25CCA7">
            <w:pPr>
              <w:spacing w:before="91" w:line="214" w:lineRule="auto"/>
              <w:ind w:left="6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20.934</w:t>
            </w:r>
          </w:p>
        </w:tc>
        <w:tc>
          <w:tcPr>
            <w:tcW w:w="1989" w:type="dxa"/>
            <w:vAlign w:val="top"/>
          </w:tcPr>
          <w:p w14:paraId="5E56474B">
            <w:pPr>
              <w:spacing w:before="91" w:line="214"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16.746</w:t>
            </w:r>
          </w:p>
        </w:tc>
      </w:tr>
      <w:tr w14:paraId="2BD730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186C234">
            <w:pPr>
              <w:spacing w:before="90" w:line="214"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13</w:t>
            </w:r>
          </w:p>
        </w:tc>
        <w:tc>
          <w:tcPr>
            <w:tcW w:w="1842" w:type="dxa"/>
            <w:vAlign w:val="top"/>
          </w:tcPr>
          <w:p w14:paraId="4B5F07DD">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0.499</w:t>
            </w:r>
          </w:p>
        </w:tc>
        <w:tc>
          <w:tcPr>
            <w:tcW w:w="1840" w:type="dxa"/>
            <w:vAlign w:val="top"/>
          </w:tcPr>
          <w:p w14:paraId="1B5EE18F">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0.585</w:t>
            </w:r>
          </w:p>
        </w:tc>
        <w:tc>
          <w:tcPr>
            <w:tcW w:w="1843" w:type="dxa"/>
            <w:vAlign w:val="top"/>
          </w:tcPr>
          <w:p w14:paraId="6355B7EA">
            <w:pPr>
              <w:spacing w:before="90" w:line="214"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19.014</w:t>
            </w:r>
          </w:p>
        </w:tc>
        <w:tc>
          <w:tcPr>
            <w:tcW w:w="1989" w:type="dxa"/>
            <w:vAlign w:val="top"/>
          </w:tcPr>
          <w:p w14:paraId="4A9295EF">
            <w:pPr>
              <w:spacing w:before="90" w:line="214"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15.489</w:t>
            </w:r>
          </w:p>
        </w:tc>
      </w:tr>
      <w:tr w14:paraId="59408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Align w:val="top"/>
          </w:tcPr>
          <w:p w14:paraId="4DC3CF2F">
            <w:pPr>
              <w:spacing w:before="91" w:line="218"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tc>
        <w:tc>
          <w:tcPr>
            <w:tcW w:w="1842" w:type="dxa"/>
            <w:vAlign w:val="top"/>
          </w:tcPr>
          <w:p w14:paraId="700E3D51">
            <w:pPr>
              <w:spacing w:before="91"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0.423</w:t>
            </w:r>
          </w:p>
        </w:tc>
        <w:tc>
          <w:tcPr>
            <w:tcW w:w="1840" w:type="dxa"/>
            <w:vAlign w:val="top"/>
          </w:tcPr>
          <w:p w14:paraId="7BC9D376">
            <w:pPr>
              <w:spacing w:before="91"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0.477</w:t>
            </w:r>
          </w:p>
        </w:tc>
        <w:tc>
          <w:tcPr>
            <w:tcW w:w="1843" w:type="dxa"/>
            <w:vAlign w:val="top"/>
          </w:tcPr>
          <w:p w14:paraId="42590C8C">
            <w:pPr>
              <w:spacing w:before="91" w:line="218"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17.326</w:t>
            </w:r>
          </w:p>
        </w:tc>
        <w:tc>
          <w:tcPr>
            <w:tcW w:w="1989" w:type="dxa"/>
            <w:vAlign w:val="top"/>
          </w:tcPr>
          <w:p w14:paraId="7B76AA22">
            <w:pPr>
              <w:spacing w:before="91" w:line="218"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14.343</w:t>
            </w:r>
          </w:p>
        </w:tc>
      </w:tr>
    </w:tbl>
    <w:p w14:paraId="777AD133">
      <w:pPr>
        <w:rPr>
          <w:rFonts w:ascii="Arial"/>
          <w:sz w:val="21"/>
        </w:rPr>
      </w:pPr>
    </w:p>
    <w:p w14:paraId="3253D290">
      <w:pPr>
        <w:rPr>
          <w:rFonts w:ascii="Arial" w:hAnsi="Arial" w:eastAsia="Arial" w:cs="Arial"/>
          <w:sz w:val="21"/>
          <w:szCs w:val="21"/>
        </w:rPr>
        <w:sectPr>
          <w:footerReference r:id="rId108" w:type="default"/>
          <w:pgSz w:w="11907" w:h="16841"/>
          <w:pgMar w:top="400" w:right="1411" w:bottom="1126" w:left="1416" w:header="0" w:footer="925" w:gutter="0"/>
          <w:cols w:space="720" w:num="1"/>
        </w:sectPr>
      </w:pPr>
    </w:p>
    <w:p w14:paraId="12A7342D">
      <w:pPr>
        <w:spacing w:before="2"/>
      </w:pPr>
    </w:p>
    <w:p w14:paraId="714805A1">
      <w:pPr>
        <w:spacing w:before="2"/>
      </w:pPr>
    </w:p>
    <w:p w14:paraId="7B9335C0">
      <w:pPr>
        <w:spacing w:before="1"/>
      </w:pPr>
    </w:p>
    <w:p w14:paraId="4CE4C891">
      <w:pPr>
        <w:spacing w:before="1"/>
      </w:pPr>
    </w:p>
    <w:p w14:paraId="77224F9B">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1FDE7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559" w:type="dxa"/>
            <w:vAlign w:val="top"/>
          </w:tcPr>
          <w:p w14:paraId="1DA0EF95">
            <w:pPr>
              <w:spacing w:before="93"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842" w:type="dxa"/>
            <w:vAlign w:val="top"/>
          </w:tcPr>
          <w:p w14:paraId="021DA6DB">
            <w:pPr>
              <w:spacing w:before="93"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0.369</w:t>
            </w:r>
          </w:p>
        </w:tc>
        <w:tc>
          <w:tcPr>
            <w:tcW w:w="1840" w:type="dxa"/>
            <w:vAlign w:val="top"/>
          </w:tcPr>
          <w:p w14:paraId="54320DBA">
            <w:pPr>
              <w:spacing w:before="93"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0.390</w:t>
            </w:r>
          </w:p>
        </w:tc>
        <w:tc>
          <w:tcPr>
            <w:tcW w:w="1843" w:type="dxa"/>
            <w:vAlign w:val="top"/>
          </w:tcPr>
          <w:p w14:paraId="69540E1B">
            <w:pPr>
              <w:spacing w:before="93" w:line="217"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15.838</w:t>
            </w:r>
          </w:p>
        </w:tc>
        <w:tc>
          <w:tcPr>
            <w:tcW w:w="1989" w:type="dxa"/>
            <w:vAlign w:val="top"/>
          </w:tcPr>
          <w:p w14:paraId="38E3D335">
            <w:pPr>
              <w:spacing w:before="93" w:line="217"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13.299</w:t>
            </w:r>
          </w:p>
        </w:tc>
      </w:tr>
      <w:tr w14:paraId="375E6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48217F0A">
            <w:pPr>
              <w:spacing w:before="88" w:line="219"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tc>
        <w:tc>
          <w:tcPr>
            <w:tcW w:w="1842" w:type="dxa"/>
            <w:vAlign w:val="top"/>
          </w:tcPr>
          <w:p w14:paraId="18851B49">
            <w:pPr>
              <w:spacing w:before="88"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0.332</w:t>
            </w:r>
          </w:p>
        </w:tc>
        <w:tc>
          <w:tcPr>
            <w:tcW w:w="1840" w:type="dxa"/>
            <w:vAlign w:val="top"/>
          </w:tcPr>
          <w:p w14:paraId="61AA77EE">
            <w:pPr>
              <w:spacing w:before="88"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0.321</w:t>
            </w:r>
          </w:p>
        </w:tc>
        <w:tc>
          <w:tcPr>
            <w:tcW w:w="1843" w:type="dxa"/>
            <w:vAlign w:val="top"/>
          </w:tcPr>
          <w:p w14:paraId="547C88F1">
            <w:pPr>
              <w:spacing w:before="88" w:line="219"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14.520</w:t>
            </w:r>
          </w:p>
        </w:tc>
        <w:tc>
          <w:tcPr>
            <w:tcW w:w="1989" w:type="dxa"/>
            <w:vAlign w:val="top"/>
          </w:tcPr>
          <w:p w14:paraId="7315CE70">
            <w:pPr>
              <w:spacing w:before="88" w:line="219"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12.350</w:t>
            </w:r>
          </w:p>
        </w:tc>
      </w:tr>
      <w:tr w14:paraId="62802C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3272E57">
            <w:pPr>
              <w:spacing w:before="85" w:line="219"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tc>
        <w:tc>
          <w:tcPr>
            <w:tcW w:w="1842" w:type="dxa"/>
            <w:vAlign w:val="top"/>
          </w:tcPr>
          <w:p w14:paraId="09972E15">
            <w:pPr>
              <w:spacing w:before="85"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0.307</w:t>
            </w:r>
          </w:p>
        </w:tc>
        <w:tc>
          <w:tcPr>
            <w:tcW w:w="1840" w:type="dxa"/>
            <w:vAlign w:val="top"/>
          </w:tcPr>
          <w:p w14:paraId="1058E3F5">
            <w:pPr>
              <w:spacing w:before="85"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0.266</w:t>
            </w:r>
          </w:p>
        </w:tc>
        <w:tc>
          <w:tcPr>
            <w:tcW w:w="1843" w:type="dxa"/>
            <w:vAlign w:val="top"/>
          </w:tcPr>
          <w:p w14:paraId="2563B197">
            <w:pPr>
              <w:spacing w:before="85" w:line="219"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13.350</w:t>
            </w:r>
          </w:p>
        </w:tc>
        <w:tc>
          <w:tcPr>
            <w:tcW w:w="1989" w:type="dxa"/>
            <w:vAlign w:val="top"/>
          </w:tcPr>
          <w:p w14:paraId="1D350486">
            <w:pPr>
              <w:spacing w:before="85" w:line="219" w:lineRule="auto"/>
              <w:ind w:left="732"/>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11.485</w:t>
            </w:r>
          </w:p>
        </w:tc>
      </w:tr>
      <w:tr w14:paraId="34121C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F74CBBF">
            <w:pPr>
              <w:spacing w:before="86" w:line="219"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tc>
        <w:tc>
          <w:tcPr>
            <w:tcW w:w="1842" w:type="dxa"/>
            <w:vAlign w:val="top"/>
          </w:tcPr>
          <w:p w14:paraId="2EF2F652">
            <w:pPr>
              <w:spacing w:before="86"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0.290</w:t>
            </w:r>
          </w:p>
        </w:tc>
        <w:tc>
          <w:tcPr>
            <w:tcW w:w="1840" w:type="dxa"/>
            <w:vAlign w:val="top"/>
          </w:tcPr>
          <w:p w14:paraId="13462856">
            <w:pPr>
              <w:spacing w:before="86"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0.225</w:t>
            </w:r>
          </w:p>
        </w:tc>
        <w:tc>
          <w:tcPr>
            <w:tcW w:w="1843" w:type="dxa"/>
            <w:vAlign w:val="top"/>
          </w:tcPr>
          <w:p w14:paraId="05D3E1F1">
            <w:pPr>
              <w:spacing w:before="86" w:line="219"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12.306</w:t>
            </w:r>
          </w:p>
        </w:tc>
        <w:tc>
          <w:tcPr>
            <w:tcW w:w="1989" w:type="dxa"/>
            <w:vAlign w:val="top"/>
          </w:tcPr>
          <w:p w14:paraId="447DDFD2">
            <w:pPr>
              <w:spacing w:before="86" w:line="219" w:lineRule="auto"/>
              <w:ind w:left="72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10.698</w:t>
            </w:r>
          </w:p>
        </w:tc>
      </w:tr>
      <w:tr w14:paraId="39FF1A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94F5F2B">
            <w:pPr>
              <w:spacing w:before="86" w:line="218"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tc>
        <w:tc>
          <w:tcPr>
            <w:tcW w:w="1842" w:type="dxa"/>
            <w:vAlign w:val="top"/>
          </w:tcPr>
          <w:p w14:paraId="6A6CE7EE">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0.278</w:t>
            </w:r>
          </w:p>
        </w:tc>
        <w:tc>
          <w:tcPr>
            <w:tcW w:w="1840" w:type="dxa"/>
            <w:vAlign w:val="top"/>
          </w:tcPr>
          <w:p w14:paraId="28B0904D">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0.195</w:t>
            </w:r>
          </w:p>
        </w:tc>
        <w:tc>
          <w:tcPr>
            <w:tcW w:w="1843" w:type="dxa"/>
            <w:vAlign w:val="top"/>
          </w:tcPr>
          <w:p w14:paraId="0D8F37EE">
            <w:pPr>
              <w:spacing w:before="86" w:line="218" w:lineRule="auto"/>
              <w:ind w:left="659"/>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11.373</w:t>
            </w:r>
          </w:p>
        </w:tc>
        <w:tc>
          <w:tcPr>
            <w:tcW w:w="1989" w:type="dxa"/>
            <w:vAlign w:val="top"/>
          </w:tcPr>
          <w:p w14:paraId="54ABE51B">
            <w:pPr>
              <w:spacing w:before="86" w:line="218"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9.980</w:t>
            </w:r>
          </w:p>
        </w:tc>
      </w:tr>
      <w:tr w14:paraId="3C23EA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41252B3">
            <w:pPr>
              <w:spacing w:before="86" w:line="218"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842" w:type="dxa"/>
            <w:vAlign w:val="top"/>
          </w:tcPr>
          <w:p w14:paraId="15A6719A">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0.268</w:t>
            </w:r>
          </w:p>
        </w:tc>
        <w:tc>
          <w:tcPr>
            <w:tcW w:w="1840" w:type="dxa"/>
            <w:vAlign w:val="top"/>
          </w:tcPr>
          <w:p w14:paraId="525FEDC4">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0.174</w:t>
            </w:r>
          </w:p>
        </w:tc>
        <w:tc>
          <w:tcPr>
            <w:tcW w:w="1843" w:type="dxa"/>
            <w:vAlign w:val="top"/>
          </w:tcPr>
          <w:p w14:paraId="6A368F50">
            <w:pPr>
              <w:spacing w:before="86" w:line="218" w:lineRule="auto"/>
              <w:ind w:left="65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10.536</w:t>
            </w:r>
          </w:p>
        </w:tc>
        <w:tc>
          <w:tcPr>
            <w:tcW w:w="1989" w:type="dxa"/>
            <w:vAlign w:val="top"/>
          </w:tcPr>
          <w:p w14:paraId="71385BFE">
            <w:pPr>
              <w:spacing w:before="86" w:line="218"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9.324</w:t>
            </w:r>
          </w:p>
        </w:tc>
      </w:tr>
      <w:tr w14:paraId="51825C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1B866B2">
            <w:pPr>
              <w:spacing w:before="87"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c>
          <w:tcPr>
            <w:tcW w:w="1842" w:type="dxa"/>
            <w:vAlign w:val="top"/>
          </w:tcPr>
          <w:p w14:paraId="522A977A">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0.260</w:t>
            </w:r>
          </w:p>
        </w:tc>
        <w:tc>
          <w:tcPr>
            <w:tcW w:w="1840" w:type="dxa"/>
            <w:vAlign w:val="top"/>
          </w:tcPr>
          <w:p w14:paraId="0C8E5AF1">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0.160</w:t>
            </w:r>
          </w:p>
        </w:tc>
        <w:tc>
          <w:tcPr>
            <w:tcW w:w="1843" w:type="dxa"/>
            <w:vAlign w:val="top"/>
          </w:tcPr>
          <w:p w14:paraId="3EDF30F5">
            <w:pPr>
              <w:spacing w:before="87"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9.783</w:t>
            </w:r>
          </w:p>
        </w:tc>
        <w:tc>
          <w:tcPr>
            <w:tcW w:w="1989" w:type="dxa"/>
            <w:vAlign w:val="top"/>
          </w:tcPr>
          <w:p w14:paraId="0EB94AAC">
            <w:pPr>
              <w:spacing w:before="87" w:line="217" w:lineRule="auto"/>
              <w:ind w:left="76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8.725</w:t>
            </w:r>
          </w:p>
        </w:tc>
      </w:tr>
      <w:tr w14:paraId="15840E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017C3E9B">
            <w:pPr>
              <w:spacing w:before="90"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tc>
        <w:tc>
          <w:tcPr>
            <w:tcW w:w="1842" w:type="dxa"/>
            <w:vAlign w:val="top"/>
          </w:tcPr>
          <w:p w14:paraId="115383D1">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0.253</w:t>
            </w:r>
          </w:p>
        </w:tc>
        <w:tc>
          <w:tcPr>
            <w:tcW w:w="1840" w:type="dxa"/>
            <w:vAlign w:val="top"/>
          </w:tcPr>
          <w:p w14:paraId="6125F896">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0.151</w:t>
            </w:r>
          </w:p>
        </w:tc>
        <w:tc>
          <w:tcPr>
            <w:tcW w:w="1843" w:type="dxa"/>
            <w:vAlign w:val="top"/>
          </w:tcPr>
          <w:p w14:paraId="307DC632">
            <w:pPr>
              <w:spacing w:before="90"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9.104</w:t>
            </w:r>
          </w:p>
        </w:tc>
        <w:tc>
          <w:tcPr>
            <w:tcW w:w="1989" w:type="dxa"/>
            <w:vAlign w:val="top"/>
          </w:tcPr>
          <w:p w14:paraId="6E78D4FB">
            <w:pPr>
              <w:spacing w:before="90" w:line="217" w:lineRule="auto"/>
              <w:ind w:left="76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8.177</w:t>
            </w:r>
          </w:p>
        </w:tc>
      </w:tr>
      <w:tr w14:paraId="1A1395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9A47401">
            <w:pPr>
              <w:spacing w:before="87"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tc>
        <w:tc>
          <w:tcPr>
            <w:tcW w:w="1842" w:type="dxa"/>
            <w:vAlign w:val="top"/>
          </w:tcPr>
          <w:p w14:paraId="2E853CDF">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0.246</w:t>
            </w:r>
          </w:p>
        </w:tc>
        <w:tc>
          <w:tcPr>
            <w:tcW w:w="1840" w:type="dxa"/>
            <w:vAlign w:val="top"/>
          </w:tcPr>
          <w:p w14:paraId="177AD795">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0.146</w:t>
            </w:r>
          </w:p>
        </w:tc>
        <w:tc>
          <w:tcPr>
            <w:tcW w:w="1843" w:type="dxa"/>
            <w:vAlign w:val="top"/>
          </w:tcPr>
          <w:p w14:paraId="591A005C">
            <w:pPr>
              <w:spacing w:before="87" w:line="217"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8.489</w:t>
            </w:r>
          </w:p>
        </w:tc>
        <w:tc>
          <w:tcPr>
            <w:tcW w:w="1989" w:type="dxa"/>
            <w:vAlign w:val="top"/>
          </w:tcPr>
          <w:p w14:paraId="1282315D">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7.674</w:t>
            </w:r>
          </w:p>
        </w:tc>
      </w:tr>
      <w:tr w14:paraId="03CFF5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A7847D6">
            <w:pPr>
              <w:spacing w:before="88" w:line="216"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tc>
        <w:tc>
          <w:tcPr>
            <w:tcW w:w="1842" w:type="dxa"/>
            <w:vAlign w:val="top"/>
          </w:tcPr>
          <w:p w14:paraId="0F931B4B">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0.240</w:t>
            </w:r>
          </w:p>
        </w:tc>
        <w:tc>
          <w:tcPr>
            <w:tcW w:w="1840" w:type="dxa"/>
            <w:vAlign w:val="top"/>
          </w:tcPr>
          <w:p w14:paraId="1199B021">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0.143</w:t>
            </w:r>
          </w:p>
        </w:tc>
        <w:tc>
          <w:tcPr>
            <w:tcW w:w="1843" w:type="dxa"/>
            <w:vAlign w:val="top"/>
          </w:tcPr>
          <w:p w14:paraId="3A49A458">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7.931</w:t>
            </w:r>
          </w:p>
        </w:tc>
        <w:tc>
          <w:tcPr>
            <w:tcW w:w="1989" w:type="dxa"/>
            <w:vAlign w:val="top"/>
          </w:tcPr>
          <w:p w14:paraId="3DC67AEF">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7.213</w:t>
            </w:r>
          </w:p>
        </w:tc>
      </w:tr>
      <w:tr w14:paraId="106CCF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39E2D17">
            <w:pPr>
              <w:spacing w:before="89" w:line="216"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tc>
        <w:tc>
          <w:tcPr>
            <w:tcW w:w="1842" w:type="dxa"/>
            <w:vAlign w:val="top"/>
          </w:tcPr>
          <w:p w14:paraId="0DC44110">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0.233</w:t>
            </w:r>
          </w:p>
        </w:tc>
        <w:tc>
          <w:tcPr>
            <w:tcW w:w="1840" w:type="dxa"/>
            <w:vAlign w:val="top"/>
          </w:tcPr>
          <w:p w14:paraId="4C8BFEDD">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0.142</w:t>
            </w:r>
          </w:p>
        </w:tc>
        <w:tc>
          <w:tcPr>
            <w:tcW w:w="1843" w:type="dxa"/>
            <w:vAlign w:val="top"/>
          </w:tcPr>
          <w:p w14:paraId="53ACFC74">
            <w:pPr>
              <w:spacing w:before="89"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7.424</w:t>
            </w:r>
          </w:p>
        </w:tc>
        <w:tc>
          <w:tcPr>
            <w:tcW w:w="1989" w:type="dxa"/>
            <w:vAlign w:val="top"/>
          </w:tcPr>
          <w:p w14:paraId="6D42AFC4">
            <w:pPr>
              <w:spacing w:before="89"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6.789</w:t>
            </w:r>
          </w:p>
        </w:tc>
      </w:tr>
      <w:tr w14:paraId="488764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BD9042D">
            <w:pPr>
              <w:spacing w:before="88"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tc>
        <w:tc>
          <w:tcPr>
            <w:tcW w:w="1842" w:type="dxa"/>
            <w:vAlign w:val="top"/>
          </w:tcPr>
          <w:p w14:paraId="70EEF257">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0.227</w:t>
            </w:r>
          </w:p>
        </w:tc>
        <w:tc>
          <w:tcPr>
            <w:tcW w:w="1840" w:type="dxa"/>
            <w:vAlign w:val="top"/>
          </w:tcPr>
          <w:p w14:paraId="497C3C53">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0.141</w:t>
            </w:r>
          </w:p>
        </w:tc>
        <w:tc>
          <w:tcPr>
            <w:tcW w:w="1843" w:type="dxa"/>
            <w:vAlign w:val="top"/>
          </w:tcPr>
          <w:p w14:paraId="239D9124">
            <w:pPr>
              <w:spacing w:before="88" w:line="217"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6.962</w:t>
            </w:r>
          </w:p>
        </w:tc>
        <w:tc>
          <w:tcPr>
            <w:tcW w:w="1989" w:type="dxa"/>
            <w:vAlign w:val="top"/>
          </w:tcPr>
          <w:p w14:paraId="218E67FD">
            <w:pPr>
              <w:spacing w:before="88"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6.398</w:t>
            </w:r>
          </w:p>
        </w:tc>
      </w:tr>
      <w:tr w14:paraId="3EBA3D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B547FD8">
            <w:pPr>
              <w:spacing w:before="88" w:line="216"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w:t>
            </w:r>
          </w:p>
        </w:tc>
        <w:tc>
          <w:tcPr>
            <w:tcW w:w="1842" w:type="dxa"/>
            <w:vAlign w:val="top"/>
          </w:tcPr>
          <w:p w14:paraId="7D06821C">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0.220</w:t>
            </w:r>
          </w:p>
        </w:tc>
        <w:tc>
          <w:tcPr>
            <w:tcW w:w="1840" w:type="dxa"/>
            <w:vAlign w:val="top"/>
          </w:tcPr>
          <w:p w14:paraId="050240EB">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0.140</w:t>
            </w:r>
          </w:p>
        </w:tc>
        <w:tc>
          <w:tcPr>
            <w:tcW w:w="1843" w:type="dxa"/>
            <w:vAlign w:val="top"/>
          </w:tcPr>
          <w:p w14:paraId="0B31E1B1">
            <w:pPr>
              <w:spacing w:before="88"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6.540</w:t>
            </w:r>
          </w:p>
        </w:tc>
        <w:tc>
          <w:tcPr>
            <w:tcW w:w="1989" w:type="dxa"/>
            <w:vAlign w:val="top"/>
          </w:tcPr>
          <w:p w14:paraId="7ABCB137">
            <w:pPr>
              <w:spacing w:before="88"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6.038</w:t>
            </w:r>
          </w:p>
        </w:tc>
      </w:tr>
      <w:tr w14:paraId="09BB84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1821B625">
            <w:pPr>
              <w:spacing w:before="91" w:line="216"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w:t>
            </w:r>
          </w:p>
        </w:tc>
        <w:tc>
          <w:tcPr>
            <w:tcW w:w="1842" w:type="dxa"/>
            <w:vAlign w:val="top"/>
          </w:tcPr>
          <w:p w14:paraId="37C4A553">
            <w:pPr>
              <w:spacing w:before="91"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0.214</w:t>
            </w:r>
          </w:p>
        </w:tc>
        <w:tc>
          <w:tcPr>
            <w:tcW w:w="1840" w:type="dxa"/>
            <w:vAlign w:val="top"/>
          </w:tcPr>
          <w:p w14:paraId="0471A885">
            <w:pPr>
              <w:spacing w:before="91"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0.139</w:t>
            </w:r>
          </w:p>
        </w:tc>
        <w:tc>
          <w:tcPr>
            <w:tcW w:w="1843" w:type="dxa"/>
            <w:vAlign w:val="top"/>
          </w:tcPr>
          <w:p w14:paraId="6FEDEB20">
            <w:pPr>
              <w:spacing w:before="91"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6.153</w:t>
            </w:r>
          </w:p>
        </w:tc>
        <w:tc>
          <w:tcPr>
            <w:tcW w:w="1989" w:type="dxa"/>
            <w:vAlign w:val="top"/>
          </w:tcPr>
          <w:p w14:paraId="2F665593">
            <w:pPr>
              <w:spacing w:before="91" w:line="216"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5.706</w:t>
            </w:r>
          </w:p>
        </w:tc>
      </w:tr>
      <w:tr w14:paraId="73AC04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F7DE264">
            <w:pPr>
              <w:spacing w:before="89" w:line="216"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w:t>
            </w:r>
          </w:p>
        </w:tc>
        <w:tc>
          <w:tcPr>
            <w:tcW w:w="1842" w:type="dxa"/>
            <w:vAlign w:val="top"/>
          </w:tcPr>
          <w:p w14:paraId="4F1A750C">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0.207</w:t>
            </w:r>
          </w:p>
        </w:tc>
        <w:tc>
          <w:tcPr>
            <w:tcW w:w="1840" w:type="dxa"/>
            <w:vAlign w:val="top"/>
          </w:tcPr>
          <w:p w14:paraId="21E9CF33">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0.138</w:t>
            </w:r>
          </w:p>
        </w:tc>
        <w:tc>
          <w:tcPr>
            <w:tcW w:w="1843" w:type="dxa"/>
            <w:vAlign w:val="top"/>
          </w:tcPr>
          <w:p w14:paraId="4E34A366">
            <w:pPr>
              <w:spacing w:before="89" w:line="216"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5.799</w:t>
            </w:r>
          </w:p>
        </w:tc>
        <w:tc>
          <w:tcPr>
            <w:tcW w:w="1989" w:type="dxa"/>
            <w:vAlign w:val="top"/>
          </w:tcPr>
          <w:p w14:paraId="4AB1350C">
            <w:pPr>
              <w:spacing w:before="89" w:line="216"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5.398</w:t>
            </w:r>
          </w:p>
        </w:tc>
      </w:tr>
      <w:tr w14:paraId="54A946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19FF418">
            <w:pPr>
              <w:spacing w:before="89"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c>
          <w:tcPr>
            <w:tcW w:w="1842" w:type="dxa"/>
            <w:vAlign w:val="top"/>
          </w:tcPr>
          <w:p w14:paraId="4F634EF9">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0.201</w:t>
            </w:r>
          </w:p>
        </w:tc>
        <w:tc>
          <w:tcPr>
            <w:tcW w:w="1840" w:type="dxa"/>
            <w:vAlign w:val="top"/>
          </w:tcPr>
          <w:p w14:paraId="0BBAAAF3">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0.137</w:t>
            </w:r>
          </w:p>
        </w:tc>
        <w:tc>
          <w:tcPr>
            <w:tcW w:w="1843" w:type="dxa"/>
            <w:vAlign w:val="top"/>
          </w:tcPr>
          <w:p w14:paraId="49052584">
            <w:pPr>
              <w:spacing w:before="89" w:line="215"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5.473</w:t>
            </w:r>
          </w:p>
        </w:tc>
        <w:tc>
          <w:tcPr>
            <w:tcW w:w="1989" w:type="dxa"/>
            <w:vAlign w:val="top"/>
          </w:tcPr>
          <w:p w14:paraId="334935FD">
            <w:pPr>
              <w:spacing w:before="89" w:line="215" w:lineRule="auto"/>
              <w:ind w:left="76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5.113</w:t>
            </w:r>
          </w:p>
        </w:tc>
      </w:tr>
      <w:tr w14:paraId="5E8FF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85F0480">
            <w:pPr>
              <w:spacing w:before="89"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31</w:t>
            </w:r>
          </w:p>
        </w:tc>
        <w:tc>
          <w:tcPr>
            <w:tcW w:w="1842" w:type="dxa"/>
            <w:vAlign w:val="top"/>
          </w:tcPr>
          <w:p w14:paraId="00303B03">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0.195</w:t>
            </w:r>
          </w:p>
        </w:tc>
        <w:tc>
          <w:tcPr>
            <w:tcW w:w="1840" w:type="dxa"/>
            <w:vAlign w:val="top"/>
          </w:tcPr>
          <w:p w14:paraId="258A2C3D">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0.136</w:t>
            </w:r>
          </w:p>
        </w:tc>
        <w:tc>
          <w:tcPr>
            <w:tcW w:w="1843" w:type="dxa"/>
            <w:vAlign w:val="top"/>
          </w:tcPr>
          <w:p w14:paraId="34E07F21">
            <w:pPr>
              <w:spacing w:before="89" w:line="216"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5.172</w:t>
            </w:r>
          </w:p>
        </w:tc>
        <w:tc>
          <w:tcPr>
            <w:tcW w:w="1989" w:type="dxa"/>
            <w:vAlign w:val="top"/>
          </w:tcPr>
          <w:p w14:paraId="493360B6">
            <w:pPr>
              <w:spacing w:before="89" w:line="216"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4.849</w:t>
            </w:r>
          </w:p>
        </w:tc>
      </w:tr>
      <w:tr w14:paraId="4EF0B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000D576">
            <w:pPr>
              <w:spacing w:before="89"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32</w:t>
            </w:r>
          </w:p>
        </w:tc>
        <w:tc>
          <w:tcPr>
            <w:tcW w:w="1842" w:type="dxa"/>
            <w:vAlign w:val="top"/>
          </w:tcPr>
          <w:p w14:paraId="7604FFD0">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0.188</w:t>
            </w:r>
          </w:p>
        </w:tc>
        <w:tc>
          <w:tcPr>
            <w:tcW w:w="1840" w:type="dxa"/>
            <w:vAlign w:val="top"/>
          </w:tcPr>
          <w:p w14:paraId="247A01B0">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0.134</w:t>
            </w:r>
          </w:p>
        </w:tc>
        <w:tc>
          <w:tcPr>
            <w:tcW w:w="1843" w:type="dxa"/>
            <w:vAlign w:val="top"/>
          </w:tcPr>
          <w:p w14:paraId="06EE5CA4">
            <w:pPr>
              <w:spacing w:before="89" w:line="215"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4.895</w:t>
            </w:r>
          </w:p>
        </w:tc>
        <w:tc>
          <w:tcPr>
            <w:tcW w:w="1989" w:type="dxa"/>
            <w:vAlign w:val="top"/>
          </w:tcPr>
          <w:p w14:paraId="38F696DC">
            <w:pPr>
              <w:spacing w:before="89" w:line="215"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4.604</w:t>
            </w:r>
          </w:p>
        </w:tc>
      </w:tr>
      <w:tr w14:paraId="7DDE2E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A4C58D4">
            <w:pPr>
              <w:spacing w:before="89"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33</w:t>
            </w:r>
          </w:p>
        </w:tc>
        <w:tc>
          <w:tcPr>
            <w:tcW w:w="1842" w:type="dxa"/>
            <w:vAlign w:val="top"/>
          </w:tcPr>
          <w:p w14:paraId="70DA2D40">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0.182</w:t>
            </w:r>
          </w:p>
        </w:tc>
        <w:tc>
          <w:tcPr>
            <w:tcW w:w="1840" w:type="dxa"/>
            <w:vAlign w:val="top"/>
          </w:tcPr>
          <w:p w14:paraId="7FF5BAF7">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0.132</w:t>
            </w:r>
          </w:p>
        </w:tc>
        <w:tc>
          <w:tcPr>
            <w:tcW w:w="1843" w:type="dxa"/>
            <w:vAlign w:val="top"/>
          </w:tcPr>
          <w:p w14:paraId="110B7247">
            <w:pPr>
              <w:spacing w:before="89" w:line="216"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4.639</w:t>
            </w:r>
          </w:p>
        </w:tc>
        <w:tc>
          <w:tcPr>
            <w:tcW w:w="1989" w:type="dxa"/>
            <w:vAlign w:val="top"/>
          </w:tcPr>
          <w:p w14:paraId="7A5D1910">
            <w:pPr>
              <w:spacing w:before="89" w:line="216"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4.376</w:t>
            </w:r>
          </w:p>
        </w:tc>
      </w:tr>
      <w:tr w14:paraId="61A2F9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10DA7B2B">
            <w:pPr>
              <w:spacing w:before="91"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34</w:t>
            </w:r>
          </w:p>
        </w:tc>
        <w:tc>
          <w:tcPr>
            <w:tcW w:w="1842" w:type="dxa"/>
            <w:vAlign w:val="top"/>
          </w:tcPr>
          <w:p w14:paraId="1B9A1119">
            <w:pPr>
              <w:spacing w:before="91"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0.176</w:t>
            </w:r>
          </w:p>
        </w:tc>
        <w:tc>
          <w:tcPr>
            <w:tcW w:w="1840" w:type="dxa"/>
            <w:vAlign w:val="top"/>
          </w:tcPr>
          <w:p w14:paraId="69C8FB57">
            <w:pPr>
              <w:spacing w:before="91"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0.130</w:t>
            </w:r>
          </w:p>
        </w:tc>
        <w:tc>
          <w:tcPr>
            <w:tcW w:w="1843" w:type="dxa"/>
            <w:vAlign w:val="top"/>
          </w:tcPr>
          <w:p w14:paraId="79751ED2">
            <w:pPr>
              <w:spacing w:before="91" w:line="216"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4.401</w:t>
            </w:r>
          </w:p>
        </w:tc>
        <w:tc>
          <w:tcPr>
            <w:tcW w:w="1989" w:type="dxa"/>
            <w:vAlign w:val="top"/>
          </w:tcPr>
          <w:p w14:paraId="20137187">
            <w:pPr>
              <w:spacing w:before="91" w:line="216"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4.163</w:t>
            </w:r>
          </w:p>
        </w:tc>
      </w:tr>
      <w:tr w14:paraId="235451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31E6B3D">
            <w:pPr>
              <w:spacing w:before="89"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w:t>
            </w:r>
          </w:p>
        </w:tc>
        <w:tc>
          <w:tcPr>
            <w:tcW w:w="1842" w:type="dxa"/>
            <w:vAlign w:val="top"/>
          </w:tcPr>
          <w:p w14:paraId="66544395">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0.171</w:t>
            </w:r>
          </w:p>
        </w:tc>
        <w:tc>
          <w:tcPr>
            <w:tcW w:w="1840" w:type="dxa"/>
            <w:vAlign w:val="top"/>
          </w:tcPr>
          <w:p w14:paraId="54051BAB">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0.128</w:t>
            </w:r>
          </w:p>
        </w:tc>
        <w:tc>
          <w:tcPr>
            <w:tcW w:w="1843" w:type="dxa"/>
            <w:vAlign w:val="top"/>
          </w:tcPr>
          <w:p w14:paraId="35991CBE">
            <w:pPr>
              <w:spacing w:before="89" w:line="216"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4.181</w:t>
            </w:r>
          </w:p>
        </w:tc>
        <w:tc>
          <w:tcPr>
            <w:tcW w:w="1989" w:type="dxa"/>
            <w:vAlign w:val="top"/>
          </w:tcPr>
          <w:p w14:paraId="51AF7452">
            <w:pPr>
              <w:spacing w:before="89"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3.965</w:t>
            </w:r>
          </w:p>
        </w:tc>
      </w:tr>
      <w:tr w14:paraId="73A785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B93B77A">
            <w:pPr>
              <w:spacing w:before="89"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36</w:t>
            </w:r>
          </w:p>
        </w:tc>
        <w:tc>
          <w:tcPr>
            <w:tcW w:w="1842" w:type="dxa"/>
            <w:vAlign w:val="top"/>
          </w:tcPr>
          <w:p w14:paraId="0024F394">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0.165</w:t>
            </w:r>
          </w:p>
        </w:tc>
        <w:tc>
          <w:tcPr>
            <w:tcW w:w="1840" w:type="dxa"/>
            <w:vAlign w:val="top"/>
          </w:tcPr>
          <w:p w14:paraId="5E05A149">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0.126</w:t>
            </w:r>
          </w:p>
        </w:tc>
        <w:tc>
          <w:tcPr>
            <w:tcW w:w="1843" w:type="dxa"/>
            <w:vAlign w:val="top"/>
          </w:tcPr>
          <w:p w14:paraId="27E38401">
            <w:pPr>
              <w:spacing w:before="89" w:line="215"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3.976</w:t>
            </w:r>
          </w:p>
        </w:tc>
        <w:tc>
          <w:tcPr>
            <w:tcW w:w="1989" w:type="dxa"/>
            <w:vAlign w:val="top"/>
          </w:tcPr>
          <w:p w14:paraId="6B918869">
            <w:pPr>
              <w:spacing w:before="89" w:line="215"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3.780</w:t>
            </w:r>
          </w:p>
        </w:tc>
      </w:tr>
      <w:tr w14:paraId="4A672A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16C38FA">
            <w:pPr>
              <w:spacing w:before="89"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1842" w:type="dxa"/>
            <w:vAlign w:val="top"/>
          </w:tcPr>
          <w:p w14:paraId="4829E5C8">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0.160</w:t>
            </w:r>
          </w:p>
        </w:tc>
        <w:tc>
          <w:tcPr>
            <w:tcW w:w="1840" w:type="dxa"/>
            <w:vAlign w:val="top"/>
          </w:tcPr>
          <w:p w14:paraId="194E8920">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0.123</w:t>
            </w:r>
          </w:p>
        </w:tc>
        <w:tc>
          <w:tcPr>
            <w:tcW w:w="1843" w:type="dxa"/>
            <w:vAlign w:val="top"/>
          </w:tcPr>
          <w:p w14:paraId="15C2ED2B">
            <w:pPr>
              <w:spacing w:before="89" w:line="216"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3.786</w:t>
            </w:r>
          </w:p>
        </w:tc>
        <w:tc>
          <w:tcPr>
            <w:tcW w:w="1989" w:type="dxa"/>
            <w:vAlign w:val="top"/>
          </w:tcPr>
          <w:p w14:paraId="37CA5672">
            <w:pPr>
              <w:spacing w:before="89"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3.607</w:t>
            </w:r>
          </w:p>
        </w:tc>
      </w:tr>
      <w:tr w14:paraId="68A90C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A702A7F">
            <w:pPr>
              <w:spacing w:before="89"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1842" w:type="dxa"/>
            <w:vAlign w:val="top"/>
          </w:tcPr>
          <w:p w14:paraId="5656ED48">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0.154</w:t>
            </w:r>
          </w:p>
        </w:tc>
        <w:tc>
          <w:tcPr>
            <w:tcW w:w="1840" w:type="dxa"/>
            <w:vAlign w:val="top"/>
          </w:tcPr>
          <w:p w14:paraId="51B2CA20">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0.121</w:t>
            </w:r>
          </w:p>
        </w:tc>
        <w:tc>
          <w:tcPr>
            <w:tcW w:w="1843" w:type="dxa"/>
            <w:vAlign w:val="top"/>
          </w:tcPr>
          <w:p w14:paraId="6FC77303">
            <w:pPr>
              <w:spacing w:before="89" w:line="216"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3.609</w:t>
            </w:r>
          </w:p>
        </w:tc>
        <w:tc>
          <w:tcPr>
            <w:tcW w:w="1989" w:type="dxa"/>
            <w:vAlign w:val="top"/>
          </w:tcPr>
          <w:p w14:paraId="731CAE18">
            <w:pPr>
              <w:spacing w:before="89"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3.446</w:t>
            </w:r>
          </w:p>
        </w:tc>
      </w:tr>
      <w:tr w14:paraId="7673C8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6EC60E7">
            <w:pPr>
              <w:spacing w:before="89"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w:t>
            </w:r>
          </w:p>
        </w:tc>
        <w:tc>
          <w:tcPr>
            <w:tcW w:w="1842" w:type="dxa"/>
            <w:vAlign w:val="top"/>
          </w:tcPr>
          <w:p w14:paraId="30C09A50">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0.149</w:t>
            </w:r>
          </w:p>
        </w:tc>
        <w:tc>
          <w:tcPr>
            <w:tcW w:w="1840" w:type="dxa"/>
            <w:vAlign w:val="top"/>
          </w:tcPr>
          <w:p w14:paraId="741ADA44">
            <w:pPr>
              <w:spacing w:before="89"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0.118</w:t>
            </w:r>
          </w:p>
        </w:tc>
        <w:tc>
          <w:tcPr>
            <w:tcW w:w="1843" w:type="dxa"/>
            <w:vAlign w:val="top"/>
          </w:tcPr>
          <w:p w14:paraId="60B69B4C">
            <w:pPr>
              <w:spacing w:before="89" w:line="216"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3.443</w:t>
            </w:r>
          </w:p>
        </w:tc>
        <w:tc>
          <w:tcPr>
            <w:tcW w:w="1989" w:type="dxa"/>
            <w:vAlign w:val="top"/>
          </w:tcPr>
          <w:p w14:paraId="68A46753">
            <w:pPr>
              <w:spacing w:before="89"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3.294</w:t>
            </w:r>
          </w:p>
        </w:tc>
      </w:tr>
      <w:tr w14:paraId="4D99FF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59C72812">
            <w:pPr>
              <w:spacing w:before="91" w:line="216"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842" w:type="dxa"/>
            <w:vAlign w:val="top"/>
          </w:tcPr>
          <w:p w14:paraId="7DF87CEC">
            <w:pPr>
              <w:spacing w:before="91"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0.144</w:t>
            </w:r>
          </w:p>
        </w:tc>
        <w:tc>
          <w:tcPr>
            <w:tcW w:w="1840" w:type="dxa"/>
            <w:vAlign w:val="top"/>
          </w:tcPr>
          <w:p w14:paraId="205C5508">
            <w:pPr>
              <w:spacing w:before="91"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0.115</w:t>
            </w:r>
          </w:p>
        </w:tc>
        <w:tc>
          <w:tcPr>
            <w:tcW w:w="1843" w:type="dxa"/>
            <w:vAlign w:val="top"/>
          </w:tcPr>
          <w:p w14:paraId="45C62B2A">
            <w:pPr>
              <w:spacing w:before="91" w:line="216"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3.288</w:t>
            </w:r>
          </w:p>
        </w:tc>
        <w:tc>
          <w:tcPr>
            <w:tcW w:w="1989" w:type="dxa"/>
            <w:vAlign w:val="top"/>
          </w:tcPr>
          <w:p w14:paraId="39881FC9">
            <w:pPr>
              <w:spacing w:before="91"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3.152</w:t>
            </w:r>
          </w:p>
        </w:tc>
      </w:tr>
      <w:tr w14:paraId="7880C2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2825F3D">
            <w:pPr>
              <w:spacing w:before="88" w:line="216"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w:t>
            </w:r>
          </w:p>
        </w:tc>
        <w:tc>
          <w:tcPr>
            <w:tcW w:w="1842" w:type="dxa"/>
            <w:vAlign w:val="top"/>
          </w:tcPr>
          <w:p w14:paraId="79C860BB">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0.140</w:t>
            </w:r>
          </w:p>
        </w:tc>
        <w:tc>
          <w:tcPr>
            <w:tcW w:w="1840" w:type="dxa"/>
            <w:vAlign w:val="top"/>
          </w:tcPr>
          <w:p w14:paraId="20737666">
            <w:pPr>
              <w:spacing w:before="88"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0.113</w:t>
            </w:r>
          </w:p>
        </w:tc>
        <w:tc>
          <w:tcPr>
            <w:tcW w:w="1843" w:type="dxa"/>
            <w:vAlign w:val="top"/>
          </w:tcPr>
          <w:p w14:paraId="16DB7AFB">
            <w:pPr>
              <w:spacing w:before="88" w:line="216"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3.144</w:t>
            </w:r>
          </w:p>
        </w:tc>
        <w:tc>
          <w:tcPr>
            <w:tcW w:w="1989" w:type="dxa"/>
            <w:vAlign w:val="top"/>
          </w:tcPr>
          <w:p w14:paraId="0AFD0177">
            <w:pPr>
              <w:spacing w:before="88"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3.019</w:t>
            </w:r>
          </w:p>
        </w:tc>
      </w:tr>
      <w:tr w14:paraId="5036B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791774B">
            <w:pPr>
              <w:spacing w:before="89" w:line="216"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w:t>
            </w:r>
          </w:p>
        </w:tc>
        <w:tc>
          <w:tcPr>
            <w:tcW w:w="1842" w:type="dxa"/>
            <w:vAlign w:val="top"/>
          </w:tcPr>
          <w:p w14:paraId="25FCD9AC">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0.135</w:t>
            </w:r>
          </w:p>
        </w:tc>
        <w:tc>
          <w:tcPr>
            <w:tcW w:w="1840" w:type="dxa"/>
            <w:vAlign w:val="top"/>
          </w:tcPr>
          <w:p w14:paraId="0AE17E9F">
            <w:pPr>
              <w:spacing w:before="89"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0.110</w:t>
            </w:r>
          </w:p>
        </w:tc>
        <w:tc>
          <w:tcPr>
            <w:tcW w:w="1843" w:type="dxa"/>
            <w:vAlign w:val="top"/>
          </w:tcPr>
          <w:p w14:paraId="05738FFA">
            <w:pPr>
              <w:spacing w:before="89" w:line="216"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3.008</w:t>
            </w:r>
          </w:p>
        </w:tc>
        <w:tc>
          <w:tcPr>
            <w:tcW w:w="1989" w:type="dxa"/>
            <w:vAlign w:val="top"/>
          </w:tcPr>
          <w:p w14:paraId="5CACDFFA">
            <w:pPr>
              <w:spacing w:before="89" w:line="216"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2.893</w:t>
            </w:r>
          </w:p>
        </w:tc>
      </w:tr>
      <w:tr w14:paraId="513692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C8AE092">
            <w:pPr>
              <w:spacing w:before="89" w:line="215"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1842" w:type="dxa"/>
            <w:vAlign w:val="top"/>
          </w:tcPr>
          <w:p w14:paraId="6B949CA4">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0.131</w:t>
            </w:r>
          </w:p>
        </w:tc>
        <w:tc>
          <w:tcPr>
            <w:tcW w:w="1840" w:type="dxa"/>
            <w:vAlign w:val="top"/>
          </w:tcPr>
          <w:p w14:paraId="404E2C86">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0.108</w:t>
            </w:r>
          </w:p>
        </w:tc>
        <w:tc>
          <w:tcPr>
            <w:tcW w:w="1843" w:type="dxa"/>
            <w:vAlign w:val="top"/>
          </w:tcPr>
          <w:p w14:paraId="7AE36562">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2.881</w:t>
            </w:r>
          </w:p>
        </w:tc>
        <w:tc>
          <w:tcPr>
            <w:tcW w:w="1989" w:type="dxa"/>
            <w:vAlign w:val="top"/>
          </w:tcPr>
          <w:p w14:paraId="0583BEEB">
            <w:pPr>
              <w:spacing w:before="89" w:line="215"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2.775</w:t>
            </w:r>
          </w:p>
        </w:tc>
      </w:tr>
      <w:tr w14:paraId="1C9AE8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4AAD6AF">
            <w:pPr>
              <w:spacing w:before="89" w:line="215"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w:t>
            </w:r>
          </w:p>
        </w:tc>
        <w:tc>
          <w:tcPr>
            <w:tcW w:w="1842" w:type="dxa"/>
            <w:vAlign w:val="top"/>
          </w:tcPr>
          <w:p w14:paraId="6A21C78E">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0.126</w:t>
            </w:r>
          </w:p>
        </w:tc>
        <w:tc>
          <w:tcPr>
            <w:tcW w:w="1840" w:type="dxa"/>
            <w:vAlign w:val="top"/>
          </w:tcPr>
          <w:p w14:paraId="2A3AC11C">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0.105</w:t>
            </w:r>
          </w:p>
        </w:tc>
        <w:tc>
          <w:tcPr>
            <w:tcW w:w="1843" w:type="dxa"/>
            <w:vAlign w:val="top"/>
          </w:tcPr>
          <w:p w14:paraId="4B69473A">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2.761</w:t>
            </w:r>
          </w:p>
        </w:tc>
        <w:tc>
          <w:tcPr>
            <w:tcW w:w="1989" w:type="dxa"/>
            <w:vAlign w:val="top"/>
          </w:tcPr>
          <w:p w14:paraId="215799E7">
            <w:pPr>
              <w:spacing w:before="89" w:line="215"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2.664</w:t>
            </w:r>
          </w:p>
        </w:tc>
      </w:tr>
      <w:tr w14:paraId="2BF36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D752ECE">
            <w:pPr>
              <w:spacing w:before="90"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c>
          <w:tcPr>
            <w:tcW w:w="1842" w:type="dxa"/>
            <w:vAlign w:val="top"/>
          </w:tcPr>
          <w:p w14:paraId="33EA84D5">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0.122</w:t>
            </w:r>
          </w:p>
        </w:tc>
        <w:tc>
          <w:tcPr>
            <w:tcW w:w="1840" w:type="dxa"/>
            <w:vAlign w:val="top"/>
          </w:tcPr>
          <w:p w14:paraId="27D91050">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0.102</w:t>
            </w:r>
          </w:p>
        </w:tc>
        <w:tc>
          <w:tcPr>
            <w:tcW w:w="1843" w:type="dxa"/>
            <w:vAlign w:val="top"/>
          </w:tcPr>
          <w:p w14:paraId="31FBD75A">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2.649</w:t>
            </w:r>
          </w:p>
        </w:tc>
        <w:tc>
          <w:tcPr>
            <w:tcW w:w="1989" w:type="dxa"/>
            <w:vAlign w:val="top"/>
          </w:tcPr>
          <w:p w14:paraId="6FB40CF6">
            <w:pPr>
              <w:spacing w:before="90" w:line="214"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2.559</w:t>
            </w:r>
          </w:p>
        </w:tc>
      </w:tr>
      <w:tr w14:paraId="02729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6B922EC9">
            <w:pPr>
              <w:spacing w:before="93"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w:t>
            </w:r>
          </w:p>
        </w:tc>
        <w:tc>
          <w:tcPr>
            <w:tcW w:w="1842" w:type="dxa"/>
            <w:vAlign w:val="top"/>
          </w:tcPr>
          <w:p w14:paraId="3D048B82">
            <w:pPr>
              <w:spacing w:before="93" w:line="214"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0.119</w:t>
            </w:r>
          </w:p>
        </w:tc>
        <w:tc>
          <w:tcPr>
            <w:tcW w:w="1840" w:type="dxa"/>
            <w:vAlign w:val="top"/>
          </w:tcPr>
          <w:p w14:paraId="18178B79">
            <w:pPr>
              <w:spacing w:before="93"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0.100</w:t>
            </w:r>
          </w:p>
        </w:tc>
        <w:tc>
          <w:tcPr>
            <w:tcW w:w="1843" w:type="dxa"/>
            <w:vAlign w:val="top"/>
          </w:tcPr>
          <w:p w14:paraId="5D3B7086">
            <w:pPr>
              <w:spacing w:before="93"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2.543</w:t>
            </w:r>
          </w:p>
        </w:tc>
        <w:tc>
          <w:tcPr>
            <w:tcW w:w="1989" w:type="dxa"/>
            <w:vAlign w:val="top"/>
          </w:tcPr>
          <w:p w14:paraId="425AD068">
            <w:pPr>
              <w:spacing w:before="93" w:line="214"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2.460</w:t>
            </w:r>
          </w:p>
        </w:tc>
      </w:tr>
      <w:tr w14:paraId="62FC0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5939724">
            <w:pPr>
              <w:spacing w:before="90"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w:t>
            </w:r>
          </w:p>
        </w:tc>
        <w:tc>
          <w:tcPr>
            <w:tcW w:w="1842" w:type="dxa"/>
            <w:vAlign w:val="top"/>
          </w:tcPr>
          <w:p w14:paraId="473392AF">
            <w:pPr>
              <w:spacing w:before="90" w:line="214"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0.115</w:t>
            </w:r>
          </w:p>
        </w:tc>
        <w:tc>
          <w:tcPr>
            <w:tcW w:w="1840" w:type="dxa"/>
            <w:vAlign w:val="top"/>
          </w:tcPr>
          <w:p w14:paraId="220ED0C3">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0.097</w:t>
            </w:r>
          </w:p>
        </w:tc>
        <w:tc>
          <w:tcPr>
            <w:tcW w:w="1843" w:type="dxa"/>
            <w:vAlign w:val="top"/>
          </w:tcPr>
          <w:p w14:paraId="0EDDDAFE">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2.443</w:t>
            </w:r>
          </w:p>
        </w:tc>
        <w:tc>
          <w:tcPr>
            <w:tcW w:w="1989" w:type="dxa"/>
            <w:vAlign w:val="top"/>
          </w:tcPr>
          <w:p w14:paraId="5F9C2508">
            <w:pPr>
              <w:spacing w:before="90" w:line="214"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2.366</w:t>
            </w:r>
          </w:p>
        </w:tc>
      </w:tr>
      <w:tr w14:paraId="7407B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A8ACD22">
            <w:pPr>
              <w:spacing w:before="91"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w:t>
            </w:r>
          </w:p>
        </w:tc>
        <w:tc>
          <w:tcPr>
            <w:tcW w:w="1842" w:type="dxa"/>
            <w:vAlign w:val="top"/>
          </w:tcPr>
          <w:p w14:paraId="5EDC4816">
            <w:pPr>
              <w:spacing w:before="91" w:line="214"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0.111</w:t>
            </w:r>
          </w:p>
        </w:tc>
        <w:tc>
          <w:tcPr>
            <w:tcW w:w="1840" w:type="dxa"/>
            <w:vAlign w:val="top"/>
          </w:tcPr>
          <w:p w14:paraId="3C81D22B">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0.095</w:t>
            </w:r>
          </w:p>
        </w:tc>
        <w:tc>
          <w:tcPr>
            <w:tcW w:w="1843" w:type="dxa"/>
            <w:vAlign w:val="top"/>
          </w:tcPr>
          <w:p w14:paraId="42996999">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2.349</w:t>
            </w:r>
          </w:p>
        </w:tc>
        <w:tc>
          <w:tcPr>
            <w:tcW w:w="1989" w:type="dxa"/>
            <w:vAlign w:val="top"/>
          </w:tcPr>
          <w:p w14:paraId="74A2F146">
            <w:pPr>
              <w:spacing w:before="91" w:line="214"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2.278</w:t>
            </w:r>
          </w:p>
        </w:tc>
      </w:tr>
      <w:tr w14:paraId="0E0E4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5956D73">
            <w:pPr>
              <w:spacing w:before="91"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w:t>
            </w:r>
          </w:p>
        </w:tc>
        <w:tc>
          <w:tcPr>
            <w:tcW w:w="1842" w:type="dxa"/>
            <w:vAlign w:val="top"/>
          </w:tcPr>
          <w:p w14:paraId="7C6A50F8">
            <w:pPr>
              <w:spacing w:before="91"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0.108</w:t>
            </w:r>
          </w:p>
        </w:tc>
        <w:tc>
          <w:tcPr>
            <w:tcW w:w="1840" w:type="dxa"/>
            <w:vAlign w:val="top"/>
          </w:tcPr>
          <w:p w14:paraId="118A1615">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0.092</w:t>
            </w:r>
          </w:p>
        </w:tc>
        <w:tc>
          <w:tcPr>
            <w:tcW w:w="1843" w:type="dxa"/>
            <w:vAlign w:val="top"/>
          </w:tcPr>
          <w:p w14:paraId="1BAD9312">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2.260</w:t>
            </w:r>
          </w:p>
        </w:tc>
        <w:tc>
          <w:tcPr>
            <w:tcW w:w="1989" w:type="dxa"/>
            <w:vAlign w:val="top"/>
          </w:tcPr>
          <w:p w14:paraId="59722E11">
            <w:pPr>
              <w:spacing w:before="91" w:line="214"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2.194</w:t>
            </w:r>
          </w:p>
        </w:tc>
      </w:tr>
      <w:tr w14:paraId="6B91E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Align w:val="top"/>
          </w:tcPr>
          <w:p w14:paraId="225D9481">
            <w:pPr>
              <w:spacing w:before="91" w:line="218" w:lineRule="auto"/>
              <w:ind w:left="68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1842" w:type="dxa"/>
            <w:vAlign w:val="top"/>
          </w:tcPr>
          <w:p w14:paraId="47EE233B">
            <w:pPr>
              <w:spacing w:before="91"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0.104</w:t>
            </w:r>
          </w:p>
        </w:tc>
        <w:tc>
          <w:tcPr>
            <w:tcW w:w="1840" w:type="dxa"/>
            <w:vAlign w:val="top"/>
          </w:tcPr>
          <w:p w14:paraId="62B46AC4">
            <w:pPr>
              <w:spacing w:before="91"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0.090</w:t>
            </w:r>
          </w:p>
        </w:tc>
        <w:tc>
          <w:tcPr>
            <w:tcW w:w="1843" w:type="dxa"/>
            <w:vAlign w:val="top"/>
          </w:tcPr>
          <w:p w14:paraId="1CC4D412">
            <w:pPr>
              <w:spacing w:before="91"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2.176</w:t>
            </w:r>
          </w:p>
        </w:tc>
        <w:tc>
          <w:tcPr>
            <w:tcW w:w="1989" w:type="dxa"/>
            <w:vAlign w:val="top"/>
          </w:tcPr>
          <w:p w14:paraId="55A0E317">
            <w:pPr>
              <w:spacing w:before="91" w:line="218" w:lineRule="auto"/>
              <w:ind w:left="76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2.114</w:t>
            </w:r>
          </w:p>
        </w:tc>
      </w:tr>
    </w:tbl>
    <w:p w14:paraId="56C9ED00">
      <w:pPr>
        <w:rPr>
          <w:rFonts w:ascii="Arial"/>
          <w:sz w:val="21"/>
        </w:rPr>
      </w:pPr>
    </w:p>
    <w:p w14:paraId="31DC5B59">
      <w:pPr>
        <w:rPr>
          <w:rFonts w:ascii="Arial" w:hAnsi="Arial" w:eastAsia="Arial" w:cs="Arial"/>
          <w:sz w:val="21"/>
          <w:szCs w:val="21"/>
        </w:rPr>
        <w:sectPr>
          <w:footerReference r:id="rId109" w:type="default"/>
          <w:pgSz w:w="11907" w:h="16841"/>
          <w:pgMar w:top="400" w:right="1411" w:bottom="1126" w:left="1416" w:header="0" w:footer="925" w:gutter="0"/>
          <w:cols w:space="720" w:num="1"/>
        </w:sectPr>
      </w:pPr>
    </w:p>
    <w:p w14:paraId="12D08BC6">
      <w:pPr>
        <w:spacing w:line="244" w:lineRule="auto"/>
        <w:rPr>
          <w:rFonts w:ascii="Arial"/>
          <w:sz w:val="21"/>
        </w:rPr>
      </w:pPr>
    </w:p>
    <w:p w14:paraId="237B4E11">
      <w:pPr>
        <w:spacing w:line="245" w:lineRule="auto"/>
        <w:rPr>
          <w:rFonts w:ascii="Arial"/>
          <w:sz w:val="21"/>
        </w:rPr>
      </w:pPr>
    </w:p>
    <w:p w14:paraId="5F05ED82">
      <w:pPr>
        <w:spacing w:line="245" w:lineRule="auto"/>
        <w:rPr>
          <w:rFonts w:ascii="Arial"/>
          <w:sz w:val="21"/>
        </w:rPr>
      </w:pPr>
    </w:p>
    <w:p w14:paraId="122F9392">
      <w:pPr>
        <w:spacing w:line="245" w:lineRule="auto"/>
        <w:rPr>
          <w:rFonts w:ascii="Arial"/>
          <w:sz w:val="21"/>
        </w:rPr>
      </w:pPr>
    </w:p>
    <w:p w14:paraId="3DC02411">
      <w:pPr>
        <w:spacing w:line="245" w:lineRule="auto"/>
        <w:rPr>
          <w:rFonts w:ascii="Arial"/>
          <w:sz w:val="21"/>
        </w:rPr>
      </w:pPr>
    </w:p>
    <w:p w14:paraId="4BD216C8">
      <w:pPr>
        <w:spacing w:line="4311" w:lineRule="exact"/>
        <w:ind w:firstLine="824"/>
      </w:pPr>
      <w:r>
        <mc:AlternateContent>
          <mc:Choice Requires="wps">
            <w:drawing>
              <wp:anchor distT="0" distB="0" distL="0" distR="0" simplePos="0" relativeHeight="251675648" behindDoc="0" locked="0" layoutInCell="1" allowOverlap="1">
                <wp:simplePos x="0" y="0"/>
                <wp:positionH relativeFrom="column">
                  <wp:posOffset>254635</wp:posOffset>
                </wp:positionH>
                <wp:positionV relativeFrom="paragraph">
                  <wp:posOffset>1191895</wp:posOffset>
                </wp:positionV>
                <wp:extent cx="1038860" cy="208280"/>
                <wp:effectExtent l="0" t="0" r="0" b="0"/>
                <wp:wrapNone/>
                <wp:docPr id="86" name="TextBox 86"/>
                <wp:cNvGraphicFramePr/>
                <a:graphic xmlns:a="http://schemas.openxmlformats.org/drawingml/2006/main">
                  <a:graphicData uri="http://schemas.microsoft.com/office/word/2010/wordprocessingShape">
                    <wps:wsp>
                      <wps:cNvSpPr txBox="1"/>
                      <wps:spPr>
                        <a:xfrm rot="16200000">
                          <a:off x="255186" y="1192438"/>
                          <a:ext cx="1038860" cy="20827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D057B20">
                            <w:pPr>
                              <w:spacing w:before="56" w:line="251" w:lineRule="exact"/>
                              <w:ind w:left="20"/>
                              <w:rPr>
                                <w:rFonts w:ascii="宋体" w:hAnsi="宋体" w:eastAsia="宋体" w:cs="宋体"/>
                                <w:sz w:val="19"/>
                                <w:szCs w:val="19"/>
                              </w:rPr>
                            </w:pPr>
                            <w:r>
                              <w:rPr>
                                <w:rFonts w:ascii="宋体" w:hAnsi="宋体" w:eastAsia="宋体" w:cs="宋体"/>
                                <w:color w:val="595959"/>
                                <w:spacing w:val="4"/>
                                <w:position w:val="1"/>
                                <w:sz w:val="19"/>
                                <w:szCs w:val="19"/>
                              </w:rPr>
                              <w:t>电场强度（</w:t>
                            </w:r>
                            <w:r>
                              <w:rPr>
                                <w:rFonts w:ascii="Times New Roman" w:hAnsi="Times New Roman" w:eastAsia="Times New Roman" w:cs="Times New Roman"/>
                                <w:color w:val="595959"/>
                                <w:position w:val="1"/>
                                <w:sz w:val="19"/>
                                <w:szCs w:val="19"/>
                              </w:rPr>
                              <w:t>kV</w:t>
                            </w:r>
                            <w:r>
                              <w:rPr>
                                <w:rFonts w:ascii="Times New Roman" w:hAnsi="Times New Roman" w:eastAsia="Times New Roman" w:cs="Times New Roman"/>
                                <w:color w:val="595959"/>
                                <w:spacing w:val="4"/>
                                <w:position w:val="1"/>
                                <w:sz w:val="19"/>
                                <w:szCs w:val="19"/>
                              </w:rPr>
                              <w:t>/m</w:t>
                            </w:r>
                            <w:r>
                              <w:rPr>
                                <w:rFonts w:ascii="宋体" w:hAnsi="宋体" w:eastAsia="宋体" w:cs="宋体"/>
                                <w:color w:val="595959"/>
                                <w:spacing w:val="4"/>
                                <w:position w:val="1"/>
                                <w:sz w:val="19"/>
                                <w:szCs w:val="19"/>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86" o:spid="_x0000_s1026" o:spt="202" type="#_x0000_t202" style="position:absolute;left:0pt;margin-left:20.05pt;margin-top:93.85pt;height:16.4pt;width:81.8pt;rotation:-5898240f;z-index:251675648;mso-width-relative:page;mso-height-relative:page;" filled="f" stroked="f" coordsize="21600,21600" o:gfxdata="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">
                <v:fill on="f" focussize="0,0"/>
                <v:stroke on="f" weight="0pt" miterlimit="0" joinstyle="miter"/>
                <v:imagedata o:title=""/>
                <o:lock v:ext="edit" aspectratio="f"/>
                <v:textbox inset="0mm,0mm,0mm,0mm">
                  <w:txbxContent>
                    <w:p w14:paraId="7D057B20">
                      <w:pPr>
                        <w:spacing w:before="56" w:line="251" w:lineRule="exact"/>
                        <w:ind w:left="20"/>
                        <w:rPr>
                          <w:rFonts w:ascii="宋体" w:hAnsi="宋体" w:eastAsia="宋体" w:cs="宋体"/>
                          <w:sz w:val="19"/>
                          <w:szCs w:val="19"/>
                        </w:rPr>
                      </w:pPr>
                      <w:r>
                        <w:rPr>
                          <w:rFonts w:ascii="宋体" w:hAnsi="宋体" w:eastAsia="宋体" w:cs="宋体"/>
                          <w:color w:val="595959"/>
                          <w:spacing w:val="4"/>
                          <w:position w:val="1"/>
                          <w:sz w:val="19"/>
                          <w:szCs w:val="19"/>
                        </w:rPr>
                        <w:t>电场强度（</w:t>
                      </w:r>
                      <w:r>
                        <w:rPr>
                          <w:rFonts w:ascii="Times New Roman" w:hAnsi="Times New Roman" w:eastAsia="Times New Roman" w:cs="Times New Roman"/>
                          <w:color w:val="595959"/>
                          <w:position w:val="1"/>
                          <w:sz w:val="19"/>
                          <w:szCs w:val="19"/>
                        </w:rPr>
                        <w:t>kV</w:t>
                      </w:r>
                      <w:r>
                        <w:rPr>
                          <w:rFonts w:ascii="Times New Roman" w:hAnsi="Times New Roman" w:eastAsia="Times New Roman" w:cs="Times New Roman"/>
                          <w:color w:val="595959"/>
                          <w:spacing w:val="4"/>
                          <w:position w:val="1"/>
                          <w:sz w:val="19"/>
                          <w:szCs w:val="19"/>
                        </w:rPr>
                        <w:t>/m</w:t>
                      </w:r>
                      <w:r>
                        <w:rPr>
                          <w:rFonts w:ascii="宋体" w:hAnsi="宋体" w:eastAsia="宋体" w:cs="宋体"/>
                          <w:color w:val="595959"/>
                          <w:spacing w:val="4"/>
                          <w:position w:val="1"/>
                          <w:sz w:val="19"/>
                          <w:szCs w:val="19"/>
                        </w:rPr>
                        <w:t>）</w:t>
                      </w:r>
                    </w:p>
                  </w:txbxContent>
                </v:textbox>
              </v:shape>
            </w:pict>
          </mc:Fallback>
        </mc:AlternateContent>
      </w:r>
      <w:r>
        <w:rPr>
          <w:position w:val="-86"/>
        </w:rPr>
        <w:pict>
          <v:group id="_x0000_s1196" o:spid="_x0000_s1196" o:spt="203" style="height:215.55pt;width:370.5pt;" coordsize="7410,4311">
            <o:lock v:ext="edit"/>
            <v:group id="_x0000_s1197" o:spid="_x0000_s1197" o:spt="203" style="position:absolute;left:0;top:0;height:4311;width:7410;" coordsize="7410,4311">
              <o:lock v:ext="edit"/>
              <v:shape id="_x0000_s1198" o:spid="_x0000_s1198" style="position:absolute;left:1000;top:726;height:2638;width:6127;" filled="f" stroked="t" coordsize="6127,2638" path="m0,2630l6126,2630m0,2563l6126,2563m0,2493l6126,2493m0,2424l6126,2424m0,2287l6126,2287m0,2217l6126,2217m0,2148l6126,2148m0,2078l6126,2078m0,1941l6126,1941m0,1872l6126,1872m0,1802l6126,1802m0,1733l6126,1733m0,1596l6126,1596m0,1526l6126,1526m0,1457l6126,1457m0,1387l6126,1387m0,1250l6126,1250m0,1181l6126,1181m0,1111l6126,1111m0,1044l6126,1044m0,905l6126,905m0,835l6126,835m0,768l6126,768m0,698l6126,698m0,559l6126,559m0,489l6126,489m0,422l6126,422m0,353l6126,353m0,213l6126,213m0,146l6126,146m0,77l6126,77m0,7l6126,7e">
                <v:fill on="f" focussize="0,0"/>
                <v:stroke color="#F2F2F2" miterlimit="10"/>
                <v:imagedata o:title=""/>
                <o:lock v:ext="edit"/>
              </v:shape>
              <v:shape id="_x0000_s1199" o:spid="_x0000_s1199" style="position:absolute;left:1000;top:657;height:2431;width:6127;" filled="f" stroked="t" coordsize="6127,2431" path="m0,2423l6126,2423m0,2078l6126,2078m0,1735l6126,1735m0,1389l6126,1389m0,1043l6126,1043m0,698l6126,698m0,352l6126,352m0,7l6126,7e">
                <v:fill on="f" focussize="0,0"/>
                <v:stroke color="#D9D9D9" miterlimit="10"/>
                <v:imagedata o:title=""/>
                <o:lock v:ext="edit"/>
              </v:shape>
              <v:shape id="_x0000_s1200" o:spid="_x0000_s1200" style="position:absolute;left:1145;top:664;height:2762;width:5777;" filled="f" stroked="t" coordsize="5777,2762" path="m7,0l7,2762m309,0l309,2762m614,0l614,2762m917,0l917,2762m1219,0l1219,2762m1524,0l1524,2762m1826,0l1826,2762m2129,0l2129,2762m2433,0l2433,2762m2736,0l2736,2762m3041,0l3041,2762m3343,0l3343,2762m3645,0l3645,2762m3950,0l3950,2762m4253,0l4253,2762m4555,0l4555,2762m4860,0l4860,2762m5162,0l5162,2762m5467,0l5467,2762m5769,0l5769,2762e">
                <v:fill on="f" focussize="0,0"/>
                <v:stroke color="#F2F2F2" miterlimit="10"/>
                <v:imagedata o:title=""/>
                <o:lock v:ext="edit"/>
              </v:shape>
              <v:shape id="_x0000_s1201" o:spid="_x0000_s1201" style="position:absolute;left:993;top:664;height:2762;width:6080;" filled="f" stroked="t" coordsize="6080,2762" path="m7,0l7,2762m310,0l310,2762m613,0l613,2762m917,0l917,2762m1220,0l1220,2762m1525,0l1525,2762m1827,0l1827,2762m2129,0l2129,2762m2434,0l2434,2762m2737,0l2737,2762m3039,0l3039,2762m3344,0l3344,2762m3646,0l3646,2762m3951,0l3951,2762m4253,0l4253,2762m4556,0l4556,2762m4861,0l4861,2762m5163,0l5163,2762m5465,0l5465,2762m5770,0l5770,2762m6073,0l6073,2762e">
                <v:fill on="f" focussize="0,0"/>
                <v:stroke color="#D9D9D9" miterlimit="10"/>
                <v:imagedata o:title=""/>
                <o:lock v:ext="edit"/>
              </v:shape>
              <v:shape id="_x0000_s1202" o:spid="_x0000_s1202" style="position:absolute;left:993;top:3373;height:108;width:6135;" filled="f" stroked="t" coordsize="6135,108" path="m7,53l6134,53m7,0l7,107m310,0l310,107m613,0l613,107m917,0l917,107m1220,0l1220,107m1525,0l1525,107m1827,0l1827,107m2129,0l2129,107m2434,0l2434,107m2737,0l2737,107m3039,0l3039,107m3344,0l3344,107m3646,0l3646,107m3951,0l3951,107m4253,0l4253,107m4556,0l4556,107m4861,0l4861,107m5163,0l5163,107m5465,0l5465,107m5770,0l5770,107m6073,0l6073,107e">
                <v:fill on="f" focussize="0,0"/>
                <v:stroke color="#000000" miterlimit="10"/>
                <v:imagedata o:title=""/>
                <o:lock v:ext="edit"/>
              </v:shape>
              <v:shape id="_x0000_s1203" o:spid="_x0000_s1203" style="position:absolute;left:1016;top:1039;height:2375;width:6095;" filled="f" stroked="t" coordsize="6095,2375" path="m15,2355c35,2355,55,2354,75,2354c95,2353,116,2353,136,2353c156,2352,176,2352,196,2352c217,2351,237,2351,257,2351c277,2350,297,2350,318,2350c338,2349,358,2349,378,2349c399,2348,419,2348,439,2348c459,2347,480,2347,500,2346c520,2346,540,2346,560,2345c580,2345,601,2344,621,2344c641,2343,661,2343,682,2343c702,2342,722,2342,742,2341c762,2341,783,2340,803,2340c823,2340,843,2339,864,2339c884,2338,904,2338,924,2337c945,2337,965,2337,985,2336c1005,2336,1026,2335,1046,2335c1066,2335,1086,2334,1106,2333c1126,2333,1147,2333,1167,2332c1187,2332,1207,2332,1228,2331c1248,2331,1268,2331,1288,2330c1308,2330,1329,2330,1349,2330c1369,2329,1389,2329,1410,2329c1430,2329,1450,2329,1470,2329c1490,2329,1511,2329,1531,2329c1551,2329,1571,2330,1591,2330c1612,2330,1632,2331,1652,2331c1672,2332,1693,2333,1713,2334c1733,2335,1753,2336,1773,2337c1794,2338,1814,2340,1834,2341c1855,2343,1875,2345,1895,2347c1915,2349,1935,2352,1955,2354c1976,2356,1996,2359,2016,2359c2036,2359,2057,2359,2077,2356c2097,2353,2117,2348,2137,2341c2158,2334,2178,2325,2198,2315c2218,2304,2238,2292,2259,2277c2279,2263,2299,2247,2319,2228c2340,2210,2360,2189,2380,2165c2400,2140,2420,2114,2441,2083c2461,2052,2481,2018,2501,1978c2522,1938,2542,1895,2562,1845c2582,1795,2602,1740,2623,1677c2643,1615,2663,1545,2683,1469c2704,1392,2724,1307,2744,1217c2764,1126,2785,1026,2805,925c2825,824,2845,713,2865,611c2886,509,2906,399,2926,313c2946,226,2967,142,2987,93c3005,47,3029,12,3047,15c3067,16,3089,54,3108,105c3128,158,3148,246,3169,335c3189,424,3209,536,3229,639c3249,742,3270,855,3290,955c3310,1056,3330,1156,3351,1245c3371,1334,3391,1416,3411,1490c3431,1564,3452,1630,3472,1689c3492,1748,3512,1799,3533,1846c3553,1892,3573,1931,3593,1966c3613,2001,3634,2031,3654,2058c3674,2084,3694,2107,3715,2127c3735,2147,3755,2163,3775,2177c3795,2192,3816,2204,3836,2215c3856,2225,3876,2233,3897,2241c3917,2248,3937,2254,3957,2260c3977,2265,3998,2269,4018,2272c4038,2276,4058,2279,4078,2281c4099,2283,4119,2285,4139,2287c4159,2288,4180,2290,4200,2291c4220,2292,4240,2293,4260,2295c4281,2295,4301,2296,4321,2297c4341,2298,4362,2299,4382,2300c4402,2300,4422,2301,4442,2302c4463,2303,4483,2303,4503,2304c4523,2305,4543,2306,4564,2306c4584,2307,4604,2308,4625,2309c4645,2309,4665,2310,4685,2311c4705,2312,4725,2312,4746,2313c4766,2314,4786,2315,4807,2315c4827,2316,4847,2317,4867,2318c4887,2318,4907,2319,4928,2320c4948,2320,4968,2321,4988,2322c5009,2323,5029,2323,5049,2324c5069,2325,5089,2326,5110,2326c5130,2327,5150,2327,5170,2328c5191,2329,5211,2329,5231,2330c5251,2331,5271,2331,5292,2332c5312,2332,5332,2333,5352,2334c5372,2335,5393,2335,5413,2335c5433,2336,5453,2337,5474,2337c5494,2338,5514,2338,5534,2339c5555,2339,5575,2340,5595,2340c5615,2341,5635,2341,5656,2342c5676,2342,5696,2343,5716,2343c5737,2344,5757,2345,5777,2345c5797,2345,5817,2345,5838,2346c5858,2346,5878,2347,5898,2347c5918,2348,5939,2348,5959,2349c5979,2349,5999,2349,6020,2350c6040,2350,6060,2351,6080,2351e">
                <v:fill on="f" focussize="0,0"/>
                <v:stroke weight="1.5pt" color="#FF0000" miterlimit="10" endcap="round"/>
                <v:imagedata o:title=""/>
                <o:lock v:ext="edit"/>
              </v:shape>
              <v:shape id="_x0000_s1204" o:spid="_x0000_s1204" style="position:absolute;left:1016;top:2102;height:1326;width:6095;" filled="f" stroked="t" coordsize="6095,1326" path="m15,1297c35,1297,55,1297,75,1296c95,1296,116,1296,136,1296c156,1296,176,1296,196,1295c217,1295,237,1295,257,1295c277,1294,297,1294,318,1294c338,1294,358,1294,378,1293c399,1293,419,1293,439,1293c459,1292,480,1292,500,1292c520,1292,540,1292,560,1292c580,1291,601,1291,621,1291c641,1291,661,1291,682,1291c702,1290,722,1290,742,1290c762,1290,783,1290,803,1290c823,1290,843,1290,864,1290c884,1289,904,1289,924,1289c945,1289,965,1289,985,1289c1005,1289,1026,1289,1046,1289c1066,1289,1086,1289,1106,1290c1126,1290,1147,1290,1167,1290c1187,1290,1207,1291,1228,1291c1248,1291,1268,1292,1288,1292c1308,1292,1329,1293,1349,1293c1369,1294,1389,1295,1410,1295c1430,1296,1450,1297,1470,1298c1490,1299,1511,1300,1531,1301c1551,1302,1571,1303,1591,1304c1612,1305,1632,1307,1652,1307c1672,1308,1693,1310,1713,1310c1733,1310,1753,1309,1773,1307c1794,1306,1814,1304,1834,1301c1855,1298,1875,1294,1895,1289c1915,1285,1935,1280,1955,1274c1976,1268,1996,1262,2016,1255c2036,1248,2057,1240,2077,1231c2097,1222,2117,1213,2137,1203c2158,1192,2178,1181,2198,1168c2218,1155,2238,1142,2259,1126c2279,1111,2299,1094,2319,1076c2340,1058,2360,1038,2380,1017c2400,995,2420,972,2441,947c2461,921,2481,894,2501,865c2522,835,2542,804,2562,771c2582,737,2602,701,2623,664c2643,627,2663,587,2683,547c2704,508,2724,466,2744,425c2764,383,2785,341,2805,301c2825,262,2845,222,2865,187c2886,153,2906,120,2926,94c2946,68,2967,47,2987,34c3007,20,3027,14,3047,15c3067,16,3088,25,3108,40c3128,56,3148,79,3169,107c3189,134,3209,169,3229,205c3249,240,3270,281,3290,322c3310,362,3330,405,3351,447c3371,488,3391,530,3411,570c3431,610,3452,648,3472,685c3492,721,3512,756,3533,788c3553,821,3573,851,3593,879c3613,907,3634,933,3654,957c3674,981,3694,1003,3715,1023c3735,1043,3755,1061,3775,1078c3795,1094,3816,1109,3836,1123c3856,1136,3876,1149,3897,1160c3917,1171,3937,1181,3957,1190c3977,1199,3998,1207,4018,1214c4038,1221,4058,1227,4078,1233c4099,1238,4119,1243,4139,1247c4159,1251,4180,1254,4200,1257c4220,1260,4240,1263,4260,1265c4281,1267,4301,1268,4321,1269c4341,1271,4362,1272,4382,1273c4402,1273,4422,1274,4442,1274c4463,1275,4483,1275,4503,1275c4523,1276,4543,1276,4564,1276c4584,1276,4604,1276,4625,1276c4645,1276,4665,1276,4685,1276c4705,1277,4725,1277,4746,1277c4766,1277,4786,1277,4807,1277c4827,1277,4847,1277,4867,1277c4887,1278,4907,1278,4928,1278c4948,1278,4968,1278,4988,1278c5009,1279,5029,1279,5049,1279c5069,1279,5089,1280,5110,1280c5130,1280,5150,1280,5170,1281c5191,1281,5211,1281,5231,1281c5251,1282,5271,1282,5292,1282c5312,1283,5332,1283,5352,1283c5372,1283,5393,1284,5413,1284c5433,1284,5453,1285,5474,1285c5494,1285,5514,1285,5534,1286c5555,1286,5575,1286,5595,1287c5615,1287,5635,1287,5656,1287c5676,1288,5696,1288,5716,1288c5737,1289,5757,1289,5777,1290c5797,1290,5817,1290,5838,1290c5858,1291,5878,1291,5898,1291c5918,1292,5939,1292,5959,1292c5979,1292,5999,1293,6020,1293c6040,1293,6060,1293,6080,1294e">
                <v:fill on="f" focussize="0,0"/>
                <v:stroke weight="1.5pt" color="#00B050" miterlimit="10" endcap="round"/>
                <v:imagedata o:title=""/>
                <o:lock v:ext="edit"/>
              </v:shape>
              <v:shape id="_x0000_s1205" o:spid="_x0000_s1205" style="position:absolute;left:2851;top:271;height:30;width:414;" filled="f" stroked="t" coordsize="414,30" path="m15,15l398,15e">
                <v:fill on="f" focussize="0,0"/>
                <v:stroke weight="1.5pt" color="#FF0000" miterlimit="10" endcap="round"/>
                <v:imagedata o:title=""/>
                <o:lock v:ext="edit"/>
              </v:shape>
              <v:shape id="_x0000_s1206" o:spid="_x0000_s1206" style="position:absolute;left:3808;top:271;height:30;width:414;" filled="f" stroked="t" coordsize="414,30" path="m15,15l398,15e">
                <v:fill on="f" focussize="0,0"/>
                <v:stroke weight="1.5pt" color="#00B050" miterlimit="10" endcap="round"/>
                <v:imagedata o:title=""/>
                <o:lock v:ext="edit"/>
              </v:shape>
              <v:shape id="_x0000_s1207" o:spid="_x0000_s1207" style="position:absolute;left:0;top:0;height:4311;width:7410;" filled="f" stroked="t" coordsize="7410,4311" path="m7,4303l7401,4303,7401,7,7,7,7,4303xe">
                <v:fill on="f" focussize="0,0"/>
                <v:stroke color="#000000" miterlimit="10"/>
                <v:imagedata o:title=""/>
                <o:lock v:ext="edit"/>
              </v:shape>
            </v:group>
            <v:shape id="_x0000_s1208" o:spid="_x0000_s1208" o:spt="202" type="#_x0000_t202" style="position:absolute;left:899;top:197;height:3861;width:6312;" filled="f" stroked="f" coordsize="21600,21600">
              <v:path/>
              <v:fill on="f" focussize="0,0"/>
              <v:stroke on="f"/>
              <v:imagedata o:title=""/>
              <o:lock v:ext="edit" aspectratio="f"/>
              <v:textbox inset="0mm,0mm,0mm,0mm">
                <w:txbxContent>
                  <w:p w14:paraId="2B063193">
                    <w:pPr>
                      <w:spacing w:before="20" w:line="232" w:lineRule="auto"/>
                      <w:ind w:left="240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6.5m</w:t>
                    </w:r>
                    <w:r>
                      <w:rPr>
                        <w:rFonts w:ascii="Times New Roman" w:hAnsi="Times New Roman" w:eastAsia="Times New Roman" w:cs="Times New Roman"/>
                        <w:color w:val="595959"/>
                        <w:spacing w:val="1"/>
                        <w:sz w:val="18"/>
                        <w:szCs w:val="18"/>
                      </w:rPr>
                      <w:t xml:space="preserve">             </w:t>
                    </w:r>
                    <w:r>
                      <w:rPr>
                        <w:rFonts w:ascii="Times New Roman" w:hAnsi="Times New Roman" w:eastAsia="Times New Roman" w:cs="Times New Roman"/>
                        <w:color w:val="595959"/>
                        <w:spacing w:val="-2"/>
                        <w:sz w:val="18"/>
                        <w:szCs w:val="18"/>
                      </w:rPr>
                      <w:t>9.5m</w:t>
                    </w:r>
                  </w:p>
                  <w:p w14:paraId="5D26E1C0">
                    <w:pPr>
                      <w:spacing w:line="256" w:lineRule="auto"/>
                      <w:rPr>
                        <w:rFonts w:ascii="Arial"/>
                        <w:sz w:val="21"/>
                      </w:rPr>
                    </w:pPr>
                  </w:p>
                  <w:p w14:paraId="070454B0">
                    <w:pPr>
                      <w:spacing w:line="256" w:lineRule="auto"/>
                      <w:rPr>
                        <w:rFonts w:ascii="Arial"/>
                        <w:sz w:val="21"/>
                      </w:rPr>
                    </w:pPr>
                  </w:p>
                  <w:p w14:paraId="38790282">
                    <w:pPr>
                      <w:spacing w:line="257" w:lineRule="auto"/>
                      <w:rPr>
                        <w:rFonts w:ascii="Arial"/>
                        <w:sz w:val="21"/>
                      </w:rPr>
                    </w:pPr>
                  </w:p>
                  <w:p w14:paraId="79FC00FA">
                    <w:pPr>
                      <w:spacing w:line="257" w:lineRule="auto"/>
                      <w:rPr>
                        <w:rFonts w:ascii="Arial"/>
                        <w:sz w:val="21"/>
                      </w:rPr>
                    </w:pPr>
                  </w:p>
                  <w:p w14:paraId="3FF4C0A7">
                    <w:pPr>
                      <w:spacing w:line="257" w:lineRule="auto"/>
                      <w:rPr>
                        <w:rFonts w:ascii="Arial"/>
                        <w:sz w:val="21"/>
                      </w:rPr>
                    </w:pPr>
                  </w:p>
                  <w:p w14:paraId="379FA6C4">
                    <w:pPr>
                      <w:spacing w:line="257" w:lineRule="auto"/>
                      <w:rPr>
                        <w:rFonts w:ascii="Arial"/>
                        <w:sz w:val="21"/>
                      </w:rPr>
                    </w:pPr>
                  </w:p>
                  <w:p w14:paraId="0375587D">
                    <w:pPr>
                      <w:spacing w:line="257" w:lineRule="auto"/>
                      <w:rPr>
                        <w:rFonts w:ascii="Arial"/>
                        <w:sz w:val="21"/>
                      </w:rPr>
                    </w:pPr>
                  </w:p>
                  <w:p w14:paraId="341446FE">
                    <w:pPr>
                      <w:spacing w:line="257" w:lineRule="auto"/>
                      <w:rPr>
                        <w:rFonts w:ascii="Arial"/>
                        <w:sz w:val="21"/>
                      </w:rPr>
                    </w:pPr>
                  </w:p>
                  <w:p w14:paraId="08CA1515">
                    <w:pPr>
                      <w:spacing w:line="257" w:lineRule="auto"/>
                      <w:rPr>
                        <w:rFonts w:ascii="Arial"/>
                        <w:sz w:val="21"/>
                      </w:rPr>
                    </w:pPr>
                  </w:p>
                  <w:p w14:paraId="4FF96324">
                    <w:pPr>
                      <w:spacing w:line="257" w:lineRule="auto"/>
                      <w:rPr>
                        <w:rFonts w:ascii="Arial"/>
                        <w:sz w:val="21"/>
                      </w:rPr>
                    </w:pPr>
                  </w:p>
                  <w:p w14:paraId="70959473">
                    <w:pPr>
                      <w:spacing w:line="257" w:lineRule="auto"/>
                      <w:rPr>
                        <w:rFonts w:ascii="Arial"/>
                        <w:sz w:val="21"/>
                      </w:rPr>
                    </w:pPr>
                  </w:p>
                  <w:p w14:paraId="4475A4A8">
                    <w:pPr>
                      <w:spacing w:line="257" w:lineRule="auto"/>
                      <w:rPr>
                        <w:rFonts w:ascii="Arial"/>
                        <w:sz w:val="21"/>
                      </w:rPr>
                    </w:pPr>
                  </w:p>
                  <w:p w14:paraId="50E7A849">
                    <w:pPr>
                      <w:spacing w:before="52"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-50</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-45</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-40</w:t>
                    </w:r>
                    <w:r>
                      <w:rPr>
                        <w:rFonts w:ascii="Times New Roman" w:hAnsi="Times New Roman" w:eastAsia="Times New Roman" w:cs="Times New Roman"/>
                        <w:color w:val="595959"/>
                        <w:spacing w:val="26"/>
                        <w:w w:val="102"/>
                        <w:sz w:val="18"/>
                        <w:szCs w:val="18"/>
                      </w:rPr>
                      <w:t xml:space="preserve"> </w:t>
                    </w:r>
                    <w:r>
                      <w:rPr>
                        <w:rFonts w:ascii="Times New Roman" w:hAnsi="Times New Roman" w:eastAsia="Times New Roman" w:cs="Times New Roman"/>
                        <w:color w:val="595959"/>
                        <w:spacing w:val="-2"/>
                        <w:sz w:val="18"/>
                        <w:szCs w:val="18"/>
                      </w:rPr>
                      <w:t>-35</w:t>
                    </w:r>
                    <w:r>
                      <w:rPr>
                        <w:rFonts w:ascii="Times New Roman" w:hAnsi="Times New Roman" w:eastAsia="Times New Roman" w:cs="Times New Roman"/>
                        <w:color w:val="595959"/>
                        <w:spacing w:val="26"/>
                        <w:w w:val="101"/>
                        <w:sz w:val="18"/>
                        <w:szCs w:val="18"/>
                      </w:rPr>
                      <w:t xml:space="preserve"> </w:t>
                    </w:r>
                    <w:r>
                      <w:rPr>
                        <w:rFonts w:ascii="Times New Roman" w:hAnsi="Times New Roman" w:eastAsia="Times New Roman" w:cs="Times New Roman"/>
                        <w:color w:val="595959"/>
                        <w:spacing w:val="-2"/>
                        <w:sz w:val="18"/>
                        <w:szCs w:val="18"/>
                      </w:rPr>
                      <w:t>-30</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-25</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-20</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-15</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-10</w:t>
                    </w:r>
                    <w:r>
                      <w:rPr>
                        <w:rFonts w:ascii="Times New Roman" w:hAnsi="Times New Roman" w:eastAsia="Times New Roman" w:cs="Times New Roman"/>
                        <w:color w:val="595959"/>
                        <w:spacing w:val="13"/>
                        <w:w w:val="101"/>
                        <w:sz w:val="18"/>
                        <w:szCs w:val="18"/>
                      </w:rPr>
                      <w:t xml:space="preserve">  </w:t>
                    </w:r>
                    <w:r>
                      <w:rPr>
                        <w:rFonts w:ascii="Times New Roman" w:hAnsi="Times New Roman" w:eastAsia="Times New Roman" w:cs="Times New Roman"/>
                        <w:color w:val="595959"/>
                        <w:spacing w:val="-2"/>
                        <w:sz w:val="18"/>
                        <w:szCs w:val="18"/>
                      </w:rPr>
                      <w:t>-5    0     5    1</w:t>
                    </w:r>
                    <w:r>
                      <w:rPr>
                        <w:rFonts w:ascii="Times New Roman" w:hAnsi="Times New Roman" w:eastAsia="Times New Roman" w:cs="Times New Roman"/>
                        <w:color w:val="595959"/>
                        <w:spacing w:val="-3"/>
                        <w:sz w:val="18"/>
                        <w:szCs w:val="18"/>
                      </w:rPr>
                      <w:t>0</w:t>
                    </w:r>
                    <w:r>
                      <w:rPr>
                        <w:rFonts w:ascii="Times New Roman" w:hAnsi="Times New Roman" w:eastAsia="Times New Roman" w:cs="Times New Roman"/>
                        <w:color w:val="595959"/>
                        <w:spacing w:val="2"/>
                        <w:sz w:val="18"/>
                        <w:szCs w:val="18"/>
                      </w:rPr>
                      <w:t xml:space="preserve">   </w:t>
                    </w:r>
                    <w:r>
                      <w:rPr>
                        <w:rFonts w:ascii="Times New Roman" w:hAnsi="Times New Roman" w:eastAsia="Times New Roman" w:cs="Times New Roman"/>
                        <w:color w:val="595959"/>
                        <w:spacing w:val="-3"/>
                        <w:sz w:val="18"/>
                        <w:szCs w:val="18"/>
                      </w:rPr>
                      <w:t>15   20   25   30   35   40   45   50</w:t>
                    </w:r>
                  </w:p>
                  <w:p w14:paraId="05E026D1">
                    <w:pPr>
                      <w:spacing w:before="53" w:line="250" w:lineRule="exact"/>
                      <w:ind w:left="2200"/>
                      <w:rPr>
                        <w:rFonts w:ascii="宋体" w:hAnsi="宋体" w:eastAsia="宋体" w:cs="宋体"/>
                        <w:sz w:val="19"/>
                        <w:szCs w:val="19"/>
                      </w:rPr>
                    </w:pPr>
                    <w:r>
                      <w:rPr>
                        <w:rFonts w:ascii="宋体" w:hAnsi="宋体" w:eastAsia="宋体" w:cs="宋体"/>
                        <w:color w:val="595959"/>
                        <w:spacing w:val="7"/>
                        <w:position w:val="1"/>
                        <w:sz w:val="19"/>
                        <w:szCs w:val="19"/>
                      </w:rPr>
                      <w:t>距线路中心距离（</w:t>
                    </w:r>
                    <w:r>
                      <w:rPr>
                        <w:rFonts w:ascii="Times New Roman" w:hAnsi="Times New Roman" w:eastAsia="Times New Roman" w:cs="Times New Roman"/>
                        <w:color w:val="595959"/>
                        <w:spacing w:val="7"/>
                        <w:position w:val="1"/>
                        <w:sz w:val="19"/>
                        <w:szCs w:val="19"/>
                      </w:rPr>
                      <w:t>m</w:t>
                    </w:r>
                    <w:r>
                      <w:rPr>
                        <w:rFonts w:ascii="宋体" w:hAnsi="宋体" w:eastAsia="宋体" w:cs="宋体"/>
                        <w:color w:val="595959"/>
                        <w:spacing w:val="7"/>
                        <w:position w:val="1"/>
                        <w:sz w:val="19"/>
                        <w:szCs w:val="19"/>
                      </w:rPr>
                      <w:t>）</w:t>
                    </w:r>
                  </w:p>
                </w:txbxContent>
              </v:textbox>
            </v:shape>
            <v:shape id="_x0000_s1209" o:spid="_x0000_s1209" o:spt="202" type="#_x0000_t202" style="position:absolute;left:560;top:576;height:2967;width:262;" filled="f" stroked="f" coordsize="21600,21600">
              <v:path/>
              <v:fill on="f" focussize="0,0"/>
              <v:stroke on="f"/>
              <v:imagedata o:title=""/>
              <o:lock v:ext="edit" aspectratio="f"/>
              <v:textbox inset="0mm,0mm,0mm,0mm">
                <w:txbxContent>
                  <w:p w14:paraId="0E6918E4">
                    <w:pPr>
                      <w:spacing w:before="20" w:line="232" w:lineRule="auto"/>
                      <w:ind w:left="28"/>
                      <w:rPr>
                        <w:rFonts w:ascii="Times New Roman" w:hAnsi="Times New Roman" w:eastAsia="Times New Roman" w:cs="Times New Roman"/>
                        <w:sz w:val="18"/>
                        <w:szCs w:val="18"/>
                      </w:rPr>
                    </w:pPr>
                    <w:r>
                      <w:rPr>
                        <w:rFonts w:ascii="Times New Roman" w:hAnsi="Times New Roman" w:eastAsia="Times New Roman" w:cs="Times New Roman"/>
                        <w:color w:val="595959"/>
                        <w:spacing w:val="-4"/>
                        <w:sz w:val="18"/>
                        <w:szCs w:val="18"/>
                      </w:rPr>
                      <w:t>8.0</w:t>
                    </w:r>
                  </w:p>
                  <w:p w14:paraId="572A53E4">
                    <w:pPr>
                      <w:spacing w:before="145" w:line="232" w:lineRule="auto"/>
                      <w:ind w:left="23"/>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7.0</w:t>
                    </w:r>
                  </w:p>
                  <w:p w14:paraId="54474BE1">
                    <w:pPr>
                      <w:spacing w:before="144" w:line="232" w:lineRule="auto"/>
                      <w:ind w:left="24"/>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6.0</w:t>
                    </w:r>
                  </w:p>
                  <w:p w14:paraId="2D33BD22">
                    <w:pPr>
                      <w:spacing w:before="144" w:line="233" w:lineRule="auto"/>
                      <w:ind w:left="25"/>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5.0</w:t>
                    </w:r>
                  </w:p>
                  <w:p w14:paraId="0E7C6020">
                    <w:pPr>
                      <w:spacing w:before="145"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1"/>
                        <w:sz w:val="18"/>
                        <w:szCs w:val="18"/>
                      </w:rPr>
                      <w:t>4.0</w:t>
                    </w:r>
                  </w:p>
                  <w:p w14:paraId="0ADB092F">
                    <w:pPr>
                      <w:spacing w:before="144" w:line="233" w:lineRule="auto"/>
                      <w:ind w:left="24"/>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3.0</w:t>
                    </w:r>
                  </w:p>
                  <w:p w14:paraId="586E43BF">
                    <w:pPr>
                      <w:spacing w:before="145"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1"/>
                        <w:sz w:val="18"/>
                        <w:szCs w:val="18"/>
                      </w:rPr>
                      <w:t>2.0</w:t>
                    </w:r>
                  </w:p>
                  <w:p w14:paraId="1CA8FB62">
                    <w:pPr>
                      <w:spacing w:before="145" w:line="232" w:lineRule="auto"/>
                      <w:ind w:left="38"/>
                      <w:rPr>
                        <w:rFonts w:ascii="Times New Roman" w:hAnsi="Times New Roman" w:eastAsia="Times New Roman" w:cs="Times New Roman"/>
                        <w:sz w:val="18"/>
                        <w:szCs w:val="18"/>
                      </w:rPr>
                    </w:pPr>
                    <w:r>
                      <w:rPr>
                        <w:rFonts w:ascii="Times New Roman" w:hAnsi="Times New Roman" w:eastAsia="Times New Roman" w:cs="Times New Roman"/>
                        <w:color w:val="595959"/>
                        <w:spacing w:val="-7"/>
                        <w:sz w:val="18"/>
                        <w:szCs w:val="18"/>
                      </w:rPr>
                      <w:t>1.0</w:t>
                    </w:r>
                  </w:p>
                  <w:p w14:paraId="25F53F5F">
                    <w:pPr>
                      <w:spacing w:before="146" w:line="232" w:lineRule="auto"/>
                      <w:ind w:left="23"/>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0.0</w:t>
                    </w:r>
                  </w:p>
                </w:txbxContent>
              </v:textbox>
            </v:shape>
            <w10:wrap type="none"/>
            <w10:anchorlock/>
          </v:group>
        </w:pict>
      </w:r>
    </w:p>
    <w:p w14:paraId="549BE9FC">
      <w:pPr>
        <w:spacing w:before="168" w:line="234" w:lineRule="auto"/>
        <w:ind w:left="1346"/>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9"/>
          <w:sz w:val="21"/>
          <w:szCs w:val="21"/>
        </w:rPr>
        <w:t xml:space="preserve"> </w:t>
      </w:r>
      <w:r>
        <w:rPr>
          <w:rFonts w:ascii="Times New Roman" w:hAnsi="Times New Roman" w:eastAsia="Times New Roman" w:cs="Times New Roman"/>
          <w:b/>
          <w:bCs/>
          <w:spacing w:val="-3"/>
          <w:sz w:val="21"/>
          <w:szCs w:val="21"/>
        </w:rPr>
        <w:t>4-3    C</w:t>
      </w:r>
      <w:r>
        <w:rPr>
          <w:rFonts w:ascii="Times New Roman" w:hAnsi="Times New Roman" w:eastAsia="Times New Roman" w:cs="Times New Roman"/>
          <w:b/>
          <w:bCs/>
          <w:spacing w:val="28"/>
          <w:w w:val="101"/>
          <w:sz w:val="21"/>
          <w:szCs w:val="21"/>
        </w:rPr>
        <w:t xml:space="preserve"> </w:t>
      </w:r>
      <w:r>
        <w:rPr>
          <w:rFonts w:ascii="宋体" w:hAnsi="宋体" w:eastAsia="宋体" w:cs="宋体"/>
          <w:b/>
          <w:bCs/>
          <w:spacing w:val="-3"/>
          <w:sz w:val="21"/>
          <w:szCs w:val="21"/>
        </w:rPr>
        <w:t>回线双回垂直（单边挂线）排列最不利塔型电场强度分布图</w:t>
      </w:r>
    </w:p>
    <w:p w14:paraId="4E0D2251">
      <w:pPr>
        <w:spacing w:before="90" w:line="4311" w:lineRule="exact"/>
        <w:ind w:firstLine="824"/>
      </w:pPr>
      <w:r>
        <mc:AlternateContent>
          <mc:Choice Requires="wps">
            <w:drawing>
              <wp:anchor distT="0" distB="0" distL="0" distR="0" simplePos="0" relativeHeight="251674624" behindDoc="0" locked="0" layoutInCell="1" allowOverlap="1">
                <wp:simplePos x="0" y="0"/>
                <wp:positionH relativeFrom="column">
                  <wp:posOffset>252730</wp:posOffset>
                </wp:positionH>
                <wp:positionV relativeFrom="paragraph">
                  <wp:posOffset>1270000</wp:posOffset>
                </wp:positionV>
                <wp:extent cx="1042670" cy="180340"/>
                <wp:effectExtent l="0" t="0" r="0" b="0"/>
                <wp:wrapNone/>
                <wp:docPr id="88" name="TextBox 88"/>
                <wp:cNvGraphicFramePr/>
                <a:graphic xmlns:a="http://schemas.openxmlformats.org/drawingml/2006/main">
                  <a:graphicData uri="http://schemas.microsoft.com/office/word/2010/wordprocessingShape">
                    <wps:wsp>
                      <wps:cNvSpPr txBox="1"/>
                      <wps:spPr>
                        <a:xfrm rot="16200000">
                          <a:off x="253229" y="1270401"/>
                          <a:ext cx="1042669" cy="18033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39A2ACF4">
                            <w:pPr>
                              <w:spacing w:before="34" w:line="222" w:lineRule="auto"/>
                              <w:ind w:left="20"/>
                              <w:rPr>
                                <w:rFonts w:ascii="宋体" w:hAnsi="宋体" w:eastAsia="宋体" w:cs="宋体"/>
                                <w:sz w:val="19"/>
                                <w:szCs w:val="19"/>
                              </w:rPr>
                            </w:pPr>
                            <w:r>
                              <w:rPr>
                                <w:rFonts w:ascii="宋体" w:hAnsi="宋体" w:eastAsia="宋体" w:cs="宋体"/>
                                <w:color w:val="595959"/>
                                <w:sz w:val="19"/>
                                <w:szCs w:val="19"/>
                              </w:rPr>
                              <w:t>磁感应强度</w:t>
                            </w:r>
                            <w:r>
                              <w:rPr>
                                <w:rFonts w:ascii="宋体" w:hAnsi="宋体" w:eastAsia="宋体" w:cs="宋体"/>
                                <w:color w:val="595959"/>
                                <w:spacing w:val="18"/>
                                <w:sz w:val="19"/>
                                <w:szCs w:val="19"/>
                              </w:rPr>
                              <w:t xml:space="preserve"> </w:t>
                            </w:r>
                            <w:r>
                              <w:rPr>
                                <w:rFonts w:ascii="宋体" w:hAnsi="宋体" w:eastAsia="宋体" w:cs="宋体"/>
                                <w:color w:val="595959"/>
                                <w:sz w:val="19"/>
                                <w:szCs w:val="19"/>
                              </w:rPr>
                              <w:t>(</w:t>
                            </w:r>
                            <w:r>
                              <w:rPr>
                                <w:rFonts w:ascii="宋体" w:hAnsi="宋体" w:eastAsia="宋体" w:cs="宋体"/>
                                <w:color w:val="595959"/>
                                <w:spacing w:val="-55"/>
                                <w:sz w:val="19"/>
                                <w:szCs w:val="19"/>
                              </w:rPr>
                              <w:t xml:space="preserve"> </w:t>
                            </w:r>
                            <w:r>
                              <w:rPr>
                                <w:rFonts w:ascii="Times New Roman" w:hAnsi="Times New Roman" w:eastAsia="Times New Roman" w:cs="Times New Roman"/>
                                <w:color w:val="595959"/>
                                <w:sz w:val="19"/>
                                <w:szCs w:val="19"/>
                              </w:rPr>
                              <w:t>μT</w:t>
                            </w:r>
                            <w:r>
                              <w:rPr>
                                <w:rFonts w:ascii="宋体" w:hAnsi="宋体" w:eastAsia="宋体" w:cs="宋体"/>
                                <w:color w:val="595959"/>
                                <w:sz w:val="19"/>
                                <w:szCs w:val="19"/>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88" o:spid="_x0000_s1026" o:spt="202" type="#_x0000_t202" style="position:absolute;left:0pt;margin-left:19.9pt;margin-top:100pt;height:14.2pt;width:82.1pt;rotation:-5898240f;z-index:251674624;mso-width-relative:page;mso-height-relative:page;" filled="f" stroked="f" coordsize="21600,21600" o:gfxdata="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MU63odgAAAAKAQAADwAA&#10;AAAAAAABACAAAAAiAAAAZHJzL2Rvd25yZXYueG1sUEsBAhQAFAAAAAgAh07iQG27FXdPAgAAowQA&#10;AA4AAAAAAAAAAQAgAAAAJwEAAGRycy9lMm9Eb2MueG1sUEsFBgAAAAAGAAYAWQEAAOgFAAAAAA==&#10;">
                <v:fill on="f" focussize="0,0"/>
                <v:stroke on="f" weight="0pt" miterlimit="0" joinstyle="miter"/>
                <v:imagedata o:title=""/>
                <o:lock v:ext="edit" aspectratio="f"/>
                <v:textbox inset="0mm,0mm,0mm,0mm">
                  <w:txbxContent>
                    <w:p w14:paraId="39A2ACF4">
                      <w:pPr>
                        <w:spacing w:before="34" w:line="222" w:lineRule="auto"/>
                        <w:ind w:left="20"/>
                        <w:rPr>
                          <w:rFonts w:ascii="宋体" w:hAnsi="宋体" w:eastAsia="宋体" w:cs="宋体"/>
                          <w:sz w:val="19"/>
                          <w:szCs w:val="19"/>
                        </w:rPr>
                      </w:pPr>
                      <w:r>
                        <w:rPr>
                          <w:rFonts w:ascii="宋体" w:hAnsi="宋体" w:eastAsia="宋体" w:cs="宋体"/>
                          <w:color w:val="595959"/>
                          <w:sz w:val="19"/>
                          <w:szCs w:val="19"/>
                        </w:rPr>
                        <w:t>磁感应强度</w:t>
                      </w:r>
                      <w:r>
                        <w:rPr>
                          <w:rFonts w:ascii="宋体" w:hAnsi="宋体" w:eastAsia="宋体" w:cs="宋体"/>
                          <w:color w:val="595959"/>
                          <w:spacing w:val="18"/>
                          <w:sz w:val="19"/>
                          <w:szCs w:val="19"/>
                        </w:rPr>
                        <w:t xml:space="preserve"> </w:t>
                      </w:r>
                      <w:r>
                        <w:rPr>
                          <w:rFonts w:ascii="宋体" w:hAnsi="宋体" w:eastAsia="宋体" w:cs="宋体"/>
                          <w:color w:val="595959"/>
                          <w:sz w:val="19"/>
                          <w:szCs w:val="19"/>
                        </w:rPr>
                        <w:t>(</w:t>
                      </w:r>
                      <w:r>
                        <w:rPr>
                          <w:rFonts w:ascii="宋体" w:hAnsi="宋体" w:eastAsia="宋体" w:cs="宋体"/>
                          <w:color w:val="595959"/>
                          <w:spacing w:val="-55"/>
                          <w:sz w:val="19"/>
                          <w:szCs w:val="19"/>
                        </w:rPr>
                        <w:t xml:space="preserve"> </w:t>
                      </w:r>
                      <w:r>
                        <w:rPr>
                          <w:rFonts w:ascii="Times New Roman" w:hAnsi="Times New Roman" w:eastAsia="Times New Roman" w:cs="Times New Roman"/>
                          <w:color w:val="595959"/>
                          <w:sz w:val="19"/>
                          <w:szCs w:val="19"/>
                        </w:rPr>
                        <w:t>μT</w:t>
                      </w:r>
                      <w:r>
                        <w:rPr>
                          <w:rFonts w:ascii="宋体" w:hAnsi="宋体" w:eastAsia="宋体" w:cs="宋体"/>
                          <w:color w:val="595959"/>
                          <w:sz w:val="19"/>
                          <w:szCs w:val="19"/>
                        </w:rPr>
                        <w:t>）</w:t>
                      </w:r>
                    </w:p>
                  </w:txbxContent>
                </v:textbox>
              </v:shape>
            </w:pict>
          </mc:Fallback>
        </mc:AlternateContent>
      </w:r>
      <w:r>
        <w:rPr>
          <w:position w:val="-86"/>
        </w:rPr>
        <w:pict>
          <v:group id="_x0000_s1210" o:spid="_x0000_s1210" o:spt="203" style="height:215.55pt;width:370.5pt;" coordsize="7410,4311">
            <o:lock v:ext="edit"/>
            <v:group id="_x0000_s1211" o:spid="_x0000_s1211" o:spt="203" style="position:absolute;left:0;top:0;height:4311;width:7410;" coordsize="7410,4311">
              <o:lock v:ext="edit"/>
              <v:shape id="_x0000_s1212" o:spid="_x0000_s1212" style="position:absolute;left:955;top:735;height:2618;width:6172;" filled="f" stroked="t" coordsize="6172,2618" path="m0,2611l6171,2611m0,2532l6171,2532m0,2455l6171,2455m0,2376l6171,2376m0,2217l6171,2217m0,2138l6171,2138m0,2059l6171,2059m0,1980l6171,1980m0,1821l6171,1821m0,1745l6171,1745m0,1665l6171,1665m0,1586l6171,1586m0,1428l6171,1428m0,1349l6171,1349m0,1269l6171,1269m0,1190l6171,1190m0,1034l6171,1034m0,955l6171,955m0,876l6171,876m0,797l6171,797m0,638l6171,638m0,559l6171,559m0,480l6171,480m0,403l6171,403m0,245l6171,245m0,165l6171,165m0,86l6171,86m0,7l6171,7e">
                <v:fill on="f" focussize="0,0"/>
                <v:stroke color="#F2F2F2" miterlimit="10"/>
                <v:imagedata o:title=""/>
                <o:lock v:ext="edit"/>
              </v:shape>
              <v:shape id="_x0000_s1213" o:spid="_x0000_s1213" style="position:absolute;left:955;top:657;height:2383;width:6172;" filled="f" stroked="t" coordsize="6172,2383" path="m0,2375l6171,2375m0,1979l6171,1979m0,1586l6171,1586m0,1190l6171,1190m0,796l6171,796m0,403l6171,403m0,7l6171,7e">
                <v:fill on="f" focussize="0,0"/>
                <v:stroke color="#D9D9D9" miterlimit="10"/>
                <v:imagedata o:title=""/>
                <o:lock v:ext="edit"/>
              </v:shape>
              <v:shape id="_x0000_s1214" o:spid="_x0000_s1214" style="position:absolute;left:1102;top:664;height:2762;width:5819;" filled="f" stroked="t" coordsize="5819,2762" path="m7,0l7,2762m312,0l312,2762m617,0l617,2762m921,0l921,2762m1229,0l1229,2762m1533,0l1533,2762m1838,0l1838,2762m2145,0l2145,2762m2450,0l2450,2762m2755,0l2755,2762m3062,0l3062,2762m3367,0l3367,2762m3672,0l3672,2762m3977,0l3977,2762m4284,0l4284,2762m4589,0l4589,2762m4893,0l4893,2762m5201,0l5201,2762m5505,0l5505,2762m5810,0l5810,2762e">
                <v:fill on="f" focussize="0,0"/>
                <v:stroke color="#F2F2F2" miterlimit="10"/>
                <v:imagedata o:title=""/>
                <o:lock v:ext="edit"/>
              </v:shape>
              <v:shape id="_x0000_s1215" o:spid="_x0000_s1215" style="position:absolute;left:948;top:664;height:2762;width:6125;" filled="f" stroked="t" coordsize="6125,2762" path="m7,0l7,2762m312,0l312,2762m619,0l619,2762m924,0l924,2762m1229,0l1229,2762m1534,0l1534,2762m1841,0l1841,2762m2146,0l2146,2762m2450,0l2450,2762m2758,0l2758,2762m3062,0l3062,2762m3367,0l3367,2762m3674,0l3674,2762m3979,0l3979,2762m4284,0l4284,2762m4589,0l4589,2762m4896,0l4896,2762m5201,0l5201,2762m5506,0l5506,2762m5813,0l5813,2762m6117,0l6117,2762e">
                <v:fill on="f" focussize="0,0"/>
                <v:stroke color="#D9D9D9" miterlimit="10"/>
                <v:imagedata o:title=""/>
                <o:lock v:ext="edit"/>
              </v:shape>
              <v:shape id="_x0000_s1216" o:spid="_x0000_s1216" style="position:absolute;left:948;top:3373;height:108;width:6180;" filled="f" stroked="t" coordsize="6180,108" path="m7,53l6179,53m7,0l7,107m312,0l312,107m619,0l619,107m924,0l924,107m1229,0l1229,107m1534,0l1534,107m1841,0l1841,107m2146,0l2146,107m2450,0l2450,107m2758,0l2758,107m3062,0l3062,107m3367,0l3367,107m3674,0l3674,107m3979,0l3979,107m4284,0l4284,107m4589,0l4589,107m4896,0l4896,107m5201,0l5201,107m5506,0l5506,107m5813,0l5813,107m6117,0l6117,107e">
                <v:fill on="f" focussize="0,0"/>
                <v:stroke color="#000000" miterlimit="10"/>
                <v:imagedata o:title=""/>
                <o:lock v:ext="edit"/>
              </v:shape>
              <v:shape id="_x0000_s1217" o:spid="_x0000_s1217" style="position:absolute;left:971;top:818;height:2538;width:6140;" filled="f" stroked="t" coordsize="6140,2538" path="m15,2523c35,2522,55,2521,75,2520c96,2518,116,2517,137,2516c157,2515,177,2514,198,2512c218,2511,238,2510,259,2509c279,2507,300,2506,320,2504c340,2503,361,2502,381,2500c401,2499,422,2497,442,2495c462,2494,483,2492,503,2490c524,2489,544,2487,564,2485c585,2483,605,2481,625,2479c646,2478,666,2476,687,2473c707,2471,727,2469,748,2467c768,2465,788,2463,809,2460c829,2458,850,2455,870,2453c890,2450,911,2448,931,2445c951,2442,972,2439,992,2436c1012,2433,1033,2430,1053,2427c1073,2424,1094,2421,1114,2417c1135,2414,1155,2410,1175,2406c1196,2403,1216,2399,1236,2395c1257,2391,1277,2387,1298,2382c1318,2378,1338,2373,1359,2368c1379,2364,1400,2359,1420,2354c1440,2348,1461,2343,1481,2337c1501,2332,1522,2326,1542,2319c1562,2313,1583,2307,1603,2300c1623,2293,1644,2286,1664,2278c1685,2271,1705,2263,1725,2255c1746,2247,1766,2238,1786,2229c1807,2220,1827,2210,1847,2200c1868,2190,1888,2179,1909,2168c1929,2156,1950,2145,1970,2132c1990,2119,2011,2106,2031,2092c2051,2078,2072,2063,2092,2047c2112,2032,2133,2015,2153,1997c2173,1979,2194,1960,2214,1940c2234,1920,2255,1899,2275,1876c2296,1853,2316,1829,2336,1802c2357,1776,2377,1748,2398,1718c2418,1688,2438,1657,2459,1622c2479,1588,2499,1551,2520,1511c2540,1472,2561,1429,2581,1383c2601,1337,2622,1288,2642,1235c2662,1183,2683,1126,2703,1066c2723,1005,2744,940,2764,873c2784,805,2805,732,2825,660c2846,588,2866,510,2886,439c2907,367,2927,292,2948,232c2968,171,2988,113,3008,77c3029,41,3049,17,3070,15c3090,12,3110,31,3131,64c3151,96,3172,150,3192,207c3212,264,3233,337,3253,406c3273,476,3294,552,3314,624c3334,695,3355,768,3375,835c3396,903,3416,968,3436,1029c3457,1090,3477,1147,3497,1201c3518,1255,3538,1304,3558,1351c3579,1398,3599,1442,3620,1482c3640,1523,3660,1561,3681,1596c3701,1632,3722,1664,3742,1695c3762,1726,3783,1755,3803,1782c3823,1809,3844,1834,3864,1858c3884,1881,3905,1903,3925,1924c3946,1945,3966,1965,3986,1983c4006,2002,4027,2019,4047,2035c4068,2051,4088,2067,4108,2081c4129,2096,4149,2109,4170,2122c4190,2135,4210,2148,4231,2159c4251,2171,4271,2182,4292,2192c4312,2203,4333,2213,4353,2222c4373,2231,4393,2240,4414,2249c4434,2257,4455,2265,4475,2273c4496,2281,4516,2288,4536,2295c4556,2302,4577,2309,4597,2315c4618,2321,4638,2328,4658,2333c4679,2339,4699,2345,4720,2350c4740,2355,4760,2360,4781,2365c4801,2370,4821,2375,4842,2379c4862,2384,4883,2388,4903,2392c4923,2396,4943,2400,4964,2404c4984,2408,5005,2411,5025,2415c5045,2418,5066,2422,5086,2425c5106,2428,5127,2431,5147,2434c5168,2437,5188,2440,5208,2443c5229,2446,5249,2449,5270,2451c5290,2454,5310,2456,5330,2459c5351,2461,5371,2463,5392,2466c5412,2468,5432,2470,5453,2472c5473,2474,5494,2476,5514,2478c5534,2480,5555,2482,5575,2484c5595,2486,5616,2488,5636,2489c5656,2491,5677,2493,5697,2494c5718,2496,5738,2498,5758,2499c5779,2501,5799,2502,5819,2504c5840,2505,5860,2506,5880,2508c5901,2509,5921,2510,5942,2512c5962,2513,5982,2514,6003,2515c6023,2517,6043,2518,6064,2519c6084,2520,6105,2521,6125,2522e">
                <v:fill on="f" focussize="0,0"/>
                <v:stroke weight="1.5pt" color="#FF0000" miterlimit="10" endcap="round"/>
                <v:imagedata o:title=""/>
                <o:lock v:ext="edit"/>
              </v:shape>
              <v:shape id="_x0000_s1218" o:spid="_x0000_s1218" style="position:absolute;left:971;top:2044;height:1315;width:6140;" filled="f" stroked="t" coordsize="6140,1315" path="m15,1299c35,1298,55,1297,75,1296c96,1295,116,1294,137,1293c157,1292,177,1291,198,1289c218,1288,238,1287,259,1286c279,1285,300,1283,320,1282c340,1281,361,1279,381,1278c401,1276,422,1275,442,1273c462,1272,483,1270,503,1269c524,1267,544,1266,564,1264c585,1262,605,1261,625,1259c646,1257,666,1255,687,1253c707,1251,727,1249,748,1247c768,1245,788,1243,809,1241c829,1239,850,1237,870,1234c890,1232,911,1230,931,1227c951,1225,972,1222,992,1220c1012,1217,1033,1214,1053,1211c1073,1208,1094,1205,1114,1202c1135,1199,1155,1196,1175,1193c1196,1190,1216,1186,1236,1183c1257,1179,1277,1175,1298,1172c1318,1168,1338,1164,1359,1160c1379,1156,1400,1151,1420,1147c1440,1142,1461,1138,1481,1133c1501,1128,1522,1123,1542,1118c1562,1113,1583,1107,1603,1101c1623,1096,1644,1090,1664,1084c1685,1077,1705,1071,1725,1064c1746,1057,1766,1050,1786,1043c1807,1036,1827,1028,1847,1020c1868,1012,1888,1003,1909,995c1929,986,1950,977,1970,967c1990,957,2011,947,2031,937c2051,926,2072,915,2092,903c2112,892,2133,879,2153,867c2173,854,2194,840,2214,826c2234,812,2255,798,2275,782c2296,767,2316,751,2336,734c2357,717,2377,699,2398,680c2418,662,2438,642,2459,622c2479,601,2499,580,2520,558c2540,536,2561,513,2581,490c2601,466,2622,442,2642,417c2662,392,2683,366,2703,341c2723,315,2744,289,2764,264c2784,238,2805,213,2825,189c2846,165,2866,142,2886,121c2907,101,2927,81,2948,66c2968,51,2988,37,3008,29c3029,20,3049,15,3070,15c3090,14,3110,18,3131,25c3151,32,3172,44,3192,58c3212,72,3233,91,3253,110c3273,130,3294,153,3314,176c3334,199,3355,224,3375,249c3396,274,3416,300,3436,325c3457,351,3477,376,3497,401c3518,426,3538,451,3558,474c3579,498,3599,521,3620,543c3640,566,3660,587,3681,608c3701,628,3722,648,3742,667c3762,686,3783,704,3803,721c3823,739,3844,755,3864,771c3884,787,3905,802,3925,816c3946,830,3966,844,3986,857c4006,870,4027,883,4047,895c4068,907,4088,918,4108,929c4129,940,4149,950,4170,960c4190,970,4210,979,4231,988c4251,997,4271,1006,4292,1014c4312,1022,4333,1030,4353,1038c4373,1045,4393,1052,4414,1059c4434,1066,4455,1073,4475,1079c4496,1086,4516,1092,4536,1097c4556,1103,4577,1109,4597,1114c4618,1120,4638,1125,4658,1130c4679,1135,4699,1139,4720,1144c4740,1148,4760,1153,4781,1157c4801,1161,4821,1165,4842,1169c4862,1173,4883,1177,4903,1180c4923,1184,4943,1187,4964,1191c4984,1194,5005,1197,5025,1200c5045,1204,5066,1207,5086,1209c5106,1212,5127,1215,5147,1218c5168,1221,5188,1223,5208,1226c5229,1228,5249,1231,5270,1233c5290,1235,5310,1238,5330,1240c5351,1242,5371,1244,5392,1246c5412,1248,5432,1250,5453,1252c5473,1254,5494,1256,5514,1258c5534,1260,5555,1261,5575,1263c5595,1265,5616,1266,5636,1268c5656,1270,5677,1271,5697,1273c5718,1274,5738,1276,5758,1277c5779,1278,5799,1280,5819,1281c5840,1282,5860,1284,5880,1285c5901,1286,5921,1288,5942,1289c5962,1290,5982,1291,6003,1292c6023,1293,6043,1294,6064,1296c6084,1297,6105,1298,6125,1299e">
                <v:fill on="f" focussize="0,0"/>
                <v:stroke weight="1.5pt" color="#00B050" miterlimit="10" endcap="round"/>
                <v:imagedata o:title=""/>
                <o:lock v:ext="edit"/>
              </v:shape>
              <v:shape id="_x0000_s1219" o:spid="_x0000_s1219" style="position:absolute;left:2851;top:271;height:30;width:414;" filled="f" stroked="t" coordsize="414,30" path="m15,15l398,15e">
                <v:fill on="f" focussize="0,0"/>
                <v:stroke weight="1.5pt" color="#FF0000" miterlimit="10" endcap="round"/>
                <v:imagedata o:title=""/>
                <o:lock v:ext="edit"/>
              </v:shape>
              <v:shape id="_x0000_s1220" o:spid="_x0000_s1220" style="position:absolute;left:3808;top:271;height:30;width:414;" filled="f" stroked="t" coordsize="414,30" path="m15,15l398,15e">
                <v:fill on="f" focussize="0,0"/>
                <v:stroke weight="1.5pt" color="#00B050" miterlimit="10" endcap="round"/>
                <v:imagedata o:title=""/>
                <o:lock v:ext="edit"/>
              </v:shape>
              <v:shape id="_x0000_s1221" o:spid="_x0000_s1221" style="position:absolute;left:0;top:0;height:4311;width:7410;" filled="f" stroked="t" coordsize="7410,4311" path="m7,4303l7401,4303,7401,7,7,7,7,4303xe">
                <v:fill on="f" focussize="0,0"/>
                <v:stroke color="#000000" miterlimit="10"/>
                <v:imagedata o:title=""/>
                <o:lock v:ext="edit"/>
              </v:shape>
            </v:group>
            <v:shape id="_x0000_s1222" o:spid="_x0000_s1222" o:spt="202" type="#_x0000_t202" style="position:absolute;left:854;top:198;height:3862;width:6355;" filled="f" stroked="f" coordsize="21600,21600">
              <v:path/>
              <v:fill on="f" focussize="0,0"/>
              <v:stroke on="f"/>
              <v:imagedata o:title=""/>
              <o:lock v:ext="edit" aspectratio="f"/>
              <v:textbox inset="0mm,0mm,0mm,0mm">
                <w:txbxContent>
                  <w:p w14:paraId="56D84E52">
                    <w:pPr>
                      <w:spacing w:before="20" w:line="232" w:lineRule="auto"/>
                      <w:ind w:left="2445"/>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6.5m</w:t>
                    </w:r>
                    <w:r>
                      <w:rPr>
                        <w:rFonts w:ascii="Times New Roman" w:hAnsi="Times New Roman" w:eastAsia="Times New Roman" w:cs="Times New Roman"/>
                        <w:color w:val="595959"/>
                        <w:spacing w:val="1"/>
                        <w:sz w:val="18"/>
                        <w:szCs w:val="18"/>
                      </w:rPr>
                      <w:t xml:space="preserve">             </w:t>
                    </w:r>
                    <w:r>
                      <w:rPr>
                        <w:rFonts w:ascii="Times New Roman" w:hAnsi="Times New Roman" w:eastAsia="Times New Roman" w:cs="Times New Roman"/>
                        <w:color w:val="595959"/>
                        <w:spacing w:val="-2"/>
                        <w:sz w:val="18"/>
                        <w:szCs w:val="18"/>
                      </w:rPr>
                      <w:t>9.5m</w:t>
                    </w:r>
                  </w:p>
                  <w:p w14:paraId="5D1218EE">
                    <w:pPr>
                      <w:spacing w:line="256" w:lineRule="auto"/>
                      <w:rPr>
                        <w:rFonts w:ascii="Arial"/>
                        <w:sz w:val="21"/>
                      </w:rPr>
                    </w:pPr>
                  </w:p>
                  <w:p w14:paraId="6D53ADFC">
                    <w:pPr>
                      <w:spacing w:line="256" w:lineRule="auto"/>
                      <w:rPr>
                        <w:rFonts w:ascii="Arial"/>
                        <w:sz w:val="21"/>
                      </w:rPr>
                    </w:pPr>
                  </w:p>
                  <w:p w14:paraId="1415ABFF">
                    <w:pPr>
                      <w:spacing w:line="257" w:lineRule="auto"/>
                      <w:rPr>
                        <w:rFonts w:ascii="Arial"/>
                        <w:sz w:val="21"/>
                      </w:rPr>
                    </w:pPr>
                  </w:p>
                  <w:p w14:paraId="649064A6">
                    <w:pPr>
                      <w:spacing w:line="257" w:lineRule="auto"/>
                      <w:rPr>
                        <w:rFonts w:ascii="Arial"/>
                        <w:sz w:val="21"/>
                      </w:rPr>
                    </w:pPr>
                  </w:p>
                  <w:p w14:paraId="7B52026E">
                    <w:pPr>
                      <w:spacing w:line="257" w:lineRule="auto"/>
                      <w:rPr>
                        <w:rFonts w:ascii="Arial"/>
                        <w:sz w:val="21"/>
                      </w:rPr>
                    </w:pPr>
                  </w:p>
                  <w:p w14:paraId="24F54A9A">
                    <w:pPr>
                      <w:spacing w:line="257" w:lineRule="auto"/>
                      <w:rPr>
                        <w:rFonts w:ascii="Arial"/>
                        <w:sz w:val="21"/>
                      </w:rPr>
                    </w:pPr>
                  </w:p>
                  <w:p w14:paraId="145FE919">
                    <w:pPr>
                      <w:spacing w:line="257" w:lineRule="auto"/>
                      <w:rPr>
                        <w:rFonts w:ascii="Arial"/>
                        <w:sz w:val="21"/>
                      </w:rPr>
                    </w:pPr>
                  </w:p>
                  <w:p w14:paraId="415D5DEF">
                    <w:pPr>
                      <w:spacing w:line="257" w:lineRule="auto"/>
                      <w:rPr>
                        <w:rFonts w:ascii="Arial"/>
                        <w:sz w:val="21"/>
                      </w:rPr>
                    </w:pPr>
                  </w:p>
                  <w:p w14:paraId="4F098EAD">
                    <w:pPr>
                      <w:spacing w:line="257" w:lineRule="auto"/>
                      <w:rPr>
                        <w:rFonts w:ascii="Arial"/>
                        <w:sz w:val="21"/>
                      </w:rPr>
                    </w:pPr>
                  </w:p>
                  <w:p w14:paraId="1290448D">
                    <w:pPr>
                      <w:spacing w:line="257" w:lineRule="auto"/>
                      <w:rPr>
                        <w:rFonts w:ascii="Arial"/>
                        <w:sz w:val="21"/>
                      </w:rPr>
                    </w:pPr>
                  </w:p>
                  <w:p w14:paraId="70E5702F">
                    <w:pPr>
                      <w:spacing w:line="257" w:lineRule="auto"/>
                      <w:rPr>
                        <w:rFonts w:ascii="Arial"/>
                        <w:sz w:val="21"/>
                      </w:rPr>
                    </w:pPr>
                  </w:p>
                  <w:p w14:paraId="3F3ED274">
                    <w:pPr>
                      <w:spacing w:line="257" w:lineRule="auto"/>
                      <w:rPr>
                        <w:rFonts w:ascii="Arial"/>
                        <w:sz w:val="21"/>
                      </w:rPr>
                    </w:pPr>
                  </w:p>
                  <w:p w14:paraId="1A62C07B">
                    <w:pPr>
                      <w:spacing w:before="52"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-50</w:t>
                    </w:r>
                    <w:r>
                      <w:rPr>
                        <w:rFonts w:ascii="Times New Roman" w:hAnsi="Times New Roman" w:eastAsia="Times New Roman" w:cs="Times New Roman"/>
                        <w:color w:val="595959"/>
                        <w:spacing w:val="29"/>
                        <w:sz w:val="18"/>
                        <w:szCs w:val="18"/>
                      </w:rPr>
                      <w:t xml:space="preserve"> </w:t>
                    </w:r>
                    <w:r>
                      <w:rPr>
                        <w:rFonts w:ascii="Times New Roman" w:hAnsi="Times New Roman" w:eastAsia="Times New Roman" w:cs="Times New Roman"/>
                        <w:color w:val="595959"/>
                        <w:spacing w:val="-2"/>
                        <w:sz w:val="18"/>
                        <w:szCs w:val="18"/>
                      </w:rPr>
                      <w:t>-45</w:t>
                    </w:r>
                    <w:r>
                      <w:rPr>
                        <w:rFonts w:ascii="Times New Roman" w:hAnsi="Times New Roman" w:eastAsia="Times New Roman" w:cs="Times New Roman"/>
                        <w:color w:val="595959"/>
                        <w:spacing w:val="29"/>
                        <w:sz w:val="18"/>
                        <w:szCs w:val="18"/>
                      </w:rPr>
                      <w:t xml:space="preserve"> </w:t>
                    </w:r>
                    <w:r>
                      <w:rPr>
                        <w:rFonts w:ascii="Times New Roman" w:hAnsi="Times New Roman" w:eastAsia="Times New Roman" w:cs="Times New Roman"/>
                        <w:color w:val="595959"/>
                        <w:spacing w:val="-2"/>
                        <w:sz w:val="18"/>
                        <w:szCs w:val="18"/>
                      </w:rPr>
                      <w:t>-40</w:t>
                    </w:r>
                    <w:r>
                      <w:rPr>
                        <w:rFonts w:ascii="Times New Roman" w:hAnsi="Times New Roman" w:eastAsia="Times New Roman" w:cs="Times New Roman"/>
                        <w:color w:val="595959"/>
                        <w:spacing w:val="29"/>
                        <w:w w:val="101"/>
                        <w:sz w:val="18"/>
                        <w:szCs w:val="18"/>
                      </w:rPr>
                      <w:t xml:space="preserve"> </w:t>
                    </w:r>
                    <w:r>
                      <w:rPr>
                        <w:rFonts w:ascii="Times New Roman" w:hAnsi="Times New Roman" w:eastAsia="Times New Roman" w:cs="Times New Roman"/>
                        <w:color w:val="595959"/>
                        <w:spacing w:val="-2"/>
                        <w:sz w:val="18"/>
                        <w:szCs w:val="18"/>
                      </w:rPr>
                      <w:t>-35</w:t>
                    </w:r>
                    <w:r>
                      <w:rPr>
                        <w:rFonts w:ascii="Times New Roman" w:hAnsi="Times New Roman" w:eastAsia="Times New Roman" w:cs="Times New Roman"/>
                        <w:color w:val="595959"/>
                        <w:spacing w:val="28"/>
                        <w:w w:val="102"/>
                        <w:sz w:val="18"/>
                        <w:szCs w:val="18"/>
                      </w:rPr>
                      <w:t xml:space="preserve"> </w:t>
                    </w:r>
                    <w:r>
                      <w:rPr>
                        <w:rFonts w:ascii="Times New Roman" w:hAnsi="Times New Roman" w:eastAsia="Times New Roman" w:cs="Times New Roman"/>
                        <w:color w:val="595959"/>
                        <w:spacing w:val="-2"/>
                        <w:sz w:val="18"/>
                        <w:szCs w:val="18"/>
                      </w:rPr>
                      <w:t>-30</w:t>
                    </w:r>
                    <w:r>
                      <w:rPr>
                        <w:rFonts w:ascii="Times New Roman" w:hAnsi="Times New Roman" w:eastAsia="Times New Roman" w:cs="Times New Roman"/>
                        <w:color w:val="595959"/>
                        <w:spacing w:val="29"/>
                        <w:sz w:val="18"/>
                        <w:szCs w:val="18"/>
                      </w:rPr>
                      <w:t xml:space="preserve"> </w:t>
                    </w:r>
                    <w:r>
                      <w:rPr>
                        <w:rFonts w:ascii="Times New Roman" w:hAnsi="Times New Roman" w:eastAsia="Times New Roman" w:cs="Times New Roman"/>
                        <w:color w:val="595959"/>
                        <w:spacing w:val="-2"/>
                        <w:sz w:val="18"/>
                        <w:szCs w:val="18"/>
                      </w:rPr>
                      <w:t>-25</w:t>
                    </w:r>
                    <w:r>
                      <w:rPr>
                        <w:rFonts w:ascii="Times New Roman" w:hAnsi="Times New Roman" w:eastAsia="Times New Roman" w:cs="Times New Roman"/>
                        <w:color w:val="595959"/>
                        <w:spacing w:val="29"/>
                        <w:w w:val="101"/>
                        <w:sz w:val="18"/>
                        <w:szCs w:val="18"/>
                      </w:rPr>
                      <w:t xml:space="preserve"> </w:t>
                    </w:r>
                    <w:r>
                      <w:rPr>
                        <w:rFonts w:ascii="Times New Roman" w:hAnsi="Times New Roman" w:eastAsia="Times New Roman" w:cs="Times New Roman"/>
                        <w:color w:val="595959"/>
                        <w:spacing w:val="-2"/>
                        <w:sz w:val="18"/>
                        <w:szCs w:val="18"/>
                      </w:rPr>
                      <w:t>-20</w:t>
                    </w:r>
                    <w:r>
                      <w:rPr>
                        <w:rFonts w:ascii="Times New Roman" w:hAnsi="Times New Roman" w:eastAsia="Times New Roman" w:cs="Times New Roman"/>
                        <w:color w:val="595959"/>
                        <w:spacing w:val="28"/>
                        <w:w w:val="102"/>
                        <w:sz w:val="18"/>
                        <w:szCs w:val="18"/>
                      </w:rPr>
                      <w:t xml:space="preserve"> </w:t>
                    </w:r>
                    <w:r>
                      <w:rPr>
                        <w:rFonts w:ascii="Times New Roman" w:hAnsi="Times New Roman" w:eastAsia="Times New Roman" w:cs="Times New Roman"/>
                        <w:color w:val="595959"/>
                        <w:spacing w:val="-2"/>
                        <w:sz w:val="18"/>
                        <w:szCs w:val="18"/>
                      </w:rPr>
                      <w:t>-15</w:t>
                    </w:r>
                    <w:r>
                      <w:rPr>
                        <w:rFonts w:ascii="Times New Roman" w:hAnsi="Times New Roman" w:eastAsia="Times New Roman" w:cs="Times New Roman"/>
                        <w:color w:val="595959"/>
                        <w:spacing w:val="29"/>
                        <w:sz w:val="18"/>
                        <w:szCs w:val="18"/>
                      </w:rPr>
                      <w:t xml:space="preserve"> </w:t>
                    </w:r>
                    <w:r>
                      <w:rPr>
                        <w:rFonts w:ascii="Times New Roman" w:hAnsi="Times New Roman" w:eastAsia="Times New Roman" w:cs="Times New Roman"/>
                        <w:color w:val="595959"/>
                        <w:spacing w:val="-2"/>
                        <w:sz w:val="18"/>
                        <w:szCs w:val="18"/>
                      </w:rPr>
                      <w:t>-10</w:t>
                    </w:r>
                    <w:r>
                      <w:rPr>
                        <w:rFonts w:ascii="Times New Roman" w:hAnsi="Times New Roman" w:eastAsia="Times New Roman" w:cs="Times New Roman"/>
                        <w:color w:val="595959"/>
                        <w:spacing w:val="14"/>
                        <w:w w:val="101"/>
                        <w:sz w:val="18"/>
                        <w:szCs w:val="18"/>
                      </w:rPr>
                      <w:t xml:space="preserve">  </w:t>
                    </w:r>
                    <w:r>
                      <w:rPr>
                        <w:rFonts w:ascii="Times New Roman" w:hAnsi="Times New Roman" w:eastAsia="Times New Roman" w:cs="Times New Roman"/>
                        <w:color w:val="595959"/>
                        <w:spacing w:val="-2"/>
                        <w:sz w:val="18"/>
                        <w:szCs w:val="18"/>
                      </w:rPr>
                      <w:t xml:space="preserve">-5    0     5    </w:t>
                    </w:r>
                    <w:r>
                      <w:rPr>
                        <w:rFonts w:ascii="Times New Roman" w:hAnsi="Times New Roman" w:eastAsia="Times New Roman" w:cs="Times New Roman"/>
                        <w:color w:val="595959"/>
                        <w:spacing w:val="-3"/>
                        <w:sz w:val="18"/>
                        <w:szCs w:val="18"/>
                      </w:rPr>
                      <w:t xml:space="preserve"> 10   15   20   25   30   35   40   45   50</w:t>
                    </w:r>
                  </w:p>
                  <w:p w14:paraId="07F7A901">
                    <w:pPr>
                      <w:spacing w:before="53" w:line="250" w:lineRule="exact"/>
                      <w:ind w:left="2222"/>
                      <w:rPr>
                        <w:rFonts w:ascii="宋体" w:hAnsi="宋体" w:eastAsia="宋体" w:cs="宋体"/>
                        <w:sz w:val="19"/>
                        <w:szCs w:val="19"/>
                      </w:rPr>
                    </w:pPr>
                    <w:r>
                      <w:rPr>
                        <w:rFonts w:ascii="宋体" w:hAnsi="宋体" w:eastAsia="宋体" w:cs="宋体"/>
                        <w:color w:val="595959"/>
                        <w:spacing w:val="7"/>
                        <w:position w:val="1"/>
                        <w:sz w:val="19"/>
                        <w:szCs w:val="19"/>
                      </w:rPr>
                      <w:t>距线路中心距离（</w:t>
                    </w:r>
                    <w:r>
                      <w:rPr>
                        <w:rFonts w:ascii="Times New Roman" w:hAnsi="Times New Roman" w:eastAsia="Times New Roman" w:cs="Times New Roman"/>
                        <w:color w:val="595959"/>
                        <w:spacing w:val="7"/>
                        <w:position w:val="1"/>
                        <w:sz w:val="19"/>
                        <w:szCs w:val="19"/>
                      </w:rPr>
                      <w:t>m</w:t>
                    </w:r>
                    <w:r>
                      <w:rPr>
                        <w:rFonts w:ascii="宋体" w:hAnsi="宋体" w:eastAsia="宋体" w:cs="宋体"/>
                        <w:color w:val="595959"/>
                        <w:spacing w:val="7"/>
                        <w:position w:val="1"/>
                        <w:sz w:val="19"/>
                        <w:szCs w:val="19"/>
                      </w:rPr>
                      <w:t>）</w:t>
                    </w:r>
                  </w:p>
                </w:txbxContent>
              </v:textbox>
            </v:shape>
            <v:shape id="_x0000_s1223" o:spid="_x0000_s1223" o:spt="202" type="#_x0000_t202" style="position:absolute;left:560;top:577;height:2967;width:218;" filled="f" stroked="f" coordsize="21600,21600">
              <v:path/>
              <v:fill on="f" focussize="0,0"/>
              <v:stroke on="f"/>
              <v:imagedata o:title=""/>
              <o:lock v:ext="edit" aspectratio="f"/>
              <v:textbox inset="0mm,0mm,0mm,0mm">
                <w:txbxContent>
                  <w:p w14:paraId="06DE0DC6">
                    <w:pPr>
                      <w:spacing w:before="20" w:line="232" w:lineRule="auto"/>
                      <w:ind w:left="23"/>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70</w:t>
                    </w:r>
                  </w:p>
                  <w:p w14:paraId="363E2233">
                    <w:pPr>
                      <w:spacing w:before="195" w:line="232" w:lineRule="auto"/>
                      <w:ind w:left="24"/>
                      <w:rPr>
                        <w:rFonts w:ascii="Times New Roman" w:hAnsi="Times New Roman" w:eastAsia="Times New Roman" w:cs="Times New Roman"/>
                        <w:sz w:val="18"/>
                        <w:szCs w:val="18"/>
                      </w:rPr>
                    </w:pPr>
                    <w:r>
                      <w:rPr>
                        <w:rFonts w:ascii="Times New Roman" w:hAnsi="Times New Roman" w:eastAsia="Times New Roman" w:cs="Times New Roman"/>
                        <w:color w:val="595959"/>
                        <w:spacing w:val="-4"/>
                        <w:sz w:val="18"/>
                        <w:szCs w:val="18"/>
                      </w:rPr>
                      <w:t>60</w:t>
                    </w:r>
                  </w:p>
                  <w:p w14:paraId="66518F94">
                    <w:pPr>
                      <w:spacing w:before="194" w:line="232" w:lineRule="auto"/>
                      <w:ind w:left="25"/>
                      <w:rPr>
                        <w:rFonts w:ascii="Times New Roman" w:hAnsi="Times New Roman" w:eastAsia="Times New Roman" w:cs="Times New Roman"/>
                        <w:sz w:val="18"/>
                        <w:szCs w:val="18"/>
                      </w:rPr>
                    </w:pPr>
                    <w:r>
                      <w:rPr>
                        <w:rFonts w:ascii="Times New Roman" w:hAnsi="Times New Roman" w:eastAsia="Times New Roman" w:cs="Times New Roman"/>
                        <w:color w:val="595959"/>
                        <w:spacing w:val="-4"/>
                        <w:sz w:val="18"/>
                        <w:szCs w:val="18"/>
                      </w:rPr>
                      <w:t>50</w:t>
                    </w:r>
                  </w:p>
                  <w:p w14:paraId="0DAAC1D0">
                    <w:pPr>
                      <w:spacing w:before="194"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1"/>
                        <w:sz w:val="18"/>
                        <w:szCs w:val="18"/>
                      </w:rPr>
                      <w:t>40</w:t>
                    </w:r>
                  </w:p>
                  <w:p w14:paraId="25CC9921">
                    <w:pPr>
                      <w:spacing w:before="194" w:line="232" w:lineRule="auto"/>
                      <w:ind w:left="24"/>
                      <w:rPr>
                        <w:rFonts w:ascii="Times New Roman" w:hAnsi="Times New Roman" w:eastAsia="Times New Roman" w:cs="Times New Roman"/>
                        <w:sz w:val="18"/>
                        <w:szCs w:val="18"/>
                      </w:rPr>
                    </w:pPr>
                    <w:r>
                      <w:rPr>
                        <w:rFonts w:ascii="Times New Roman" w:hAnsi="Times New Roman" w:eastAsia="Times New Roman" w:cs="Times New Roman"/>
                        <w:color w:val="595959"/>
                        <w:spacing w:val="-4"/>
                        <w:sz w:val="18"/>
                        <w:szCs w:val="18"/>
                      </w:rPr>
                      <w:t>30</w:t>
                    </w:r>
                  </w:p>
                  <w:p w14:paraId="1CCC8A7C">
                    <w:pPr>
                      <w:spacing w:before="194"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20</w:t>
                    </w:r>
                  </w:p>
                  <w:p w14:paraId="5D4825CB">
                    <w:pPr>
                      <w:spacing w:before="195" w:line="232" w:lineRule="auto"/>
                      <w:ind w:left="38"/>
                      <w:rPr>
                        <w:rFonts w:ascii="Times New Roman" w:hAnsi="Times New Roman" w:eastAsia="Times New Roman" w:cs="Times New Roman"/>
                        <w:sz w:val="18"/>
                        <w:szCs w:val="18"/>
                      </w:rPr>
                    </w:pPr>
                    <w:r>
                      <w:rPr>
                        <w:rFonts w:ascii="Times New Roman" w:hAnsi="Times New Roman" w:eastAsia="Times New Roman" w:cs="Times New Roman"/>
                        <w:color w:val="595959"/>
                        <w:spacing w:val="-10"/>
                        <w:sz w:val="18"/>
                        <w:szCs w:val="18"/>
                      </w:rPr>
                      <w:t>10</w:t>
                    </w:r>
                  </w:p>
                  <w:p w14:paraId="0E148955">
                    <w:pPr>
                      <w:spacing w:before="194" w:line="232" w:lineRule="auto"/>
                      <w:ind w:left="113"/>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0</w:t>
                    </w:r>
                  </w:p>
                </w:txbxContent>
              </v:textbox>
            </v:shape>
            <w10:wrap type="none"/>
            <w10:anchorlock/>
          </v:group>
        </w:pict>
      </w:r>
    </w:p>
    <w:p w14:paraId="75BC3B8B">
      <w:pPr>
        <w:spacing w:before="169" w:line="234" w:lineRule="auto"/>
        <w:ind w:left="1240"/>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9"/>
          <w:sz w:val="21"/>
          <w:szCs w:val="21"/>
        </w:rPr>
        <w:t xml:space="preserve"> </w:t>
      </w:r>
      <w:r>
        <w:rPr>
          <w:rFonts w:ascii="Times New Roman" w:hAnsi="Times New Roman" w:eastAsia="Times New Roman" w:cs="Times New Roman"/>
          <w:b/>
          <w:bCs/>
          <w:spacing w:val="-3"/>
          <w:sz w:val="21"/>
          <w:szCs w:val="21"/>
        </w:rPr>
        <w:t>4-4    C</w:t>
      </w:r>
      <w:r>
        <w:rPr>
          <w:rFonts w:ascii="Times New Roman" w:hAnsi="Times New Roman" w:eastAsia="Times New Roman" w:cs="Times New Roman"/>
          <w:b/>
          <w:bCs/>
          <w:spacing w:val="29"/>
          <w:w w:val="101"/>
          <w:sz w:val="21"/>
          <w:szCs w:val="21"/>
        </w:rPr>
        <w:t xml:space="preserve"> </w:t>
      </w:r>
      <w:r>
        <w:rPr>
          <w:rFonts w:ascii="宋体" w:hAnsi="宋体" w:eastAsia="宋体" w:cs="宋体"/>
          <w:b/>
          <w:bCs/>
          <w:spacing w:val="-3"/>
          <w:sz w:val="21"/>
          <w:szCs w:val="21"/>
        </w:rPr>
        <w:t>回线双回垂直（单边挂线）排列最不利塔型磁感应强度分布图</w:t>
      </w:r>
    </w:p>
    <w:p w14:paraId="5999EC10">
      <w:pPr>
        <w:spacing w:before="189" w:line="233" w:lineRule="auto"/>
        <w:ind w:left="49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3</w:t>
      </w:r>
      <w:r>
        <w:rPr>
          <w:rFonts w:ascii="宋体" w:hAnsi="宋体" w:eastAsia="宋体" w:cs="宋体"/>
          <w:spacing w:val="-2"/>
          <w:sz w:val="24"/>
          <w:szCs w:val="24"/>
        </w:rPr>
        <w:t>）</w:t>
      </w:r>
      <w:r>
        <w:rPr>
          <w:rFonts w:ascii="Times New Roman" w:hAnsi="Times New Roman" w:eastAsia="Times New Roman" w:cs="Times New Roman"/>
          <w:spacing w:val="-2"/>
          <w:sz w:val="24"/>
          <w:szCs w:val="24"/>
        </w:rPr>
        <w:t>C</w:t>
      </w:r>
      <w:r>
        <w:rPr>
          <w:rFonts w:ascii="Times New Roman" w:hAnsi="Times New Roman" w:eastAsia="Times New Roman" w:cs="Times New Roman"/>
          <w:spacing w:val="44"/>
          <w:sz w:val="24"/>
          <w:szCs w:val="24"/>
        </w:rPr>
        <w:t xml:space="preserve"> </w:t>
      </w:r>
      <w:r>
        <w:rPr>
          <w:rFonts w:ascii="宋体" w:hAnsi="宋体" w:eastAsia="宋体" w:cs="宋体"/>
          <w:spacing w:val="-2"/>
          <w:sz w:val="24"/>
          <w:szCs w:val="24"/>
        </w:rPr>
        <w:t>回：双回垂直排列（双边挂线）最不利塔型</w:t>
      </w:r>
      <w:r>
        <w:rPr>
          <w:rFonts w:ascii="宋体" w:hAnsi="宋体" w:eastAsia="宋体" w:cs="宋体"/>
          <w:spacing w:val="-54"/>
          <w:sz w:val="24"/>
          <w:szCs w:val="24"/>
        </w:rPr>
        <w:t xml:space="preserve"> </w:t>
      </w:r>
      <w:r>
        <w:rPr>
          <w:rFonts w:ascii="Times New Roman" w:hAnsi="Times New Roman" w:eastAsia="Times New Roman" w:cs="Times New Roman"/>
          <w:spacing w:val="-2"/>
          <w:sz w:val="24"/>
          <w:szCs w:val="24"/>
        </w:rPr>
        <w:t>2D2Z5-JD</w:t>
      </w:r>
    </w:p>
    <w:p w14:paraId="39A83DA6">
      <w:pPr>
        <w:spacing w:before="101" w:line="229" w:lineRule="auto"/>
        <w:ind w:left="1536"/>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44"/>
          <w:sz w:val="21"/>
          <w:szCs w:val="21"/>
        </w:rPr>
        <w:t xml:space="preserve"> </w:t>
      </w:r>
      <w:r>
        <w:rPr>
          <w:rFonts w:ascii="Times New Roman" w:hAnsi="Times New Roman" w:eastAsia="Times New Roman" w:cs="Times New Roman"/>
          <w:b/>
          <w:bCs/>
          <w:spacing w:val="-2"/>
          <w:sz w:val="21"/>
          <w:szCs w:val="21"/>
        </w:rPr>
        <w:t>4-6    C</w:t>
      </w:r>
      <w:r>
        <w:rPr>
          <w:rFonts w:ascii="Times New Roman" w:hAnsi="Times New Roman" w:eastAsia="Times New Roman" w:cs="Times New Roman"/>
          <w:b/>
          <w:bCs/>
          <w:spacing w:val="28"/>
          <w:sz w:val="21"/>
          <w:szCs w:val="21"/>
        </w:rPr>
        <w:t xml:space="preserve"> </w:t>
      </w:r>
      <w:r>
        <w:rPr>
          <w:rFonts w:ascii="宋体" w:hAnsi="宋体" w:eastAsia="宋体" w:cs="宋体"/>
          <w:b/>
          <w:bCs/>
          <w:spacing w:val="-2"/>
          <w:sz w:val="21"/>
          <w:szCs w:val="21"/>
        </w:rPr>
        <w:t>回线双回垂直排列（双边挂线）</w:t>
      </w:r>
      <w:r>
        <w:rPr>
          <w:rFonts w:ascii="宋体" w:hAnsi="宋体" w:eastAsia="宋体" w:cs="宋体"/>
          <w:b/>
          <w:bCs/>
          <w:spacing w:val="-3"/>
          <w:sz w:val="21"/>
          <w:szCs w:val="21"/>
        </w:rPr>
        <w:t>线路电磁场强度预测值</w:t>
      </w: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4"/>
        <w:gridCol w:w="3685"/>
        <w:gridCol w:w="3404"/>
      </w:tblGrid>
      <w:tr w14:paraId="4A341F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984" w:type="dxa"/>
            <w:vMerge w:val="restart"/>
            <w:tcBorders>
              <w:bottom w:val="nil"/>
            </w:tcBorders>
            <w:vAlign w:val="top"/>
          </w:tcPr>
          <w:p w14:paraId="58734852">
            <w:pPr>
              <w:pStyle w:val="6"/>
              <w:spacing w:before="62" w:line="221" w:lineRule="auto"/>
              <w:ind w:left="153"/>
            </w:pPr>
            <w:r>
              <w:rPr>
                <w:b/>
                <w:bCs/>
                <w:spacing w:val="-2"/>
              </w:rPr>
              <w:t>距线路走廊中心距</w:t>
            </w:r>
          </w:p>
          <w:p w14:paraId="16F40113">
            <w:pPr>
              <w:pStyle w:val="6"/>
              <w:spacing w:before="60" w:line="228" w:lineRule="auto"/>
              <w:ind w:left="596"/>
            </w:pPr>
            <w:r>
              <w:rPr>
                <w:b/>
                <w:bCs/>
                <w:spacing w:val="-4"/>
              </w:rPr>
              <w:t>离（</w:t>
            </w:r>
            <w:r>
              <w:rPr>
                <w:rFonts w:ascii="Times New Roman" w:hAnsi="Times New Roman" w:eastAsia="Times New Roman" w:cs="Times New Roman"/>
                <w:b/>
                <w:bCs/>
                <w:spacing w:val="-4"/>
              </w:rPr>
              <w:t>m</w:t>
            </w:r>
            <w:r>
              <w:rPr>
                <w:b/>
                <w:bCs/>
                <w:spacing w:val="-4"/>
              </w:rPr>
              <w:t>）</w:t>
            </w:r>
          </w:p>
        </w:tc>
        <w:tc>
          <w:tcPr>
            <w:tcW w:w="3685" w:type="dxa"/>
            <w:vAlign w:val="top"/>
          </w:tcPr>
          <w:p w14:paraId="29F62119">
            <w:pPr>
              <w:pStyle w:val="6"/>
              <w:spacing w:before="56" w:line="221" w:lineRule="auto"/>
              <w:ind w:left="753"/>
            </w:pPr>
            <w:r>
              <w:rPr>
                <w:b/>
                <w:bCs/>
                <w:spacing w:val="-2"/>
              </w:rPr>
              <w:t>工频电场强度（</w:t>
            </w:r>
            <w:r>
              <w:rPr>
                <w:rFonts w:ascii="Times New Roman" w:hAnsi="Times New Roman" w:eastAsia="Times New Roman" w:cs="Times New Roman"/>
                <w:b/>
                <w:bCs/>
                <w:spacing w:val="-2"/>
              </w:rPr>
              <w:t>kV/m</w:t>
            </w:r>
            <w:r>
              <w:rPr>
                <w:b/>
                <w:bCs/>
                <w:spacing w:val="-2"/>
              </w:rPr>
              <w:t>）</w:t>
            </w:r>
          </w:p>
        </w:tc>
        <w:tc>
          <w:tcPr>
            <w:tcW w:w="3404" w:type="dxa"/>
            <w:vAlign w:val="top"/>
          </w:tcPr>
          <w:p w14:paraId="7034AD91">
            <w:pPr>
              <w:pStyle w:val="6"/>
              <w:spacing w:before="56" w:line="213" w:lineRule="auto"/>
              <w:ind w:left="628"/>
            </w:pPr>
            <w:r>
              <w:rPr>
                <w:b/>
                <w:bCs/>
                <w:spacing w:val="7"/>
              </w:rPr>
              <w:t>工频磁感应强度(</w:t>
            </w:r>
            <w:r>
              <w:rPr>
                <w:rFonts w:ascii="Times New Roman" w:hAnsi="Times New Roman" w:eastAsia="Times New Roman" w:cs="Times New Roman"/>
                <w:b/>
                <w:bCs/>
                <w:spacing w:val="7"/>
              </w:rPr>
              <w:t>µT</w:t>
            </w:r>
            <w:r>
              <w:rPr>
                <w:b/>
                <w:bCs/>
                <w:spacing w:val="7"/>
              </w:rPr>
              <w:t>）</w:t>
            </w:r>
          </w:p>
        </w:tc>
      </w:tr>
      <w:tr w14:paraId="5C26BD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1984" w:type="dxa"/>
            <w:vMerge w:val="continue"/>
            <w:tcBorders>
              <w:top w:val="nil"/>
            </w:tcBorders>
            <w:vAlign w:val="top"/>
          </w:tcPr>
          <w:p w14:paraId="1CF508E7">
            <w:pPr>
              <w:rPr>
                <w:rFonts w:ascii="Arial"/>
                <w:sz w:val="21"/>
              </w:rPr>
            </w:pPr>
          </w:p>
        </w:tc>
        <w:tc>
          <w:tcPr>
            <w:tcW w:w="3685" w:type="dxa"/>
            <w:vAlign w:val="top"/>
          </w:tcPr>
          <w:p w14:paraId="3711ADC7">
            <w:pPr>
              <w:pStyle w:val="6"/>
              <w:spacing w:before="54" w:line="223" w:lineRule="auto"/>
              <w:ind w:left="1001"/>
              <w:rPr>
                <w:rFonts w:ascii="Times New Roman" w:hAnsi="Times New Roman" w:eastAsia="Times New Roman" w:cs="Times New Roman"/>
              </w:rPr>
            </w:pPr>
            <w:r>
              <w:rPr>
                <w:b/>
                <w:bCs/>
                <w:spacing w:val="-4"/>
              </w:rPr>
              <w:t>导线实际高度</w:t>
            </w:r>
            <w:r>
              <w:rPr>
                <w:spacing w:val="-36"/>
              </w:rPr>
              <w:t xml:space="preserve"> </w:t>
            </w:r>
            <w:r>
              <w:rPr>
                <w:rFonts w:ascii="Times New Roman" w:hAnsi="Times New Roman" w:eastAsia="Times New Roman" w:cs="Times New Roman"/>
                <w:b/>
                <w:bCs/>
                <w:spacing w:val="-4"/>
              </w:rPr>
              <w:t>15m</w:t>
            </w:r>
          </w:p>
        </w:tc>
        <w:tc>
          <w:tcPr>
            <w:tcW w:w="3404" w:type="dxa"/>
            <w:vAlign w:val="top"/>
          </w:tcPr>
          <w:p w14:paraId="27C9378D">
            <w:pPr>
              <w:pStyle w:val="6"/>
              <w:spacing w:before="54" w:line="223" w:lineRule="auto"/>
              <w:ind w:left="859"/>
              <w:rPr>
                <w:rFonts w:ascii="Times New Roman" w:hAnsi="Times New Roman" w:eastAsia="Times New Roman" w:cs="Times New Roman"/>
              </w:rPr>
            </w:pPr>
            <w:r>
              <w:rPr>
                <w:b/>
                <w:bCs/>
                <w:spacing w:val="-4"/>
              </w:rPr>
              <w:t>导线实际高度</w:t>
            </w:r>
            <w:r>
              <w:rPr>
                <w:spacing w:val="-36"/>
              </w:rPr>
              <w:t xml:space="preserve"> </w:t>
            </w:r>
            <w:r>
              <w:rPr>
                <w:rFonts w:ascii="Times New Roman" w:hAnsi="Times New Roman" w:eastAsia="Times New Roman" w:cs="Times New Roman"/>
                <w:b/>
                <w:bCs/>
                <w:spacing w:val="-4"/>
              </w:rPr>
              <w:t>15m</w:t>
            </w:r>
          </w:p>
        </w:tc>
      </w:tr>
      <w:tr w14:paraId="52FF7A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2A3D9C74">
            <w:pPr>
              <w:spacing w:before="88"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3685" w:type="dxa"/>
            <w:vAlign w:val="top"/>
          </w:tcPr>
          <w:p w14:paraId="70BDED8A">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0.077</w:t>
            </w:r>
          </w:p>
        </w:tc>
        <w:tc>
          <w:tcPr>
            <w:tcW w:w="3404" w:type="dxa"/>
            <w:vAlign w:val="top"/>
          </w:tcPr>
          <w:p w14:paraId="7491734E">
            <w:pPr>
              <w:spacing w:before="88" w:line="217"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2.185</w:t>
            </w:r>
          </w:p>
        </w:tc>
      </w:tr>
      <w:tr w14:paraId="744E05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51B7D834">
            <w:pPr>
              <w:spacing w:before="87"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-49</w:t>
            </w:r>
          </w:p>
        </w:tc>
        <w:tc>
          <w:tcPr>
            <w:tcW w:w="3685" w:type="dxa"/>
            <w:vAlign w:val="top"/>
          </w:tcPr>
          <w:p w14:paraId="4AE90A21">
            <w:pPr>
              <w:spacing w:before="87"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0.078</w:t>
            </w:r>
          </w:p>
        </w:tc>
        <w:tc>
          <w:tcPr>
            <w:tcW w:w="3404" w:type="dxa"/>
            <w:vAlign w:val="top"/>
          </w:tcPr>
          <w:p w14:paraId="1DB85FDA">
            <w:pPr>
              <w:spacing w:before="87" w:line="217"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2.269</w:t>
            </w:r>
          </w:p>
        </w:tc>
      </w:tr>
      <w:tr w14:paraId="187954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0041DA20">
            <w:pPr>
              <w:spacing w:before="88" w:line="216"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-48</w:t>
            </w:r>
          </w:p>
        </w:tc>
        <w:tc>
          <w:tcPr>
            <w:tcW w:w="3685" w:type="dxa"/>
            <w:vAlign w:val="top"/>
          </w:tcPr>
          <w:p w14:paraId="2D5F7031">
            <w:pPr>
              <w:spacing w:before="88" w:line="216"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0.079</w:t>
            </w:r>
          </w:p>
        </w:tc>
        <w:tc>
          <w:tcPr>
            <w:tcW w:w="3404" w:type="dxa"/>
            <w:vAlign w:val="top"/>
          </w:tcPr>
          <w:p w14:paraId="3DA7E183">
            <w:pPr>
              <w:spacing w:before="88" w:line="216"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2.358</w:t>
            </w:r>
          </w:p>
        </w:tc>
      </w:tr>
      <w:tr w14:paraId="315B91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685A30A2">
            <w:pPr>
              <w:spacing w:before="88" w:line="216"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-47</w:t>
            </w:r>
          </w:p>
        </w:tc>
        <w:tc>
          <w:tcPr>
            <w:tcW w:w="3685" w:type="dxa"/>
            <w:vAlign w:val="top"/>
          </w:tcPr>
          <w:p w14:paraId="1F4C8F0B">
            <w:pPr>
              <w:spacing w:before="88" w:line="216"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0.080</w:t>
            </w:r>
          </w:p>
        </w:tc>
        <w:tc>
          <w:tcPr>
            <w:tcW w:w="3404" w:type="dxa"/>
            <w:vAlign w:val="top"/>
          </w:tcPr>
          <w:p w14:paraId="03881B9F">
            <w:pPr>
              <w:spacing w:before="88" w:line="216"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2.453</w:t>
            </w:r>
          </w:p>
        </w:tc>
      </w:tr>
      <w:tr w14:paraId="57771C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2F004A86">
            <w:pPr>
              <w:spacing w:before="89" w:line="215"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-46</w:t>
            </w:r>
          </w:p>
        </w:tc>
        <w:tc>
          <w:tcPr>
            <w:tcW w:w="3685" w:type="dxa"/>
            <w:vAlign w:val="top"/>
          </w:tcPr>
          <w:p w14:paraId="145AA85F">
            <w:pPr>
              <w:spacing w:before="89" w:line="215"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0.082</w:t>
            </w:r>
          </w:p>
        </w:tc>
        <w:tc>
          <w:tcPr>
            <w:tcW w:w="3404" w:type="dxa"/>
            <w:vAlign w:val="top"/>
          </w:tcPr>
          <w:p w14:paraId="1D6AEE9B">
            <w:pPr>
              <w:spacing w:before="89" w:line="215"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2.552</w:t>
            </w:r>
          </w:p>
        </w:tc>
      </w:tr>
      <w:tr w14:paraId="6A7543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1984" w:type="dxa"/>
            <w:vAlign w:val="top"/>
          </w:tcPr>
          <w:p w14:paraId="691BEF23">
            <w:pPr>
              <w:spacing w:before="92" w:line="214"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-45</w:t>
            </w:r>
          </w:p>
        </w:tc>
        <w:tc>
          <w:tcPr>
            <w:tcW w:w="3685" w:type="dxa"/>
            <w:vAlign w:val="top"/>
          </w:tcPr>
          <w:p w14:paraId="78549C02">
            <w:pPr>
              <w:spacing w:before="92" w:line="214"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0.083</w:t>
            </w:r>
          </w:p>
        </w:tc>
        <w:tc>
          <w:tcPr>
            <w:tcW w:w="3404" w:type="dxa"/>
            <w:vAlign w:val="top"/>
          </w:tcPr>
          <w:p w14:paraId="04F51487">
            <w:pPr>
              <w:spacing w:before="92" w:line="214"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2.658</w:t>
            </w:r>
          </w:p>
        </w:tc>
      </w:tr>
      <w:tr w14:paraId="7E5E9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984" w:type="dxa"/>
            <w:vAlign w:val="top"/>
          </w:tcPr>
          <w:p w14:paraId="685A0E24">
            <w:pPr>
              <w:spacing w:before="91" w:line="218"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-44</w:t>
            </w:r>
          </w:p>
        </w:tc>
        <w:tc>
          <w:tcPr>
            <w:tcW w:w="3685" w:type="dxa"/>
            <w:vAlign w:val="top"/>
          </w:tcPr>
          <w:p w14:paraId="7C9C946A">
            <w:pPr>
              <w:spacing w:before="91" w:line="218"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0.084</w:t>
            </w:r>
          </w:p>
        </w:tc>
        <w:tc>
          <w:tcPr>
            <w:tcW w:w="3404" w:type="dxa"/>
            <w:vAlign w:val="top"/>
          </w:tcPr>
          <w:p w14:paraId="2E8AC319">
            <w:pPr>
              <w:spacing w:before="91" w:line="218"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2.770</w:t>
            </w:r>
          </w:p>
        </w:tc>
      </w:tr>
    </w:tbl>
    <w:p w14:paraId="0E072690">
      <w:pPr>
        <w:rPr>
          <w:rFonts w:ascii="Arial"/>
          <w:sz w:val="21"/>
        </w:rPr>
      </w:pPr>
    </w:p>
    <w:p w14:paraId="556DD6BA">
      <w:pPr>
        <w:rPr>
          <w:rFonts w:ascii="Arial" w:hAnsi="Arial" w:eastAsia="Arial" w:cs="Arial"/>
          <w:sz w:val="21"/>
          <w:szCs w:val="21"/>
        </w:rPr>
        <w:sectPr>
          <w:footerReference r:id="rId110" w:type="default"/>
          <w:pgSz w:w="11907" w:h="16841"/>
          <w:pgMar w:top="400" w:right="1411" w:bottom="1126" w:left="1416" w:header="0" w:footer="925" w:gutter="0"/>
          <w:cols w:space="720" w:num="1"/>
        </w:sectPr>
      </w:pPr>
    </w:p>
    <w:p w14:paraId="5FA568AF">
      <w:pPr>
        <w:spacing w:before="2"/>
      </w:pPr>
    </w:p>
    <w:p w14:paraId="670AF23D">
      <w:pPr>
        <w:spacing w:before="2"/>
      </w:pPr>
    </w:p>
    <w:p w14:paraId="63AF881C">
      <w:pPr>
        <w:spacing w:before="1"/>
      </w:pPr>
    </w:p>
    <w:p w14:paraId="2997D6F5">
      <w:pPr>
        <w:spacing w:before="1"/>
      </w:pPr>
    </w:p>
    <w:p w14:paraId="6E6020A5">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4"/>
        <w:gridCol w:w="3685"/>
        <w:gridCol w:w="3404"/>
      </w:tblGrid>
      <w:tr w14:paraId="5AE703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984" w:type="dxa"/>
            <w:vAlign w:val="top"/>
          </w:tcPr>
          <w:p w14:paraId="0C70C988">
            <w:pPr>
              <w:spacing w:before="93"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-43</w:t>
            </w:r>
          </w:p>
        </w:tc>
        <w:tc>
          <w:tcPr>
            <w:tcW w:w="3685" w:type="dxa"/>
            <w:vAlign w:val="top"/>
          </w:tcPr>
          <w:p w14:paraId="28363BB9">
            <w:pPr>
              <w:spacing w:before="93"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0.085</w:t>
            </w:r>
          </w:p>
        </w:tc>
        <w:tc>
          <w:tcPr>
            <w:tcW w:w="3404" w:type="dxa"/>
            <w:vAlign w:val="top"/>
          </w:tcPr>
          <w:p w14:paraId="1E8DF117">
            <w:pPr>
              <w:spacing w:before="93" w:line="217"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2.889</w:t>
            </w:r>
          </w:p>
        </w:tc>
      </w:tr>
      <w:tr w14:paraId="5F5A6E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60FC3BB7">
            <w:pPr>
              <w:spacing w:before="88" w:line="219"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-42</w:t>
            </w:r>
          </w:p>
        </w:tc>
        <w:tc>
          <w:tcPr>
            <w:tcW w:w="3685" w:type="dxa"/>
            <w:vAlign w:val="top"/>
          </w:tcPr>
          <w:p w14:paraId="4E955EE3">
            <w:pPr>
              <w:spacing w:before="88" w:line="219"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0.086</w:t>
            </w:r>
          </w:p>
        </w:tc>
        <w:tc>
          <w:tcPr>
            <w:tcW w:w="3404" w:type="dxa"/>
            <w:vAlign w:val="top"/>
          </w:tcPr>
          <w:p w14:paraId="3E878F84">
            <w:pPr>
              <w:spacing w:before="88" w:line="219"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3.015</w:t>
            </w:r>
          </w:p>
        </w:tc>
      </w:tr>
      <w:tr w14:paraId="65BD5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2A97A018">
            <w:pPr>
              <w:spacing w:before="85" w:line="219"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-41</w:t>
            </w:r>
          </w:p>
        </w:tc>
        <w:tc>
          <w:tcPr>
            <w:tcW w:w="3685" w:type="dxa"/>
            <w:vAlign w:val="top"/>
          </w:tcPr>
          <w:p w14:paraId="38E18888">
            <w:pPr>
              <w:spacing w:before="85" w:line="219"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0.087</w:t>
            </w:r>
          </w:p>
        </w:tc>
        <w:tc>
          <w:tcPr>
            <w:tcW w:w="3404" w:type="dxa"/>
            <w:vAlign w:val="top"/>
          </w:tcPr>
          <w:p w14:paraId="2B8DB9E4">
            <w:pPr>
              <w:spacing w:before="85" w:line="219"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3.149</w:t>
            </w:r>
          </w:p>
        </w:tc>
      </w:tr>
      <w:tr w14:paraId="47EC9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54486D0D">
            <w:pPr>
              <w:spacing w:before="86" w:line="219"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-40</w:t>
            </w:r>
          </w:p>
        </w:tc>
        <w:tc>
          <w:tcPr>
            <w:tcW w:w="3685" w:type="dxa"/>
            <w:vAlign w:val="top"/>
          </w:tcPr>
          <w:p w14:paraId="6FA5CA39">
            <w:pPr>
              <w:spacing w:before="86" w:line="219"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0.089</w:t>
            </w:r>
          </w:p>
        </w:tc>
        <w:tc>
          <w:tcPr>
            <w:tcW w:w="3404" w:type="dxa"/>
            <w:vAlign w:val="top"/>
          </w:tcPr>
          <w:p w14:paraId="701B3CD9">
            <w:pPr>
              <w:spacing w:before="86" w:line="219"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3.292</w:t>
            </w:r>
          </w:p>
        </w:tc>
      </w:tr>
      <w:tr w14:paraId="32B698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66137F24">
            <w:pPr>
              <w:spacing w:before="86" w:line="218"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-39</w:t>
            </w:r>
          </w:p>
        </w:tc>
        <w:tc>
          <w:tcPr>
            <w:tcW w:w="3685" w:type="dxa"/>
            <w:vAlign w:val="top"/>
          </w:tcPr>
          <w:p w14:paraId="250F1C06">
            <w:pPr>
              <w:spacing w:before="86" w:line="218"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0.090</w:t>
            </w:r>
          </w:p>
        </w:tc>
        <w:tc>
          <w:tcPr>
            <w:tcW w:w="3404" w:type="dxa"/>
            <w:vAlign w:val="top"/>
          </w:tcPr>
          <w:p w14:paraId="68CB2161">
            <w:pPr>
              <w:spacing w:before="86" w:line="218"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3.443</w:t>
            </w:r>
          </w:p>
        </w:tc>
      </w:tr>
      <w:tr w14:paraId="10DEC7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5268F120">
            <w:pPr>
              <w:spacing w:before="86" w:line="218"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-38</w:t>
            </w:r>
          </w:p>
        </w:tc>
        <w:tc>
          <w:tcPr>
            <w:tcW w:w="3685" w:type="dxa"/>
            <w:vAlign w:val="top"/>
          </w:tcPr>
          <w:p w14:paraId="64CB95E9">
            <w:pPr>
              <w:spacing w:before="86" w:line="218"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0.091</w:t>
            </w:r>
          </w:p>
        </w:tc>
        <w:tc>
          <w:tcPr>
            <w:tcW w:w="3404" w:type="dxa"/>
            <w:vAlign w:val="top"/>
          </w:tcPr>
          <w:p w14:paraId="11069D3F">
            <w:pPr>
              <w:spacing w:before="86" w:line="218"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3.605</w:t>
            </w:r>
          </w:p>
        </w:tc>
      </w:tr>
      <w:tr w14:paraId="77579F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001B41AC">
            <w:pPr>
              <w:spacing w:before="87"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-37</w:t>
            </w:r>
          </w:p>
        </w:tc>
        <w:tc>
          <w:tcPr>
            <w:tcW w:w="3685" w:type="dxa"/>
            <w:vAlign w:val="top"/>
          </w:tcPr>
          <w:p w14:paraId="004C085C">
            <w:pPr>
              <w:spacing w:before="87"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0.093</w:t>
            </w:r>
          </w:p>
        </w:tc>
        <w:tc>
          <w:tcPr>
            <w:tcW w:w="3404" w:type="dxa"/>
            <w:vAlign w:val="top"/>
          </w:tcPr>
          <w:p w14:paraId="3788FB90">
            <w:pPr>
              <w:spacing w:before="87" w:line="217"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3.778</w:t>
            </w:r>
          </w:p>
        </w:tc>
      </w:tr>
      <w:tr w14:paraId="5EEE20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43FD95DB">
            <w:pPr>
              <w:spacing w:before="90"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-36</w:t>
            </w:r>
          </w:p>
        </w:tc>
        <w:tc>
          <w:tcPr>
            <w:tcW w:w="3685" w:type="dxa"/>
            <w:vAlign w:val="top"/>
          </w:tcPr>
          <w:p w14:paraId="79DC9F95">
            <w:pPr>
              <w:spacing w:before="90"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0.095</w:t>
            </w:r>
          </w:p>
        </w:tc>
        <w:tc>
          <w:tcPr>
            <w:tcW w:w="3404" w:type="dxa"/>
            <w:vAlign w:val="top"/>
          </w:tcPr>
          <w:p w14:paraId="78DC80E9">
            <w:pPr>
              <w:spacing w:before="90" w:line="217"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3.962</w:t>
            </w:r>
          </w:p>
        </w:tc>
      </w:tr>
      <w:tr w14:paraId="461889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70CFD629">
            <w:pPr>
              <w:spacing w:before="87"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-35</w:t>
            </w:r>
          </w:p>
        </w:tc>
        <w:tc>
          <w:tcPr>
            <w:tcW w:w="3685" w:type="dxa"/>
            <w:vAlign w:val="top"/>
          </w:tcPr>
          <w:p w14:paraId="430E56E2">
            <w:pPr>
              <w:spacing w:before="87"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0.098</w:t>
            </w:r>
          </w:p>
        </w:tc>
        <w:tc>
          <w:tcPr>
            <w:tcW w:w="3404" w:type="dxa"/>
            <w:vAlign w:val="top"/>
          </w:tcPr>
          <w:p w14:paraId="4A777943">
            <w:pPr>
              <w:spacing w:before="87" w:line="217"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4.159</w:t>
            </w:r>
          </w:p>
        </w:tc>
      </w:tr>
      <w:tr w14:paraId="48639E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488C749A">
            <w:pPr>
              <w:spacing w:before="88"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-34</w:t>
            </w:r>
          </w:p>
        </w:tc>
        <w:tc>
          <w:tcPr>
            <w:tcW w:w="3685" w:type="dxa"/>
            <w:vAlign w:val="top"/>
          </w:tcPr>
          <w:p w14:paraId="41B511EA">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0.102</w:t>
            </w:r>
          </w:p>
        </w:tc>
        <w:tc>
          <w:tcPr>
            <w:tcW w:w="3404" w:type="dxa"/>
            <w:vAlign w:val="top"/>
          </w:tcPr>
          <w:p w14:paraId="77C49F20">
            <w:pPr>
              <w:spacing w:before="88" w:line="217"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4.370</w:t>
            </w:r>
          </w:p>
        </w:tc>
      </w:tr>
      <w:tr w14:paraId="026E50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0384E428">
            <w:pPr>
              <w:spacing w:before="88"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-33</w:t>
            </w:r>
          </w:p>
        </w:tc>
        <w:tc>
          <w:tcPr>
            <w:tcW w:w="3685" w:type="dxa"/>
            <w:vAlign w:val="top"/>
          </w:tcPr>
          <w:p w14:paraId="2A16FCB4">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0.107</w:t>
            </w:r>
          </w:p>
        </w:tc>
        <w:tc>
          <w:tcPr>
            <w:tcW w:w="3404" w:type="dxa"/>
            <w:vAlign w:val="top"/>
          </w:tcPr>
          <w:p w14:paraId="1633FB46">
            <w:pPr>
              <w:spacing w:before="88" w:line="217"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4.595</w:t>
            </w:r>
          </w:p>
        </w:tc>
      </w:tr>
      <w:tr w14:paraId="35B365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6E24D46C">
            <w:pPr>
              <w:spacing w:before="87" w:line="218"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-32</w:t>
            </w:r>
          </w:p>
        </w:tc>
        <w:tc>
          <w:tcPr>
            <w:tcW w:w="3685" w:type="dxa"/>
            <w:vAlign w:val="top"/>
          </w:tcPr>
          <w:p w14:paraId="4D9B7B84">
            <w:pPr>
              <w:spacing w:before="87" w:line="218" w:lineRule="auto"/>
              <w:ind w:left="161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0.113</w:t>
            </w:r>
          </w:p>
        </w:tc>
        <w:tc>
          <w:tcPr>
            <w:tcW w:w="3404" w:type="dxa"/>
            <w:vAlign w:val="top"/>
          </w:tcPr>
          <w:p w14:paraId="60496DD9">
            <w:pPr>
              <w:spacing w:before="87" w:line="218"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4.836</w:t>
            </w:r>
          </w:p>
        </w:tc>
      </w:tr>
      <w:tr w14:paraId="4B27BC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321A4A0F">
            <w:pPr>
              <w:spacing w:before="87"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-31</w:t>
            </w:r>
          </w:p>
        </w:tc>
        <w:tc>
          <w:tcPr>
            <w:tcW w:w="3685" w:type="dxa"/>
            <w:vAlign w:val="top"/>
          </w:tcPr>
          <w:p w14:paraId="17AFD760">
            <w:pPr>
              <w:spacing w:before="87"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0.122</w:t>
            </w:r>
          </w:p>
        </w:tc>
        <w:tc>
          <w:tcPr>
            <w:tcW w:w="3404" w:type="dxa"/>
            <w:vAlign w:val="top"/>
          </w:tcPr>
          <w:p w14:paraId="4916500D">
            <w:pPr>
              <w:spacing w:before="87" w:line="217" w:lineRule="auto"/>
              <w:ind w:left="147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5.094</w:t>
            </w:r>
          </w:p>
        </w:tc>
      </w:tr>
      <w:tr w14:paraId="6B464C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11483E91">
            <w:pPr>
              <w:spacing w:before="90"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w:t>
            </w:r>
          </w:p>
        </w:tc>
        <w:tc>
          <w:tcPr>
            <w:tcW w:w="3685" w:type="dxa"/>
            <w:vAlign w:val="top"/>
          </w:tcPr>
          <w:p w14:paraId="71425992">
            <w:pPr>
              <w:spacing w:before="90"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0.133</w:t>
            </w:r>
          </w:p>
        </w:tc>
        <w:tc>
          <w:tcPr>
            <w:tcW w:w="3404" w:type="dxa"/>
            <w:vAlign w:val="top"/>
          </w:tcPr>
          <w:p w14:paraId="13F9B75D">
            <w:pPr>
              <w:spacing w:before="90" w:line="217" w:lineRule="auto"/>
              <w:ind w:left="147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5.370</w:t>
            </w:r>
          </w:p>
        </w:tc>
      </w:tr>
      <w:tr w14:paraId="0F3C12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1764D123">
            <w:pPr>
              <w:spacing w:before="88"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-29</w:t>
            </w:r>
          </w:p>
        </w:tc>
        <w:tc>
          <w:tcPr>
            <w:tcW w:w="3685" w:type="dxa"/>
            <w:vAlign w:val="top"/>
          </w:tcPr>
          <w:p w14:paraId="3090B9D6">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0.146</w:t>
            </w:r>
          </w:p>
        </w:tc>
        <w:tc>
          <w:tcPr>
            <w:tcW w:w="3404" w:type="dxa"/>
            <w:vAlign w:val="top"/>
          </w:tcPr>
          <w:p w14:paraId="4AAC18EA">
            <w:pPr>
              <w:spacing w:before="88" w:line="217" w:lineRule="auto"/>
              <w:ind w:left="147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5.667</w:t>
            </w:r>
          </w:p>
        </w:tc>
      </w:tr>
      <w:tr w14:paraId="39A650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1FA2F8FE">
            <w:pPr>
              <w:spacing w:before="88" w:line="216"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-28</w:t>
            </w:r>
          </w:p>
        </w:tc>
        <w:tc>
          <w:tcPr>
            <w:tcW w:w="3685" w:type="dxa"/>
            <w:vAlign w:val="top"/>
          </w:tcPr>
          <w:p w14:paraId="1571D38D">
            <w:pPr>
              <w:spacing w:before="88" w:line="216"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0.164</w:t>
            </w:r>
          </w:p>
        </w:tc>
        <w:tc>
          <w:tcPr>
            <w:tcW w:w="3404" w:type="dxa"/>
            <w:vAlign w:val="top"/>
          </w:tcPr>
          <w:p w14:paraId="4EF1D54D">
            <w:pPr>
              <w:spacing w:before="88" w:line="216" w:lineRule="auto"/>
              <w:ind w:left="147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5.984</w:t>
            </w:r>
          </w:p>
        </w:tc>
      </w:tr>
      <w:tr w14:paraId="476E1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37D728B4">
            <w:pPr>
              <w:spacing w:before="88"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-27</w:t>
            </w:r>
          </w:p>
        </w:tc>
        <w:tc>
          <w:tcPr>
            <w:tcW w:w="3685" w:type="dxa"/>
            <w:vAlign w:val="top"/>
          </w:tcPr>
          <w:p w14:paraId="43F0523F">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0.184</w:t>
            </w:r>
          </w:p>
        </w:tc>
        <w:tc>
          <w:tcPr>
            <w:tcW w:w="3404" w:type="dxa"/>
            <w:vAlign w:val="top"/>
          </w:tcPr>
          <w:p w14:paraId="3596098F">
            <w:pPr>
              <w:spacing w:before="88" w:line="217" w:lineRule="auto"/>
              <w:ind w:left="146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6.324</w:t>
            </w:r>
          </w:p>
        </w:tc>
      </w:tr>
      <w:tr w14:paraId="1AC14D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7F8DC611">
            <w:pPr>
              <w:spacing w:before="88" w:line="216"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-26</w:t>
            </w:r>
          </w:p>
        </w:tc>
        <w:tc>
          <w:tcPr>
            <w:tcW w:w="3685" w:type="dxa"/>
            <w:vAlign w:val="top"/>
          </w:tcPr>
          <w:p w14:paraId="5538B372">
            <w:pPr>
              <w:spacing w:before="88" w:line="216"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0.209</w:t>
            </w:r>
          </w:p>
        </w:tc>
        <w:tc>
          <w:tcPr>
            <w:tcW w:w="3404" w:type="dxa"/>
            <w:vAlign w:val="top"/>
          </w:tcPr>
          <w:p w14:paraId="60504A3A">
            <w:pPr>
              <w:spacing w:before="88" w:line="216" w:lineRule="auto"/>
              <w:ind w:left="146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6.689</w:t>
            </w:r>
          </w:p>
        </w:tc>
      </w:tr>
      <w:tr w14:paraId="760F81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61647386">
            <w:pPr>
              <w:spacing w:before="88"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-25</w:t>
            </w:r>
          </w:p>
        </w:tc>
        <w:tc>
          <w:tcPr>
            <w:tcW w:w="3685" w:type="dxa"/>
            <w:vAlign w:val="top"/>
          </w:tcPr>
          <w:p w14:paraId="4E39F716">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0.239</w:t>
            </w:r>
          </w:p>
        </w:tc>
        <w:tc>
          <w:tcPr>
            <w:tcW w:w="3404" w:type="dxa"/>
            <w:vAlign w:val="top"/>
          </w:tcPr>
          <w:p w14:paraId="7F0135F5">
            <w:pPr>
              <w:spacing w:before="88" w:line="217"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7.079</w:t>
            </w:r>
          </w:p>
        </w:tc>
      </w:tr>
      <w:tr w14:paraId="3EE2C4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1B2FF1C8">
            <w:pPr>
              <w:spacing w:before="90"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-24</w:t>
            </w:r>
          </w:p>
        </w:tc>
        <w:tc>
          <w:tcPr>
            <w:tcW w:w="3685" w:type="dxa"/>
            <w:vAlign w:val="top"/>
          </w:tcPr>
          <w:p w14:paraId="182E5029">
            <w:pPr>
              <w:spacing w:before="90"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0.274</w:t>
            </w:r>
          </w:p>
        </w:tc>
        <w:tc>
          <w:tcPr>
            <w:tcW w:w="3404" w:type="dxa"/>
            <w:vAlign w:val="top"/>
          </w:tcPr>
          <w:p w14:paraId="38715AAC">
            <w:pPr>
              <w:spacing w:before="90" w:line="217"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7.497</w:t>
            </w:r>
          </w:p>
        </w:tc>
      </w:tr>
      <w:tr w14:paraId="52BA3E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6FF268B7">
            <w:pPr>
              <w:spacing w:before="88"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-23</w:t>
            </w:r>
          </w:p>
        </w:tc>
        <w:tc>
          <w:tcPr>
            <w:tcW w:w="3685" w:type="dxa"/>
            <w:vAlign w:val="top"/>
          </w:tcPr>
          <w:p w14:paraId="7ED09FF4">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0.315</w:t>
            </w:r>
          </w:p>
        </w:tc>
        <w:tc>
          <w:tcPr>
            <w:tcW w:w="3404" w:type="dxa"/>
            <w:vAlign w:val="top"/>
          </w:tcPr>
          <w:p w14:paraId="27B326DB">
            <w:pPr>
              <w:spacing w:before="88" w:line="217"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7.943</w:t>
            </w:r>
          </w:p>
        </w:tc>
      </w:tr>
      <w:tr w14:paraId="0FD533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3F8DAA76">
            <w:pPr>
              <w:spacing w:before="88" w:line="216"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-22</w:t>
            </w:r>
          </w:p>
        </w:tc>
        <w:tc>
          <w:tcPr>
            <w:tcW w:w="3685" w:type="dxa"/>
            <w:vAlign w:val="top"/>
          </w:tcPr>
          <w:p w14:paraId="1A9D2D1F">
            <w:pPr>
              <w:spacing w:before="88" w:line="216"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0.362</w:t>
            </w:r>
          </w:p>
        </w:tc>
        <w:tc>
          <w:tcPr>
            <w:tcW w:w="3404" w:type="dxa"/>
            <w:vAlign w:val="top"/>
          </w:tcPr>
          <w:p w14:paraId="0DBB990E">
            <w:pPr>
              <w:spacing w:before="88" w:line="216" w:lineRule="auto"/>
              <w:ind w:left="147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8.419</w:t>
            </w:r>
          </w:p>
        </w:tc>
      </w:tr>
      <w:tr w14:paraId="33946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05EEBC7C">
            <w:pPr>
              <w:spacing w:before="88"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-21</w:t>
            </w:r>
          </w:p>
        </w:tc>
        <w:tc>
          <w:tcPr>
            <w:tcW w:w="3685" w:type="dxa"/>
            <w:vAlign w:val="top"/>
          </w:tcPr>
          <w:p w14:paraId="3BFF63E1">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0.415</w:t>
            </w:r>
          </w:p>
        </w:tc>
        <w:tc>
          <w:tcPr>
            <w:tcW w:w="3404" w:type="dxa"/>
            <w:vAlign w:val="top"/>
          </w:tcPr>
          <w:p w14:paraId="4BCC3F5F">
            <w:pPr>
              <w:spacing w:before="88" w:line="217" w:lineRule="auto"/>
              <w:ind w:left="147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8.926</w:t>
            </w:r>
          </w:p>
        </w:tc>
      </w:tr>
      <w:tr w14:paraId="67F9E9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76E202F8">
            <w:pPr>
              <w:spacing w:before="88"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-20</w:t>
            </w:r>
          </w:p>
        </w:tc>
        <w:tc>
          <w:tcPr>
            <w:tcW w:w="3685" w:type="dxa"/>
            <w:vAlign w:val="top"/>
          </w:tcPr>
          <w:p w14:paraId="629CD569">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0.476</w:t>
            </w:r>
          </w:p>
        </w:tc>
        <w:tc>
          <w:tcPr>
            <w:tcW w:w="3404" w:type="dxa"/>
            <w:vAlign w:val="top"/>
          </w:tcPr>
          <w:p w14:paraId="337AEDB1">
            <w:pPr>
              <w:spacing w:before="88" w:line="217"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9.465</w:t>
            </w:r>
          </w:p>
        </w:tc>
      </w:tr>
      <w:tr w14:paraId="3F1A0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6F846428">
            <w:pPr>
              <w:spacing w:before="88"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-19</w:t>
            </w:r>
          </w:p>
        </w:tc>
        <w:tc>
          <w:tcPr>
            <w:tcW w:w="3685" w:type="dxa"/>
            <w:vAlign w:val="top"/>
          </w:tcPr>
          <w:p w14:paraId="7163B9A2">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0.544</w:t>
            </w:r>
          </w:p>
        </w:tc>
        <w:tc>
          <w:tcPr>
            <w:tcW w:w="3404" w:type="dxa"/>
            <w:vAlign w:val="top"/>
          </w:tcPr>
          <w:p w14:paraId="7289496B">
            <w:pPr>
              <w:spacing w:before="88" w:line="217"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10.034</w:t>
            </w:r>
          </w:p>
        </w:tc>
      </w:tr>
      <w:tr w14:paraId="608CA1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1D3C6CD1">
            <w:pPr>
              <w:spacing w:before="90"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w:t>
            </w:r>
          </w:p>
        </w:tc>
        <w:tc>
          <w:tcPr>
            <w:tcW w:w="3685" w:type="dxa"/>
            <w:vAlign w:val="top"/>
          </w:tcPr>
          <w:p w14:paraId="3E469469">
            <w:pPr>
              <w:spacing w:before="90"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0.619</w:t>
            </w:r>
          </w:p>
        </w:tc>
        <w:tc>
          <w:tcPr>
            <w:tcW w:w="3404" w:type="dxa"/>
            <w:vAlign w:val="top"/>
          </w:tcPr>
          <w:p w14:paraId="2B4A8FF2">
            <w:pPr>
              <w:spacing w:before="90" w:line="217"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10.635</w:t>
            </w:r>
          </w:p>
        </w:tc>
      </w:tr>
      <w:tr w14:paraId="635166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4B47A398">
            <w:pPr>
              <w:spacing w:before="87"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w:t>
            </w:r>
          </w:p>
        </w:tc>
        <w:tc>
          <w:tcPr>
            <w:tcW w:w="3685" w:type="dxa"/>
            <w:vAlign w:val="top"/>
          </w:tcPr>
          <w:p w14:paraId="735A8A60">
            <w:pPr>
              <w:spacing w:before="87"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0.702</w:t>
            </w:r>
          </w:p>
        </w:tc>
        <w:tc>
          <w:tcPr>
            <w:tcW w:w="3404" w:type="dxa"/>
            <w:vAlign w:val="top"/>
          </w:tcPr>
          <w:p w14:paraId="67DE8934">
            <w:pPr>
              <w:spacing w:before="87" w:line="217" w:lineRule="auto"/>
              <w:ind w:left="143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11.263</w:t>
            </w:r>
          </w:p>
        </w:tc>
      </w:tr>
      <w:tr w14:paraId="5B0A28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52CEE439">
            <w:pPr>
              <w:spacing w:before="88" w:line="217"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w:t>
            </w:r>
          </w:p>
        </w:tc>
        <w:tc>
          <w:tcPr>
            <w:tcW w:w="3685" w:type="dxa"/>
            <w:vAlign w:val="top"/>
          </w:tcPr>
          <w:p w14:paraId="7E0DABB0">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0.793</w:t>
            </w:r>
          </w:p>
        </w:tc>
        <w:tc>
          <w:tcPr>
            <w:tcW w:w="3404" w:type="dxa"/>
            <w:vAlign w:val="top"/>
          </w:tcPr>
          <w:p w14:paraId="09B1C0D0">
            <w:pPr>
              <w:spacing w:before="88" w:line="217" w:lineRule="auto"/>
              <w:ind w:left="143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11.918</w:t>
            </w:r>
          </w:p>
        </w:tc>
      </w:tr>
      <w:tr w14:paraId="046413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3EE0F42B">
            <w:pPr>
              <w:spacing w:before="88" w:line="216"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w:t>
            </w:r>
          </w:p>
        </w:tc>
        <w:tc>
          <w:tcPr>
            <w:tcW w:w="3685" w:type="dxa"/>
            <w:vAlign w:val="top"/>
          </w:tcPr>
          <w:p w14:paraId="1E80CDF0">
            <w:pPr>
              <w:spacing w:before="88" w:line="216"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0.890</w:t>
            </w:r>
          </w:p>
        </w:tc>
        <w:tc>
          <w:tcPr>
            <w:tcW w:w="3404" w:type="dxa"/>
            <w:vAlign w:val="top"/>
          </w:tcPr>
          <w:p w14:paraId="66EC90AD">
            <w:pPr>
              <w:spacing w:before="88" w:line="216"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12.593</w:t>
            </w:r>
          </w:p>
        </w:tc>
      </w:tr>
      <w:tr w14:paraId="54C6B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4117C490">
            <w:pPr>
              <w:spacing w:before="88" w:line="216"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w:t>
            </w:r>
          </w:p>
        </w:tc>
        <w:tc>
          <w:tcPr>
            <w:tcW w:w="3685" w:type="dxa"/>
            <w:vAlign w:val="top"/>
          </w:tcPr>
          <w:p w14:paraId="579B2A1A">
            <w:pPr>
              <w:spacing w:before="88" w:line="216"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0.992</w:t>
            </w:r>
          </w:p>
        </w:tc>
        <w:tc>
          <w:tcPr>
            <w:tcW w:w="3404" w:type="dxa"/>
            <w:vAlign w:val="top"/>
          </w:tcPr>
          <w:p w14:paraId="28EEDBFE">
            <w:pPr>
              <w:spacing w:before="88" w:line="216"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13.284</w:t>
            </w:r>
          </w:p>
        </w:tc>
      </w:tr>
      <w:tr w14:paraId="3042C0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480F25EE">
            <w:pPr>
              <w:spacing w:before="89" w:line="215"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w:t>
            </w:r>
          </w:p>
        </w:tc>
        <w:tc>
          <w:tcPr>
            <w:tcW w:w="3685" w:type="dxa"/>
            <w:vAlign w:val="top"/>
          </w:tcPr>
          <w:p w14:paraId="16CE5556">
            <w:pPr>
              <w:spacing w:before="89" w:line="215"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1.096</w:t>
            </w:r>
          </w:p>
        </w:tc>
        <w:tc>
          <w:tcPr>
            <w:tcW w:w="3404" w:type="dxa"/>
            <w:vAlign w:val="top"/>
          </w:tcPr>
          <w:p w14:paraId="6C9CF6CF">
            <w:pPr>
              <w:spacing w:before="89" w:line="215"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13.982</w:t>
            </w:r>
          </w:p>
        </w:tc>
      </w:tr>
      <w:tr w14:paraId="7D1AEA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6BDD6ECB">
            <w:pPr>
              <w:spacing w:before="92" w:line="215"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w:t>
            </w:r>
          </w:p>
        </w:tc>
        <w:tc>
          <w:tcPr>
            <w:tcW w:w="3685" w:type="dxa"/>
            <w:vAlign w:val="top"/>
          </w:tcPr>
          <w:p w14:paraId="21F09418">
            <w:pPr>
              <w:spacing w:before="92" w:line="215"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1.201</w:t>
            </w:r>
          </w:p>
        </w:tc>
        <w:tc>
          <w:tcPr>
            <w:tcW w:w="3404" w:type="dxa"/>
            <w:vAlign w:val="top"/>
          </w:tcPr>
          <w:p w14:paraId="6544D352">
            <w:pPr>
              <w:spacing w:before="92" w:line="215"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14.677</w:t>
            </w:r>
          </w:p>
        </w:tc>
      </w:tr>
      <w:tr w14:paraId="1A8E17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6F196F95">
            <w:pPr>
              <w:spacing w:before="89" w:line="215" w:lineRule="auto"/>
              <w:ind w:left="862"/>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w:t>
            </w:r>
          </w:p>
        </w:tc>
        <w:tc>
          <w:tcPr>
            <w:tcW w:w="3685" w:type="dxa"/>
            <w:vAlign w:val="top"/>
          </w:tcPr>
          <w:p w14:paraId="50DBC278">
            <w:pPr>
              <w:spacing w:before="89" w:line="215"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1.303</w:t>
            </w:r>
          </w:p>
        </w:tc>
        <w:tc>
          <w:tcPr>
            <w:tcW w:w="3404" w:type="dxa"/>
            <w:vAlign w:val="top"/>
          </w:tcPr>
          <w:p w14:paraId="55E08534">
            <w:pPr>
              <w:spacing w:before="89" w:line="215"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15.358</w:t>
            </w:r>
          </w:p>
        </w:tc>
      </w:tr>
      <w:tr w14:paraId="4DD510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7AFCE1ED">
            <w:pPr>
              <w:spacing w:before="90" w:line="215" w:lineRule="auto"/>
              <w:ind w:left="8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w:t>
            </w:r>
          </w:p>
        </w:tc>
        <w:tc>
          <w:tcPr>
            <w:tcW w:w="3685" w:type="dxa"/>
            <w:vAlign w:val="top"/>
          </w:tcPr>
          <w:p w14:paraId="62D20C0B">
            <w:pPr>
              <w:spacing w:before="90" w:line="215"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1.396</w:t>
            </w:r>
          </w:p>
        </w:tc>
        <w:tc>
          <w:tcPr>
            <w:tcW w:w="3404" w:type="dxa"/>
            <w:vAlign w:val="top"/>
          </w:tcPr>
          <w:p w14:paraId="0AAAE84A">
            <w:pPr>
              <w:spacing w:before="90" w:line="215" w:lineRule="auto"/>
              <w:ind w:left="143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16.011</w:t>
            </w:r>
          </w:p>
        </w:tc>
      </w:tr>
      <w:tr w14:paraId="6FDC57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1BC75564">
            <w:pPr>
              <w:spacing w:before="90" w:line="215" w:lineRule="auto"/>
              <w:ind w:left="91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-9</w:t>
            </w:r>
          </w:p>
        </w:tc>
        <w:tc>
          <w:tcPr>
            <w:tcW w:w="3685" w:type="dxa"/>
            <w:vAlign w:val="top"/>
          </w:tcPr>
          <w:p w14:paraId="1FF8D592">
            <w:pPr>
              <w:spacing w:before="90" w:line="215"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1.478</w:t>
            </w:r>
          </w:p>
        </w:tc>
        <w:tc>
          <w:tcPr>
            <w:tcW w:w="3404" w:type="dxa"/>
            <w:vAlign w:val="top"/>
          </w:tcPr>
          <w:p w14:paraId="38B4D993">
            <w:pPr>
              <w:spacing w:before="90" w:line="215"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16.623</w:t>
            </w:r>
          </w:p>
        </w:tc>
      </w:tr>
      <w:tr w14:paraId="6191B8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0F351E75">
            <w:pPr>
              <w:spacing w:before="90" w:line="214" w:lineRule="auto"/>
              <w:ind w:left="91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-8</w:t>
            </w:r>
          </w:p>
        </w:tc>
        <w:tc>
          <w:tcPr>
            <w:tcW w:w="3685" w:type="dxa"/>
            <w:vAlign w:val="top"/>
          </w:tcPr>
          <w:p w14:paraId="39CBC769">
            <w:pPr>
              <w:spacing w:before="90" w:line="214"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1.544</w:t>
            </w:r>
          </w:p>
        </w:tc>
        <w:tc>
          <w:tcPr>
            <w:tcW w:w="3404" w:type="dxa"/>
            <w:vAlign w:val="top"/>
          </w:tcPr>
          <w:p w14:paraId="5937F3C5">
            <w:pPr>
              <w:spacing w:before="90" w:line="214"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17.181</w:t>
            </w:r>
          </w:p>
        </w:tc>
      </w:tr>
      <w:tr w14:paraId="4FC7D2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5A3A1C00">
            <w:pPr>
              <w:spacing w:before="90" w:line="215" w:lineRule="auto"/>
              <w:ind w:left="91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-7</w:t>
            </w:r>
          </w:p>
        </w:tc>
        <w:tc>
          <w:tcPr>
            <w:tcW w:w="3685" w:type="dxa"/>
            <w:vAlign w:val="top"/>
          </w:tcPr>
          <w:p w14:paraId="6E076D0F">
            <w:pPr>
              <w:spacing w:before="90" w:line="215"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1.589</w:t>
            </w:r>
          </w:p>
        </w:tc>
        <w:tc>
          <w:tcPr>
            <w:tcW w:w="3404" w:type="dxa"/>
            <w:vAlign w:val="top"/>
          </w:tcPr>
          <w:p w14:paraId="319D8172">
            <w:pPr>
              <w:spacing w:before="90" w:line="215"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17.671</w:t>
            </w:r>
          </w:p>
        </w:tc>
      </w:tr>
      <w:tr w14:paraId="2AA480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269ABB53">
            <w:pPr>
              <w:spacing w:before="92" w:line="215" w:lineRule="auto"/>
              <w:ind w:left="91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-6</w:t>
            </w:r>
          </w:p>
        </w:tc>
        <w:tc>
          <w:tcPr>
            <w:tcW w:w="3685" w:type="dxa"/>
            <w:vAlign w:val="top"/>
          </w:tcPr>
          <w:p w14:paraId="34F13A9F">
            <w:pPr>
              <w:spacing w:before="92" w:line="215"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1.612</w:t>
            </w:r>
          </w:p>
        </w:tc>
        <w:tc>
          <w:tcPr>
            <w:tcW w:w="3404" w:type="dxa"/>
            <w:vAlign w:val="top"/>
          </w:tcPr>
          <w:p w14:paraId="505C248F">
            <w:pPr>
              <w:spacing w:before="92" w:line="215"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18.086</w:t>
            </w:r>
          </w:p>
        </w:tc>
      </w:tr>
      <w:tr w14:paraId="510D9E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77ADE0E5">
            <w:pPr>
              <w:spacing w:before="90" w:line="214" w:lineRule="auto"/>
              <w:ind w:left="91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-5</w:t>
            </w:r>
          </w:p>
        </w:tc>
        <w:tc>
          <w:tcPr>
            <w:tcW w:w="3685" w:type="dxa"/>
            <w:vAlign w:val="top"/>
          </w:tcPr>
          <w:p w14:paraId="3316190C">
            <w:pPr>
              <w:spacing w:before="90" w:line="214" w:lineRule="auto"/>
              <w:ind w:left="1629"/>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1.611</w:t>
            </w:r>
          </w:p>
        </w:tc>
        <w:tc>
          <w:tcPr>
            <w:tcW w:w="3404" w:type="dxa"/>
            <w:vAlign w:val="top"/>
          </w:tcPr>
          <w:p w14:paraId="418CD1F5">
            <w:pPr>
              <w:spacing w:before="90" w:line="214"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18.418</w:t>
            </w:r>
          </w:p>
        </w:tc>
      </w:tr>
      <w:tr w14:paraId="7E4983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374FBC4C">
            <w:pPr>
              <w:spacing w:before="91" w:line="214" w:lineRule="auto"/>
              <w:ind w:left="91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-4</w:t>
            </w:r>
          </w:p>
        </w:tc>
        <w:tc>
          <w:tcPr>
            <w:tcW w:w="3685" w:type="dxa"/>
            <w:vAlign w:val="top"/>
          </w:tcPr>
          <w:p w14:paraId="133E67C3">
            <w:pPr>
              <w:spacing w:before="91" w:line="214"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1.591</w:t>
            </w:r>
          </w:p>
        </w:tc>
        <w:tc>
          <w:tcPr>
            <w:tcW w:w="3404" w:type="dxa"/>
            <w:vAlign w:val="top"/>
          </w:tcPr>
          <w:p w14:paraId="2754215C">
            <w:pPr>
              <w:spacing w:before="91" w:line="214"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18.665</w:t>
            </w:r>
          </w:p>
        </w:tc>
      </w:tr>
      <w:tr w14:paraId="04B19D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39FAD5F1">
            <w:pPr>
              <w:spacing w:before="90" w:line="214" w:lineRule="auto"/>
              <w:ind w:left="91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-3</w:t>
            </w:r>
          </w:p>
        </w:tc>
        <w:tc>
          <w:tcPr>
            <w:tcW w:w="3685" w:type="dxa"/>
            <w:vAlign w:val="top"/>
          </w:tcPr>
          <w:p w14:paraId="416C79B0">
            <w:pPr>
              <w:spacing w:before="90" w:line="214"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1.554</w:t>
            </w:r>
          </w:p>
        </w:tc>
        <w:tc>
          <w:tcPr>
            <w:tcW w:w="3404" w:type="dxa"/>
            <w:vAlign w:val="top"/>
          </w:tcPr>
          <w:p w14:paraId="077CB3EA">
            <w:pPr>
              <w:spacing w:before="90" w:line="214"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18.829</w:t>
            </w:r>
          </w:p>
        </w:tc>
      </w:tr>
      <w:tr w14:paraId="3BD06A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984" w:type="dxa"/>
            <w:vAlign w:val="top"/>
          </w:tcPr>
          <w:p w14:paraId="51F7339F">
            <w:pPr>
              <w:spacing w:before="91" w:line="218" w:lineRule="auto"/>
              <w:ind w:left="91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-2</w:t>
            </w:r>
          </w:p>
        </w:tc>
        <w:tc>
          <w:tcPr>
            <w:tcW w:w="3685" w:type="dxa"/>
            <w:vAlign w:val="top"/>
          </w:tcPr>
          <w:p w14:paraId="4B727A8C">
            <w:pPr>
              <w:spacing w:before="91" w:line="218"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1.509</w:t>
            </w:r>
          </w:p>
        </w:tc>
        <w:tc>
          <w:tcPr>
            <w:tcW w:w="3404" w:type="dxa"/>
            <w:vAlign w:val="top"/>
          </w:tcPr>
          <w:p w14:paraId="2034E428">
            <w:pPr>
              <w:spacing w:before="91" w:line="218"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18.914</w:t>
            </w:r>
          </w:p>
        </w:tc>
      </w:tr>
    </w:tbl>
    <w:p w14:paraId="470E9E15">
      <w:pPr>
        <w:rPr>
          <w:rFonts w:ascii="Arial"/>
          <w:sz w:val="21"/>
        </w:rPr>
      </w:pPr>
    </w:p>
    <w:p w14:paraId="2017951B">
      <w:pPr>
        <w:rPr>
          <w:rFonts w:ascii="Arial" w:hAnsi="Arial" w:eastAsia="Arial" w:cs="Arial"/>
          <w:sz w:val="21"/>
          <w:szCs w:val="21"/>
        </w:rPr>
        <w:sectPr>
          <w:footerReference r:id="rId111" w:type="default"/>
          <w:pgSz w:w="11907" w:h="16841"/>
          <w:pgMar w:top="400" w:right="1411" w:bottom="1126" w:left="1416" w:header="0" w:footer="925" w:gutter="0"/>
          <w:cols w:space="720" w:num="1"/>
        </w:sectPr>
      </w:pPr>
    </w:p>
    <w:p w14:paraId="7E15E4C5">
      <w:pPr>
        <w:spacing w:before="2"/>
      </w:pPr>
    </w:p>
    <w:p w14:paraId="4EA53D85">
      <w:pPr>
        <w:spacing w:before="2"/>
      </w:pPr>
    </w:p>
    <w:p w14:paraId="465B1E57">
      <w:pPr>
        <w:spacing w:before="1"/>
      </w:pPr>
    </w:p>
    <w:p w14:paraId="0B62A194">
      <w:pPr>
        <w:spacing w:before="1"/>
      </w:pPr>
    </w:p>
    <w:p w14:paraId="152880F4">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4"/>
        <w:gridCol w:w="3685"/>
        <w:gridCol w:w="3404"/>
      </w:tblGrid>
      <w:tr w14:paraId="1F2E85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984" w:type="dxa"/>
            <w:vAlign w:val="top"/>
          </w:tcPr>
          <w:p w14:paraId="772774D7">
            <w:pPr>
              <w:spacing w:before="93" w:line="217" w:lineRule="auto"/>
              <w:ind w:left="91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w:t>
            </w:r>
          </w:p>
        </w:tc>
        <w:tc>
          <w:tcPr>
            <w:tcW w:w="3685" w:type="dxa"/>
            <w:vAlign w:val="top"/>
          </w:tcPr>
          <w:p w14:paraId="7C9BD83D">
            <w:pPr>
              <w:spacing w:before="93" w:line="217"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1.466</w:t>
            </w:r>
          </w:p>
        </w:tc>
        <w:tc>
          <w:tcPr>
            <w:tcW w:w="3404" w:type="dxa"/>
            <w:vAlign w:val="top"/>
          </w:tcPr>
          <w:p w14:paraId="6C64063D">
            <w:pPr>
              <w:spacing w:before="93" w:line="217"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18.924</w:t>
            </w:r>
          </w:p>
        </w:tc>
      </w:tr>
      <w:tr w14:paraId="2ED8C5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36DEB6DA">
            <w:pPr>
              <w:spacing w:before="88" w:line="219" w:lineRule="auto"/>
              <w:ind w:left="943"/>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3685" w:type="dxa"/>
            <w:vAlign w:val="top"/>
          </w:tcPr>
          <w:p w14:paraId="192BDE6B">
            <w:pPr>
              <w:spacing w:before="88" w:line="219"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1.433</w:t>
            </w:r>
          </w:p>
        </w:tc>
        <w:tc>
          <w:tcPr>
            <w:tcW w:w="3404" w:type="dxa"/>
            <w:vAlign w:val="top"/>
          </w:tcPr>
          <w:p w14:paraId="738459F1">
            <w:pPr>
              <w:spacing w:before="88" w:line="219"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18.864</w:t>
            </w:r>
          </w:p>
        </w:tc>
      </w:tr>
      <w:tr w14:paraId="35CBB4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69FE3181">
            <w:pPr>
              <w:spacing w:before="85" w:line="219" w:lineRule="auto"/>
              <w:ind w:left="960"/>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3685" w:type="dxa"/>
            <w:vAlign w:val="top"/>
          </w:tcPr>
          <w:p w14:paraId="744C4874">
            <w:pPr>
              <w:spacing w:before="85" w:line="219"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1.419</w:t>
            </w:r>
          </w:p>
        </w:tc>
        <w:tc>
          <w:tcPr>
            <w:tcW w:w="3404" w:type="dxa"/>
            <w:vAlign w:val="top"/>
          </w:tcPr>
          <w:p w14:paraId="12DD3989">
            <w:pPr>
              <w:spacing w:before="85" w:line="219"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18.740</w:t>
            </w:r>
          </w:p>
        </w:tc>
      </w:tr>
      <w:tr w14:paraId="2C5DD7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28E26D0B">
            <w:pPr>
              <w:spacing w:before="86" w:line="219" w:lineRule="auto"/>
              <w:ind w:left="940"/>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3685" w:type="dxa"/>
            <w:vAlign w:val="top"/>
          </w:tcPr>
          <w:p w14:paraId="422CB77D">
            <w:pPr>
              <w:spacing w:before="86" w:line="219"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1.427</w:t>
            </w:r>
          </w:p>
        </w:tc>
        <w:tc>
          <w:tcPr>
            <w:tcW w:w="3404" w:type="dxa"/>
            <w:vAlign w:val="top"/>
          </w:tcPr>
          <w:p w14:paraId="22299E0F">
            <w:pPr>
              <w:spacing w:before="86" w:line="219"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18.553</w:t>
            </w:r>
          </w:p>
        </w:tc>
      </w:tr>
      <w:tr w14:paraId="519CC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36F1EBE3">
            <w:pPr>
              <w:spacing w:before="86" w:line="218" w:lineRule="auto"/>
              <w:ind w:left="944"/>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3685" w:type="dxa"/>
            <w:vAlign w:val="top"/>
          </w:tcPr>
          <w:p w14:paraId="7D09819F">
            <w:pPr>
              <w:spacing w:before="86" w:line="218"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1.454</w:t>
            </w:r>
          </w:p>
        </w:tc>
        <w:tc>
          <w:tcPr>
            <w:tcW w:w="3404" w:type="dxa"/>
            <w:vAlign w:val="top"/>
          </w:tcPr>
          <w:p w14:paraId="1BDB4513">
            <w:pPr>
              <w:spacing w:before="86" w:line="218"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18.305</w:t>
            </w:r>
          </w:p>
        </w:tc>
      </w:tr>
      <w:tr w14:paraId="71FDA7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47FB6E60">
            <w:pPr>
              <w:spacing w:before="86" w:line="218" w:lineRule="auto"/>
              <w:ind w:left="939"/>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3685" w:type="dxa"/>
            <w:vAlign w:val="top"/>
          </w:tcPr>
          <w:p w14:paraId="54AEE5A0">
            <w:pPr>
              <w:spacing w:before="86" w:line="218"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1.495</w:t>
            </w:r>
          </w:p>
        </w:tc>
        <w:tc>
          <w:tcPr>
            <w:tcW w:w="3404" w:type="dxa"/>
            <w:vAlign w:val="top"/>
          </w:tcPr>
          <w:p w14:paraId="5BEF3E75">
            <w:pPr>
              <w:spacing w:before="86" w:line="218"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17.994</w:t>
            </w:r>
          </w:p>
        </w:tc>
      </w:tr>
      <w:tr w14:paraId="3D93A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612306CE">
            <w:pPr>
              <w:spacing w:before="87" w:line="217" w:lineRule="auto"/>
              <w:ind w:left="945"/>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3685" w:type="dxa"/>
            <w:vAlign w:val="top"/>
          </w:tcPr>
          <w:p w14:paraId="695660DE">
            <w:pPr>
              <w:spacing w:before="87" w:line="217"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1.538</w:t>
            </w:r>
          </w:p>
        </w:tc>
        <w:tc>
          <w:tcPr>
            <w:tcW w:w="3404" w:type="dxa"/>
            <w:vAlign w:val="top"/>
          </w:tcPr>
          <w:p w14:paraId="10C18702">
            <w:pPr>
              <w:spacing w:before="87" w:line="217"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17.620</w:t>
            </w:r>
          </w:p>
        </w:tc>
      </w:tr>
      <w:tr w14:paraId="1EA385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2B1ADBFE">
            <w:pPr>
              <w:spacing w:before="90" w:line="217" w:lineRule="auto"/>
              <w:ind w:left="944"/>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3685" w:type="dxa"/>
            <w:vAlign w:val="top"/>
          </w:tcPr>
          <w:p w14:paraId="5CDCE469">
            <w:pPr>
              <w:spacing w:before="90" w:line="217"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1.576</w:t>
            </w:r>
          </w:p>
        </w:tc>
        <w:tc>
          <w:tcPr>
            <w:tcW w:w="3404" w:type="dxa"/>
            <w:vAlign w:val="top"/>
          </w:tcPr>
          <w:p w14:paraId="5FAFA90B">
            <w:pPr>
              <w:spacing w:before="90" w:line="217"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17.184</w:t>
            </w:r>
          </w:p>
        </w:tc>
      </w:tr>
      <w:tr w14:paraId="16137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058B894C">
            <w:pPr>
              <w:spacing w:before="87" w:line="217" w:lineRule="auto"/>
              <w:ind w:left="943"/>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3685" w:type="dxa"/>
            <w:vAlign w:val="top"/>
          </w:tcPr>
          <w:p w14:paraId="2F4FF59D">
            <w:pPr>
              <w:spacing w:before="87" w:line="217"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1.600</w:t>
            </w:r>
          </w:p>
        </w:tc>
        <w:tc>
          <w:tcPr>
            <w:tcW w:w="3404" w:type="dxa"/>
            <w:vAlign w:val="top"/>
          </w:tcPr>
          <w:p w14:paraId="2BBF4C91">
            <w:pPr>
              <w:spacing w:before="87" w:line="217"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16.689</w:t>
            </w:r>
          </w:p>
        </w:tc>
      </w:tr>
      <w:tr w14:paraId="40A0E4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29507717">
            <w:pPr>
              <w:spacing w:before="88" w:line="217" w:lineRule="auto"/>
              <w:ind w:left="948"/>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3685" w:type="dxa"/>
            <w:vAlign w:val="top"/>
          </w:tcPr>
          <w:p w14:paraId="5EFE2CB4">
            <w:pPr>
              <w:spacing w:before="88" w:line="217"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1.604</w:t>
            </w:r>
          </w:p>
        </w:tc>
        <w:tc>
          <w:tcPr>
            <w:tcW w:w="3404" w:type="dxa"/>
            <w:vAlign w:val="top"/>
          </w:tcPr>
          <w:p w14:paraId="5B64D56E">
            <w:pPr>
              <w:spacing w:before="88" w:line="217"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16.141</w:t>
            </w:r>
          </w:p>
        </w:tc>
      </w:tr>
      <w:tr w14:paraId="6F6488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49D8B662">
            <w:pPr>
              <w:spacing w:before="88" w:line="217" w:lineRule="auto"/>
              <w:ind w:left="944"/>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3685" w:type="dxa"/>
            <w:vAlign w:val="top"/>
          </w:tcPr>
          <w:p w14:paraId="7E8E9B7B">
            <w:pPr>
              <w:spacing w:before="88" w:line="217"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1.587</w:t>
            </w:r>
          </w:p>
        </w:tc>
        <w:tc>
          <w:tcPr>
            <w:tcW w:w="3404" w:type="dxa"/>
            <w:vAlign w:val="top"/>
          </w:tcPr>
          <w:p w14:paraId="464C1F5F">
            <w:pPr>
              <w:spacing w:before="88" w:line="217"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15.547</w:t>
            </w:r>
          </w:p>
        </w:tc>
      </w:tr>
      <w:tr w14:paraId="69CF5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5F4A79FB">
            <w:pPr>
              <w:spacing w:before="87" w:line="218" w:lineRule="auto"/>
              <w:ind w:left="907"/>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3685" w:type="dxa"/>
            <w:vAlign w:val="top"/>
          </w:tcPr>
          <w:p w14:paraId="335E7E51">
            <w:pPr>
              <w:spacing w:before="87" w:line="218"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1.548</w:t>
            </w:r>
          </w:p>
        </w:tc>
        <w:tc>
          <w:tcPr>
            <w:tcW w:w="3404" w:type="dxa"/>
            <w:vAlign w:val="top"/>
          </w:tcPr>
          <w:p w14:paraId="52E81DE3">
            <w:pPr>
              <w:spacing w:before="87" w:line="218"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14.917</w:t>
            </w:r>
          </w:p>
        </w:tc>
      </w:tr>
      <w:tr w14:paraId="46A376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58FCE99A">
            <w:pPr>
              <w:spacing w:before="87" w:line="217" w:lineRule="auto"/>
              <w:ind w:left="912"/>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11</w:t>
            </w:r>
          </w:p>
        </w:tc>
        <w:tc>
          <w:tcPr>
            <w:tcW w:w="3685" w:type="dxa"/>
            <w:vAlign w:val="top"/>
          </w:tcPr>
          <w:p w14:paraId="64CF07E4">
            <w:pPr>
              <w:spacing w:before="87" w:line="217"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1.489</w:t>
            </w:r>
          </w:p>
        </w:tc>
        <w:tc>
          <w:tcPr>
            <w:tcW w:w="3404" w:type="dxa"/>
            <w:vAlign w:val="top"/>
          </w:tcPr>
          <w:p w14:paraId="1FE7AC8D">
            <w:pPr>
              <w:spacing w:before="87" w:line="217"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14.264</w:t>
            </w:r>
          </w:p>
        </w:tc>
      </w:tr>
      <w:tr w14:paraId="3BFFF0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01E1B7E0">
            <w:pPr>
              <w:spacing w:before="90" w:line="217" w:lineRule="auto"/>
              <w:ind w:left="907"/>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c>
          <w:tcPr>
            <w:tcW w:w="3685" w:type="dxa"/>
            <w:vAlign w:val="top"/>
          </w:tcPr>
          <w:p w14:paraId="0BBC00A1">
            <w:pPr>
              <w:spacing w:before="90" w:line="217"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1.413</w:t>
            </w:r>
          </w:p>
        </w:tc>
        <w:tc>
          <w:tcPr>
            <w:tcW w:w="3404" w:type="dxa"/>
            <w:vAlign w:val="top"/>
          </w:tcPr>
          <w:p w14:paraId="22F94D57">
            <w:pPr>
              <w:spacing w:before="90" w:line="217"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13.599</w:t>
            </w:r>
          </w:p>
        </w:tc>
      </w:tr>
      <w:tr w14:paraId="0A0788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6F4A0D96">
            <w:pPr>
              <w:spacing w:before="88" w:line="217" w:lineRule="auto"/>
              <w:ind w:left="907"/>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13</w:t>
            </w:r>
          </w:p>
        </w:tc>
        <w:tc>
          <w:tcPr>
            <w:tcW w:w="3685" w:type="dxa"/>
            <w:vAlign w:val="top"/>
          </w:tcPr>
          <w:p w14:paraId="10A8955A">
            <w:pPr>
              <w:spacing w:before="88" w:line="217"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1.325</w:t>
            </w:r>
          </w:p>
        </w:tc>
        <w:tc>
          <w:tcPr>
            <w:tcW w:w="3404" w:type="dxa"/>
            <w:vAlign w:val="top"/>
          </w:tcPr>
          <w:p w14:paraId="3ACEB67D">
            <w:pPr>
              <w:spacing w:before="88" w:line="217"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12.933</w:t>
            </w:r>
          </w:p>
        </w:tc>
      </w:tr>
      <w:tr w14:paraId="47AF2D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70CF8BBB">
            <w:pPr>
              <w:spacing w:before="88" w:line="216" w:lineRule="auto"/>
              <w:ind w:left="907"/>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tc>
        <w:tc>
          <w:tcPr>
            <w:tcW w:w="3685" w:type="dxa"/>
            <w:vAlign w:val="top"/>
          </w:tcPr>
          <w:p w14:paraId="0A41FB99">
            <w:pPr>
              <w:spacing w:before="88" w:line="216"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1.230</w:t>
            </w:r>
          </w:p>
        </w:tc>
        <w:tc>
          <w:tcPr>
            <w:tcW w:w="3404" w:type="dxa"/>
            <w:vAlign w:val="top"/>
          </w:tcPr>
          <w:p w14:paraId="0EF84C53">
            <w:pPr>
              <w:spacing w:before="88" w:line="216"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12.275</w:t>
            </w:r>
          </w:p>
        </w:tc>
      </w:tr>
      <w:tr w14:paraId="371892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3C2F0321">
            <w:pPr>
              <w:spacing w:before="88" w:line="217" w:lineRule="auto"/>
              <w:ind w:left="907"/>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3685" w:type="dxa"/>
            <w:vAlign w:val="top"/>
          </w:tcPr>
          <w:p w14:paraId="4EBB08F8">
            <w:pPr>
              <w:spacing w:before="88" w:line="217"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1.130</w:t>
            </w:r>
          </w:p>
        </w:tc>
        <w:tc>
          <w:tcPr>
            <w:tcW w:w="3404" w:type="dxa"/>
            <w:vAlign w:val="top"/>
          </w:tcPr>
          <w:p w14:paraId="7FF80464">
            <w:pPr>
              <w:spacing w:before="88" w:line="217" w:lineRule="auto"/>
              <w:ind w:left="143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11.634</w:t>
            </w:r>
          </w:p>
        </w:tc>
      </w:tr>
      <w:tr w14:paraId="02CC9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71118C6C">
            <w:pPr>
              <w:spacing w:before="88" w:line="216" w:lineRule="auto"/>
              <w:ind w:left="907"/>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tc>
        <w:tc>
          <w:tcPr>
            <w:tcW w:w="3685" w:type="dxa"/>
            <w:vAlign w:val="top"/>
          </w:tcPr>
          <w:p w14:paraId="453845EF">
            <w:pPr>
              <w:spacing w:before="88" w:line="216" w:lineRule="auto"/>
              <w:ind w:left="1626"/>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1.029</w:t>
            </w:r>
          </w:p>
        </w:tc>
        <w:tc>
          <w:tcPr>
            <w:tcW w:w="3404" w:type="dxa"/>
            <w:vAlign w:val="top"/>
          </w:tcPr>
          <w:p w14:paraId="67C3EC9C">
            <w:pPr>
              <w:spacing w:before="88" w:line="216" w:lineRule="auto"/>
              <w:ind w:left="143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11.014</w:t>
            </w:r>
          </w:p>
        </w:tc>
      </w:tr>
      <w:tr w14:paraId="65B512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19F58F1C">
            <w:pPr>
              <w:spacing w:before="88" w:line="217" w:lineRule="auto"/>
              <w:ind w:left="907"/>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tc>
        <w:tc>
          <w:tcPr>
            <w:tcW w:w="3685" w:type="dxa"/>
            <w:vAlign w:val="top"/>
          </w:tcPr>
          <w:p w14:paraId="4A62C802">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0.931</w:t>
            </w:r>
          </w:p>
        </w:tc>
        <w:tc>
          <w:tcPr>
            <w:tcW w:w="3404" w:type="dxa"/>
            <w:vAlign w:val="top"/>
          </w:tcPr>
          <w:p w14:paraId="56D87828">
            <w:pPr>
              <w:spacing w:before="88" w:line="217" w:lineRule="auto"/>
              <w:ind w:left="143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10.420</w:t>
            </w:r>
          </w:p>
        </w:tc>
      </w:tr>
      <w:tr w14:paraId="4CEDC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446E2487">
            <w:pPr>
              <w:spacing w:before="90" w:line="217" w:lineRule="auto"/>
              <w:ind w:left="907"/>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tc>
        <w:tc>
          <w:tcPr>
            <w:tcW w:w="3685" w:type="dxa"/>
            <w:vAlign w:val="top"/>
          </w:tcPr>
          <w:p w14:paraId="6989EBB9">
            <w:pPr>
              <w:spacing w:before="90"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0.836</w:t>
            </w:r>
          </w:p>
        </w:tc>
        <w:tc>
          <w:tcPr>
            <w:tcW w:w="3404" w:type="dxa"/>
            <w:vAlign w:val="top"/>
          </w:tcPr>
          <w:p w14:paraId="6A0256FF">
            <w:pPr>
              <w:spacing w:before="90" w:line="217"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9.855</w:t>
            </w:r>
          </w:p>
        </w:tc>
      </w:tr>
      <w:tr w14:paraId="414365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3A1A3175">
            <w:pPr>
              <w:spacing w:before="88" w:line="217" w:lineRule="auto"/>
              <w:ind w:left="907"/>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tc>
        <w:tc>
          <w:tcPr>
            <w:tcW w:w="3685" w:type="dxa"/>
            <w:vAlign w:val="top"/>
          </w:tcPr>
          <w:p w14:paraId="3F787689">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0.747</w:t>
            </w:r>
          </w:p>
        </w:tc>
        <w:tc>
          <w:tcPr>
            <w:tcW w:w="3404" w:type="dxa"/>
            <w:vAlign w:val="top"/>
          </w:tcPr>
          <w:p w14:paraId="5C3BE1D6">
            <w:pPr>
              <w:spacing w:before="88" w:line="217"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9.319</w:t>
            </w:r>
          </w:p>
        </w:tc>
      </w:tr>
      <w:tr w14:paraId="41CDC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2FBC910B">
            <w:pPr>
              <w:spacing w:before="88" w:line="216" w:lineRule="auto"/>
              <w:ind w:left="8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3685" w:type="dxa"/>
            <w:vAlign w:val="top"/>
          </w:tcPr>
          <w:p w14:paraId="78C6FA97">
            <w:pPr>
              <w:spacing w:before="88" w:line="216"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0.665</w:t>
            </w:r>
          </w:p>
        </w:tc>
        <w:tc>
          <w:tcPr>
            <w:tcW w:w="3404" w:type="dxa"/>
            <w:vAlign w:val="top"/>
          </w:tcPr>
          <w:p w14:paraId="604340D5">
            <w:pPr>
              <w:spacing w:before="88" w:line="216" w:lineRule="auto"/>
              <w:ind w:left="147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8.814</w:t>
            </w:r>
          </w:p>
        </w:tc>
      </w:tr>
      <w:tr w14:paraId="711342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73E40159">
            <w:pPr>
              <w:spacing w:before="88" w:line="217" w:lineRule="auto"/>
              <w:ind w:left="8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c>
          <w:tcPr>
            <w:tcW w:w="3685" w:type="dxa"/>
            <w:vAlign w:val="top"/>
          </w:tcPr>
          <w:p w14:paraId="06F80D33">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0.588</w:t>
            </w:r>
          </w:p>
        </w:tc>
        <w:tc>
          <w:tcPr>
            <w:tcW w:w="3404" w:type="dxa"/>
            <w:vAlign w:val="top"/>
          </w:tcPr>
          <w:p w14:paraId="36C5BE16">
            <w:pPr>
              <w:spacing w:before="88" w:line="217" w:lineRule="auto"/>
              <w:ind w:left="147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8.338</w:t>
            </w:r>
          </w:p>
        </w:tc>
      </w:tr>
      <w:tr w14:paraId="116224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187FB2AF">
            <w:pPr>
              <w:spacing w:before="88" w:line="217" w:lineRule="auto"/>
              <w:ind w:left="8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tc>
        <w:tc>
          <w:tcPr>
            <w:tcW w:w="3685" w:type="dxa"/>
            <w:vAlign w:val="top"/>
          </w:tcPr>
          <w:p w14:paraId="6A685F12">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0.519</w:t>
            </w:r>
          </w:p>
        </w:tc>
        <w:tc>
          <w:tcPr>
            <w:tcW w:w="3404" w:type="dxa"/>
            <w:vAlign w:val="top"/>
          </w:tcPr>
          <w:p w14:paraId="2C3CDA8A">
            <w:pPr>
              <w:spacing w:before="88" w:line="217"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7.891</w:t>
            </w:r>
          </w:p>
        </w:tc>
      </w:tr>
      <w:tr w14:paraId="616A2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0C94333A">
            <w:pPr>
              <w:spacing w:before="88" w:line="217" w:lineRule="auto"/>
              <w:ind w:left="8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tc>
        <w:tc>
          <w:tcPr>
            <w:tcW w:w="3685" w:type="dxa"/>
            <w:vAlign w:val="top"/>
          </w:tcPr>
          <w:p w14:paraId="583A3175">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0.456</w:t>
            </w:r>
          </w:p>
        </w:tc>
        <w:tc>
          <w:tcPr>
            <w:tcW w:w="3404" w:type="dxa"/>
            <w:vAlign w:val="top"/>
          </w:tcPr>
          <w:p w14:paraId="65EE587E">
            <w:pPr>
              <w:spacing w:before="88" w:line="217"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7.472</w:t>
            </w:r>
          </w:p>
        </w:tc>
      </w:tr>
      <w:tr w14:paraId="323CD7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57AD896B">
            <w:pPr>
              <w:spacing w:before="90" w:line="217" w:lineRule="auto"/>
              <w:ind w:left="8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tc>
        <w:tc>
          <w:tcPr>
            <w:tcW w:w="3685" w:type="dxa"/>
            <w:vAlign w:val="top"/>
          </w:tcPr>
          <w:p w14:paraId="64D50A08">
            <w:pPr>
              <w:spacing w:before="90"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0.399</w:t>
            </w:r>
          </w:p>
        </w:tc>
        <w:tc>
          <w:tcPr>
            <w:tcW w:w="3404" w:type="dxa"/>
            <w:vAlign w:val="top"/>
          </w:tcPr>
          <w:p w14:paraId="431515F2">
            <w:pPr>
              <w:spacing w:before="90" w:line="217"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7.078</w:t>
            </w:r>
          </w:p>
        </w:tc>
      </w:tr>
      <w:tr w14:paraId="6927E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53DAABDF">
            <w:pPr>
              <w:spacing w:before="87" w:line="217" w:lineRule="auto"/>
              <w:ind w:left="8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tc>
        <w:tc>
          <w:tcPr>
            <w:tcW w:w="3685" w:type="dxa"/>
            <w:vAlign w:val="top"/>
          </w:tcPr>
          <w:p w14:paraId="022546DF">
            <w:pPr>
              <w:spacing w:before="87"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0.349</w:t>
            </w:r>
          </w:p>
        </w:tc>
        <w:tc>
          <w:tcPr>
            <w:tcW w:w="3404" w:type="dxa"/>
            <w:vAlign w:val="top"/>
          </w:tcPr>
          <w:p w14:paraId="75EEA61A">
            <w:pPr>
              <w:spacing w:before="87" w:line="217" w:lineRule="auto"/>
              <w:ind w:left="146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6.710</w:t>
            </w:r>
          </w:p>
        </w:tc>
      </w:tr>
      <w:tr w14:paraId="2CF249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7F6EB1DE">
            <w:pPr>
              <w:spacing w:before="88" w:line="217" w:lineRule="auto"/>
              <w:ind w:left="8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tc>
        <w:tc>
          <w:tcPr>
            <w:tcW w:w="3685" w:type="dxa"/>
            <w:vAlign w:val="top"/>
          </w:tcPr>
          <w:p w14:paraId="088728D6">
            <w:pPr>
              <w:spacing w:before="88"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0.304</w:t>
            </w:r>
          </w:p>
        </w:tc>
        <w:tc>
          <w:tcPr>
            <w:tcW w:w="3404" w:type="dxa"/>
            <w:vAlign w:val="top"/>
          </w:tcPr>
          <w:p w14:paraId="47AE60A0">
            <w:pPr>
              <w:spacing w:before="88" w:line="217" w:lineRule="auto"/>
              <w:ind w:left="146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6.365</w:t>
            </w:r>
          </w:p>
        </w:tc>
      </w:tr>
      <w:tr w14:paraId="2BEC23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4805CE98">
            <w:pPr>
              <w:spacing w:before="88" w:line="216" w:lineRule="auto"/>
              <w:ind w:left="8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w:t>
            </w:r>
          </w:p>
        </w:tc>
        <w:tc>
          <w:tcPr>
            <w:tcW w:w="3685" w:type="dxa"/>
            <w:vAlign w:val="top"/>
          </w:tcPr>
          <w:p w14:paraId="7502774D">
            <w:pPr>
              <w:spacing w:before="88" w:line="216"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0.263</w:t>
            </w:r>
          </w:p>
        </w:tc>
        <w:tc>
          <w:tcPr>
            <w:tcW w:w="3404" w:type="dxa"/>
            <w:vAlign w:val="top"/>
          </w:tcPr>
          <w:p w14:paraId="03396D4C">
            <w:pPr>
              <w:spacing w:before="88" w:line="216" w:lineRule="auto"/>
              <w:ind w:left="146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6.042</w:t>
            </w:r>
          </w:p>
        </w:tc>
      </w:tr>
      <w:tr w14:paraId="3D973E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3BEEC8BE">
            <w:pPr>
              <w:spacing w:before="88" w:line="216" w:lineRule="auto"/>
              <w:ind w:left="8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w:t>
            </w:r>
          </w:p>
        </w:tc>
        <w:tc>
          <w:tcPr>
            <w:tcW w:w="3685" w:type="dxa"/>
            <w:vAlign w:val="top"/>
          </w:tcPr>
          <w:p w14:paraId="3F0D0E7F">
            <w:pPr>
              <w:spacing w:before="88" w:line="216"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0.228</w:t>
            </w:r>
          </w:p>
        </w:tc>
        <w:tc>
          <w:tcPr>
            <w:tcW w:w="3404" w:type="dxa"/>
            <w:vAlign w:val="top"/>
          </w:tcPr>
          <w:p w14:paraId="35C860CA">
            <w:pPr>
              <w:spacing w:before="88" w:line="216" w:lineRule="auto"/>
              <w:ind w:left="147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5.739</w:t>
            </w:r>
          </w:p>
        </w:tc>
      </w:tr>
      <w:tr w14:paraId="183AA7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78358E0D">
            <w:pPr>
              <w:spacing w:before="89" w:line="215" w:lineRule="auto"/>
              <w:ind w:left="8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w:t>
            </w:r>
          </w:p>
        </w:tc>
        <w:tc>
          <w:tcPr>
            <w:tcW w:w="3685" w:type="dxa"/>
            <w:vAlign w:val="top"/>
          </w:tcPr>
          <w:p w14:paraId="37AEC5EE">
            <w:pPr>
              <w:spacing w:before="89" w:line="215"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0.196</w:t>
            </w:r>
          </w:p>
        </w:tc>
        <w:tc>
          <w:tcPr>
            <w:tcW w:w="3404" w:type="dxa"/>
            <w:vAlign w:val="top"/>
          </w:tcPr>
          <w:p w14:paraId="10546960">
            <w:pPr>
              <w:spacing w:before="89" w:line="215" w:lineRule="auto"/>
              <w:ind w:left="147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5.455</w:t>
            </w:r>
          </w:p>
        </w:tc>
      </w:tr>
      <w:tr w14:paraId="46C807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03A579BB">
            <w:pPr>
              <w:spacing w:before="92" w:line="215" w:lineRule="auto"/>
              <w:ind w:left="89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c>
          <w:tcPr>
            <w:tcW w:w="3685" w:type="dxa"/>
            <w:vAlign w:val="top"/>
          </w:tcPr>
          <w:p w14:paraId="4BF3B1AE">
            <w:pPr>
              <w:spacing w:before="92" w:line="215"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0.168</w:t>
            </w:r>
          </w:p>
        </w:tc>
        <w:tc>
          <w:tcPr>
            <w:tcW w:w="3404" w:type="dxa"/>
            <w:vAlign w:val="top"/>
          </w:tcPr>
          <w:p w14:paraId="1B9E711F">
            <w:pPr>
              <w:spacing w:before="92" w:line="215" w:lineRule="auto"/>
              <w:ind w:left="147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5.189</w:t>
            </w:r>
          </w:p>
        </w:tc>
      </w:tr>
      <w:tr w14:paraId="66E679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3FCB9013">
            <w:pPr>
              <w:spacing w:before="89" w:line="215" w:lineRule="auto"/>
              <w:ind w:left="89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31</w:t>
            </w:r>
          </w:p>
        </w:tc>
        <w:tc>
          <w:tcPr>
            <w:tcW w:w="3685" w:type="dxa"/>
            <w:vAlign w:val="top"/>
          </w:tcPr>
          <w:p w14:paraId="4018A552">
            <w:pPr>
              <w:spacing w:before="89" w:line="215"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0.143</w:t>
            </w:r>
          </w:p>
        </w:tc>
        <w:tc>
          <w:tcPr>
            <w:tcW w:w="3404" w:type="dxa"/>
            <w:vAlign w:val="top"/>
          </w:tcPr>
          <w:p w14:paraId="46ADA481">
            <w:pPr>
              <w:spacing w:before="89" w:line="215"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4.940</w:t>
            </w:r>
          </w:p>
        </w:tc>
      </w:tr>
      <w:tr w14:paraId="5EEE83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2A7E5E2A">
            <w:pPr>
              <w:spacing w:before="90" w:line="215" w:lineRule="auto"/>
              <w:ind w:left="89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32</w:t>
            </w:r>
          </w:p>
        </w:tc>
        <w:tc>
          <w:tcPr>
            <w:tcW w:w="3685" w:type="dxa"/>
            <w:vAlign w:val="top"/>
          </w:tcPr>
          <w:p w14:paraId="51B24C79">
            <w:pPr>
              <w:spacing w:before="90" w:line="215"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0.122</w:t>
            </w:r>
          </w:p>
        </w:tc>
        <w:tc>
          <w:tcPr>
            <w:tcW w:w="3404" w:type="dxa"/>
            <w:vAlign w:val="top"/>
          </w:tcPr>
          <w:p w14:paraId="274FA55A">
            <w:pPr>
              <w:spacing w:before="90" w:line="215"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4.706</w:t>
            </w:r>
          </w:p>
        </w:tc>
      </w:tr>
      <w:tr w14:paraId="183D7E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48C69759">
            <w:pPr>
              <w:spacing w:before="90" w:line="215" w:lineRule="auto"/>
              <w:ind w:left="89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33</w:t>
            </w:r>
          </w:p>
        </w:tc>
        <w:tc>
          <w:tcPr>
            <w:tcW w:w="3685" w:type="dxa"/>
            <w:vAlign w:val="top"/>
          </w:tcPr>
          <w:p w14:paraId="6F7DE2FF">
            <w:pPr>
              <w:spacing w:before="90" w:line="215"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0.102</w:t>
            </w:r>
          </w:p>
        </w:tc>
        <w:tc>
          <w:tcPr>
            <w:tcW w:w="3404" w:type="dxa"/>
            <w:vAlign w:val="top"/>
          </w:tcPr>
          <w:p w14:paraId="1495BCC8">
            <w:pPr>
              <w:spacing w:before="90" w:line="215"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4.486</w:t>
            </w:r>
          </w:p>
        </w:tc>
      </w:tr>
      <w:tr w14:paraId="3CC5A1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18AF51B7">
            <w:pPr>
              <w:spacing w:before="90" w:line="214" w:lineRule="auto"/>
              <w:ind w:left="89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34</w:t>
            </w:r>
          </w:p>
        </w:tc>
        <w:tc>
          <w:tcPr>
            <w:tcW w:w="3685" w:type="dxa"/>
            <w:vAlign w:val="top"/>
          </w:tcPr>
          <w:p w14:paraId="26A91CFD">
            <w:pPr>
              <w:spacing w:before="90" w:line="214"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0.086</w:t>
            </w:r>
          </w:p>
        </w:tc>
        <w:tc>
          <w:tcPr>
            <w:tcW w:w="3404" w:type="dxa"/>
            <w:vAlign w:val="top"/>
          </w:tcPr>
          <w:p w14:paraId="0C9675F0">
            <w:pPr>
              <w:spacing w:before="90" w:line="214"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4.280</w:t>
            </w:r>
          </w:p>
        </w:tc>
      </w:tr>
      <w:tr w14:paraId="7D2BF0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252FA45C">
            <w:pPr>
              <w:spacing w:before="90" w:line="215" w:lineRule="auto"/>
              <w:ind w:left="89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w:t>
            </w:r>
          </w:p>
        </w:tc>
        <w:tc>
          <w:tcPr>
            <w:tcW w:w="3685" w:type="dxa"/>
            <w:vAlign w:val="top"/>
          </w:tcPr>
          <w:p w14:paraId="261D595E">
            <w:pPr>
              <w:spacing w:before="90" w:line="215"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0.071</w:t>
            </w:r>
          </w:p>
        </w:tc>
        <w:tc>
          <w:tcPr>
            <w:tcW w:w="3404" w:type="dxa"/>
            <w:vAlign w:val="top"/>
          </w:tcPr>
          <w:p w14:paraId="5448E70F">
            <w:pPr>
              <w:spacing w:before="90" w:line="215"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4.086</w:t>
            </w:r>
          </w:p>
        </w:tc>
      </w:tr>
      <w:tr w14:paraId="60F04D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041E5DA9">
            <w:pPr>
              <w:spacing w:before="92" w:line="215" w:lineRule="auto"/>
              <w:ind w:left="89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36</w:t>
            </w:r>
          </w:p>
        </w:tc>
        <w:tc>
          <w:tcPr>
            <w:tcW w:w="3685" w:type="dxa"/>
            <w:vAlign w:val="top"/>
          </w:tcPr>
          <w:p w14:paraId="59424A26">
            <w:pPr>
              <w:spacing w:before="92" w:line="215"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0.058</w:t>
            </w:r>
          </w:p>
        </w:tc>
        <w:tc>
          <w:tcPr>
            <w:tcW w:w="3404" w:type="dxa"/>
            <w:vAlign w:val="top"/>
          </w:tcPr>
          <w:p w14:paraId="21970DA2">
            <w:pPr>
              <w:spacing w:before="92" w:line="215"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3.904</w:t>
            </w:r>
          </w:p>
        </w:tc>
      </w:tr>
      <w:tr w14:paraId="12E7F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368B3A52">
            <w:pPr>
              <w:spacing w:before="90" w:line="214" w:lineRule="auto"/>
              <w:ind w:left="89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3685" w:type="dxa"/>
            <w:vAlign w:val="top"/>
          </w:tcPr>
          <w:p w14:paraId="2777C17C">
            <w:pPr>
              <w:spacing w:before="90" w:line="214"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0.047</w:t>
            </w:r>
          </w:p>
        </w:tc>
        <w:tc>
          <w:tcPr>
            <w:tcW w:w="3404" w:type="dxa"/>
            <w:vAlign w:val="top"/>
          </w:tcPr>
          <w:p w14:paraId="7885F4EE">
            <w:pPr>
              <w:spacing w:before="90" w:line="214"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3.732</w:t>
            </w:r>
          </w:p>
        </w:tc>
      </w:tr>
      <w:tr w14:paraId="1B6F4CD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984" w:type="dxa"/>
            <w:vAlign w:val="top"/>
          </w:tcPr>
          <w:p w14:paraId="7CA3F148">
            <w:pPr>
              <w:spacing w:before="91" w:line="214" w:lineRule="auto"/>
              <w:ind w:left="89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3685" w:type="dxa"/>
            <w:vAlign w:val="top"/>
          </w:tcPr>
          <w:p w14:paraId="19CA0085">
            <w:pPr>
              <w:spacing w:before="91" w:line="214"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0.037</w:t>
            </w:r>
          </w:p>
        </w:tc>
        <w:tc>
          <w:tcPr>
            <w:tcW w:w="3404" w:type="dxa"/>
            <w:vAlign w:val="top"/>
          </w:tcPr>
          <w:p w14:paraId="375CA250">
            <w:pPr>
              <w:spacing w:before="91" w:line="214"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3.571</w:t>
            </w:r>
          </w:p>
        </w:tc>
      </w:tr>
      <w:tr w14:paraId="4E3FA8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379DA53B">
            <w:pPr>
              <w:spacing w:before="90" w:line="214" w:lineRule="auto"/>
              <w:ind w:left="89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w:t>
            </w:r>
          </w:p>
        </w:tc>
        <w:tc>
          <w:tcPr>
            <w:tcW w:w="3685" w:type="dxa"/>
            <w:vAlign w:val="top"/>
          </w:tcPr>
          <w:p w14:paraId="2CE24423">
            <w:pPr>
              <w:spacing w:before="90" w:line="214"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0.029</w:t>
            </w:r>
          </w:p>
        </w:tc>
        <w:tc>
          <w:tcPr>
            <w:tcW w:w="3404" w:type="dxa"/>
            <w:vAlign w:val="top"/>
          </w:tcPr>
          <w:p w14:paraId="59497856">
            <w:pPr>
              <w:spacing w:before="90" w:line="214"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3.419</w:t>
            </w:r>
          </w:p>
        </w:tc>
      </w:tr>
      <w:tr w14:paraId="4C631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984" w:type="dxa"/>
            <w:vAlign w:val="top"/>
          </w:tcPr>
          <w:p w14:paraId="6EAEB3EE">
            <w:pPr>
              <w:spacing w:before="91" w:line="218" w:lineRule="auto"/>
              <w:ind w:left="8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3685" w:type="dxa"/>
            <w:vAlign w:val="top"/>
          </w:tcPr>
          <w:p w14:paraId="2BDBB34E">
            <w:pPr>
              <w:spacing w:before="91" w:line="218"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0.022</w:t>
            </w:r>
          </w:p>
        </w:tc>
        <w:tc>
          <w:tcPr>
            <w:tcW w:w="3404" w:type="dxa"/>
            <w:vAlign w:val="top"/>
          </w:tcPr>
          <w:p w14:paraId="48C1ABE6">
            <w:pPr>
              <w:spacing w:before="91" w:line="218"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3.275</w:t>
            </w:r>
          </w:p>
        </w:tc>
      </w:tr>
    </w:tbl>
    <w:p w14:paraId="06851DE7">
      <w:pPr>
        <w:rPr>
          <w:rFonts w:ascii="Arial"/>
          <w:sz w:val="21"/>
        </w:rPr>
      </w:pPr>
    </w:p>
    <w:p w14:paraId="500DC7D5">
      <w:pPr>
        <w:rPr>
          <w:rFonts w:ascii="Arial" w:hAnsi="Arial" w:eastAsia="Arial" w:cs="Arial"/>
          <w:sz w:val="21"/>
          <w:szCs w:val="21"/>
        </w:rPr>
        <w:sectPr>
          <w:footerReference r:id="rId112" w:type="default"/>
          <w:pgSz w:w="11907" w:h="16841"/>
          <w:pgMar w:top="400" w:right="1411" w:bottom="1126" w:left="1416" w:header="0" w:footer="925" w:gutter="0"/>
          <w:cols w:space="720" w:num="1"/>
        </w:sectPr>
      </w:pPr>
    </w:p>
    <w:p w14:paraId="22BC947B">
      <w:pPr>
        <w:spacing w:before="2"/>
      </w:pPr>
    </w:p>
    <w:p w14:paraId="10251B89">
      <w:pPr>
        <w:spacing w:before="2"/>
      </w:pPr>
    </w:p>
    <w:p w14:paraId="6CE40ED7">
      <w:pPr>
        <w:spacing w:before="1"/>
      </w:pPr>
    </w:p>
    <w:p w14:paraId="5FBA923B">
      <w:pPr>
        <w:spacing w:before="1"/>
      </w:pPr>
    </w:p>
    <w:p w14:paraId="4BA155DE">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84"/>
        <w:gridCol w:w="3685"/>
        <w:gridCol w:w="3404"/>
      </w:tblGrid>
      <w:tr w14:paraId="48A033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984" w:type="dxa"/>
            <w:vAlign w:val="top"/>
          </w:tcPr>
          <w:p w14:paraId="3D412079">
            <w:pPr>
              <w:spacing w:before="93" w:line="216" w:lineRule="auto"/>
              <w:ind w:left="8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w:t>
            </w:r>
          </w:p>
        </w:tc>
        <w:tc>
          <w:tcPr>
            <w:tcW w:w="3685" w:type="dxa"/>
            <w:vAlign w:val="top"/>
          </w:tcPr>
          <w:p w14:paraId="706673D1">
            <w:pPr>
              <w:spacing w:before="93" w:line="216"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0.017</w:t>
            </w:r>
          </w:p>
        </w:tc>
        <w:tc>
          <w:tcPr>
            <w:tcW w:w="3404" w:type="dxa"/>
            <w:vAlign w:val="top"/>
          </w:tcPr>
          <w:p w14:paraId="73EBF379">
            <w:pPr>
              <w:spacing w:before="93" w:line="216"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3.140</w:t>
            </w:r>
          </w:p>
        </w:tc>
      </w:tr>
      <w:tr w14:paraId="62E9AD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984" w:type="dxa"/>
            <w:vAlign w:val="top"/>
          </w:tcPr>
          <w:p w14:paraId="5764DAFF">
            <w:pPr>
              <w:spacing w:before="89" w:line="218" w:lineRule="auto"/>
              <w:ind w:left="8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w:t>
            </w:r>
          </w:p>
        </w:tc>
        <w:tc>
          <w:tcPr>
            <w:tcW w:w="3685" w:type="dxa"/>
            <w:vAlign w:val="top"/>
          </w:tcPr>
          <w:p w14:paraId="2628AE53">
            <w:pPr>
              <w:spacing w:before="89" w:line="218"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0.014</w:t>
            </w:r>
          </w:p>
        </w:tc>
        <w:tc>
          <w:tcPr>
            <w:tcW w:w="3404" w:type="dxa"/>
            <w:vAlign w:val="top"/>
          </w:tcPr>
          <w:p w14:paraId="142B578D">
            <w:pPr>
              <w:spacing w:before="89" w:line="218" w:lineRule="auto"/>
              <w:ind w:left="1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3.012</w:t>
            </w:r>
          </w:p>
        </w:tc>
      </w:tr>
      <w:tr w14:paraId="3A2917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15701142">
            <w:pPr>
              <w:spacing w:before="86" w:line="218" w:lineRule="auto"/>
              <w:ind w:left="8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3685" w:type="dxa"/>
            <w:vAlign w:val="top"/>
          </w:tcPr>
          <w:p w14:paraId="0E5266CB">
            <w:pPr>
              <w:spacing w:before="86" w:line="218"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0.013</w:t>
            </w:r>
          </w:p>
        </w:tc>
        <w:tc>
          <w:tcPr>
            <w:tcW w:w="3404" w:type="dxa"/>
            <w:vAlign w:val="top"/>
          </w:tcPr>
          <w:p w14:paraId="38BA7D9B">
            <w:pPr>
              <w:spacing w:before="86" w:line="218"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2.892</w:t>
            </w:r>
          </w:p>
        </w:tc>
      </w:tr>
      <w:tr w14:paraId="6F8FE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01B85121">
            <w:pPr>
              <w:spacing w:before="87" w:line="217" w:lineRule="auto"/>
              <w:ind w:left="8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w:t>
            </w:r>
          </w:p>
        </w:tc>
        <w:tc>
          <w:tcPr>
            <w:tcW w:w="3685" w:type="dxa"/>
            <w:vAlign w:val="top"/>
          </w:tcPr>
          <w:p w14:paraId="2065942E">
            <w:pPr>
              <w:spacing w:before="87" w:line="217"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0.013</w:t>
            </w:r>
          </w:p>
        </w:tc>
        <w:tc>
          <w:tcPr>
            <w:tcW w:w="3404" w:type="dxa"/>
            <w:vAlign w:val="top"/>
          </w:tcPr>
          <w:p w14:paraId="541E8E75">
            <w:pPr>
              <w:spacing w:before="87" w:line="217"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2.778</w:t>
            </w:r>
          </w:p>
        </w:tc>
      </w:tr>
      <w:tr w14:paraId="3A34C4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1EBA84E4">
            <w:pPr>
              <w:spacing w:before="88" w:line="216" w:lineRule="auto"/>
              <w:ind w:left="8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c>
          <w:tcPr>
            <w:tcW w:w="3685" w:type="dxa"/>
            <w:vAlign w:val="top"/>
          </w:tcPr>
          <w:p w14:paraId="68066BCD">
            <w:pPr>
              <w:spacing w:before="88" w:line="216"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0.015</w:t>
            </w:r>
          </w:p>
        </w:tc>
        <w:tc>
          <w:tcPr>
            <w:tcW w:w="3404" w:type="dxa"/>
            <w:vAlign w:val="top"/>
          </w:tcPr>
          <w:p w14:paraId="486E01B4">
            <w:pPr>
              <w:spacing w:before="88" w:line="216"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2.670</w:t>
            </w:r>
          </w:p>
        </w:tc>
      </w:tr>
      <w:tr w14:paraId="132DBE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25EAD36E">
            <w:pPr>
              <w:spacing w:before="88" w:line="216" w:lineRule="auto"/>
              <w:ind w:left="8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w:t>
            </w:r>
          </w:p>
        </w:tc>
        <w:tc>
          <w:tcPr>
            <w:tcW w:w="3685" w:type="dxa"/>
            <w:vAlign w:val="top"/>
          </w:tcPr>
          <w:p w14:paraId="1F12DF57">
            <w:pPr>
              <w:spacing w:before="88" w:line="216"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0.017</w:t>
            </w:r>
          </w:p>
        </w:tc>
        <w:tc>
          <w:tcPr>
            <w:tcW w:w="3404" w:type="dxa"/>
            <w:vAlign w:val="top"/>
          </w:tcPr>
          <w:p w14:paraId="15D9B75B">
            <w:pPr>
              <w:spacing w:before="88" w:line="216"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2.568</w:t>
            </w:r>
          </w:p>
        </w:tc>
      </w:tr>
      <w:tr w14:paraId="55432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5E75A38D">
            <w:pPr>
              <w:spacing w:before="89" w:line="215" w:lineRule="auto"/>
              <w:ind w:left="8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w:t>
            </w:r>
          </w:p>
        </w:tc>
        <w:tc>
          <w:tcPr>
            <w:tcW w:w="3685" w:type="dxa"/>
            <w:vAlign w:val="top"/>
          </w:tcPr>
          <w:p w14:paraId="50B46595">
            <w:pPr>
              <w:spacing w:before="89" w:line="215"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0.020</w:t>
            </w:r>
          </w:p>
        </w:tc>
        <w:tc>
          <w:tcPr>
            <w:tcW w:w="3404" w:type="dxa"/>
            <w:vAlign w:val="top"/>
          </w:tcPr>
          <w:p w14:paraId="2FDE0B80">
            <w:pPr>
              <w:spacing w:before="89" w:line="215"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2.471</w:t>
            </w:r>
          </w:p>
        </w:tc>
      </w:tr>
      <w:tr w14:paraId="1C13A1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1984" w:type="dxa"/>
            <w:vAlign w:val="top"/>
          </w:tcPr>
          <w:p w14:paraId="6AF0879A">
            <w:pPr>
              <w:spacing w:before="92" w:line="214" w:lineRule="auto"/>
              <w:ind w:left="8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w:t>
            </w:r>
          </w:p>
        </w:tc>
        <w:tc>
          <w:tcPr>
            <w:tcW w:w="3685" w:type="dxa"/>
            <w:vAlign w:val="top"/>
          </w:tcPr>
          <w:p w14:paraId="06DEB2A9">
            <w:pPr>
              <w:spacing w:before="92" w:line="214"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0.022</w:t>
            </w:r>
          </w:p>
        </w:tc>
        <w:tc>
          <w:tcPr>
            <w:tcW w:w="3404" w:type="dxa"/>
            <w:vAlign w:val="top"/>
          </w:tcPr>
          <w:p w14:paraId="35490152">
            <w:pPr>
              <w:spacing w:before="92" w:line="214"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2.379</w:t>
            </w:r>
          </w:p>
        </w:tc>
      </w:tr>
      <w:tr w14:paraId="574C19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984" w:type="dxa"/>
            <w:vAlign w:val="top"/>
          </w:tcPr>
          <w:p w14:paraId="205AD5FB">
            <w:pPr>
              <w:spacing w:before="90" w:line="214" w:lineRule="auto"/>
              <w:ind w:left="8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w:t>
            </w:r>
          </w:p>
        </w:tc>
        <w:tc>
          <w:tcPr>
            <w:tcW w:w="3685" w:type="dxa"/>
            <w:vAlign w:val="top"/>
          </w:tcPr>
          <w:p w14:paraId="16A7045A">
            <w:pPr>
              <w:spacing w:before="90" w:line="214"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0.024</w:t>
            </w:r>
          </w:p>
        </w:tc>
        <w:tc>
          <w:tcPr>
            <w:tcW w:w="3404" w:type="dxa"/>
            <w:vAlign w:val="top"/>
          </w:tcPr>
          <w:p w14:paraId="29E2F1FC">
            <w:pPr>
              <w:spacing w:before="90" w:line="214"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2.292</w:t>
            </w:r>
          </w:p>
        </w:tc>
      </w:tr>
      <w:tr w14:paraId="52D5EC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984" w:type="dxa"/>
            <w:vAlign w:val="top"/>
          </w:tcPr>
          <w:p w14:paraId="4DE0DAEB">
            <w:pPr>
              <w:spacing w:before="91" w:line="218" w:lineRule="auto"/>
              <w:ind w:left="893"/>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3685" w:type="dxa"/>
            <w:vAlign w:val="top"/>
          </w:tcPr>
          <w:p w14:paraId="545048B5">
            <w:pPr>
              <w:spacing w:before="91" w:line="218" w:lineRule="auto"/>
              <w:ind w:left="160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0.025</w:t>
            </w:r>
          </w:p>
        </w:tc>
        <w:tc>
          <w:tcPr>
            <w:tcW w:w="3404" w:type="dxa"/>
            <w:vAlign w:val="top"/>
          </w:tcPr>
          <w:p w14:paraId="7A44BC27">
            <w:pPr>
              <w:spacing w:before="91" w:line="218" w:lineRule="auto"/>
              <w:ind w:left="14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2.210</w:t>
            </w:r>
          </w:p>
        </w:tc>
      </w:tr>
    </w:tbl>
    <w:p w14:paraId="44B8E9D9">
      <w:pPr>
        <w:spacing w:line="112" w:lineRule="exact"/>
      </w:pPr>
    </w:p>
    <w:tbl>
      <w:tblPr>
        <w:tblStyle w:val="5"/>
        <w:tblW w:w="7394" w:type="dxa"/>
        <w:tblInd w:w="831"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7394"/>
      </w:tblGrid>
      <w:tr w14:paraId="552BE21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420" w:hRule="atLeast"/>
        </w:trPr>
        <w:tc>
          <w:tcPr>
            <w:tcW w:w="7394" w:type="dxa"/>
            <w:vAlign w:val="top"/>
          </w:tcPr>
          <w:p w14:paraId="1EE52D2C">
            <w:pPr>
              <w:pStyle w:val="6"/>
              <w:spacing w:before="203" w:line="3961" w:lineRule="exact"/>
              <w:ind w:firstLine="569"/>
            </w:pPr>
            <w:r>
              <mc:AlternateContent>
                <mc:Choice Requires="wps">
                  <w:drawing>
                    <wp:anchor distT="0" distB="0" distL="0" distR="0" simplePos="0" relativeHeight="251677696" behindDoc="0" locked="0" layoutInCell="1" allowOverlap="1">
                      <wp:simplePos x="0" y="0"/>
                      <wp:positionH relativeFrom="rightMargin">
                        <wp:posOffset>-4963160</wp:posOffset>
                      </wp:positionH>
                      <wp:positionV relativeFrom="topMargin">
                        <wp:posOffset>1225550</wp:posOffset>
                      </wp:positionV>
                      <wp:extent cx="1038860" cy="208280"/>
                      <wp:effectExtent l="0" t="0" r="0" b="0"/>
                      <wp:wrapNone/>
                      <wp:docPr id="90" name="TextBox 90"/>
                      <wp:cNvGraphicFramePr/>
                      <a:graphic xmlns:a="http://schemas.openxmlformats.org/drawingml/2006/main">
                        <a:graphicData uri="http://schemas.microsoft.com/office/word/2010/wordprocessingShape">
                          <wps:wsp>
                            <wps:cNvSpPr txBox="1"/>
                            <wps:spPr>
                              <a:xfrm rot="16200000">
                                <a:off x="-4963384" y="1225995"/>
                                <a:ext cx="1038860" cy="20827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813B437">
                                  <w:pPr>
                                    <w:pStyle w:val="6"/>
                                    <w:spacing w:before="56" w:line="251" w:lineRule="exact"/>
                                    <w:ind w:left="20"/>
                                    <w:rPr>
                                      <w:sz w:val="19"/>
                                      <w:szCs w:val="19"/>
                                    </w:rPr>
                                  </w:pPr>
                                  <w:r>
                                    <w:rPr>
                                      <w:color w:val="595959"/>
                                      <w:spacing w:val="4"/>
                                      <w:position w:val="1"/>
                                      <w:sz w:val="19"/>
                                      <w:szCs w:val="19"/>
                                    </w:rPr>
                                    <w:t>电场强度（</w:t>
                                  </w:r>
                                  <w:r>
                                    <w:rPr>
                                      <w:rFonts w:ascii="Times New Roman" w:hAnsi="Times New Roman" w:eastAsia="Times New Roman" w:cs="Times New Roman"/>
                                      <w:color w:val="595959"/>
                                      <w:position w:val="1"/>
                                      <w:sz w:val="19"/>
                                      <w:szCs w:val="19"/>
                                    </w:rPr>
                                    <w:t>kV</w:t>
                                  </w:r>
                                  <w:r>
                                    <w:rPr>
                                      <w:rFonts w:ascii="Times New Roman" w:hAnsi="Times New Roman" w:eastAsia="Times New Roman" w:cs="Times New Roman"/>
                                      <w:color w:val="595959"/>
                                      <w:spacing w:val="4"/>
                                      <w:position w:val="1"/>
                                      <w:sz w:val="19"/>
                                      <w:szCs w:val="19"/>
                                    </w:rPr>
                                    <w:t>/m</w:t>
                                  </w:r>
                                  <w:r>
                                    <w:rPr>
                                      <w:color w:val="595959"/>
                                      <w:spacing w:val="4"/>
                                      <w:position w:val="1"/>
                                      <w:sz w:val="19"/>
                                      <w:szCs w:val="19"/>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90" o:spid="_x0000_s1026" o:spt="202" type="#_x0000_t202" style="position:absolute;left:0pt;margin-left:-21.45pt;margin-top:97.25pt;height:16.4pt;width:81.8pt;mso-position-horizontal-relative:page;mso-position-vertical-relative:page;rotation:-5898240f;z-index:251677696;mso-width-relative:page;mso-height-relative:page;" filled="f" stroked="f" coordsize="21600,21600" o:gfxdata="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AAAAAGRycy9QSwECFAAUAAAACACHTuJAGjBdRdsAAAAN&#10;AQAADwAAAAAAAAABACAAAAAiAAAAZHJzL2Rvd25yZXYueG1sUEsBAhQAFAAAAAgAh07iQP+yLspS&#10;AgAApQQAAA4AAAAAAAAAAQAgAAAAKgEAAGRycy9lMm9Eb2MueG1sUEsFBgAAAAAGAAYAWQEAAO4F&#10;AAAAAA==&#10;">
                      <v:fill on="f" focussize="0,0"/>
                      <v:stroke on="f" weight="0pt" miterlimit="0" joinstyle="miter"/>
                      <v:imagedata o:title=""/>
                      <o:lock v:ext="edit" aspectratio="f"/>
                      <v:textbox inset="0mm,0mm,0mm,0mm">
                        <w:txbxContent>
                          <w:p w14:paraId="6813B437">
                            <w:pPr>
                              <w:pStyle w:val="6"/>
                              <w:spacing w:before="56" w:line="251" w:lineRule="exact"/>
                              <w:ind w:left="20"/>
                              <w:rPr>
                                <w:sz w:val="19"/>
                                <w:szCs w:val="19"/>
                              </w:rPr>
                            </w:pPr>
                            <w:r>
                              <w:rPr>
                                <w:color w:val="595959"/>
                                <w:spacing w:val="4"/>
                                <w:position w:val="1"/>
                                <w:sz w:val="19"/>
                                <w:szCs w:val="19"/>
                              </w:rPr>
                              <w:t>电场强度（</w:t>
                            </w:r>
                            <w:r>
                              <w:rPr>
                                <w:rFonts w:ascii="Times New Roman" w:hAnsi="Times New Roman" w:eastAsia="Times New Roman" w:cs="Times New Roman"/>
                                <w:color w:val="595959"/>
                                <w:position w:val="1"/>
                                <w:sz w:val="19"/>
                                <w:szCs w:val="19"/>
                              </w:rPr>
                              <w:t>kV</w:t>
                            </w:r>
                            <w:r>
                              <w:rPr>
                                <w:rFonts w:ascii="Times New Roman" w:hAnsi="Times New Roman" w:eastAsia="Times New Roman" w:cs="Times New Roman"/>
                                <w:color w:val="595959"/>
                                <w:spacing w:val="4"/>
                                <w:position w:val="1"/>
                                <w:sz w:val="19"/>
                                <w:szCs w:val="19"/>
                              </w:rPr>
                              <w:t>/m</w:t>
                            </w:r>
                            <w:r>
                              <w:rPr>
                                <w:color w:val="595959"/>
                                <w:spacing w:val="4"/>
                                <w:position w:val="1"/>
                                <w:sz w:val="19"/>
                                <w:szCs w:val="19"/>
                              </w:rPr>
                              <w:t>）</w:t>
                            </w:r>
                          </w:p>
                        </w:txbxContent>
                      </v:textbox>
                    </v:shape>
                  </w:pict>
                </mc:Fallback>
              </mc:AlternateContent>
            </w:r>
            <w:r>
              <w:rPr>
                <w:position w:val="-79"/>
              </w:rPr>
              <w:pict>
                <v:group id="_x0000_s1224" o:spid="_x0000_s1224" o:spt="203" style="height:198.05pt;width:330.3pt;" coordsize="6605,3961">
                  <o:lock v:ext="edit"/>
                  <v:shape id="_x0000_s1225" o:spid="_x0000_s1225" o:spt="202" type="#_x0000_t202" style="position:absolute;left:314;top:-20;height:4001;width:6312;" filled="f" stroked="f" coordsize="21600,21600">
                    <v:path/>
                    <v:fill on="f" focussize="0,0"/>
                    <v:stroke on="f"/>
                    <v:imagedata o:title=""/>
                    <o:lock v:ext="edit" aspectratio="f"/>
                    <v:textbox inset="0mm,0mm,0mm,0mm">
                      <w:txbxContent>
                        <w:p w14:paraId="4321A026">
                          <w:pPr>
                            <w:spacing w:before="20" w:line="232" w:lineRule="auto"/>
                            <w:ind w:left="2915"/>
                            <w:rPr>
                              <w:rFonts w:ascii="Times New Roman" w:hAnsi="Times New Roman" w:eastAsia="Times New Roman" w:cs="Times New Roman"/>
                              <w:sz w:val="18"/>
                              <w:szCs w:val="18"/>
                            </w:rPr>
                          </w:pPr>
                          <w:r>
                            <w:rPr>
                              <w:rFonts w:ascii="Times New Roman" w:hAnsi="Times New Roman" w:eastAsia="Times New Roman" w:cs="Times New Roman"/>
                              <w:color w:val="595959"/>
                              <w:spacing w:val="-7"/>
                              <w:sz w:val="18"/>
                              <w:szCs w:val="18"/>
                            </w:rPr>
                            <w:t>15m</w:t>
                          </w:r>
                        </w:p>
                        <w:p w14:paraId="5B362D89">
                          <w:pPr>
                            <w:spacing w:line="247" w:lineRule="auto"/>
                            <w:rPr>
                              <w:rFonts w:ascii="Arial"/>
                              <w:sz w:val="21"/>
                            </w:rPr>
                          </w:pPr>
                        </w:p>
                        <w:p w14:paraId="0A864AD7">
                          <w:pPr>
                            <w:spacing w:line="247" w:lineRule="auto"/>
                            <w:rPr>
                              <w:rFonts w:ascii="Arial"/>
                              <w:sz w:val="21"/>
                            </w:rPr>
                          </w:pPr>
                        </w:p>
                        <w:p w14:paraId="11EA2AF9">
                          <w:pPr>
                            <w:spacing w:line="247" w:lineRule="auto"/>
                            <w:rPr>
                              <w:rFonts w:ascii="Arial"/>
                              <w:sz w:val="21"/>
                            </w:rPr>
                          </w:pPr>
                        </w:p>
                        <w:p w14:paraId="2B96CAE3">
                          <w:pPr>
                            <w:spacing w:line="248" w:lineRule="auto"/>
                            <w:rPr>
                              <w:rFonts w:ascii="Arial"/>
                              <w:sz w:val="21"/>
                            </w:rPr>
                          </w:pPr>
                        </w:p>
                        <w:p w14:paraId="25EFE07F">
                          <w:pPr>
                            <w:spacing w:line="248" w:lineRule="auto"/>
                            <w:rPr>
                              <w:rFonts w:ascii="Arial"/>
                              <w:sz w:val="21"/>
                            </w:rPr>
                          </w:pPr>
                        </w:p>
                        <w:p w14:paraId="222EED9F">
                          <w:pPr>
                            <w:spacing w:line="248" w:lineRule="auto"/>
                            <w:rPr>
                              <w:rFonts w:ascii="Arial"/>
                              <w:sz w:val="21"/>
                            </w:rPr>
                          </w:pPr>
                        </w:p>
                        <w:p w14:paraId="78537145">
                          <w:pPr>
                            <w:spacing w:line="248" w:lineRule="auto"/>
                            <w:rPr>
                              <w:rFonts w:ascii="Arial"/>
                              <w:sz w:val="21"/>
                            </w:rPr>
                          </w:pPr>
                        </w:p>
                        <w:p w14:paraId="5DC6A2E2">
                          <w:pPr>
                            <w:spacing w:line="248" w:lineRule="auto"/>
                            <w:rPr>
                              <w:rFonts w:ascii="Arial"/>
                              <w:sz w:val="21"/>
                            </w:rPr>
                          </w:pPr>
                        </w:p>
                        <w:p w14:paraId="595E601A">
                          <w:pPr>
                            <w:spacing w:line="248" w:lineRule="auto"/>
                            <w:rPr>
                              <w:rFonts w:ascii="Arial"/>
                              <w:sz w:val="21"/>
                            </w:rPr>
                          </w:pPr>
                        </w:p>
                        <w:p w14:paraId="4B822D1C">
                          <w:pPr>
                            <w:spacing w:line="248" w:lineRule="auto"/>
                            <w:rPr>
                              <w:rFonts w:ascii="Arial"/>
                              <w:sz w:val="21"/>
                            </w:rPr>
                          </w:pPr>
                        </w:p>
                        <w:p w14:paraId="2ED71C82">
                          <w:pPr>
                            <w:spacing w:line="248" w:lineRule="auto"/>
                            <w:rPr>
                              <w:rFonts w:ascii="Arial"/>
                              <w:sz w:val="21"/>
                            </w:rPr>
                          </w:pPr>
                        </w:p>
                        <w:p w14:paraId="1FC0A3BA">
                          <w:pPr>
                            <w:spacing w:line="248" w:lineRule="auto"/>
                            <w:rPr>
                              <w:rFonts w:ascii="Arial"/>
                              <w:sz w:val="21"/>
                            </w:rPr>
                          </w:pPr>
                        </w:p>
                        <w:p w14:paraId="55728493">
                          <w:pPr>
                            <w:spacing w:line="248" w:lineRule="auto"/>
                            <w:rPr>
                              <w:rFonts w:ascii="Arial"/>
                              <w:sz w:val="21"/>
                            </w:rPr>
                          </w:pPr>
                        </w:p>
                        <w:p w14:paraId="4E55B1AC">
                          <w:pPr>
                            <w:spacing w:before="52"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-50</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-45</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-40</w:t>
                          </w:r>
                          <w:r>
                            <w:rPr>
                              <w:rFonts w:ascii="Times New Roman" w:hAnsi="Times New Roman" w:eastAsia="Times New Roman" w:cs="Times New Roman"/>
                              <w:color w:val="595959"/>
                              <w:spacing w:val="26"/>
                              <w:w w:val="102"/>
                              <w:sz w:val="18"/>
                              <w:szCs w:val="18"/>
                            </w:rPr>
                            <w:t xml:space="preserve"> </w:t>
                          </w:r>
                          <w:r>
                            <w:rPr>
                              <w:rFonts w:ascii="Times New Roman" w:hAnsi="Times New Roman" w:eastAsia="Times New Roman" w:cs="Times New Roman"/>
                              <w:color w:val="595959"/>
                              <w:spacing w:val="-2"/>
                              <w:sz w:val="18"/>
                              <w:szCs w:val="18"/>
                            </w:rPr>
                            <w:t>-35</w:t>
                          </w:r>
                          <w:r>
                            <w:rPr>
                              <w:rFonts w:ascii="Times New Roman" w:hAnsi="Times New Roman" w:eastAsia="Times New Roman" w:cs="Times New Roman"/>
                              <w:color w:val="595959"/>
                              <w:spacing w:val="26"/>
                              <w:w w:val="101"/>
                              <w:sz w:val="18"/>
                              <w:szCs w:val="18"/>
                            </w:rPr>
                            <w:t xml:space="preserve"> </w:t>
                          </w:r>
                          <w:r>
                            <w:rPr>
                              <w:rFonts w:ascii="Times New Roman" w:hAnsi="Times New Roman" w:eastAsia="Times New Roman" w:cs="Times New Roman"/>
                              <w:color w:val="595959"/>
                              <w:spacing w:val="-2"/>
                              <w:sz w:val="18"/>
                              <w:szCs w:val="18"/>
                            </w:rPr>
                            <w:t>-30</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-25</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-20</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-15</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-10</w:t>
                          </w:r>
                          <w:r>
                            <w:rPr>
                              <w:rFonts w:ascii="Times New Roman" w:hAnsi="Times New Roman" w:eastAsia="Times New Roman" w:cs="Times New Roman"/>
                              <w:color w:val="595959"/>
                              <w:spacing w:val="13"/>
                              <w:w w:val="101"/>
                              <w:sz w:val="18"/>
                              <w:szCs w:val="18"/>
                            </w:rPr>
                            <w:t xml:space="preserve">  </w:t>
                          </w:r>
                          <w:r>
                            <w:rPr>
                              <w:rFonts w:ascii="Times New Roman" w:hAnsi="Times New Roman" w:eastAsia="Times New Roman" w:cs="Times New Roman"/>
                              <w:color w:val="595959"/>
                              <w:spacing w:val="-2"/>
                              <w:sz w:val="18"/>
                              <w:szCs w:val="18"/>
                            </w:rPr>
                            <w:t>-5    0     5    1</w:t>
                          </w:r>
                          <w:r>
                            <w:rPr>
                              <w:rFonts w:ascii="Times New Roman" w:hAnsi="Times New Roman" w:eastAsia="Times New Roman" w:cs="Times New Roman"/>
                              <w:color w:val="595959"/>
                              <w:spacing w:val="-3"/>
                              <w:sz w:val="18"/>
                              <w:szCs w:val="18"/>
                            </w:rPr>
                            <w:t>0</w:t>
                          </w:r>
                          <w:r>
                            <w:rPr>
                              <w:rFonts w:ascii="Times New Roman" w:hAnsi="Times New Roman" w:eastAsia="Times New Roman" w:cs="Times New Roman"/>
                              <w:color w:val="595959"/>
                              <w:spacing w:val="2"/>
                              <w:sz w:val="18"/>
                              <w:szCs w:val="18"/>
                            </w:rPr>
                            <w:t xml:space="preserve">   </w:t>
                          </w:r>
                          <w:r>
                            <w:rPr>
                              <w:rFonts w:ascii="Times New Roman" w:hAnsi="Times New Roman" w:eastAsia="Times New Roman" w:cs="Times New Roman"/>
                              <w:color w:val="595959"/>
                              <w:spacing w:val="-3"/>
                              <w:sz w:val="18"/>
                              <w:szCs w:val="18"/>
                            </w:rPr>
                            <w:t>15   20   25   30   35   40   45   50</w:t>
                          </w:r>
                        </w:p>
                        <w:p w14:paraId="400AA61D">
                          <w:pPr>
                            <w:spacing w:before="53" w:line="250" w:lineRule="exact"/>
                            <w:ind w:left="2200"/>
                            <w:rPr>
                              <w:rFonts w:ascii="宋体" w:hAnsi="宋体" w:eastAsia="宋体" w:cs="宋体"/>
                              <w:sz w:val="19"/>
                              <w:szCs w:val="19"/>
                            </w:rPr>
                          </w:pPr>
                          <w:r>
                            <w:rPr>
                              <w:rFonts w:ascii="宋体" w:hAnsi="宋体" w:eastAsia="宋体" w:cs="宋体"/>
                              <w:color w:val="595959"/>
                              <w:spacing w:val="7"/>
                              <w:position w:val="1"/>
                              <w:sz w:val="19"/>
                              <w:szCs w:val="19"/>
                            </w:rPr>
                            <w:t>距线路中心距离（</w:t>
                          </w:r>
                          <w:r>
                            <w:rPr>
                              <w:rFonts w:ascii="Times New Roman" w:hAnsi="Times New Roman" w:eastAsia="Times New Roman" w:cs="Times New Roman"/>
                              <w:color w:val="595959"/>
                              <w:spacing w:val="7"/>
                              <w:position w:val="1"/>
                              <w:sz w:val="19"/>
                              <w:szCs w:val="19"/>
                            </w:rPr>
                            <w:t>m</w:t>
                          </w:r>
                          <w:r>
                            <w:rPr>
                              <w:rFonts w:ascii="宋体" w:hAnsi="宋体" w:eastAsia="宋体" w:cs="宋体"/>
                              <w:color w:val="595959"/>
                              <w:spacing w:val="7"/>
                              <w:position w:val="1"/>
                              <w:sz w:val="19"/>
                              <w:szCs w:val="19"/>
                            </w:rPr>
                            <w:t>）</w:t>
                          </w:r>
                        </w:p>
                      </w:txbxContent>
                    </v:textbox>
                  </v:shape>
                  <v:group id="_x0000_s1226" o:spid="_x0000_s1226" o:spt="203" style="position:absolute;left:408;top:52;height:3350;width:6135;" coordsize="6135,3350">
                    <o:lock v:ext="edit"/>
                    <v:shape id="_x0000_s1227" o:spid="_x0000_s1227" style="position:absolute;left:7;top:450;height:2790;width:6127;" filled="f" stroked="t" coordsize="6127,2790" path="m0,2781l6126,2781m0,2717l6126,2717m0,2652l6126,2652m0,2587l6126,2587m0,2457l6126,2457m0,2393l6126,2393m0,2328l6126,2328m0,2265l6126,2265m0,2136l6126,2136m0,2071l6126,2071m0,2006l6126,2006m0,1941l6126,1941m0,1812l6126,1812m0,1749l6126,1749m0,1685l6126,1685m0,1620l6126,1620m0,1490l6126,1490m0,1425l6126,1425m0,1361l6126,1361m0,1296l6126,1296m0,1169l6126,1169m0,1104l6126,1104m0,1039l6126,1039m0,974l6126,974m0,845l6126,845m0,780l6126,780m0,717l6126,717m0,653l6126,653m0,523l6126,523m0,458l6126,458m0,393l6126,393m0,329l6126,329m0,201l6126,201m0,137l6126,137m0,72l6126,72m0,7l6126,7e">
                      <v:fill on="f" focussize="0,0"/>
                      <v:stroke color="#F2F2F2" miterlimit="10"/>
                      <v:imagedata o:title=""/>
                      <o:lock v:ext="edit"/>
                    </v:shape>
                    <v:shape id="_x0000_s1228" o:spid="_x0000_s1228" style="position:absolute;left:7;top:386;height:2596;width:6127;" filled="f" stroked="t" coordsize="6127,2596" path="m0,2587l6126,2587m0,2265l6126,2265m0,1941l6126,1941m0,1620l6126,1620m0,1298l6126,1298m0,974l6126,974m0,653l6126,653m0,329l6126,329m0,7l6126,7e">
                      <v:fill on="f" focussize="0,0"/>
                      <v:stroke color="#D9D9D9" miterlimit="10"/>
                      <v:imagedata o:title=""/>
                      <o:lock v:ext="edit"/>
                    </v:shape>
                    <v:shape id="_x0000_s1229" o:spid="_x0000_s1229" style="position:absolute;left:152;top:393;height:2902;width:5777;" filled="f" stroked="t" coordsize="5777,2902" path="m7,0l7,2902m309,0l309,2902m614,0l614,2902m917,0l917,2902m1219,0l1219,2902m1524,0l1524,2902m1826,0l1826,2902m2129,0l2129,2902m2433,0l2433,2902m2736,0l2736,2902m3041,0l3041,2902m3343,0l3343,2902m3645,0l3645,2902m3950,0l3950,2902m4253,0l4253,2902m4555,0l4555,2902m4860,0l4860,2902m5162,0l5162,2902m5467,0l5467,2902m5769,0l5769,2902e">
                      <v:fill on="f" focussize="0,0"/>
                      <v:stroke color="#F2F2F2" miterlimit="10"/>
                      <v:imagedata o:title=""/>
                      <o:lock v:ext="edit"/>
                    </v:shape>
                    <v:shape id="_x0000_s1230" o:spid="_x0000_s1230" style="position:absolute;left:0;top:393;height:2902;width:6080;" filled="f" stroked="t" coordsize="6080,2902" path="m7,0l7,2902m310,0l310,2902m613,0l613,2902m917,0l917,2902m1220,0l1220,2902m1525,0l1525,2902m1827,0l1827,2902m2129,0l2129,2902m2434,0l2434,2902m2737,0l2737,2902m3039,0l3039,2902m3344,0l3344,2902m3646,0l3646,2902m3951,0l3951,2902m4253,0l4253,2902m4556,0l4556,2902m4861,0l4861,2902m5163,0l5163,2902m5465,0l5465,2902m5770,0l5770,2902m6073,0l6073,2902e">
                      <v:fill on="f" focussize="0,0"/>
                      <v:stroke color="#D9D9D9" miterlimit="10"/>
                      <v:imagedata o:title=""/>
                      <o:lock v:ext="edit"/>
                    </v:shape>
                    <v:shape id="_x0000_s1231" o:spid="_x0000_s1231" style="position:absolute;left:0;top:3242;height:108;width:6135;" filled="f" stroked="t" coordsize="6135,108" path="m7,53l6134,53m7,0l7,107m310,0l310,107m613,0l613,107m917,0l917,107m1220,0l1220,107m1525,0l1525,107m1827,0l1827,107m2129,0l2129,107m2434,0l2434,107m2737,0l2737,107m3039,0l3039,107m3344,0l3344,107m3646,0l3646,107m3951,0l3951,107m4253,0l4253,107m4556,0l4556,107m4861,0l4861,107m5163,0l5163,107m5465,0l5465,107m5770,0l5770,107m6073,0l6073,107e">
                      <v:fill on="f" focussize="0,0"/>
                      <v:stroke color="#000000" miterlimit="10"/>
                      <v:imagedata o:title=""/>
                      <o:lock v:ext="edit"/>
                    </v:shape>
                    <v:shape id="_x0000_s1232" o:spid="_x0000_s1232" style="position:absolute;left:22;top:0;height:3291;width:6095;" filled="f" stroked="t" coordsize="6095,3291" path="m15,3172c35,3171,55,3170,75,3170c95,3169,116,3169,136,3168c156,3168,176,3167,196,3167c217,3166,237,3164,257,3163c277,3162,297,3162,318,3162c338,3161,358,3161,378,3160c399,3160,419,3159,439,3158c459,3158,480,3157,500,3157c520,3156,540,3156,560,3155c580,3155,601,3153,621,3152c641,3151,661,3151,682,3150c702,3150,722,3150,742,3149c762,3148,783,3147,803,3146c823,3145,843,3144,864,3142c884,3141,904,3140,924,3137c945,3136,965,3134,985,3131c1005,3129,1026,3126,1046,3123c1066,3120,1086,3117,1106,3114c1126,3109,1147,3104,1167,3099c1187,3094,1207,3088,1228,3081c1248,3075,1268,3068,1288,3060c1308,3052,1329,3041,1349,3031c1369,3021,1389,3011,1410,2999c1430,2987,1450,2973,1470,2959c1490,2944,1511,2928,1531,2910c1551,2893,1571,2874,1591,2854c1612,2833,1632,2811,1652,2788c1672,2764,1693,2739,1713,2712c1733,2685,1753,2657,1773,2626c1794,2596,1814,2563,1834,2528c1855,2494,1875,2457,1895,2418c1915,2380,1935,2340,1955,2297c1976,2255,1996,2210,2016,2164c2036,2117,2057,2067,2077,2017c2097,1966,2117,1914,2137,1860c2158,1807,2178,1752,2198,1696c2218,1641,2238,1585,2259,1528c2279,1472,2299,1415,2319,1359c2340,1304,2360,1247,2380,1195c2400,1142,2420,1092,2441,1045c2461,998,2481,952,2501,912c2522,873,2542,836,2562,806c2582,776,2602,752,2623,733c2643,715,2663,702,2683,696c2704,690,2724,692,2744,698c2764,704,2785,715,2805,730c2825,745,2845,768,2865,790c2886,812,2906,839,2926,862c2946,886,2967,911,2987,932c3007,952,3027,972,3047,985c3067,998,3088,1006,3108,1008c3128,1009,3148,1004,3169,995c3189,985,3209,969,3229,951c3249,933,3270,908,3290,885c3310,862,3330,837,3351,816c3371,794,3391,771,3411,754c3431,738,3452,723,3472,716c3492,708,3512,706,3533,709c3553,713,3573,721,3593,737c3613,752,3634,773,3654,800c3674,826,3694,858,3715,895c3735,931,3755,973,3775,1017c3795,1061,3816,1110,3836,1159c3856,1208,3876,1260,3897,1312c3917,1365,3937,1420,3957,1474c3977,1527,3998,1583,4018,1636c4038,1690,4058,1742,4078,1795c4099,1846,4119,1898,4139,1947c4159,1997,4180,2045,4200,2091c4220,2137,4240,2180,4260,2223c4281,2266,4301,2308,4321,2347c4341,2387,4362,2423,4382,2459c4402,2494,4422,2528,4442,2560c4463,2592,4483,2624,4503,2652c4523,2681,4543,2707,4564,2733c4584,2758,4604,2782,4625,2805c4645,2828,4665,2851,4685,2872c4705,2892,4725,2910,4746,2928c4766,2946,4786,2964,4807,2980c4827,2996,4847,3010,4867,3025c4887,3039,4907,3053,4928,3065c4948,3077,4968,3088,4988,3099c5009,3110,5029,3122,5049,3131c5069,3141,5089,3149,5110,3157c5130,3165,5150,3174,5170,3181c5191,3189,5211,3196,5231,3202c5251,3208,5271,3214,5292,3220c5312,3225,5332,3231,5352,3236c5372,3241,5393,3245,5413,3249c5433,3253,5453,3257,5474,3260c5494,3263,5514,3266,5534,3268c5555,3270,5575,3272,5595,3273c5615,3274,5635,3274,5656,3275c5676,3275,5696,3275,5716,3275c5737,3274,5757,3272,5777,3272c5797,3270,5817,3270,5838,3268c5858,3267,5878,3265,5898,3263c5918,3262,5939,3261,5959,3260c5979,3259,5999,3258,6020,3257c6040,3256,6060,3256,6080,3255m2351,15l2735,15e">
                      <v:fill on="f" focussize="0,0"/>
                      <v:stroke weight="1.5pt" color="#FF0000" miterlimit="10" endcap="round"/>
                      <v:imagedata o:title=""/>
                      <o:lock v:ext="edit"/>
                    </v:shape>
                  </v:group>
                  <v:shape id="_x0000_s1233" o:spid="_x0000_s1233" o:spt="202" type="#_x0000_t202" style="position:absolute;left:-20;top:358;height:3107;width:257;" filled="f" stroked="f" coordsize="21600,21600">
                    <v:path/>
                    <v:fill on="f" focussize="0,0"/>
                    <v:stroke on="f"/>
                    <v:imagedata o:title=""/>
                    <o:lock v:ext="edit" aspectratio="f"/>
                    <v:textbox inset="0mm,0mm,0mm,0mm">
                      <w:txbxContent>
                        <w:p w14:paraId="17F75549">
                          <w:pPr>
                            <w:spacing w:before="20" w:line="232" w:lineRule="auto"/>
                            <w:ind w:left="34"/>
                            <w:rPr>
                              <w:rFonts w:ascii="Times New Roman" w:hAnsi="Times New Roman" w:eastAsia="Times New Roman" w:cs="Times New Roman"/>
                              <w:sz w:val="18"/>
                              <w:szCs w:val="18"/>
                            </w:rPr>
                          </w:pPr>
                          <w:r>
                            <w:rPr>
                              <w:rFonts w:ascii="Times New Roman" w:hAnsi="Times New Roman" w:eastAsia="Times New Roman" w:cs="Times New Roman"/>
                              <w:color w:val="595959"/>
                              <w:spacing w:val="-7"/>
                              <w:sz w:val="18"/>
                              <w:szCs w:val="18"/>
                            </w:rPr>
                            <w:t>1.8</w:t>
                          </w:r>
                        </w:p>
                        <w:p w14:paraId="1EF5BCC8">
                          <w:pPr>
                            <w:spacing w:before="122" w:line="232" w:lineRule="auto"/>
                            <w:ind w:left="34"/>
                            <w:rPr>
                              <w:rFonts w:ascii="Times New Roman" w:hAnsi="Times New Roman" w:eastAsia="Times New Roman" w:cs="Times New Roman"/>
                              <w:sz w:val="18"/>
                              <w:szCs w:val="18"/>
                            </w:rPr>
                          </w:pPr>
                          <w:r>
                            <w:rPr>
                              <w:rFonts w:ascii="Times New Roman" w:hAnsi="Times New Roman" w:eastAsia="Times New Roman" w:cs="Times New Roman"/>
                              <w:color w:val="595959"/>
                              <w:spacing w:val="-7"/>
                              <w:sz w:val="18"/>
                              <w:szCs w:val="18"/>
                            </w:rPr>
                            <w:t>1.6</w:t>
                          </w:r>
                        </w:p>
                        <w:p w14:paraId="0217C602">
                          <w:pPr>
                            <w:spacing w:before="122" w:line="232" w:lineRule="auto"/>
                            <w:ind w:left="34"/>
                            <w:rPr>
                              <w:rFonts w:ascii="Times New Roman" w:hAnsi="Times New Roman" w:eastAsia="Times New Roman" w:cs="Times New Roman"/>
                              <w:sz w:val="18"/>
                              <w:szCs w:val="18"/>
                            </w:rPr>
                          </w:pPr>
                          <w:r>
                            <w:rPr>
                              <w:rFonts w:ascii="Times New Roman" w:hAnsi="Times New Roman" w:eastAsia="Times New Roman" w:cs="Times New Roman"/>
                              <w:color w:val="595959"/>
                              <w:spacing w:val="-7"/>
                              <w:sz w:val="18"/>
                              <w:szCs w:val="18"/>
                            </w:rPr>
                            <w:t>1.4</w:t>
                          </w:r>
                        </w:p>
                        <w:p w14:paraId="7833749C">
                          <w:pPr>
                            <w:spacing w:before="122" w:line="232" w:lineRule="auto"/>
                            <w:ind w:left="34"/>
                            <w:rPr>
                              <w:rFonts w:ascii="Times New Roman" w:hAnsi="Times New Roman" w:eastAsia="Times New Roman" w:cs="Times New Roman"/>
                              <w:sz w:val="18"/>
                              <w:szCs w:val="18"/>
                            </w:rPr>
                          </w:pPr>
                          <w:r>
                            <w:rPr>
                              <w:rFonts w:ascii="Times New Roman" w:hAnsi="Times New Roman" w:eastAsia="Times New Roman" w:cs="Times New Roman"/>
                              <w:color w:val="595959"/>
                              <w:spacing w:val="-7"/>
                              <w:sz w:val="18"/>
                              <w:szCs w:val="18"/>
                            </w:rPr>
                            <w:t>1.2</w:t>
                          </w:r>
                        </w:p>
                        <w:p w14:paraId="4480FF2E">
                          <w:pPr>
                            <w:spacing w:before="122" w:line="232" w:lineRule="auto"/>
                            <w:ind w:left="34"/>
                            <w:rPr>
                              <w:rFonts w:ascii="Times New Roman" w:hAnsi="Times New Roman" w:eastAsia="Times New Roman" w:cs="Times New Roman"/>
                              <w:sz w:val="18"/>
                              <w:szCs w:val="18"/>
                            </w:rPr>
                          </w:pPr>
                          <w:r>
                            <w:rPr>
                              <w:rFonts w:ascii="Times New Roman" w:hAnsi="Times New Roman" w:eastAsia="Times New Roman" w:cs="Times New Roman"/>
                              <w:color w:val="595959"/>
                              <w:spacing w:val="-7"/>
                              <w:sz w:val="18"/>
                              <w:szCs w:val="18"/>
                            </w:rPr>
                            <w:t>1.0</w:t>
                          </w:r>
                        </w:p>
                        <w:p w14:paraId="1695ED85">
                          <w:pPr>
                            <w:spacing w:before="122"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0.8</w:t>
                          </w:r>
                        </w:p>
                        <w:p w14:paraId="03FEF8DB">
                          <w:pPr>
                            <w:spacing w:before="122"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0.6</w:t>
                          </w:r>
                        </w:p>
                        <w:p w14:paraId="55261026">
                          <w:pPr>
                            <w:spacing w:before="123"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0.4</w:t>
                          </w:r>
                        </w:p>
                        <w:p w14:paraId="4A7C1A47">
                          <w:pPr>
                            <w:spacing w:before="122"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0.2</w:t>
                          </w:r>
                        </w:p>
                        <w:p w14:paraId="50C75069">
                          <w:pPr>
                            <w:spacing w:before="123"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0.0</w:t>
                          </w:r>
                        </w:p>
                      </w:txbxContent>
                    </v:textbox>
                  </v:shape>
                  <w10:wrap type="none"/>
                  <w10:anchorlock/>
                </v:group>
              </w:pict>
            </w:r>
          </w:p>
        </w:tc>
      </w:tr>
    </w:tbl>
    <w:p w14:paraId="2B596258">
      <w:pPr>
        <w:spacing w:before="245" w:line="234" w:lineRule="auto"/>
        <w:ind w:left="1346"/>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9"/>
          <w:sz w:val="21"/>
          <w:szCs w:val="21"/>
        </w:rPr>
        <w:t xml:space="preserve"> </w:t>
      </w:r>
      <w:r>
        <w:rPr>
          <w:rFonts w:ascii="Times New Roman" w:hAnsi="Times New Roman" w:eastAsia="Times New Roman" w:cs="Times New Roman"/>
          <w:b/>
          <w:bCs/>
          <w:spacing w:val="-3"/>
          <w:sz w:val="21"/>
          <w:szCs w:val="21"/>
        </w:rPr>
        <w:t>4-5    C</w:t>
      </w:r>
      <w:r>
        <w:rPr>
          <w:rFonts w:ascii="Times New Roman" w:hAnsi="Times New Roman" w:eastAsia="Times New Roman" w:cs="Times New Roman"/>
          <w:b/>
          <w:bCs/>
          <w:spacing w:val="28"/>
          <w:w w:val="101"/>
          <w:sz w:val="21"/>
          <w:szCs w:val="21"/>
        </w:rPr>
        <w:t xml:space="preserve"> </w:t>
      </w:r>
      <w:r>
        <w:rPr>
          <w:rFonts w:ascii="宋体" w:hAnsi="宋体" w:eastAsia="宋体" w:cs="宋体"/>
          <w:b/>
          <w:bCs/>
          <w:spacing w:val="-3"/>
          <w:sz w:val="21"/>
          <w:szCs w:val="21"/>
        </w:rPr>
        <w:t>回线双回垂直（双边挂线）排列最不利塔型电场强度分布图</w:t>
      </w:r>
    </w:p>
    <w:p w14:paraId="4D04525F">
      <w:pPr>
        <w:spacing w:line="185" w:lineRule="exact"/>
      </w:pPr>
    </w:p>
    <w:tbl>
      <w:tblPr>
        <w:tblStyle w:val="5"/>
        <w:tblW w:w="7394" w:type="dxa"/>
        <w:tblInd w:w="831"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7394"/>
      </w:tblGrid>
      <w:tr w14:paraId="598740C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421" w:hRule="atLeast"/>
        </w:trPr>
        <w:tc>
          <w:tcPr>
            <w:tcW w:w="7394" w:type="dxa"/>
            <w:vAlign w:val="top"/>
          </w:tcPr>
          <w:p w14:paraId="4DDFDE92">
            <w:pPr>
              <w:pStyle w:val="6"/>
              <w:spacing w:before="203" w:line="3962" w:lineRule="exact"/>
              <w:ind w:firstLine="566"/>
            </w:pPr>
            <w:r>
              <mc:AlternateContent>
                <mc:Choice Requires="wps">
                  <w:drawing>
                    <wp:anchor distT="0" distB="0" distL="0" distR="0" simplePos="0" relativeHeight="251676672" behindDoc="0" locked="0" layoutInCell="1" allowOverlap="1">
                      <wp:simplePos x="0" y="0"/>
                      <wp:positionH relativeFrom="rightMargin">
                        <wp:posOffset>-4965065</wp:posOffset>
                      </wp:positionH>
                      <wp:positionV relativeFrom="topMargin">
                        <wp:posOffset>1248410</wp:posOffset>
                      </wp:positionV>
                      <wp:extent cx="1043305" cy="180340"/>
                      <wp:effectExtent l="0" t="0" r="0" b="0"/>
                      <wp:wrapNone/>
                      <wp:docPr id="92" name="TextBox 92"/>
                      <wp:cNvGraphicFramePr/>
                      <a:graphic xmlns:a="http://schemas.openxmlformats.org/drawingml/2006/main">
                        <a:graphicData uri="http://schemas.microsoft.com/office/word/2010/wordprocessingShape">
                          <wps:wsp>
                            <wps:cNvSpPr txBox="1"/>
                            <wps:spPr>
                              <a:xfrm rot="16200000">
                                <a:off x="-4965658" y="1249003"/>
                                <a:ext cx="1043305" cy="18033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2523CE6">
                                  <w:pPr>
                                    <w:pStyle w:val="6"/>
                                    <w:spacing w:before="34" w:line="222" w:lineRule="auto"/>
                                    <w:ind w:left="20"/>
                                    <w:rPr>
                                      <w:sz w:val="19"/>
                                      <w:szCs w:val="19"/>
                                    </w:rPr>
                                  </w:pPr>
                                  <w:r>
                                    <w:rPr>
                                      <w:color w:val="595959"/>
                                      <w:sz w:val="19"/>
                                      <w:szCs w:val="19"/>
                                    </w:rPr>
                                    <w:t>磁感应强度</w:t>
                                  </w:r>
                                  <w:r>
                                    <w:rPr>
                                      <w:color w:val="595959"/>
                                      <w:spacing w:val="18"/>
                                      <w:sz w:val="19"/>
                                      <w:szCs w:val="19"/>
                                    </w:rPr>
                                    <w:t xml:space="preserve"> </w:t>
                                  </w:r>
                                  <w:r>
                                    <w:rPr>
                                      <w:color w:val="595959"/>
                                      <w:sz w:val="19"/>
                                      <w:szCs w:val="19"/>
                                    </w:rPr>
                                    <w:t>(</w:t>
                                  </w:r>
                                  <w:r>
                                    <w:rPr>
                                      <w:color w:val="595959"/>
                                      <w:spacing w:val="-54"/>
                                      <w:sz w:val="19"/>
                                      <w:szCs w:val="19"/>
                                    </w:rPr>
                                    <w:t xml:space="preserve"> </w:t>
                                  </w:r>
                                  <w:r>
                                    <w:rPr>
                                      <w:rFonts w:ascii="Times New Roman" w:hAnsi="Times New Roman" w:eastAsia="Times New Roman" w:cs="Times New Roman"/>
                                      <w:color w:val="595959"/>
                                      <w:sz w:val="19"/>
                                      <w:szCs w:val="19"/>
                                    </w:rPr>
                                    <w:t>μT</w:t>
                                  </w:r>
                                  <w:r>
                                    <w:rPr>
                                      <w:color w:val="595959"/>
                                      <w:sz w:val="19"/>
                                      <w:szCs w:val="19"/>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92" o:spid="_x0000_s1026" o:spt="202" type="#_x0000_t202" style="position:absolute;left:0pt;margin-left:-21.6pt;margin-top:99.05pt;height:14.2pt;width:82.15pt;mso-position-horizontal-relative:page;mso-position-vertical-relative:page;rotation:-5898240f;z-index:251676672;mso-width-relative:page;mso-height-relative:page;" filled="f" stroked="f" coordsize="21600,21600" o:gfxdata="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crcIZ2wAAAA0B&#10;AAAPAAAAAAAAAAEAIAAAACIAAABkcnMvZG93bnJldi54bWxQSwECFAAUAAAACACHTuJAZaqRfVEC&#10;AAClBAAADgAAAAAAAAABACAAAAAqAQAAZHJzL2Uyb0RvYy54bWxQSwUGAAAAAAYABgBZAQAA7QUA&#10;AAAA&#10;">
                      <v:fill on="f" focussize="0,0"/>
                      <v:stroke on="f" weight="0pt" miterlimit="0" joinstyle="miter"/>
                      <v:imagedata o:title=""/>
                      <o:lock v:ext="edit" aspectratio="f"/>
                      <v:textbox inset="0mm,0mm,0mm,0mm">
                        <w:txbxContent>
                          <w:p w14:paraId="62523CE6">
                            <w:pPr>
                              <w:pStyle w:val="6"/>
                              <w:spacing w:before="34" w:line="222" w:lineRule="auto"/>
                              <w:ind w:left="20"/>
                              <w:rPr>
                                <w:sz w:val="19"/>
                                <w:szCs w:val="19"/>
                              </w:rPr>
                            </w:pPr>
                            <w:r>
                              <w:rPr>
                                <w:color w:val="595959"/>
                                <w:sz w:val="19"/>
                                <w:szCs w:val="19"/>
                              </w:rPr>
                              <w:t>磁感应强度</w:t>
                            </w:r>
                            <w:r>
                              <w:rPr>
                                <w:color w:val="595959"/>
                                <w:spacing w:val="18"/>
                                <w:sz w:val="19"/>
                                <w:szCs w:val="19"/>
                              </w:rPr>
                              <w:t xml:space="preserve"> </w:t>
                            </w:r>
                            <w:r>
                              <w:rPr>
                                <w:color w:val="595959"/>
                                <w:sz w:val="19"/>
                                <w:szCs w:val="19"/>
                              </w:rPr>
                              <w:t>(</w:t>
                            </w:r>
                            <w:r>
                              <w:rPr>
                                <w:color w:val="595959"/>
                                <w:spacing w:val="-54"/>
                                <w:sz w:val="19"/>
                                <w:szCs w:val="19"/>
                              </w:rPr>
                              <w:t xml:space="preserve"> </w:t>
                            </w:r>
                            <w:r>
                              <w:rPr>
                                <w:rFonts w:ascii="Times New Roman" w:hAnsi="Times New Roman" w:eastAsia="Times New Roman" w:cs="Times New Roman"/>
                                <w:color w:val="595959"/>
                                <w:sz w:val="19"/>
                                <w:szCs w:val="19"/>
                              </w:rPr>
                              <w:t>μT</w:t>
                            </w:r>
                            <w:r>
                              <w:rPr>
                                <w:color w:val="595959"/>
                                <w:sz w:val="19"/>
                                <w:szCs w:val="19"/>
                              </w:rPr>
                              <w:t>）</w:t>
                            </w:r>
                          </w:p>
                        </w:txbxContent>
                      </v:textbox>
                    </v:shape>
                  </w:pict>
                </mc:Fallback>
              </mc:AlternateContent>
            </w:r>
            <w:r>
              <w:rPr>
                <w:position w:val="-79"/>
              </w:rPr>
              <w:pict>
                <v:group id="_x0000_s1234" o:spid="_x0000_s1234" o:spt="203" style="height:198.1pt;width:330.45pt;" coordsize="6609,3962">
                  <o:lock v:ext="edit"/>
                  <v:shape id="_x0000_s1235" o:spid="_x0000_s1235" o:spt="202" type="#_x0000_t202" style="position:absolute;left:-20;top:358;height:3622;width:6649;" filled="f" stroked="f" coordsize="21600,21600">
                    <v:path/>
                    <v:fill on="f" focussize="0,0"/>
                    <v:stroke on="f"/>
                    <v:imagedata o:title=""/>
                    <o:lock v:ext="edit" aspectratio="f"/>
                    <v:textbox inset="0mm,0mm,0mm,0mm">
                      <w:txbxContent>
                        <w:p w14:paraId="532CA121">
                          <w:pPr>
                            <w:spacing w:before="20"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20</w:t>
                          </w:r>
                        </w:p>
                        <w:p w14:paraId="313AC8C3">
                          <w:pPr>
                            <w:spacing w:before="90" w:line="232" w:lineRule="auto"/>
                            <w:ind w:left="37"/>
                            <w:rPr>
                              <w:rFonts w:ascii="Times New Roman" w:hAnsi="Times New Roman" w:eastAsia="Times New Roman" w:cs="Times New Roman"/>
                              <w:sz w:val="18"/>
                              <w:szCs w:val="18"/>
                            </w:rPr>
                          </w:pPr>
                          <w:r>
                            <w:rPr>
                              <w:rFonts w:ascii="Times New Roman" w:hAnsi="Times New Roman" w:eastAsia="Times New Roman" w:cs="Times New Roman"/>
                              <w:color w:val="595959"/>
                              <w:spacing w:val="-10"/>
                              <w:sz w:val="18"/>
                              <w:szCs w:val="18"/>
                            </w:rPr>
                            <w:t>18</w:t>
                          </w:r>
                        </w:p>
                        <w:p w14:paraId="241AFE0D">
                          <w:pPr>
                            <w:spacing w:before="90" w:line="232" w:lineRule="auto"/>
                            <w:ind w:left="37"/>
                            <w:rPr>
                              <w:rFonts w:ascii="Times New Roman" w:hAnsi="Times New Roman" w:eastAsia="Times New Roman" w:cs="Times New Roman"/>
                              <w:sz w:val="18"/>
                              <w:szCs w:val="18"/>
                            </w:rPr>
                          </w:pPr>
                          <w:r>
                            <w:rPr>
                              <w:rFonts w:ascii="Times New Roman" w:hAnsi="Times New Roman" w:eastAsia="Times New Roman" w:cs="Times New Roman"/>
                              <w:color w:val="595959"/>
                              <w:spacing w:val="-10"/>
                              <w:sz w:val="18"/>
                              <w:szCs w:val="18"/>
                            </w:rPr>
                            <w:t>16</w:t>
                          </w:r>
                        </w:p>
                        <w:p w14:paraId="709CB21D">
                          <w:pPr>
                            <w:spacing w:before="89" w:line="235" w:lineRule="auto"/>
                            <w:ind w:left="37"/>
                            <w:rPr>
                              <w:rFonts w:ascii="Times New Roman" w:hAnsi="Times New Roman" w:eastAsia="Times New Roman" w:cs="Times New Roman"/>
                              <w:sz w:val="18"/>
                              <w:szCs w:val="18"/>
                            </w:rPr>
                          </w:pPr>
                          <w:r>
                            <w:rPr>
                              <w:rFonts w:ascii="Times New Roman" w:hAnsi="Times New Roman" w:eastAsia="Times New Roman" w:cs="Times New Roman"/>
                              <w:color w:val="595959"/>
                              <w:spacing w:val="-10"/>
                              <w:sz w:val="18"/>
                              <w:szCs w:val="18"/>
                            </w:rPr>
                            <w:t>14</w:t>
                          </w:r>
                        </w:p>
                        <w:p w14:paraId="4628B666">
                          <w:pPr>
                            <w:spacing w:before="87" w:line="235" w:lineRule="auto"/>
                            <w:ind w:left="37"/>
                            <w:rPr>
                              <w:rFonts w:ascii="Times New Roman" w:hAnsi="Times New Roman" w:eastAsia="Times New Roman" w:cs="Times New Roman"/>
                              <w:sz w:val="18"/>
                              <w:szCs w:val="18"/>
                            </w:rPr>
                          </w:pPr>
                          <w:r>
                            <w:rPr>
                              <w:rFonts w:ascii="Times New Roman" w:hAnsi="Times New Roman" w:eastAsia="Times New Roman" w:cs="Times New Roman"/>
                              <w:color w:val="595959"/>
                              <w:spacing w:val="-10"/>
                              <w:sz w:val="18"/>
                              <w:szCs w:val="18"/>
                            </w:rPr>
                            <w:t>12</w:t>
                          </w:r>
                        </w:p>
                        <w:p w14:paraId="58412AE3">
                          <w:pPr>
                            <w:spacing w:before="88" w:line="232" w:lineRule="auto"/>
                            <w:ind w:left="37"/>
                            <w:rPr>
                              <w:rFonts w:ascii="Times New Roman" w:hAnsi="Times New Roman" w:eastAsia="Times New Roman" w:cs="Times New Roman"/>
                              <w:sz w:val="18"/>
                              <w:szCs w:val="18"/>
                            </w:rPr>
                          </w:pPr>
                          <w:r>
                            <w:rPr>
                              <w:rFonts w:ascii="Times New Roman" w:hAnsi="Times New Roman" w:eastAsia="Times New Roman" w:cs="Times New Roman"/>
                              <w:color w:val="595959"/>
                              <w:spacing w:val="-10"/>
                              <w:sz w:val="18"/>
                              <w:szCs w:val="18"/>
                            </w:rPr>
                            <w:t>10</w:t>
                          </w:r>
                        </w:p>
                        <w:p w14:paraId="26D857BA">
                          <w:pPr>
                            <w:spacing w:before="90" w:line="232" w:lineRule="auto"/>
                            <w:ind w:left="117"/>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8</w:t>
                          </w:r>
                        </w:p>
                        <w:p w14:paraId="5D63CE5B">
                          <w:pPr>
                            <w:spacing w:before="91" w:line="232" w:lineRule="auto"/>
                            <w:ind w:left="114"/>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6</w:t>
                          </w:r>
                        </w:p>
                        <w:p w14:paraId="19D2FCD3">
                          <w:pPr>
                            <w:spacing w:before="89" w:line="235" w:lineRule="auto"/>
                            <w:ind w:left="109"/>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4</w:t>
                          </w:r>
                        </w:p>
                        <w:p w14:paraId="2DD00027">
                          <w:pPr>
                            <w:spacing w:before="87" w:line="235" w:lineRule="auto"/>
                            <w:ind w:left="110"/>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2</w:t>
                          </w:r>
                        </w:p>
                        <w:p w14:paraId="51E8D2CE">
                          <w:pPr>
                            <w:spacing w:before="89" w:line="232" w:lineRule="auto"/>
                            <w:ind w:left="112"/>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0</w:t>
                          </w:r>
                        </w:p>
                        <w:p w14:paraId="76A135F4">
                          <w:pPr>
                            <w:spacing w:before="11" w:line="232" w:lineRule="auto"/>
                            <w:ind w:right="20"/>
                            <w:jc w:val="right"/>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-50</w:t>
                          </w:r>
                          <w:r>
                            <w:rPr>
                              <w:rFonts w:ascii="Times New Roman" w:hAnsi="Times New Roman" w:eastAsia="Times New Roman" w:cs="Times New Roman"/>
                              <w:color w:val="595959"/>
                              <w:spacing w:val="29"/>
                              <w:sz w:val="18"/>
                              <w:szCs w:val="18"/>
                            </w:rPr>
                            <w:t xml:space="preserve"> </w:t>
                          </w:r>
                          <w:r>
                            <w:rPr>
                              <w:rFonts w:ascii="Times New Roman" w:hAnsi="Times New Roman" w:eastAsia="Times New Roman" w:cs="Times New Roman"/>
                              <w:color w:val="595959"/>
                              <w:spacing w:val="-2"/>
                              <w:sz w:val="18"/>
                              <w:szCs w:val="18"/>
                            </w:rPr>
                            <w:t>-45</w:t>
                          </w:r>
                          <w:r>
                            <w:rPr>
                              <w:rFonts w:ascii="Times New Roman" w:hAnsi="Times New Roman" w:eastAsia="Times New Roman" w:cs="Times New Roman"/>
                              <w:color w:val="595959"/>
                              <w:spacing w:val="29"/>
                              <w:sz w:val="18"/>
                              <w:szCs w:val="18"/>
                            </w:rPr>
                            <w:t xml:space="preserve"> </w:t>
                          </w:r>
                          <w:r>
                            <w:rPr>
                              <w:rFonts w:ascii="Times New Roman" w:hAnsi="Times New Roman" w:eastAsia="Times New Roman" w:cs="Times New Roman"/>
                              <w:color w:val="595959"/>
                              <w:spacing w:val="-2"/>
                              <w:sz w:val="18"/>
                              <w:szCs w:val="18"/>
                            </w:rPr>
                            <w:t>-40</w:t>
                          </w:r>
                          <w:r>
                            <w:rPr>
                              <w:rFonts w:ascii="Times New Roman" w:hAnsi="Times New Roman" w:eastAsia="Times New Roman" w:cs="Times New Roman"/>
                              <w:color w:val="595959"/>
                              <w:spacing w:val="29"/>
                              <w:w w:val="101"/>
                              <w:sz w:val="18"/>
                              <w:szCs w:val="18"/>
                            </w:rPr>
                            <w:t xml:space="preserve"> </w:t>
                          </w:r>
                          <w:r>
                            <w:rPr>
                              <w:rFonts w:ascii="Times New Roman" w:hAnsi="Times New Roman" w:eastAsia="Times New Roman" w:cs="Times New Roman"/>
                              <w:color w:val="595959"/>
                              <w:spacing w:val="-2"/>
                              <w:sz w:val="18"/>
                              <w:szCs w:val="18"/>
                            </w:rPr>
                            <w:t>-35</w:t>
                          </w:r>
                          <w:r>
                            <w:rPr>
                              <w:rFonts w:ascii="Times New Roman" w:hAnsi="Times New Roman" w:eastAsia="Times New Roman" w:cs="Times New Roman"/>
                              <w:color w:val="595959"/>
                              <w:spacing w:val="28"/>
                              <w:w w:val="102"/>
                              <w:sz w:val="18"/>
                              <w:szCs w:val="18"/>
                            </w:rPr>
                            <w:t xml:space="preserve"> </w:t>
                          </w:r>
                          <w:r>
                            <w:rPr>
                              <w:rFonts w:ascii="Times New Roman" w:hAnsi="Times New Roman" w:eastAsia="Times New Roman" w:cs="Times New Roman"/>
                              <w:color w:val="595959"/>
                              <w:spacing w:val="-2"/>
                              <w:sz w:val="18"/>
                              <w:szCs w:val="18"/>
                            </w:rPr>
                            <w:t>-30</w:t>
                          </w:r>
                          <w:r>
                            <w:rPr>
                              <w:rFonts w:ascii="Times New Roman" w:hAnsi="Times New Roman" w:eastAsia="Times New Roman" w:cs="Times New Roman"/>
                              <w:color w:val="595959"/>
                              <w:spacing w:val="29"/>
                              <w:sz w:val="18"/>
                              <w:szCs w:val="18"/>
                            </w:rPr>
                            <w:t xml:space="preserve"> </w:t>
                          </w:r>
                          <w:r>
                            <w:rPr>
                              <w:rFonts w:ascii="Times New Roman" w:hAnsi="Times New Roman" w:eastAsia="Times New Roman" w:cs="Times New Roman"/>
                              <w:color w:val="595959"/>
                              <w:spacing w:val="-2"/>
                              <w:sz w:val="18"/>
                              <w:szCs w:val="18"/>
                            </w:rPr>
                            <w:t>-25</w:t>
                          </w:r>
                          <w:r>
                            <w:rPr>
                              <w:rFonts w:ascii="Times New Roman" w:hAnsi="Times New Roman" w:eastAsia="Times New Roman" w:cs="Times New Roman"/>
                              <w:color w:val="595959"/>
                              <w:spacing w:val="29"/>
                              <w:w w:val="101"/>
                              <w:sz w:val="18"/>
                              <w:szCs w:val="18"/>
                            </w:rPr>
                            <w:t xml:space="preserve"> </w:t>
                          </w:r>
                          <w:r>
                            <w:rPr>
                              <w:rFonts w:ascii="Times New Roman" w:hAnsi="Times New Roman" w:eastAsia="Times New Roman" w:cs="Times New Roman"/>
                              <w:color w:val="595959"/>
                              <w:spacing w:val="-2"/>
                              <w:sz w:val="18"/>
                              <w:szCs w:val="18"/>
                            </w:rPr>
                            <w:t>-20</w:t>
                          </w:r>
                          <w:r>
                            <w:rPr>
                              <w:rFonts w:ascii="Times New Roman" w:hAnsi="Times New Roman" w:eastAsia="Times New Roman" w:cs="Times New Roman"/>
                              <w:color w:val="595959"/>
                              <w:spacing w:val="28"/>
                              <w:w w:val="102"/>
                              <w:sz w:val="18"/>
                              <w:szCs w:val="18"/>
                            </w:rPr>
                            <w:t xml:space="preserve"> </w:t>
                          </w:r>
                          <w:r>
                            <w:rPr>
                              <w:rFonts w:ascii="Times New Roman" w:hAnsi="Times New Roman" w:eastAsia="Times New Roman" w:cs="Times New Roman"/>
                              <w:color w:val="595959"/>
                              <w:spacing w:val="-2"/>
                              <w:sz w:val="18"/>
                              <w:szCs w:val="18"/>
                            </w:rPr>
                            <w:t>-15</w:t>
                          </w:r>
                          <w:r>
                            <w:rPr>
                              <w:rFonts w:ascii="Times New Roman" w:hAnsi="Times New Roman" w:eastAsia="Times New Roman" w:cs="Times New Roman"/>
                              <w:color w:val="595959"/>
                              <w:spacing w:val="29"/>
                              <w:sz w:val="18"/>
                              <w:szCs w:val="18"/>
                            </w:rPr>
                            <w:t xml:space="preserve"> </w:t>
                          </w:r>
                          <w:r>
                            <w:rPr>
                              <w:rFonts w:ascii="Times New Roman" w:hAnsi="Times New Roman" w:eastAsia="Times New Roman" w:cs="Times New Roman"/>
                              <w:color w:val="595959"/>
                              <w:spacing w:val="-2"/>
                              <w:sz w:val="18"/>
                              <w:szCs w:val="18"/>
                            </w:rPr>
                            <w:t>-10</w:t>
                          </w:r>
                          <w:r>
                            <w:rPr>
                              <w:rFonts w:ascii="Times New Roman" w:hAnsi="Times New Roman" w:eastAsia="Times New Roman" w:cs="Times New Roman"/>
                              <w:color w:val="595959"/>
                              <w:spacing w:val="14"/>
                              <w:w w:val="101"/>
                              <w:sz w:val="18"/>
                              <w:szCs w:val="18"/>
                            </w:rPr>
                            <w:t xml:space="preserve">  </w:t>
                          </w:r>
                          <w:r>
                            <w:rPr>
                              <w:rFonts w:ascii="Times New Roman" w:hAnsi="Times New Roman" w:eastAsia="Times New Roman" w:cs="Times New Roman"/>
                              <w:color w:val="595959"/>
                              <w:spacing w:val="-2"/>
                              <w:sz w:val="18"/>
                              <w:szCs w:val="18"/>
                            </w:rPr>
                            <w:t xml:space="preserve">-5    0     5    </w:t>
                          </w:r>
                          <w:r>
                            <w:rPr>
                              <w:rFonts w:ascii="Times New Roman" w:hAnsi="Times New Roman" w:eastAsia="Times New Roman" w:cs="Times New Roman"/>
                              <w:color w:val="595959"/>
                              <w:spacing w:val="-3"/>
                              <w:sz w:val="18"/>
                              <w:szCs w:val="18"/>
                            </w:rPr>
                            <w:t xml:space="preserve"> 10   15   20   25   30   35   40   45   50</w:t>
                          </w:r>
                        </w:p>
                        <w:p w14:paraId="3446052F">
                          <w:pPr>
                            <w:spacing w:before="54" w:line="250" w:lineRule="exact"/>
                            <w:ind w:left="2514"/>
                            <w:rPr>
                              <w:rFonts w:ascii="宋体" w:hAnsi="宋体" w:eastAsia="宋体" w:cs="宋体"/>
                              <w:sz w:val="19"/>
                              <w:szCs w:val="19"/>
                            </w:rPr>
                          </w:pPr>
                          <w:r>
                            <w:rPr>
                              <w:rFonts w:ascii="宋体" w:hAnsi="宋体" w:eastAsia="宋体" w:cs="宋体"/>
                              <w:color w:val="595959"/>
                              <w:spacing w:val="7"/>
                              <w:position w:val="1"/>
                              <w:sz w:val="19"/>
                              <w:szCs w:val="19"/>
                            </w:rPr>
                            <w:t>距线路中心距离（</w:t>
                          </w:r>
                          <w:r>
                            <w:rPr>
                              <w:rFonts w:ascii="Times New Roman" w:hAnsi="Times New Roman" w:eastAsia="Times New Roman" w:cs="Times New Roman"/>
                              <w:color w:val="595959"/>
                              <w:spacing w:val="7"/>
                              <w:position w:val="1"/>
                              <w:sz w:val="19"/>
                              <w:szCs w:val="19"/>
                            </w:rPr>
                            <w:t>m</w:t>
                          </w:r>
                          <w:r>
                            <w:rPr>
                              <w:rFonts w:ascii="宋体" w:hAnsi="宋体" w:eastAsia="宋体" w:cs="宋体"/>
                              <w:color w:val="595959"/>
                              <w:spacing w:val="7"/>
                              <w:position w:val="1"/>
                              <w:sz w:val="19"/>
                              <w:szCs w:val="19"/>
                            </w:rPr>
                            <w:t>）</w:t>
                          </w:r>
                        </w:p>
                      </w:txbxContent>
                    </v:textbox>
                  </v:shape>
                  <v:group id="_x0000_s1236" o:spid="_x0000_s1236" o:spt="203" style="position:absolute;left:366;top:52;height:3350;width:6180;" coordsize="6180,3350">
                    <o:lock v:ext="edit"/>
                    <v:shape id="_x0000_s1237" o:spid="_x0000_s1237" style="position:absolute;left:7;top:443;height:2802;width:6172;" filled="f" stroked="t" coordsize="6172,2802" path="m0,2793l6171,2793m0,2736l6171,2736m0,2678l6171,2678m0,2621l6171,2621m0,2503l6171,2503m0,2445l6171,2445m0,2388l6171,2388m0,2330l6171,2330m0,2213l6171,2213m0,2155l6171,2155m0,2097l6171,2097m0,2040l6171,2040m0,1922l6171,1922m0,1865l6171,1865m0,1807l6171,1807m0,1749l6171,1749m0,1632l6171,1632m0,1574l6171,1574m0,1517l6171,1517m0,1459l6171,1459m0,1341l6171,1341m0,1284l6171,1284m0,1226l6171,1226m0,1169l6171,1169m0,1053l6171,1053m0,993l6171,993m0,936l6171,936m0,878l6171,878m0,763l6171,763m0,703l6171,703m0,645l6171,645m0,588l6171,588m0,473l6171,473m0,415l6171,415m0,355l6171,355m0,297l6171,297m0,182l6171,182m0,125l6171,125m0,65l6171,65m0,7l6171,7e">
                      <v:fill on="f" focussize="0,0"/>
                      <v:stroke color="#F2F2F2" miterlimit="10"/>
                      <v:imagedata o:title=""/>
                      <o:lock v:ext="edit"/>
                    </v:shape>
                    <v:shape id="_x0000_s1238" o:spid="_x0000_s1238" style="position:absolute;left:7;top:386;height:2627;width:6172;" filled="f" stroked="t" coordsize="6172,2627" path="m0,2618l6171,2618m0,2328l6171,2328m0,2040l6171,2040m0,1749l6171,1749m0,1459l6171,1459m0,1169l6171,1169m0,878l6171,878m0,588l6171,588m0,297l6171,297m0,7l6171,7e">
                      <v:fill on="f" focussize="0,0"/>
                      <v:stroke color="#D9D9D9" miterlimit="10"/>
                      <v:imagedata o:title=""/>
                      <o:lock v:ext="edit"/>
                    </v:shape>
                    <v:shape id="_x0000_s1239" o:spid="_x0000_s1239" style="position:absolute;left:153;top:393;height:2902;width:5819;" filled="f" stroked="t" coordsize="5819,2902" path="m7,0l7,2902m312,0l312,2902m617,0l617,2902m921,0l921,2902m1229,0l1229,2902m1533,0l1533,2902m1838,0l1838,2902m2145,0l2145,2902m2450,0l2450,2902m2755,0l2755,2902m3062,0l3062,2902m3367,0l3367,2902m3672,0l3672,2902m3977,0l3977,2902m4284,0l4284,2902m4589,0l4589,2902m4893,0l4893,2902m5201,0l5201,2902m5505,0l5505,2902m5810,0l5810,2902e">
                      <v:fill on="f" focussize="0,0"/>
                      <v:stroke color="#F2F2F2" miterlimit="10"/>
                      <v:imagedata o:title=""/>
                      <o:lock v:ext="edit"/>
                    </v:shape>
                    <v:shape id="_x0000_s1240" o:spid="_x0000_s1240" style="position:absolute;left:0;top:393;height:2902;width:6125;" filled="f" stroked="t" coordsize="6125,2902" path="m7,0l7,2902m312,0l312,2902m619,0l619,2902m924,0l924,2902m1229,0l1229,2902m1534,0l1534,2902m1841,0l1841,2902m2146,0l2146,2902m2450,0l2450,2902m2758,0l2758,2902m3062,0l3062,2902m3367,0l3367,2902m3674,0l3674,2902m3979,0l3979,2902m4284,0l4284,2902m4589,0l4589,2902m4896,0l4896,2902m5201,0l5201,2902m5506,0l5506,2902m5813,0l5813,2902m6117,0l6117,2902e">
                      <v:fill on="f" focussize="0,0"/>
                      <v:stroke color="#D9D9D9" miterlimit="10"/>
                      <v:imagedata o:title=""/>
                      <o:lock v:ext="edit"/>
                    </v:shape>
                    <v:shape id="_x0000_s1241" o:spid="_x0000_s1241" style="position:absolute;left:0;top:3242;height:106;width:6180;" filled="f" stroked="t" coordsize="6180,106" path="m7,53l6179,53m7,0l7,106m312,0l312,106m619,0l619,106m924,0l924,106m1229,0l1229,106m1534,0l1534,106m1841,0l1841,106m2146,0l2146,106m2450,0l2450,106m2758,0l2758,106m3062,0l3062,106m3367,0l3367,106m3674,0l3674,106m3979,0l3979,106m4284,0l4284,106m4589,0l4589,106m4896,0l4896,106m5201,0l5201,106m5506,0l5506,106m5813,0l5813,106m6117,0l6117,106e">
                      <v:fill on="f" focussize="0,0"/>
                      <v:stroke color="#000000" miterlimit="10"/>
                      <v:imagedata o:title=""/>
                      <o:lock v:ext="edit"/>
                    </v:shape>
                    <v:shape id="_x0000_s1242" o:spid="_x0000_s1242" style="position:absolute;left:23;top:0;height:2995;width:6140;" filled="f" stroked="t" coordsize="6140,2995" path="m15,2979c35,2975,55,2971,75,2966c96,2962,116,2958,137,2953c157,2949,177,2944,198,2940c218,2935,238,2930,259,2925c279,2920,300,2915,320,2910c340,2905,361,2899,381,2894c401,2888,422,2882,442,2876c462,2870,483,2864,503,2858c524,2852,544,2845,564,2839c585,2832,605,2825,625,2818c646,2811,666,2804,687,2796c707,2788,727,2781,748,2772c768,2764,788,2756,809,2747c829,2739,850,2730,870,2721c890,2711,911,2702,931,2692c951,2682,972,2672,992,2661c1012,2651,1033,2640,1053,2629c1073,2618,1094,2606,1114,2594c1135,2582,1155,2569,1175,2556c1196,2543,1216,2530,1236,2516c1257,2502,1277,2488,1298,2473c1318,2458,1338,2443,1359,2427c1379,2411,1400,2395,1420,2378c1440,2361,1461,2343,1481,2325c1501,2307,1522,2288,1542,2268c1562,2249,1583,2229,1603,2208c1623,2187,1644,2165,1664,2143c1685,2121,1705,2098,1725,2074c1746,2050,1766,2026,1786,2000c1807,1975,1827,1949,1847,1922c1868,1895,1888,1868,1909,1840c1929,1811,1950,1782,1970,1752c1990,1723,2011,1692,2031,1661c2051,1630,2072,1598,2092,1566c2112,1534,2133,1501,2153,1468c2173,1435,2194,1401,2214,1368c2234,1334,2255,1300,2275,1267c2296,1233,2316,1199,2336,1166c2357,1132,2377,1099,2398,1067c2418,1035,2438,1002,2459,972c2479,942,2499,912,2520,883c2540,855,2561,827,2581,802c2601,777,2622,753,2642,731c2662,709,2683,689,2703,671c2723,653,2744,637,2764,623c2784,609,2805,597,2825,587c2846,577,2866,569,2886,563c2907,557,2927,553,2948,551c2968,548,2988,548,3008,549c3029,550,3049,554,3070,558c3090,562,3110,568,3131,576c3151,584,3172,592,3192,603c3212,614,3233,626,3253,639c3273,653,3294,668,3314,684c3334,701,3355,719,3375,738c3396,758,3416,779,3436,802c3457,824,3477,848,3497,874c3518,899,3538,926,3558,953c3579,981,3599,1010,3620,1039c3640,1069,3660,1100,3681,1131c3701,1162,3722,1194,3742,1226c3762,1257,3783,1290,3803,1322c3823,1354,3844,1387,3864,1419c3884,1451,3905,1483,3925,1514c3946,1546,3966,1577,3986,1607c4006,1638,4027,1668,4047,1697c4068,1727,4088,1755,4108,1783c4129,1812,4149,1839,4170,1865c4190,1892,4210,1918,4231,1943c4251,1968,4271,1993,4292,2017c4312,2040,4333,2063,4353,2086c4373,2108,4393,2130,4414,2151c4434,2171,4455,2192,4475,2211c4496,2231,4516,2250,4536,2268c4556,2287,4577,2305,4597,2322c4618,2339,4638,2356,4658,2372c4679,2388,4699,2404,4720,2419c4740,2434,4760,2449,4781,2463c4801,2477,4821,2491,4842,2504c4862,2517,4883,2530,4903,2543c4923,2555,4943,2567,4964,2579c4984,2590,5005,2602,5025,2613c5045,2624,5066,2634,5086,2645c5106,2655,5127,2665,5147,2675c5168,2684,5188,2694,5208,2703c5229,2712,5249,2721,5270,2729c5290,2738,5310,2746,5330,2754c5351,2762,5371,2770,5392,2777c5412,2785,5432,2792,5453,2799c5473,2807,5494,2814,5514,2820c5534,2827,5555,2834,5575,2840c5595,2846,5616,2853,5636,2859c5656,2865,5677,2870,5697,2876c5718,2882,5738,2887,5758,2893c5779,2898,5799,2903,5819,2908c5840,2913,5860,2918,5880,2923c5901,2928,5921,2932,5942,2937c5962,2942,5982,2946,6003,2950c6023,2955,6043,2959,6064,2963c6084,2967,6105,2971,6125,2975m2396,15l2780,15e">
                      <v:fill on="f" focussize="0,0"/>
                      <v:stroke weight="1.5pt" color="#FF0000" miterlimit="10" endcap="round"/>
                      <v:imagedata o:title=""/>
                      <o:lock v:ext="edit"/>
                    </v:shape>
                  </v:group>
                  <v:shape id="_x0000_s1243" o:spid="_x0000_s1243" o:spt="202" type="#_x0000_t202" style="position:absolute;left:3212;top:-20;height:203;width:339;" filled="f" stroked="f" coordsize="21600,21600">
                    <v:path/>
                    <v:fill on="f" focussize="0,0"/>
                    <v:stroke on="f"/>
                    <v:imagedata o:title=""/>
                    <o:lock v:ext="edit" aspectratio="f"/>
                    <v:textbox inset="0mm,0mm,0mm,0mm">
                      <w:txbxContent>
                        <w:p w14:paraId="1D99D93D">
                          <w:pPr>
                            <w:spacing w:before="20"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7"/>
                              <w:sz w:val="18"/>
                              <w:szCs w:val="18"/>
                            </w:rPr>
                            <w:t>15m</w:t>
                          </w:r>
                        </w:p>
                      </w:txbxContent>
                    </v:textbox>
                  </v:shape>
                  <w10:wrap type="none"/>
                  <w10:anchorlock/>
                </v:group>
              </w:pict>
            </w:r>
          </w:p>
        </w:tc>
      </w:tr>
    </w:tbl>
    <w:p w14:paraId="5A1767D4">
      <w:pPr>
        <w:spacing w:before="246" w:line="234" w:lineRule="auto"/>
        <w:ind w:left="1240"/>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9"/>
          <w:sz w:val="21"/>
          <w:szCs w:val="21"/>
        </w:rPr>
        <w:t xml:space="preserve"> </w:t>
      </w:r>
      <w:r>
        <w:rPr>
          <w:rFonts w:ascii="Times New Roman" w:hAnsi="Times New Roman" w:eastAsia="Times New Roman" w:cs="Times New Roman"/>
          <w:b/>
          <w:bCs/>
          <w:spacing w:val="-3"/>
          <w:sz w:val="21"/>
          <w:szCs w:val="21"/>
        </w:rPr>
        <w:t>4-6    C</w:t>
      </w:r>
      <w:r>
        <w:rPr>
          <w:rFonts w:ascii="Times New Roman" w:hAnsi="Times New Roman" w:eastAsia="Times New Roman" w:cs="Times New Roman"/>
          <w:b/>
          <w:bCs/>
          <w:spacing w:val="29"/>
          <w:w w:val="101"/>
          <w:sz w:val="21"/>
          <w:szCs w:val="21"/>
        </w:rPr>
        <w:t xml:space="preserve"> </w:t>
      </w:r>
      <w:r>
        <w:rPr>
          <w:rFonts w:ascii="宋体" w:hAnsi="宋体" w:eastAsia="宋体" w:cs="宋体"/>
          <w:b/>
          <w:bCs/>
          <w:spacing w:val="-3"/>
          <w:sz w:val="21"/>
          <w:szCs w:val="21"/>
        </w:rPr>
        <w:t>回线双回垂直（双边挂线）排列最不利塔型磁感应强度分布图</w:t>
      </w:r>
    </w:p>
    <w:p w14:paraId="217B4DA9">
      <w:pPr>
        <w:spacing w:line="234" w:lineRule="auto"/>
        <w:rPr>
          <w:rFonts w:ascii="宋体" w:hAnsi="宋体" w:eastAsia="宋体" w:cs="宋体"/>
          <w:sz w:val="21"/>
          <w:szCs w:val="21"/>
        </w:rPr>
        <w:sectPr>
          <w:footerReference r:id="rId113" w:type="default"/>
          <w:pgSz w:w="11907" w:h="16841"/>
          <w:pgMar w:top="400" w:right="1411" w:bottom="1126" w:left="1416" w:header="0" w:footer="925" w:gutter="0"/>
          <w:cols w:space="720" w:num="1"/>
        </w:sectPr>
      </w:pPr>
    </w:p>
    <w:p w14:paraId="666FF543">
      <w:pPr>
        <w:spacing w:line="248" w:lineRule="auto"/>
        <w:rPr>
          <w:rFonts w:ascii="Arial"/>
          <w:sz w:val="21"/>
        </w:rPr>
      </w:pPr>
    </w:p>
    <w:p w14:paraId="294886B8">
      <w:pPr>
        <w:spacing w:line="249" w:lineRule="auto"/>
        <w:rPr>
          <w:rFonts w:ascii="Arial"/>
          <w:sz w:val="21"/>
        </w:rPr>
      </w:pPr>
    </w:p>
    <w:p w14:paraId="7346D950">
      <w:pPr>
        <w:spacing w:line="249" w:lineRule="auto"/>
        <w:rPr>
          <w:rFonts w:ascii="Arial"/>
          <w:sz w:val="21"/>
        </w:rPr>
      </w:pPr>
    </w:p>
    <w:p w14:paraId="3D857DF1">
      <w:pPr>
        <w:spacing w:line="249" w:lineRule="auto"/>
        <w:rPr>
          <w:rFonts w:ascii="Arial"/>
          <w:sz w:val="21"/>
        </w:rPr>
      </w:pPr>
    </w:p>
    <w:p w14:paraId="10E6367F">
      <w:pPr>
        <w:spacing w:line="249" w:lineRule="auto"/>
        <w:rPr>
          <w:rFonts w:ascii="Arial"/>
          <w:sz w:val="21"/>
        </w:rPr>
      </w:pPr>
    </w:p>
    <w:p w14:paraId="6276F045">
      <w:pPr>
        <w:spacing w:before="78" w:line="233" w:lineRule="auto"/>
        <w:ind w:left="486"/>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4</w:t>
      </w:r>
      <w:r>
        <w:rPr>
          <w:rFonts w:ascii="宋体" w:hAnsi="宋体" w:eastAsia="宋体" w:cs="宋体"/>
          <w:spacing w:val="-2"/>
          <w:sz w:val="24"/>
          <w:szCs w:val="24"/>
        </w:rPr>
        <w:t>）</w:t>
      </w:r>
      <w:r>
        <w:rPr>
          <w:rFonts w:ascii="Times New Roman" w:hAnsi="Times New Roman" w:eastAsia="Times New Roman" w:cs="Times New Roman"/>
          <w:spacing w:val="-2"/>
          <w:sz w:val="24"/>
          <w:szCs w:val="24"/>
        </w:rPr>
        <w:t>DE</w:t>
      </w:r>
      <w:r>
        <w:rPr>
          <w:rFonts w:ascii="Times New Roman" w:hAnsi="Times New Roman" w:eastAsia="Times New Roman" w:cs="Times New Roman"/>
          <w:spacing w:val="39"/>
          <w:sz w:val="24"/>
          <w:szCs w:val="24"/>
        </w:rPr>
        <w:t xml:space="preserve"> </w:t>
      </w:r>
      <w:r>
        <w:rPr>
          <w:rFonts w:ascii="宋体" w:hAnsi="宋体" w:eastAsia="宋体" w:cs="宋体"/>
          <w:spacing w:val="-2"/>
          <w:sz w:val="24"/>
          <w:szCs w:val="24"/>
        </w:rPr>
        <w:t>回：单回三角排列最不利塔型</w:t>
      </w:r>
      <w:r>
        <w:rPr>
          <w:rFonts w:ascii="宋体" w:hAnsi="宋体" w:eastAsia="宋体" w:cs="宋体"/>
          <w:spacing w:val="-54"/>
          <w:sz w:val="24"/>
          <w:szCs w:val="24"/>
        </w:rPr>
        <w:t xml:space="preserve"> </w:t>
      </w:r>
      <w:r>
        <w:rPr>
          <w:rFonts w:ascii="Times New Roman" w:hAnsi="Times New Roman" w:eastAsia="Times New Roman" w:cs="Times New Roman"/>
          <w:spacing w:val="-2"/>
          <w:sz w:val="24"/>
          <w:szCs w:val="24"/>
        </w:rPr>
        <w:t>2D1R7-J3</w:t>
      </w:r>
    </w:p>
    <w:p w14:paraId="43137D76">
      <w:pPr>
        <w:spacing w:before="101" w:line="229" w:lineRule="auto"/>
        <w:ind w:left="2098"/>
        <w:rPr>
          <w:rFonts w:ascii="宋体" w:hAnsi="宋体" w:eastAsia="宋体" w:cs="宋体"/>
          <w:sz w:val="21"/>
          <w:szCs w:val="21"/>
        </w:rPr>
      </w:pPr>
      <w:r>
        <w:rPr>
          <w:rFonts w:ascii="宋体" w:hAnsi="宋体" w:eastAsia="宋体" w:cs="宋体"/>
          <w:b/>
          <w:bCs/>
          <w:spacing w:val="-3"/>
          <w:sz w:val="21"/>
          <w:szCs w:val="21"/>
        </w:rPr>
        <w:t>表</w:t>
      </w:r>
      <w:r>
        <w:rPr>
          <w:rFonts w:ascii="宋体" w:hAnsi="宋体" w:eastAsia="宋体" w:cs="宋体"/>
          <w:spacing w:val="-29"/>
          <w:sz w:val="21"/>
          <w:szCs w:val="21"/>
        </w:rPr>
        <w:t xml:space="preserve"> </w:t>
      </w:r>
      <w:r>
        <w:rPr>
          <w:rFonts w:ascii="Times New Roman" w:hAnsi="Times New Roman" w:eastAsia="Times New Roman" w:cs="Times New Roman"/>
          <w:b/>
          <w:bCs/>
          <w:spacing w:val="-3"/>
          <w:sz w:val="21"/>
          <w:szCs w:val="21"/>
        </w:rPr>
        <w:t>4-7    DE</w:t>
      </w:r>
      <w:r>
        <w:rPr>
          <w:rFonts w:ascii="Times New Roman" w:hAnsi="Times New Roman" w:eastAsia="Times New Roman" w:cs="Times New Roman"/>
          <w:b/>
          <w:bCs/>
          <w:spacing w:val="28"/>
          <w:sz w:val="21"/>
          <w:szCs w:val="21"/>
        </w:rPr>
        <w:t xml:space="preserve"> </w:t>
      </w:r>
      <w:r>
        <w:rPr>
          <w:rFonts w:ascii="宋体" w:hAnsi="宋体" w:eastAsia="宋体" w:cs="宋体"/>
          <w:b/>
          <w:bCs/>
          <w:spacing w:val="-3"/>
          <w:sz w:val="21"/>
          <w:szCs w:val="21"/>
        </w:rPr>
        <w:t>回线单回三角排列线路电磁场强度预测值</w:t>
      </w: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75BBC0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Merge w:val="restart"/>
            <w:tcBorders>
              <w:bottom w:val="nil"/>
            </w:tcBorders>
            <w:vAlign w:val="top"/>
          </w:tcPr>
          <w:p w14:paraId="00B4AB82">
            <w:pPr>
              <w:pStyle w:val="6"/>
              <w:spacing w:before="63" w:line="251" w:lineRule="auto"/>
              <w:ind w:left="178" w:right="142" w:hanging="27"/>
            </w:pPr>
            <w:r>
              <w:rPr>
                <w:b/>
                <w:bCs/>
                <w:spacing w:val="-3"/>
              </w:rPr>
              <w:t>距线路走廊中</w:t>
            </w:r>
            <w:r>
              <w:rPr>
                <w:b/>
                <w:bCs/>
                <w:spacing w:val="-4"/>
              </w:rPr>
              <w:t>心距离（</w:t>
            </w:r>
            <w:r>
              <w:rPr>
                <w:rFonts w:ascii="Times New Roman" w:hAnsi="Times New Roman" w:eastAsia="Times New Roman" w:cs="Times New Roman"/>
                <w:b/>
                <w:bCs/>
                <w:spacing w:val="-4"/>
              </w:rPr>
              <w:t>m</w:t>
            </w:r>
            <w:r>
              <w:rPr>
                <w:b/>
                <w:bCs/>
                <w:spacing w:val="-4"/>
              </w:rPr>
              <w:t>）</w:t>
            </w:r>
          </w:p>
        </w:tc>
        <w:tc>
          <w:tcPr>
            <w:tcW w:w="3682" w:type="dxa"/>
            <w:gridSpan w:val="2"/>
            <w:vAlign w:val="top"/>
          </w:tcPr>
          <w:p w14:paraId="030D0839">
            <w:pPr>
              <w:pStyle w:val="6"/>
              <w:spacing w:before="56" w:line="221" w:lineRule="auto"/>
              <w:ind w:left="753"/>
            </w:pPr>
            <w:r>
              <w:rPr>
                <w:b/>
                <w:bCs/>
                <w:spacing w:val="-2"/>
              </w:rPr>
              <w:t>工频电场强度（</w:t>
            </w:r>
            <w:r>
              <w:rPr>
                <w:rFonts w:ascii="Times New Roman" w:hAnsi="Times New Roman" w:eastAsia="Times New Roman" w:cs="Times New Roman"/>
                <w:b/>
                <w:bCs/>
                <w:spacing w:val="-2"/>
              </w:rPr>
              <w:t>kV/m</w:t>
            </w:r>
            <w:r>
              <w:rPr>
                <w:b/>
                <w:bCs/>
                <w:spacing w:val="-2"/>
              </w:rPr>
              <w:t>）</w:t>
            </w:r>
          </w:p>
        </w:tc>
        <w:tc>
          <w:tcPr>
            <w:tcW w:w="3832" w:type="dxa"/>
            <w:gridSpan w:val="2"/>
            <w:vAlign w:val="top"/>
          </w:tcPr>
          <w:p w14:paraId="13CD355B">
            <w:pPr>
              <w:pStyle w:val="6"/>
              <w:spacing w:before="56" w:line="213" w:lineRule="auto"/>
              <w:ind w:left="844"/>
            </w:pPr>
            <w:r>
              <w:rPr>
                <w:b/>
                <w:bCs/>
                <w:spacing w:val="7"/>
              </w:rPr>
              <w:t>工频磁感应强度(</w:t>
            </w:r>
            <w:r>
              <w:rPr>
                <w:rFonts w:ascii="Times New Roman" w:hAnsi="Times New Roman" w:eastAsia="Times New Roman" w:cs="Times New Roman"/>
                <w:b/>
                <w:bCs/>
                <w:spacing w:val="7"/>
              </w:rPr>
              <w:t>µT</w:t>
            </w:r>
            <w:r>
              <w:rPr>
                <w:b/>
                <w:bCs/>
                <w:spacing w:val="7"/>
              </w:rPr>
              <w:t>）</w:t>
            </w:r>
          </w:p>
        </w:tc>
      </w:tr>
      <w:tr w14:paraId="186750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Merge w:val="continue"/>
            <w:tcBorders>
              <w:top w:val="nil"/>
            </w:tcBorders>
            <w:vAlign w:val="top"/>
          </w:tcPr>
          <w:p w14:paraId="77AC78D8">
            <w:pPr>
              <w:rPr>
                <w:rFonts w:ascii="Arial"/>
                <w:sz w:val="21"/>
              </w:rPr>
            </w:pPr>
          </w:p>
        </w:tc>
        <w:tc>
          <w:tcPr>
            <w:tcW w:w="1842" w:type="dxa"/>
            <w:vAlign w:val="top"/>
          </w:tcPr>
          <w:p w14:paraId="3B914352">
            <w:pPr>
              <w:pStyle w:val="6"/>
              <w:spacing w:before="54" w:line="224" w:lineRule="auto"/>
              <w:ind w:left="261"/>
              <w:rPr>
                <w:rFonts w:ascii="Times New Roman" w:hAnsi="Times New Roman" w:eastAsia="Times New Roman" w:cs="Times New Roman"/>
              </w:rPr>
            </w:pPr>
            <w:r>
              <w:rPr>
                <w:b/>
                <w:bCs/>
                <w:spacing w:val="-3"/>
              </w:rPr>
              <w:t>非居民区</w:t>
            </w:r>
            <w:r>
              <w:rPr>
                <w:spacing w:val="-42"/>
              </w:rPr>
              <w:t xml:space="preserve"> </w:t>
            </w:r>
            <w:r>
              <w:rPr>
                <w:rFonts w:ascii="Times New Roman" w:hAnsi="Times New Roman" w:eastAsia="Times New Roman" w:cs="Times New Roman"/>
                <w:b/>
                <w:bCs/>
                <w:spacing w:val="-3"/>
              </w:rPr>
              <w:t>6.5m</w:t>
            </w:r>
          </w:p>
        </w:tc>
        <w:tc>
          <w:tcPr>
            <w:tcW w:w="1840" w:type="dxa"/>
            <w:vAlign w:val="top"/>
          </w:tcPr>
          <w:p w14:paraId="691473AD">
            <w:pPr>
              <w:pStyle w:val="6"/>
              <w:spacing w:before="54" w:line="224" w:lineRule="auto"/>
              <w:ind w:left="444"/>
              <w:rPr>
                <w:rFonts w:ascii="Times New Roman" w:hAnsi="Times New Roman" w:eastAsia="Times New Roman" w:cs="Times New Roman"/>
              </w:rPr>
            </w:pPr>
            <w:r>
              <w:rPr>
                <w:b/>
                <w:bCs/>
                <w:spacing w:val="-4"/>
              </w:rPr>
              <w:t>居民区</w:t>
            </w:r>
            <w:r>
              <w:rPr>
                <w:spacing w:val="-41"/>
              </w:rPr>
              <w:t xml:space="preserve"> </w:t>
            </w:r>
            <w:r>
              <w:rPr>
                <w:rFonts w:ascii="Times New Roman" w:hAnsi="Times New Roman" w:eastAsia="Times New Roman" w:cs="Times New Roman"/>
                <w:b/>
                <w:bCs/>
                <w:spacing w:val="-4"/>
              </w:rPr>
              <w:t>8m</w:t>
            </w:r>
          </w:p>
        </w:tc>
        <w:tc>
          <w:tcPr>
            <w:tcW w:w="1843" w:type="dxa"/>
            <w:vAlign w:val="top"/>
          </w:tcPr>
          <w:p w14:paraId="3CD4F382">
            <w:pPr>
              <w:pStyle w:val="6"/>
              <w:spacing w:before="54" w:line="224" w:lineRule="auto"/>
              <w:ind w:left="264"/>
              <w:rPr>
                <w:rFonts w:ascii="Times New Roman" w:hAnsi="Times New Roman" w:eastAsia="Times New Roman" w:cs="Times New Roman"/>
              </w:rPr>
            </w:pPr>
            <w:r>
              <w:rPr>
                <w:b/>
                <w:bCs/>
                <w:spacing w:val="-3"/>
              </w:rPr>
              <w:t>非居民区</w:t>
            </w:r>
            <w:r>
              <w:rPr>
                <w:spacing w:val="-42"/>
              </w:rPr>
              <w:t xml:space="preserve"> </w:t>
            </w:r>
            <w:r>
              <w:rPr>
                <w:rFonts w:ascii="Times New Roman" w:hAnsi="Times New Roman" w:eastAsia="Times New Roman" w:cs="Times New Roman"/>
                <w:b/>
                <w:bCs/>
                <w:spacing w:val="-3"/>
              </w:rPr>
              <w:t>6.5m</w:t>
            </w:r>
          </w:p>
        </w:tc>
        <w:tc>
          <w:tcPr>
            <w:tcW w:w="1989" w:type="dxa"/>
            <w:vAlign w:val="top"/>
          </w:tcPr>
          <w:p w14:paraId="18A521BB">
            <w:pPr>
              <w:pStyle w:val="6"/>
              <w:spacing w:before="54" w:line="224" w:lineRule="auto"/>
              <w:ind w:left="518"/>
              <w:rPr>
                <w:rFonts w:ascii="Times New Roman" w:hAnsi="Times New Roman" w:eastAsia="Times New Roman" w:cs="Times New Roman"/>
              </w:rPr>
            </w:pPr>
            <w:r>
              <w:rPr>
                <w:b/>
                <w:bCs/>
                <w:spacing w:val="-4"/>
              </w:rPr>
              <w:t>居民区</w:t>
            </w:r>
            <w:r>
              <w:rPr>
                <w:spacing w:val="-41"/>
              </w:rPr>
              <w:t xml:space="preserve"> </w:t>
            </w:r>
            <w:r>
              <w:rPr>
                <w:rFonts w:ascii="Times New Roman" w:hAnsi="Times New Roman" w:eastAsia="Times New Roman" w:cs="Times New Roman"/>
                <w:b/>
                <w:bCs/>
                <w:spacing w:val="-4"/>
              </w:rPr>
              <w:t>8m</w:t>
            </w:r>
          </w:p>
        </w:tc>
      </w:tr>
      <w:tr w14:paraId="2696ED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B7F52D2">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1842" w:type="dxa"/>
            <w:vAlign w:val="top"/>
          </w:tcPr>
          <w:p w14:paraId="71558600">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0.057</w:t>
            </w:r>
          </w:p>
        </w:tc>
        <w:tc>
          <w:tcPr>
            <w:tcW w:w="1840" w:type="dxa"/>
            <w:vAlign w:val="top"/>
          </w:tcPr>
          <w:p w14:paraId="4997AF3C">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0.065</w:t>
            </w:r>
          </w:p>
        </w:tc>
        <w:tc>
          <w:tcPr>
            <w:tcW w:w="1843" w:type="dxa"/>
            <w:vAlign w:val="top"/>
          </w:tcPr>
          <w:p w14:paraId="031F8F47">
            <w:pPr>
              <w:spacing w:before="86"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0.247</w:t>
            </w:r>
          </w:p>
        </w:tc>
        <w:tc>
          <w:tcPr>
            <w:tcW w:w="1989" w:type="dxa"/>
            <w:vAlign w:val="top"/>
          </w:tcPr>
          <w:p w14:paraId="1D9DC8CB">
            <w:pPr>
              <w:spacing w:before="86"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0.245</w:t>
            </w:r>
          </w:p>
        </w:tc>
      </w:tr>
      <w:tr w14:paraId="73FF6B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95EE475">
            <w:pPr>
              <w:spacing w:before="87"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-49</w:t>
            </w:r>
          </w:p>
        </w:tc>
        <w:tc>
          <w:tcPr>
            <w:tcW w:w="1842" w:type="dxa"/>
            <w:vAlign w:val="top"/>
          </w:tcPr>
          <w:p w14:paraId="4E816CE5">
            <w:pPr>
              <w:spacing w:before="87"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0.060</w:t>
            </w:r>
          </w:p>
        </w:tc>
        <w:tc>
          <w:tcPr>
            <w:tcW w:w="1840" w:type="dxa"/>
            <w:vAlign w:val="top"/>
          </w:tcPr>
          <w:p w14:paraId="64C62D44">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0.068</w:t>
            </w:r>
          </w:p>
        </w:tc>
        <w:tc>
          <w:tcPr>
            <w:tcW w:w="1843" w:type="dxa"/>
            <w:vAlign w:val="top"/>
          </w:tcPr>
          <w:p w14:paraId="3ED22B80">
            <w:pPr>
              <w:spacing w:before="87"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0.258</w:t>
            </w:r>
          </w:p>
        </w:tc>
        <w:tc>
          <w:tcPr>
            <w:tcW w:w="1989" w:type="dxa"/>
            <w:vAlign w:val="top"/>
          </w:tcPr>
          <w:p w14:paraId="6D7BDFA9">
            <w:pPr>
              <w:spacing w:before="87"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0.255</w:t>
            </w:r>
          </w:p>
        </w:tc>
      </w:tr>
      <w:tr w14:paraId="359C6E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10D81C5">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-48</w:t>
            </w:r>
          </w:p>
        </w:tc>
        <w:tc>
          <w:tcPr>
            <w:tcW w:w="1842" w:type="dxa"/>
            <w:vAlign w:val="top"/>
          </w:tcPr>
          <w:p w14:paraId="6C3B1197">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0.064</w:t>
            </w:r>
          </w:p>
        </w:tc>
        <w:tc>
          <w:tcPr>
            <w:tcW w:w="1840" w:type="dxa"/>
            <w:vAlign w:val="top"/>
          </w:tcPr>
          <w:p w14:paraId="295AA7C3">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0.073</w:t>
            </w:r>
          </w:p>
        </w:tc>
        <w:tc>
          <w:tcPr>
            <w:tcW w:w="1843" w:type="dxa"/>
            <w:vAlign w:val="top"/>
          </w:tcPr>
          <w:p w14:paraId="6F6D4775">
            <w:pPr>
              <w:spacing w:before="86"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0.269</w:t>
            </w:r>
          </w:p>
        </w:tc>
        <w:tc>
          <w:tcPr>
            <w:tcW w:w="1989" w:type="dxa"/>
            <w:vAlign w:val="top"/>
          </w:tcPr>
          <w:p w14:paraId="58FA4C70">
            <w:pPr>
              <w:spacing w:before="86"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0.266</w:t>
            </w:r>
          </w:p>
        </w:tc>
      </w:tr>
      <w:tr w14:paraId="289D37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956DB46">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-47</w:t>
            </w:r>
          </w:p>
        </w:tc>
        <w:tc>
          <w:tcPr>
            <w:tcW w:w="1842" w:type="dxa"/>
            <w:vAlign w:val="top"/>
          </w:tcPr>
          <w:p w14:paraId="58B06642">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0.067</w:t>
            </w:r>
          </w:p>
        </w:tc>
        <w:tc>
          <w:tcPr>
            <w:tcW w:w="1840" w:type="dxa"/>
            <w:vAlign w:val="top"/>
          </w:tcPr>
          <w:p w14:paraId="6726FF60">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0.077</w:t>
            </w:r>
          </w:p>
        </w:tc>
        <w:tc>
          <w:tcPr>
            <w:tcW w:w="1843" w:type="dxa"/>
            <w:vAlign w:val="top"/>
          </w:tcPr>
          <w:p w14:paraId="1ACC2758">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0.280</w:t>
            </w:r>
          </w:p>
        </w:tc>
        <w:tc>
          <w:tcPr>
            <w:tcW w:w="1989" w:type="dxa"/>
            <w:vAlign w:val="top"/>
          </w:tcPr>
          <w:p w14:paraId="29C844F2">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0.278</w:t>
            </w:r>
          </w:p>
        </w:tc>
      </w:tr>
      <w:tr w14:paraId="36ED76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E9C36CA">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-46</w:t>
            </w:r>
          </w:p>
        </w:tc>
        <w:tc>
          <w:tcPr>
            <w:tcW w:w="1842" w:type="dxa"/>
            <w:vAlign w:val="top"/>
          </w:tcPr>
          <w:p w14:paraId="15A70F2F">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0.072</w:t>
            </w:r>
          </w:p>
        </w:tc>
        <w:tc>
          <w:tcPr>
            <w:tcW w:w="1840" w:type="dxa"/>
            <w:vAlign w:val="top"/>
          </w:tcPr>
          <w:p w14:paraId="272D8678">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0.082</w:t>
            </w:r>
          </w:p>
        </w:tc>
        <w:tc>
          <w:tcPr>
            <w:tcW w:w="1843" w:type="dxa"/>
            <w:vAlign w:val="top"/>
          </w:tcPr>
          <w:p w14:paraId="337D998A">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0.293</w:t>
            </w:r>
          </w:p>
        </w:tc>
        <w:tc>
          <w:tcPr>
            <w:tcW w:w="1989" w:type="dxa"/>
            <w:vAlign w:val="top"/>
          </w:tcPr>
          <w:p w14:paraId="08F40D33">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0.290</w:t>
            </w:r>
          </w:p>
        </w:tc>
      </w:tr>
      <w:tr w14:paraId="5BB5C6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6273EFFC">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-45</w:t>
            </w:r>
          </w:p>
        </w:tc>
        <w:tc>
          <w:tcPr>
            <w:tcW w:w="1842" w:type="dxa"/>
            <w:vAlign w:val="top"/>
          </w:tcPr>
          <w:p w14:paraId="05D421BF">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0.076</w:t>
            </w:r>
          </w:p>
        </w:tc>
        <w:tc>
          <w:tcPr>
            <w:tcW w:w="1840" w:type="dxa"/>
            <w:vAlign w:val="top"/>
          </w:tcPr>
          <w:p w14:paraId="4FE62E22">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0.087</w:t>
            </w:r>
          </w:p>
        </w:tc>
        <w:tc>
          <w:tcPr>
            <w:tcW w:w="1843" w:type="dxa"/>
            <w:vAlign w:val="top"/>
          </w:tcPr>
          <w:p w14:paraId="33B202F7">
            <w:pPr>
              <w:spacing w:before="90"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0.307</w:t>
            </w:r>
          </w:p>
        </w:tc>
        <w:tc>
          <w:tcPr>
            <w:tcW w:w="1989" w:type="dxa"/>
            <w:vAlign w:val="top"/>
          </w:tcPr>
          <w:p w14:paraId="23710264">
            <w:pPr>
              <w:spacing w:before="90"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0.303</w:t>
            </w:r>
          </w:p>
        </w:tc>
      </w:tr>
      <w:tr w14:paraId="557A71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9204817">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-44</w:t>
            </w:r>
          </w:p>
        </w:tc>
        <w:tc>
          <w:tcPr>
            <w:tcW w:w="1842" w:type="dxa"/>
            <w:vAlign w:val="top"/>
          </w:tcPr>
          <w:p w14:paraId="52323635">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0.081</w:t>
            </w:r>
          </w:p>
        </w:tc>
        <w:tc>
          <w:tcPr>
            <w:tcW w:w="1840" w:type="dxa"/>
            <w:vAlign w:val="top"/>
          </w:tcPr>
          <w:p w14:paraId="5C7799F5">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0.093</w:t>
            </w:r>
          </w:p>
        </w:tc>
        <w:tc>
          <w:tcPr>
            <w:tcW w:w="1843" w:type="dxa"/>
            <w:vAlign w:val="top"/>
          </w:tcPr>
          <w:p w14:paraId="3FC523A8">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0.321</w:t>
            </w:r>
          </w:p>
        </w:tc>
        <w:tc>
          <w:tcPr>
            <w:tcW w:w="1989" w:type="dxa"/>
            <w:vAlign w:val="top"/>
          </w:tcPr>
          <w:p w14:paraId="532E63CA">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0.317</w:t>
            </w:r>
          </w:p>
        </w:tc>
      </w:tr>
      <w:tr w14:paraId="76A6F4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616D8A5">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-43</w:t>
            </w:r>
          </w:p>
        </w:tc>
        <w:tc>
          <w:tcPr>
            <w:tcW w:w="1842" w:type="dxa"/>
            <w:vAlign w:val="top"/>
          </w:tcPr>
          <w:p w14:paraId="45DB8018">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0.086</w:t>
            </w:r>
          </w:p>
        </w:tc>
        <w:tc>
          <w:tcPr>
            <w:tcW w:w="1840" w:type="dxa"/>
            <w:vAlign w:val="top"/>
          </w:tcPr>
          <w:p w14:paraId="42A0AFF6">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0.099</w:t>
            </w:r>
          </w:p>
        </w:tc>
        <w:tc>
          <w:tcPr>
            <w:tcW w:w="1843" w:type="dxa"/>
            <w:vAlign w:val="top"/>
          </w:tcPr>
          <w:p w14:paraId="2E68B545">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0.337</w:t>
            </w:r>
          </w:p>
        </w:tc>
        <w:tc>
          <w:tcPr>
            <w:tcW w:w="1989" w:type="dxa"/>
            <w:vAlign w:val="top"/>
          </w:tcPr>
          <w:p w14:paraId="39FA1E7B">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0.333</w:t>
            </w:r>
          </w:p>
        </w:tc>
      </w:tr>
      <w:tr w14:paraId="51500E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6E5196C">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-42</w:t>
            </w:r>
          </w:p>
        </w:tc>
        <w:tc>
          <w:tcPr>
            <w:tcW w:w="1842" w:type="dxa"/>
            <w:vAlign w:val="top"/>
          </w:tcPr>
          <w:p w14:paraId="56961862">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0.092</w:t>
            </w:r>
          </w:p>
        </w:tc>
        <w:tc>
          <w:tcPr>
            <w:tcW w:w="1840" w:type="dxa"/>
            <w:vAlign w:val="top"/>
          </w:tcPr>
          <w:p w14:paraId="7249AC9B">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0.106</w:t>
            </w:r>
          </w:p>
        </w:tc>
        <w:tc>
          <w:tcPr>
            <w:tcW w:w="1843" w:type="dxa"/>
            <w:vAlign w:val="top"/>
          </w:tcPr>
          <w:p w14:paraId="6B4BDC95">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0.353</w:t>
            </w:r>
          </w:p>
        </w:tc>
        <w:tc>
          <w:tcPr>
            <w:tcW w:w="1989" w:type="dxa"/>
            <w:vAlign w:val="top"/>
          </w:tcPr>
          <w:p w14:paraId="5AD83E8D">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0.349</w:t>
            </w:r>
          </w:p>
        </w:tc>
      </w:tr>
      <w:tr w14:paraId="410C30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4D877E2">
            <w:pPr>
              <w:spacing w:before="87"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-41</w:t>
            </w:r>
          </w:p>
        </w:tc>
        <w:tc>
          <w:tcPr>
            <w:tcW w:w="1842" w:type="dxa"/>
            <w:vAlign w:val="top"/>
          </w:tcPr>
          <w:p w14:paraId="7B99C102">
            <w:pPr>
              <w:spacing w:before="87"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0.098</w:t>
            </w:r>
          </w:p>
        </w:tc>
        <w:tc>
          <w:tcPr>
            <w:tcW w:w="1840" w:type="dxa"/>
            <w:vAlign w:val="top"/>
          </w:tcPr>
          <w:p w14:paraId="7B1C618B">
            <w:pPr>
              <w:spacing w:before="87" w:line="218"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0.113</w:t>
            </w:r>
          </w:p>
        </w:tc>
        <w:tc>
          <w:tcPr>
            <w:tcW w:w="1843" w:type="dxa"/>
            <w:vAlign w:val="top"/>
          </w:tcPr>
          <w:p w14:paraId="236DF020">
            <w:pPr>
              <w:spacing w:before="87"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0.371</w:t>
            </w:r>
          </w:p>
        </w:tc>
        <w:tc>
          <w:tcPr>
            <w:tcW w:w="1989" w:type="dxa"/>
            <w:vAlign w:val="top"/>
          </w:tcPr>
          <w:p w14:paraId="43D44C4D">
            <w:pPr>
              <w:spacing w:before="87"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0.366</w:t>
            </w:r>
          </w:p>
        </w:tc>
      </w:tr>
      <w:tr w14:paraId="1E75DB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8375CB5">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-40</w:t>
            </w:r>
          </w:p>
        </w:tc>
        <w:tc>
          <w:tcPr>
            <w:tcW w:w="1842" w:type="dxa"/>
            <w:vAlign w:val="top"/>
          </w:tcPr>
          <w:p w14:paraId="655306AA">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0.106</w:t>
            </w:r>
          </w:p>
        </w:tc>
        <w:tc>
          <w:tcPr>
            <w:tcW w:w="1840" w:type="dxa"/>
            <w:vAlign w:val="top"/>
          </w:tcPr>
          <w:p w14:paraId="260FBBC4">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0.122</w:t>
            </w:r>
          </w:p>
        </w:tc>
        <w:tc>
          <w:tcPr>
            <w:tcW w:w="1843" w:type="dxa"/>
            <w:vAlign w:val="top"/>
          </w:tcPr>
          <w:p w14:paraId="0C7484D1">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0.390</w:t>
            </w:r>
          </w:p>
        </w:tc>
        <w:tc>
          <w:tcPr>
            <w:tcW w:w="1989" w:type="dxa"/>
            <w:vAlign w:val="top"/>
          </w:tcPr>
          <w:p w14:paraId="4743F270">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0.385</w:t>
            </w:r>
          </w:p>
        </w:tc>
      </w:tr>
      <w:tr w14:paraId="29B3B9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730447D7">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-39</w:t>
            </w:r>
          </w:p>
        </w:tc>
        <w:tc>
          <w:tcPr>
            <w:tcW w:w="1842" w:type="dxa"/>
            <w:vAlign w:val="top"/>
          </w:tcPr>
          <w:p w14:paraId="75BEBA5E">
            <w:pPr>
              <w:spacing w:before="90" w:line="217"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0.113</w:t>
            </w:r>
          </w:p>
        </w:tc>
        <w:tc>
          <w:tcPr>
            <w:tcW w:w="1840" w:type="dxa"/>
            <w:vAlign w:val="top"/>
          </w:tcPr>
          <w:p w14:paraId="6EF71128">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0.131</w:t>
            </w:r>
          </w:p>
        </w:tc>
        <w:tc>
          <w:tcPr>
            <w:tcW w:w="1843" w:type="dxa"/>
            <w:vAlign w:val="top"/>
          </w:tcPr>
          <w:p w14:paraId="626F6675">
            <w:pPr>
              <w:spacing w:before="90" w:line="217"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0.411</w:t>
            </w:r>
          </w:p>
        </w:tc>
        <w:tc>
          <w:tcPr>
            <w:tcW w:w="1989" w:type="dxa"/>
            <w:vAlign w:val="top"/>
          </w:tcPr>
          <w:p w14:paraId="3DA0B2A0">
            <w:pPr>
              <w:spacing w:before="90"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0.405</w:t>
            </w:r>
          </w:p>
        </w:tc>
      </w:tr>
      <w:tr w14:paraId="435901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4AB31B6">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-38</w:t>
            </w:r>
          </w:p>
        </w:tc>
        <w:tc>
          <w:tcPr>
            <w:tcW w:w="1842" w:type="dxa"/>
            <w:vAlign w:val="top"/>
          </w:tcPr>
          <w:p w14:paraId="0A1B3ED1">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0.122</w:t>
            </w:r>
          </w:p>
        </w:tc>
        <w:tc>
          <w:tcPr>
            <w:tcW w:w="1840" w:type="dxa"/>
            <w:vAlign w:val="top"/>
          </w:tcPr>
          <w:p w14:paraId="4E3DF184">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0.141</w:t>
            </w:r>
          </w:p>
        </w:tc>
        <w:tc>
          <w:tcPr>
            <w:tcW w:w="1843" w:type="dxa"/>
            <w:vAlign w:val="top"/>
          </w:tcPr>
          <w:p w14:paraId="70E3D49A">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0.434</w:t>
            </w:r>
          </w:p>
        </w:tc>
        <w:tc>
          <w:tcPr>
            <w:tcW w:w="1989" w:type="dxa"/>
            <w:vAlign w:val="top"/>
          </w:tcPr>
          <w:p w14:paraId="487F825B">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0.427</w:t>
            </w:r>
          </w:p>
        </w:tc>
      </w:tr>
      <w:tr w14:paraId="135F8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EF6E090">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-37</w:t>
            </w:r>
          </w:p>
        </w:tc>
        <w:tc>
          <w:tcPr>
            <w:tcW w:w="1842" w:type="dxa"/>
            <w:vAlign w:val="top"/>
          </w:tcPr>
          <w:p w14:paraId="554F6C85">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0.132</w:t>
            </w:r>
          </w:p>
        </w:tc>
        <w:tc>
          <w:tcPr>
            <w:tcW w:w="1840" w:type="dxa"/>
            <w:vAlign w:val="top"/>
          </w:tcPr>
          <w:p w14:paraId="0A09B830">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0.153</w:t>
            </w:r>
          </w:p>
        </w:tc>
        <w:tc>
          <w:tcPr>
            <w:tcW w:w="1843" w:type="dxa"/>
            <w:vAlign w:val="top"/>
          </w:tcPr>
          <w:p w14:paraId="7E564C25">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0.458</w:t>
            </w:r>
          </w:p>
        </w:tc>
        <w:tc>
          <w:tcPr>
            <w:tcW w:w="1989" w:type="dxa"/>
            <w:vAlign w:val="top"/>
          </w:tcPr>
          <w:p w14:paraId="374A6E44">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0.451</w:t>
            </w:r>
          </w:p>
        </w:tc>
      </w:tr>
      <w:tr w14:paraId="539D86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8267787">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-36</w:t>
            </w:r>
          </w:p>
        </w:tc>
        <w:tc>
          <w:tcPr>
            <w:tcW w:w="1842" w:type="dxa"/>
            <w:vAlign w:val="top"/>
          </w:tcPr>
          <w:p w14:paraId="1A69AE27">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0.143</w:t>
            </w:r>
          </w:p>
        </w:tc>
        <w:tc>
          <w:tcPr>
            <w:tcW w:w="1840" w:type="dxa"/>
            <w:vAlign w:val="top"/>
          </w:tcPr>
          <w:p w14:paraId="464DD01A">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0.165</w:t>
            </w:r>
          </w:p>
        </w:tc>
        <w:tc>
          <w:tcPr>
            <w:tcW w:w="1843" w:type="dxa"/>
            <w:vAlign w:val="top"/>
          </w:tcPr>
          <w:p w14:paraId="232208AD">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0.485</w:t>
            </w:r>
          </w:p>
        </w:tc>
        <w:tc>
          <w:tcPr>
            <w:tcW w:w="1989" w:type="dxa"/>
            <w:vAlign w:val="top"/>
          </w:tcPr>
          <w:p w14:paraId="048EEF08">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0.477</w:t>
            </w:r>
          </w:p>
        </w:tc>
      </w:tr>
      <w:tr w14:paraId="6AB241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3744F90">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-35</w:t>
            </w:r>
          </w:p>
        </w:tc>
        <w:tc>
          <w:tcPr>
            <w:tcW w:w="1842" w:type="dxa"/>
            <w:vAlign w:val="top"/>
          </w:tcPr>
          <w:p w14:paraId="6CA653D6">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0.155</w:t>
            </w:r>
          </w:p>
        </w:tc>
        <w:tc>
          <w:tcPr>
            <w:tcW w:w="1840" w:type="dxa"/>
            <w:vAlign w:val="top"/>
          </w:tcPr>
          <w:p w14:paraId="4BB532CE">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0.180</w:t>
            </w:r>
          </w:p>
        </w:tc>
        <w:tc>
          <w:tcPr>
            <w:tcW w:w="1843" w:type="dxa"/>
            <w:vAlign w:val="top"/>
          </w:tcPr>
          <w:p w14:paraId="462608BB">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0.514</w:t>
            </w:r>
          </w:p>
        </w:tc>
        <w:tc>
          <w:tcPr>
            <w:tcW w:w="1989" w:type="dxa"/>
            <w:vAlign w:val="top"/>
          </w:tcPr>
          <w:p w14:paraId="30B183CF">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0.505</w:t>
            </w:r>
          </w:p>
        </w:tc>
      </w:tr>
      <w:tr w14:paraId="214F44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206638C">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-34</w:t>
            </w:r>
          </w:p>
        </w:tc>
        <w:tc>
          <w:tcPr>
            <w:tcW w:w="1842" w:type="dxa"/>
            <w:vAlign w:val="top"/>
          </w:tcPr>
          <w:p w14:paraId="208050CA">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0.169</w:t>
            </w:r>
          </w:p>
        </w:tc>
        <w:tc>
          <w:tcPr>
            <w:tcW w:w="1840" w:type="dxa"/>
            <w:vAlign w:val="top"/>
          </w:tcPr>
          <w:p w14:paraId="0CA39CFC">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0.195</w:t>
            </w:r>
          </w:p>
        </w:tc>
        <w:tc>
          <w:tcPr>
            <w:tcW w:w="1843" w:type="dxa"/>
            <w:vAlign w:val="top"/>
          </w:tcPr>
          <w:p w14:paraId="27BA7493">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0.546</w:t>
            </w:r>
          </w:p>
        </w:tc>
        <w:tc>
          <w:tcPr>
            <w:tcW w:w="1989" w:type="dxa"/>
            <w:vAlign w:val="top"/>
          </w:tcPr>
          <w:p w14:paraId="10B98682">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0.535</w:t>
            </w:r>
          </w:p>
        </w:tc>
      </w:tr>
      <w:tr w14:paraId="71C41C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6E3DE472">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-33</w:t>
            </w:r>
          </w:p>
        </w:tc>
        <w:tc>
          <w:tcPr>
            <w:tcW w:w="1842" w:type="dxa"/>
            <w:vAlign w:val="top"/>
          </w:tcPr>
          <w:p w14:paraId="01A7BCE0">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0.184</w:t>
            </w:r>
          </w:p>
        </w:tc>
        <w:tc>
          <w:tcPr>
            <w:tcW w:w="1840" w:type="dxa"/>
            <w:vAlign w:val="top"/>
          </w:tcPr>
          <w:p w14:paraId="28FCFF86">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0.213</w:t>
            </w:r>
          </w:p>
        </w:tc>
        <w:tc>
          <w:tcPr>
            <w:tcW w:w="1843" w:type="dxa"/>
            <w:vAlign w:val="top"/>
          </w:tcPr>
          <w:p w14:paraId="1C9E98BF">
            <w:pPr>
              <w:spacing w:before="90"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0.581</w:t>
            </w:r>
          </w:p>
        </w:tc>
        <w:tc>
          <w:tcPr>
            <w:tcW w:w="1989" w:type="dxa"/>
            <w:vAlign w:val="top"/>
          </w:tcPr>
          <w:p w14:paraId="33916546">
            <w:pPr>
              <w:spacing w:before="90"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0.569</w:t>
            </w:r>
          </w:p>
        </w:tc>
      </w:tr>
      <w:tr w14:paraId="2EC89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58549B3">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-32</w:t>
            </w:r>
          </w:p>
        </w:tc>
        <w:tc>
          <w:tcPr>
            <w:tcW w:w="1842" w:type="dxa"/>
            <w:vAlign w:val="top"/>
          </w:tcPr>
          <w:p w14:paraId="520BC857">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0.202</w:t>
            </w:r>
          </w:p>
        </w:tc>
        <w:tc>
          <w:tcPr>
            <w:tcW w:w="1840" w:type="dxa"/>
            <w:vAlign w:val="top"/>
          </w:tcPr>
          <w:p w14:paraId="55334E39">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0.234</w:t>
            </w:r>
          </w:p>
        </w:tc>
        <w:tc>
          <w:tcPr>
            <w:tcW w:w="1843" w:type="dxa"/>
            <w:vAlign w:val="top"/>
          </w:tcPr>
          <w:p w14:paraId="21D12BE8">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0.619</w:t>
            </w:r>
          </w:p>
        </w:tc>
        <w:tc>
          <w:tcPr>
            <w:tcW w:w="1989" w:type="dxa"/>
            <w:vAlign w:val="top"/>
          </w:tcPr>
          <w:p w14:paraId="0DBF6423">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0.605</w:t>
            </w:r>
          </w:p>
        </w:tc>
      </w:tr>
      <w:tr w14:paraId="04835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A42FB7A">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-31</w:t>
            </w:r>
          </w:p>
        </w:tc>
        <w:tc>
          <w:tcPr>
            <w:tcW w:w="1842" w:type="dxa"/>
            <w:vAlign w:val="top"/>
          </w:tcPr>
          <w:p w14:paraId="44CA5060">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0.222</w:t>
            </w:r>
          </w:p>
        </w:tc>
        <w:tc>
          <w:tcPr>
            <w:tcW w:w="1840" w:type="dxa"/>
            <w:vAlign w:val="top"/>
          </w:tcPr>
          <w:p w14:paraId="2E83AD6D">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0.257</w:t>
            </w:r>
          </w:p>
        </w:tc>
        <w:tc>
          <w:tcPr>
            <w:tcW w:w="1843" w:type="dxa"/>
            <w:vAlign w:val="top"/>
          </w:tcPr>
          <w:p w14:paraId="2E413BFD">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0.661</w:t>
            </w:r>
          </w:p>
        </w:tc>
        <w:tc>
          <w:tcPr>
            <w:tcW w:w="1989" w:type="dxa"/>
            <w:vAlign w:val="top"/>
          </w:tcPr>
          <w:p w14:paraId="2EEB34F0">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0.645</w:t>
            </w:r>
          </w:p>
        </w:tc>
      </w:tr>
      <w:tr w14:paraId="4AB2C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187218D">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w:t>
            </w:r>
          </w:p>
        </w:tc>
        <w:tc>
          <w:tcPr>
            <w:tcW w:w="1842" w:type="dxa"/>
            <w:vAlign w:val="top"/>
          </w:tcPr>
          <w:p w14:paraId="62CD7BEA">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0.245</w:t>
            </w:r>
          </w:p>
        </w:tc>
        <w:tc>
          <w:tcPr>
            <w:tcW w:w="1840" w:type="dxa"/>
            <w:vAlign w:val="top"/>
          </w:tcPr>
          <w:p w14:paraId="660CE633">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0.283</w:t>
            </w:r>
          </w:p>
        </w:tc>
        <w:tc>
          <w:tcPr>
            <w:tcW w:w="1843" w:type="dxa"/>
            <w:vAlign w:val="top"/>
          </w:tcPr>
          <w:p w14:paraId="54ACABB5">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0.708</w:t>
            </w:r>
          </w:p>
        </w:tc>
        <w:tc>
          <w:tcPr>
            <w:tcW w:w="1989" w:type="dxa"/>
            <w:vAlign w:val="top"/>
          </w:tcPr>
          <w:p w14:paraId="3090B4E8">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0.690</w:t>
            </w:r>
          </w:p>
        </w:tc>
      </w:tr>
      <w:tr w14:paraId="06A85C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F6E3B11">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-29</w:t>
            </w:r>
          </w:p>
        </w:tc>
        <w:tc>
          <w:tcPr>
            <w:tcW w:w="1842" w:type="dxa"/>
            <w:vAlign w:val="top"/>
          </w:tcPr>
          <w:p w14:paraId="6599ED53">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0.272</w:t>
            </w:r>
          </w:p>
        </w:tc>
        <w:tc>
          <w:tcPr>
            <w:tcW w:w="1840" w:type="dxa"/>
            <w:vAlign w:val="top"/>
          </w:tcPr>
          <w:p w14:paraId="78D634D4">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0.313</w:t>
            </w:r>
          </w:p>
        </w:tc>
        <w:tc>
          <w:tcPr>
            <w:tcW w:w="1843" w:type="dxa"/>
            <w:vAlign w:val="top"/>
          </w:tcPr>
          <w:p w14:paraId="574B05EB">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0.759</w:t>
            </w:r>
          </w:p>
        </w:tc>
        <w:tc>
          <w:tcPr>
            <w:tcW w:w="1989" w:type="dxa"/>
            <w:vAlign w:val="top"/>
          </w:tcPr>
          <w:p w14:paraId="7EEBB31A">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0.739</w:t>
            </w:r>
          </w:p>
        </w:tc>
      </w:tr>
      <w:tr w14:paraId="56E65D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E0D46CE">
            <w:pPr>
              <w:spacing w:before="87"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-28</w:t>
            </w:r>
          </w:p>
        </w:tc>
        <w:tc>
          <w:tcPr>
            <w:tcW w:w="1842" w:type="dxa"/>
            <w:vAlign w:val="top"/>
          </w:tcPr>
          <w:p w14:paraId="31C88928">
            <w:pPr>
              <w:spacing w:before="87"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0.303</w:t>
            </w:r>
          </w:p>
        </w:tc>
        <w:tc>
          <w:tcPr>
            <w:tcW w:w="1840" w:type="dxa"/>
            <w:vAlign w:val="top"/>
          </w:tcPr>
          <w:p w14:paraId="7913A966">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0.347</w:t>
            </w:r>
          </w:p>
        </w:tc>
        <w:tc>
          <w:tcPr>
            <w:tcW w:w="1843" w:type="dxa"/>
            <w:vAlign w:val="top"/>
          </w:tcPr>
          <w:p w14:paraId="3683BDBC">
            <w:pPr>
              <w:spacing w:before="87"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0.817</w:t>
            </w:r>
          </w:p>
        </w:tc>
        <w:tc>
          <w:tcPr>
            <w:tcW w:w="1989" w:type="dxa"/>
            <w:vAlign w:val="top"/>
          </w:tcPr>
          <w:p w14:paraId="7D747F07">
            <w:pPr>
              <w:spacing w:before="87"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0.793</w:t>
            </w:r>
          </w:p>
        </w:tc>
      </w:tr>
      <w:tr w14:paraId="4CAB0C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4A8A6D81">
            <w:pPr>
              <w:spacing w:before="89"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-27</w:t>
            </w:r>
          </w:p>
        </w:tc>
        <w:tc>
          <w:tcPr>
            <w:tcW w:w="1842" w:type="dxa"/>
            <w:vAlign w:val="top"/>
          </w:tcPr>
          <w:p w14:paraId="3D6C010C">
            <w:pPr>
              <w:spacing w:before="89"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0.338</w:t>
            </w:r>
          </w:p>
        </w:tc>
        <w:tc>
          <w:tcPr>
            <w:tcW w:w="1840" w:type="dxa"/>
            <w:vAlign w:val="top"/>
          </w:tcPr>
          <w:p w14:paraId="4845E644">
            <w:pPr>
              <w:spacing w:before="89"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0.386</w:t>
            </w:r>
          </w:p>
        </w:tc>
        <w:tc>
          <w:tcPr>
            <w:tcW w:w="1843" w:type="dxa"/>
            <w:vAlign w:val="top"/>
          </w:tcPr>
          <w:p w14:paraId="69D5EE46">
            <w:pPr>
              <w:spacing w:before="89"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0.881</w:t>
            </w:r>
          </w:p>
        </w:tc>
        <w:tc>
          <w:tcPr>
            <w:tcW w:w="1989" w:type="dxa"/>
            <w:vAlign w:val="top"/>
          </w:tcPr>
          <w:p w14:paraId="2E3BEA0A">
            <w:pPr>
              <w:spacing w:before="89"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0.853</w:t>
            </w:r>
          </w:p>
        </w:tc>
      </w:tr>
      <w:tr w14:paraId="6CB83D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CE7DDE0">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-26</w:t>
            </w:r>
          </w:p>
        </w:tc>
        <w:tc>
          <w:tcPr>
            <w:tcW w:w="1842" w:type="dxa"/>
            <w:vAlign w:val="top"/>
          </w:tcPr>
          <w:p w14:paraId="2E5D966D">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0.380</w:t>
            </w:r>
          </w:p>
        </w:tc>
        <w:tc>
          <w:tcPr>
            <w:tcW w:w="1840" w:type="dxa"/>
            <w:vAlign w:val="top"/>
          </w:tcPr>
          <w:p w14:paraId="5DC6CE5C">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0.431</w:t>
            </w:r>
          </w:p>
        </w:tc>
        <w:tc>
          <w:tcPr>
            <w:tcW w:w="1843" w:type="dxa"/>
            <w:vAlign w:val="top"/>
          </w:tcPr>
          <w:p w14:paraId="4D49F58E">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0.953</w:t>
            </w:r>
          </w:p>
        </w:tc>
        <w:tc>
          <w:tcPr>
            <w:tcW w:w="1989" w:type="dxa"/>
            <w:vAlign w:val="top"/>
          </w:tcPr>
          <w:p w14:paraId="778910DC">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0.921</w:t>
            </w:r>
          </w:p>
        </w:tc>
      </w:tr>
      <w:tr w14:paraId="0D3378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4BA4838">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-25</w:t>
            </w:r>
          </w:p>
        </w:tc>
        <w:tc>
          <w:tcPr>
            <w:tcW w:w="1842" w:type="dxa"/>
            <w:vAlign w:val="top"/>
          </w:tcPr>
          <w:p w14:paraId="02146642">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0.428</w:t>
            </w:r>
          </w:p>
        </w:tc>
        <w:tc>
          <w:tcPr>
            <w:tcW w:w="1840" w:type="dxa"/>
            <w:vAlign w:val="top"/>
          </w:tcPr>
          <w:p w14:paraId="1E4CF984">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0.484</w:t>
            </w:r>
          </w:p>
        </w:tc>
        <w:tc>
          <w:tcPr>
            <w:tcW w:w="1843" w:type="dxa"/>
            <w:vAlign w:val="top"/>
          </w:tcPr>
          <w:p w14:paraId="44086E3E">
            <w:pPr>
              <w:spacing w:before="88"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1.035</w:t>
            </w:r>
          </w:p>
        </w:tc>
        <w:tc>
          <w:tcPr>
            <w:tcW w:w="1989" w:type="dxa"/>
            <w:vAlign w:val="top"/>
          </w:tcPr>
          <w:p w14:paraId="719797EB">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0.996</w:t>
            </w:r>
          </w:p>
        </w:tc>
      </w:tr>
      <w:tr w14:paraId="011FB0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17E8808">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-24</w:t>
            </w:r>
          </w:p>
        </w:tc>
        <w:tc>
          <w:tcPr>
            <w:tcW w:w="1842" w:type="dxa"/>
            <w:vAlign w:val="top"/>
          </w:tcPr>
          <w:p w14:paraId="2E1C680C">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0.486</w:t>
            </w:r>
          </w:p>
        </w:tc>
        <w:tc>
          <w:tcPr>
            <w:tcW w:w="1840" w:type="dxa"/>
            <w:vAlign w:val="top"/>
          </w:tcPr>
          <w:p w14:paraId="1147397F">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0.545</w:t>
            </w:r>
          </w:p>
        </w:tc>
        <w:tc>
          <w:tcPr>
            <w:tcW w:w="1843" w:type="dxa"/>
            <w:vAlign w:val="top"/>
          </w:tcPr>
          <w:p w14:paraId="3F99DF97">
            <w:pPr>
              <w:spacing w:before="87"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1.127</w:t>
            </w:r>
          </w:p>
        </w:tc>
        <w:tc>
          <w:tcPr>
            <w:tcW w:w="1989" w:type="dxa"/>
            <w:vAlign w:val="top"/>
          </w:tcPr>
          <w:p w14:paraId="7555BC56">
            <w:pPr>
              <w:spacing w:before="87"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1.081</w:t>
            </w:r>
          </w:p>
        </w:tc>
      </w:tr>
      <w:tr w14:paraId="0DF86A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E9B4F79">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-23</w:t>
            </w:r>
          </w:p>
        </w:tc>
        <w:tc>
          <w:tcPr>
            <w:tcW w:w="1842" w:type="dxa"/>
            <w:vAlign w:val="top"/>
          </w:tcPr>
          <w:p w14:paraId="1D1044AA">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0.554</w:t>
            </w:r>
          </w:p>
        </w:tc>
        <w:tc>
          <w:tcPr>
            <w:tcW w:w="1840" w:type="dxa"/>
            <w:vAlign w:val="top"/>
          </w:tcPr>
          <w:p w14:paraId="3DA6E4FF">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0.617</w:t>
            </w:r>
          </w:p>
        </w:tc>
        <w:tc>
          <w:tcPr>
            <w:tcW w:w="1843" w:type="dxa"/>
            <w:vAlign w:val="top"/>
          </w:tcPr>
          <w:p w14:paraId="321ACF80">
            <w:pPr>
              <w:spacing w:before="88" w:line="216"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1.233</w:t>
            </w:r>
          </w:p>
        </w:tc>
        <w:tc>
          <w:tcPr>
            <w:tcW w:w="1989" w:type="dxa"/>
            <w:vAlign w:val="top"/>
          </w:tcPr>
          <w:p w14:paraId="1D4B076B">
            <w:pPr>
              <w:spacing w:before="88" w:line="216"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1.177</w:t>
            </w:r>
          </w:p>
        </w:tc>
      </w:tr>
      <w:tr w14:paraId="0BDE4D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CF7E1E8">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-22</w:t>
            </w:r>
          </w:p>
        </w:tc>
        <w:tc>
          <w:tcPr>
            <w:tcW w:w="1842" w:type="dxa"/>
            <w:vAlign w:val="top"/>
          </w:tcPr>
          <w:p w14:paraId="4E13A402">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0.635</w:t>
            </w:r>
          </w:p>
        </w:tc>
        <w:tc>
          <w:tcPr>
            <w:tcW w:w="1840" w:type="dxa"/>
            <w:vAlign w:val="top"/>
          </w:tcPr>
          <w:p w14:paraId="42F0401D">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0.700</w:t>
            </w:r>
          </w:p>
        </w:tc>
        <w:tc>
          <w:tcPr>
            <w:tcW w:w="1843" w:type="dxa"/>
            <w:vAlign w:val="top"/>
          </w:tcPr>
          <w:p w14:paraId="0A00C4ED">
            <w:pPr>
              <w:spacing w:before="88" w:line="216"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1.353</w:t>
            </w:r>
          </w:p>
        </w:tc>
        <w:tc>
          <w:tcPr>
            <w:tcW w:w="1989" w:type="dxa"/>
            <w:vAlign w:val="top"/>
          </w:tcPr>
          <w:p w14:paraId="31EA98B6">
            <w:pPr>
              <w:spacing w:before="88" w:line="216"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1.286</w:t>
            </w:r>
          </w:p>
        </w:tc>
      </w:tr>
      <w:tr w14:paraId="5D619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41DC94F6">
            <w:pPr>
              <w:spacing w:before="91"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-21</w:t>
            </w:r>
          </w:p>
        </w:tc>
        <w:tc>
          <w:tcPr>
            <w:tcW w:w="1842" w:type="dxa"/>
            <w:vAlign w:val="top"/>
          </w:tcPr>
          <w:p w14:paraId="06B8282D">
            <w:pPr>
              <w:spacing w:before="91"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0.733</w:t>
            </w:r>
          </w:p>
        </w:tc>
        <w:tc>
          <w:tcPr>
            <w:tcW w:w="1840" w:type="dxa"/>
            <w:vAlign w:val="top"/>
          </w:tcPr>
          <w:p w14:paraId="7CFAB6EB">
            <w:pPr>
              <w:spacing w:before="91"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0.799</w:t>
            </w:r>
          </w:p>
        </w:tc>
        <w:tc>
          <w:tcPr>
            <w:tcW w:w="1843" w:type="dxa"/>
            <w:vAlign w:val="top"/>
          </w:tcPr>
          <w:p w14:paraId="28EC5E81">
            <w:pPr>
              <w:spacing w:before="91" w:line="216"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1.492</w:t>
            </w:r>
          </w:p>
        </w:tc>
        <w:tc>
          <w:tcPr>
            <w:tcW w:w="1989" w:type="dxa"/>
            <w:vAlign w:val="top"/>
          </w:tcPr>
          <w:p w14:paraId="211A6F37">
            <w:pPr>
              <w:spacing w:before="91" w:line="216"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1.410</w:t>
            </w:r>
          </w:p>
        </w:tc>
      </w:tr>
      <w:tr w14:paraId="49721A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C45128F">
            <w:pPr>
              <w:spacing w:before="90"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-20</w:t>
            </w:r>
          </w:p>
        </w:tc>
        <w:tc>
          <w:tcPr>
            <w:tcW w:w="1842" w:type="dxa"/>
            <w:vAlign w:val="top"/>
          </w:tcPr>
          <w:p w14:paraId="33255B07">
            <w:pPr>
              <w:spacing w:before="90"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0.851</w:t>
            </w:r>
          </w:p>
        </w:tc>
        <w:tc>
          <w:tcPr>
            <w:tcW w:w="1840" w:type="dxa"/>
            <w:vAlign w:val="top"/>
          </w:tcPr>
          <w:p w14:paraId="014B080B">
            <w:pPr>
              <w:spacing w:before="90"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0.915</w:t>
            </w:r>
          </w:p>
        </w:tc>
        <w:tc>
          <w:tcPr>
            <w:tcW w:w="1843" w:type="dxa"/>
            <w:vAlign w:val="top"/>
          </w:tcPr>
          <w:p w14:paraId="0A86A8A3">
            <w:pPr>
              <w:spacing w:before="90"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1.653</w:t>
            </w:r>
          </w:p>
        </w:tc>
        <w:tc>
          <w:tcPr>
            <w:tcW w:w="1989" w:type="dxa"/>
            <w:vAlign w:val="top"/>
          </w:tcPr>
          <w:p w14:paraId="388B78B5">
            <w:pPr>
              <w:spacing w:before="90" w:line="215"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1.552</w:t>
            </w:r>
          </w:p>
        </w:tc>
      </w:tr>
      <w:tr w14:paraId="7892E8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4699488">
            <w:pPr>
              <w:spacing w:before="89"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-19</w:t>
            </w:r>
          </w:p>
        </w:tc>
        <w:tc>
          <w:tcPr>
            <w:tcW w:w="1842" w:type="dxa"/>
            <w:vAlign w:val="top"/>
          </w:tcPr>
          <w:p w14:paraId="2D4FFD49">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0.994</w:t>
            </w:r>
          </w:p>
        </w:tc>
        <w:tc>
          <w:tcPr>
            <w:tcW w:w="1840" w:type="dxa"/>
            <w:vAlign w:val="top"/>
          </w:tcPr>
          <w:p w14:paraId="5FBB1036">
            <w:pPr>
              <w:spacing w:before="89" w:line="215"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1.052</w:t>
            </w:r>
          </w:p>
        </w:tc>
        <w:tc>
          <w:tcPr>
            <w:tcW w:w="1843" w:type="dxa"/>
            <w:vAlign w:val="top"/>
          </w:tcPr>
          <w:p w14:paraId="67D356CB">
            <w:pPr>
              <w:spacing w:before="89"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1.841</w:t>
            </w:r>
          </w:p>
        </w:tc>
        <w:tc>
          <w:tcPr>
            <w:tcW w:w="1989" w:type="dxa"/>
            <w:vAlign w:val="top"/>
          </w:tcPr>
          <w:p w14:paraId="5BFE4EA2">
            <w:pPr>
              <w:spacing w:before="89" w:line="215"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1.715</w:t>
            </w:r>
          </w:p>
        </w:tc>
      </w:tr>
      <w:tr w14:paraId="1A2751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EBE1E4F">
            <w:pPr>
              <w:spacing w:before="90" w:line="214"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w:t>
            </w:r>
          </w:p>
        </w:tc>
        <w:tc>
          <w:tcPr>
            <w:tcW w:w="1842" w:type="dxa"/>
            <w:vAlign w:val="top"/>
          </w:tcPr>
          <w:p w14:paraId="26243B7C">
            <w:pPr>
              <w:spacing w:before="90" w:line="214"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1.168</w:t>
            </w:r>
          </w:p>
        </w:tc>
        <w:tc>
          <w:tcPr>
            <w:tcW w:w="1840" w:type="dxa"/>
            <w:vAlign w:val="top"/>
          </w:tcPr>
          <w:p w14:paraId="4F33F022">
            <w:pPr>
              <w:spacing w:before="90" w:line="214"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1.214</w:t>
            </w:r>
          </w:p>
        </w:tc>
        <w:tc>
          <w:tcPr>
            <w:tcW w:w="1843" w:type="dxa"/>
            <w:vAlign w:val="top"/>
          </w:tcPr>
          <w:p w14:paraId="4873B96C">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2.062</w:t>
            </w:r>
          </w:p>
        </w:tc>
        <w:tc>
          <w:tcPr>
            <w:tcW w:w="1989" w:type="dxa"/>
            <w:vAlign w:val="top"/>
          </w:tcPr>
          <w:p w14:paraId="6E686732">
            <w:pPr>
              <w:spacing w:before="90" w:line="214"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1.902</w:t>
            </w:r>
          </w:p>
        </w:tc>
      </w:tr>
      <w:tr w14:paraId="716479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0B90588">
            <w:pPr>
              <w:spacing w:before="90" w:line="214"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w:t>
            </w:r>
          </w:p>
        </w:tc>
        <w:tc>
          <w:tcPr>
            <w:tcW w:w="1842" w:type="dxa"/>
            <w:vAlign w:val="top"/>
          </w:tcPr>
          <w:p w14:paraId="0793CE5C">
            <w:pPr>
              <w:spacing w:before="90" w:line="214"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1.381</w:t>
            </w:r>
          </w:p>
        </w:tc>
        <w:tc>
          <w:tcPr>
            <w:tcW w:w="1840" w:type="dxa"/>
            <w:vAlign w:val="top"/>
          </w:tcPr>
          <w:p w14:paraId="7C74C78D">
            <w:pPr>
              <w:spacing w:before="90" w:line="214"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1.404</w:t>
            </w:r>
          </w:p>
        </w:tc>
        <w:tc>
          <w:tcPr>
            <w:tcW w:w="1843" w:type="dxa"/>
            <w:vAlign w:val="top"/>
          </w:tcPr>
          <w:p w14:paraId="5EC8D594">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2.324</w:t>
            </w:r>
          </w:p>
        </w:tc>
        <w:tc>
          <w:tcPr>
            <w:tcW w:w="1989" w:type="dxa"/>
            <w:vAlign w:val="top"/>
          </w:tcPr>
          <w:p w14:paraId="6814EFFE">
            <w:pPr>
              <w:spacing w:before="90" w:line="214" w:lineRule="auto"/>
              <w:ind w:left="76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2.119</w:t>
            </w:r>
          </w:p>
        </w:tc>
      </w:tr>
      <w:tr w14:paraId="6F65BD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3D4A9DC">
            <w:pPr>
              <w:spacing w:before="91" w:line="214"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w:t>
            </w:r>
          </w:p>
        </w:tc>
        <w:tc>
          <w:tcPr>
            <w:tcW w:w="1842" w:type="dxa"/>
            <w:vAlign w:val="top"/>
          </w:tcPr>
          <w:p w14:paraId="5F87EC26">
            <w:pPr>
              <w:spacing w:before="91" w:line="214"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1.643</w:t>
            </w:r>
          </w:p>
        </w:tc>
        <w:tc>
          <w:tcPr>
            <w:tcW w:w="1840" w:type="dxa"/>
            <w:vAlign w:val="top"/>
          </w:tcPr>
          <w:p w14:paraId="223B5309">
            <w:pPr>
              <w:spacing w:before="91" w:line="214"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1.628</w:t>
            </w:r>
          </w:p>
        </w:tc>
        <w:tc>
          <w:tcPr>
            <w:tcW w:w="1843" w:type="dxa"/>
            <w:vAlign w:val="top"/>
          </w:tcPr>
          <w:p w14:paraId="356BB239">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2.635</w:t>
            </w:r>
          </w:p>
        </w:tc>
        <w:tc>
          <w:tcPr>
            <w:tcW w:w="1989" w:type="dxa"/>
            <w:vAlign w:val="top"/>
          </w:tcPr>
          <w:p w14:paraId="76BFB96B">
            <w:pPr>
              <w:spacing w:before="91" w:line="214"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2.371</w:t>
            </w:r>
          </w:p>
        </w:tc>
      </w:tr>
      <w:tr w14:paraId="02FD0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417C7114">
            <w:pPr>
              <w:spacing w:before="93" w:line="214"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w:t>
            </w:r>
          </w:p>
        </w:tc>
        <w:tc>
          <w:tcPr>
            <w:tcW w:w="1842" w:type="dxa"/>
            <w:vAlign w:val="top"/>
          </w:tcPr>
          <w:p w14:paraId="78061404">
            <w:pPr>
              <w:spacing w:before="93" w:line="214"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1.963</w:t>
            </w:r>
          </w:p>
        </w:tc>
        <w:tc>
          <w:tcPr>
            <w:tcW w:w="1840" w:type="dxa"/>
            <w:vAlign w:val="top"/>
          </w:tcPr>
          <w:p w14:paraId="2FFF0980">
            <w:pPr>
              <w:spacing w:before="93" w:line="214"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1.887</w:t>
            </w:r>
          </w:p>
        </w:tc>
        <w:tc>
          <w:tcPr>
            <w:tcW w:w="1843" w:type="dxa"/>
            <w:vAlign w:val="top"/>
          </w:tcPr>
          <w:p w14:paraId="2B06135A">
            <w:pPr>
              <w:spacing w:before="93" w:line="214"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3.008</w:t>
            </w:r>
          </w:p>
        </w:tc>
        <w:tc>
          <w:tcPr>
            <w:tcW w:w="1989" w:type="dxa"/>
            <w:vAlign w:val="top"/>
          </w:tcPr>
          <w:p w14:paraId="1A9E8ADF">
            <w:pPr>
              <w:spacing w:before="93" w:line="214"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2.661</w:t>
            </w:r>
          </w:p>
        </w:tc>
      </w:tr>
      <w:tr w14:paraId="1D7752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Align w:val="top"/>
          </w:tcPr>
          <w:p w14:paraId="31C0ED4E">
            <w:pPr>
              <w:spacing w:before="91"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w:t>
            </w:r>
          </w:p>
        </w:tc>
        <w:tc>
          <w:tcPr>
            <w:tcW w:w="1842" w:type="dxa"/>
            <w:vAlign w:val="top"/>
          </w:tcPr>
          <w:p w14:paraId="57052782">
            <w:pPr>
              <w:spacing w:before="91" w:line="218"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2.352</w:t>
            </w:r>
          </w:p>
        </w:tc>
        <w:tc>
          <w:tcPr>
            <w:tcW w:w="1840" w:type="dxa"/>
            <w:vAlign w:val="top"/>
          </w:tcPr>
          <w:p w14:paraId="31E947C7">
            <w:pPr>
              <w:spacing w:before="91" w:line="218"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2.182</w:t>
            </w:r>
          </w:p>
        </w:tc>
        <w:tc>
          <w:tcPr>
            <w:tcW w:w="1843" w:type="dxa"/>
            <w:vAlign w:val="top"/>
          </w:tcPr>
          <w:p w14:paraId="3362CE3D">
            <w:pPr>
              <w:spacing w:before="91" w:line="218"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3.455</w:t>
            </w:r>
          </w:p>
        </w:tc>
        <w:tc>
          <w:tcPr>
            <w:tcW w:w="1989" w:type="dxa"/>
            <w:vAlign w:val="top"/>
          </w:tcPr>
          <w:p w14:paraId="3393F275">
            <w:pPr>
              <w:spacing w:before="91" w:line="218"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2.996</w:t>
            </w:r>
          </w:p>
        </w:tc>
      </w:tr>
    </w:tbl>
    <w:p w14:paraId="67E09DA2">
      <w:pPr>
        <w:rPr>
          <w:rFonts w:ascii="Arial"/>
          <w:sz w:val="21"/>
        </w:rPr>
      </w:pPr>
    </w:p>
    <w:p w14:paraId="55578CE8">
      <w:pPr>
        <w:rPr>
          <w:rFonts w:ascii="Arial" w:hAnsi="Arial" w:eastAsia="Arial" w:cs="Arial"/>
          <w:sz w:val="21"/>
          <w:szCs w:val="21"/>
        </w:rPr>
        <w:sectPr>
          <w:footerReference r:id="rId114" w:type="default"/>
          <w:pgSz w:w="11907" w:h="16841"/>
          <w:pgMar w:top="400" w:right="1411" w:bottom="1126" w:left="1416" w:header="0" w:footer="925" w:gutter="0"/>
          <w:cols w:space="720" w:num="1"/>
        </w:sectPr>
      </w:pPr>
    </w:p>
    <w:p w14:paraId="6D3C40C2">
      <w:pPr>
        <w:spacing w:before="2"/>
      </w:pPr>
    </w:p>
    <w:p w14:paraId="234B6D21">
      <w:pPr>
        <w:spacing w:before="2"/>
      </w:pPr>
    </w:p>
    <w:p w14:paraId="44B31D0B">
      <w:pPr>
        <w:spacing w:before="1"/>
      </w:pPr>
    </w:p>
    <w:p w14:paraId="51160D84">
      <w:pPr>
        <w:spacing w:before="1"/>
      </w:pPr>
    </w:p>
    <w:p w14:paraId="06787CF0">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15DB6B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559" w:type="dxa"/>
            <w:vAlign w:val="top"/>
          </w:tcPr>
          <w:p w14:paraId="3587BB3F">
            <w:pPr>
              <w:spacing w:before="93"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w:t>
            </w:r>
          </w:p>
        </w:tc>
        <w:tc>
          <w:tcPr>
            <w:tcW w:w="1842" w:type="dxa"/>
            <w:vAlign w:val="top"/>
          </w:tcPr>
          <w:p w14:paraId="7B1FC38A">
            <w:pPr>
              <w:spacing w:before="93"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2.816</w:t>
            </w:r>
          </w:p>
        </w:tc>
        <w:tc>
          <w:tcPr>
            <w:tcW w:w="1840" w:type="dxa"/>
            <w:vAlign w:val="top"/>
          </w:tcPr>
          <w:p w14:paraId="6DB5B018">
            <w:pPr>
              <w:spacing w:before="93"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2.510</w:t>
            </w:r>
          </w:p>
        </w:tc>
        <w:tc>
          <w:tcPr>
            <w:tcW w:w="1843" w:type="dxa"/>
            <w:vAlign w:val="top"/>
          </w:tcPr>
          <w:p w14:paraId="6AE86BAA">
            <w:pPr>
              <w:spacing w:before="93"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3.991</w:t>
            </w:r>
          </w:p>
        </w:tc>
        <w:tc>
          <w:tcPr>
            <w:tcW w:w="1989" w:type="dxa"/>
            <w:vAlign w:val="top"/>
          </w:tcPr>
          <w:p w14:paraId="73B479C3">
            <w:pPr>
              <w:spacing w:before="93"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3.378</w:t>
            </w:r>
          </w:p>
        </w:tc>
      </w:tr>
      <w:tr w14:paraId="38B4A0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2850CB35">
            <w:pPr>
              <w:spacing w:before="88"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w:t>
            </w:r>
          </w:p>
        </w:tc>
        <w:tc>
          <w:tcPr>
            <w:tcW w:w="1842" w:type="dxa"/>
            <w:vAlign w:val="top"/>
          </w:tcPr>
          <w:p w14:paraId="3F3D42C7">
            <w:pPr>
              <w:spacing w:before="88" w:line="219"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3.354</w:t>
            </w:r>
          </w:p>
        </w:tc>
        <w:tc>
          <w:tcPr>
            <w:tcW w:w="1840" w:type="dxa"/>
            <w:vAlign w:val="top"/>
          </w:tcPr>
          <w:p w14:paraId="34D8773F">
            <w:pPr>
              <w:spacing w:before="88" w:line="219"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2.857</w:t>
            </w:r>
          </w:p>
        </w:tc>
        <w:tc>
          <w:tcPr>
            <w:tcW w:w="1843" w:type="dxa"/>
            <w:vAlign w:val="top"/>
          </w:tcPr>
          <w:p w14:paraId="4A86F52C">
            <w:pPr>
              <w:spacing w:before="88" w:line="219"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4.626</w:t>
            </w:r>
          </w:p>
        </w:tc>
        <w:tc>
          <w:tcPr>
            <w:tcW w:w="1989" w:type="dxa"/>
            <w:vAlign w:val="top"/>
          </w:tcPr>
          <w:p w14:paraId="196119F0">
            <w:pPr>
              <w:spacing w:before="88" w:line="219"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3.805</w:t>
            </w:r>
          </w:p>
        </w:tc>
      </w:tr>
      <w:tr w14:paraId="63FC29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7A1938A">
            <w:pPr>
              <w:spacing w:before="85" w:line="219" w:lineRule="auto"/>
              <w:ind w:left="649"/>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w:t>
            </w:r>
          </w:p>
        </w:tc>
        <w:tc>
          <w:tcPr>
            <w:tcW w:w="1842" w:type="dxa"/>
            <w:vAlign w:val="top"/>
          </w:tcPr>
          <w:p w14:paraId="539F24D1">
            <w:pPr>
              <w:spacing w:before="85" w:line="219"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3.943</w:t>
            </w:r>
          </w:p>
        </w:tc>
        <w:tc>
          <w:tcPr>
            <w:tcW w:w="1840" w:type="dxa"/>
            <w:vAlign w:val="top"/>
          </w:tcPr>
          <w:p w14:paraId="55895612">
            <w:pPr>
              <w:spacing w:before="85"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3.199</w:t>
            </w:r>
          </w:p>
        </w:tc>
        <w:tc>
          <w:tcPr>
            <w:tcW w:w="1843" w:type="dxa"/>
            <w:vAlign w:val="top"/>
          </w:tcPr>
          <w:p w14:paraId="696D964F">
            <w:pPr>
              <w:spacing w:before="85" w:line="219"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5.360</w:t>
            </w:r>
          </w:p>
        </w:tc>
        <w:tc>
          <w:tcPr>
            <w:tcW w:w="1989" w:type="dxa"/>
            <w:vAlign w:val="top"/>
          </w:tcPr>
          <w:p w14:paraId="51C121BA">
            <w:pPr>
              <w:spacing w:before="85" w:line="219"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4.270</w:t>
            </w:r>
          </w:p>
        </w:tc>
      </w:tr>
      <w:tr w14:paraId="65BA0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50153F0">
            <w:pPr>
              <w:spacing w:before="86"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w:t>
            </w:r>
          </w:p>
        </w:tc>
        <w:tc>
          <w:tcPr>
            <w:tcW w:w="1842" w:type="dxa"/>
            <w:vAlign w:val="top"/>
          </w:tcPr>
          <w:p w14:paraId="56806745">
            <w:pPr>
              <w:spacing w:before="86" w:line="219"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4.523</w:t>
            </w:r>
          </w:p>
        </w:tc>
        <w:tc>
          <w:tcPr>
            <w:tcW w:w="1840" w:type="dxa"/>
            <w:vAlign w:val="top"/>
          </w:tcPr>
          <w:p w14:paraId="39F9671A">
            <w:pPr>
              <w:spacing w:before="86"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3.497</w:t>
            </w:r>
          </w:p>
        </w:tc>
        <w:tc>
          <w:tcPr>
            <w:tcW w:w="1843" w:type="dxa"/>
            <w:vAlign w:val="top"/>
          </w:tcPr>
          <w:p w14:paraId="4708F5B5">
            <w:pPr>
              <w:spacing w:before="86" w:line="219"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6.165</w:t>
            </w:r>
          </w:p>
        </w:tc>
        <w:tc>
          <w:tcPr>
            <w:tcW w:w="1989" w:type="dxa"/>
            <w:vAlign w:val="top"/>
          </w:tcPr>
          <w:p w14:paraId="5A48EE46">
            <w:pPr>
              <w:spacing w:before="86" w:line="219"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4.752</w:t>
            </w:r>
          </w:p>
        </w:tc>
      </w:tr>
      <w:tr w14:paraId="1E669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F45709D">
            <w:pPr>
              <w:spacing w:before="86" w:line="218"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-9</w:t>
            </w:r>
          </w:p>
        </w:tc>
        <w:tc>
          <w:tcPr>
            <w:tcW w:w="1842" w:type="dxa"/>
            <w:vAlign w:val="top"/>
          </w:tcPr>
          <w:p w14:paraId="6CC11DC5">
            <w:pPr>
              <w:spacing w:before="86" w:line="218"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4.989</w:t>
            </w:r>
          </w:p>
        </w:tc>
        <w:tc>
          <w:tcPr>
            <w:tcW w:w="1840" w:type="dxa"/>
            <w:vAlign w:val="top"/>
          </w:tcPr>
          <w:p w14:paraId="6A2ED99A">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3.700</w:t>
            </w:r>
          </w:p>
        </w:tc>
        <w:tc>
          <w:tcPr>
            <w:tcW w:w="1843" w:type="dxa"/>
            <w:vAlign w:val="top"/>
          </w:tcPr>
          <w:p w14:paraId="2592CBBD">
            <w:pPr>
              <w:spacing w:before="86" w:line="218"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6.974</w:t>
            </w:r>
          </w:p>
        </w:tc>
        <w:tc>
          <w:tcPr>
            <w:tcW w:w="1989" w:type="dxa"/>
            <w:vAlign w:val="top"/>
          </w:tcPr>
          <w:p w14:paraId="093C676F">
            <w:pPr>
              <w:spacing w:before="86" w:line="218"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5.218</w:t>
            </w:r>
          </w:p>
        </w:tc>
      </w:tr>
      <w:tr w14:paraId="7EA527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06CC377">
            <w:pPr>
              <w:spacing w:before="86" w:line="218"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-8</w:t>
            </w:r>
          </w:p>
        </w:tc>
        <w:tc>
          <w:tcPr>
            <w:tcW w:w="1842" w:type="dxa"/>
            <w:vAlign w:val="top"/>
          </w:tcPr>
          <w:p w14:paraId="0C3511A8">
            <w:pPr>
              <w:spacing w:before="86"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5.207</w:t>
            </w:r>
          </w:p>
        </w:tc>
        <w:tc>
          <w:tcPr>
            <w:tcW w:w="1840" w:type="dxa"/>
            <w:vAlign w:val="top"/>
          </w:tcPr>
          <w:p w14:paraId="3ACBCC96">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3.756</w:t>
            </w:r>
          </w:p>
        </w:tc>
        <w:tc>
          <w:tcPr>
            <w:tcW w:w="1843" w:type="dxa"/>
            <w:vAlign w:val="top"/>
          </w:tcPr>
          <w:p w14:paraId="593E69D3">
            <w:pPr>
              <w:spacing w:before="86"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7.673</w:t>
            </w:r>
          </w:p>
        </w:tc>
        <w:tc>
          <w:tcPr>
            <w:tcW w:w="1989" w:type="dxa"/>
            <w:vAlign w:val="top"/>
          </w:tcPr>
          <w:p w14:paraId="24D255B1">
            <w:pPr>
              <w:spacing w:before="86" w:line="218"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5.629</w:t>
            </w:r>
          </w:p>
        </w:tc>
      </w:tr>
      <w:tr w14:paraId="0F38E1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D03239D">
            <w:pPr>
              <w:spacing w:before="87"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-7</w:t>
            </w:r>
          </w:p>
        </w:tc>
        <w:tc>
          <w:tcPr>
            <w:tcW w:w="1842" w:type="dxa"/>
            <w:vAlign w:val="top"/>
          </w:tcPr>
          <w:p w14:paraId="68025C62">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5.079</w:t>
            </w:r>
          </w:p>
        </w:tc>
        <w:tc>
          <w:tcPr>
            <w:tcW w:w="1840" w:type="dxa"/>
            <w:vAlign w:val="top"/>
          </w:tcPr>
          <w:p w14:paraId="58AA9962">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3.633</w:t>
            </w:r>
          </w:p>
        </w:tc>
        <w:tc>
          <w:tcPr>
            <w:tcW w:w="1843" w:type="dxa"/>
            <w:vAlign w:val="top"/>
          </w:tcPr>
          <w:p w14:paraId="74C63CCB">
            <w:pPr>
              <w:spacing w:before="87" w:line="217"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8.152</w:t>
            </w:r>
          </w:p>
        </w:tc>
        <w:tc>
          <w:tcPr>
            <w:tcW w:w="1989" w:type="dxa"/>
            <w:vAlign w:val="top"/>
          </w:tcPr>
          <w:p w14:paraId="3A5579EF">
            <w:pPr>
              <w:spacing w:before="87" w:line="217"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5.949</w:t>
            </w:r>
          </w:p>
        </w:tc>
      </w:tr>
      <w:tr w14:paraId="650330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4E3909D6">
            <w:pPr>
              <w:spacing w:before="90"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-6</w:t>
            </w:r>
          </w:p>
        </w:tc>
        <w:tc>
          <w:tcPr>
            <w:tcW w:w="1842" w:type="dxa"/>
            <w:vAlign w:val="top"/>
          </w:tcPr>
          <w:p w14:paraId="0F507DA4">
            <w:pPr>
              <w:spacing w:before="90" w:line="217"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4.606</w:t>
            </w:r>
          </w:p>
        </w:tc>
        <w:tc>
          <w:tcPr>
            <w:tcW w:w="1840" w:type="dxa"/>
            <w:vAlign w:val="top"/>
          </w:tcPr>
          <w:p w14:paraId="230403E9">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3.332</w:t>
            </w:r>
          </w:p>
        </w:tc>
        <w:tc>
          <w:tcPr>
            <w:tcW w:w="1843" w:type="dxa"/>
            <w:vAlign w:val="top"/>
          </w:tcPr>
          <w:p w14:paraId="6E588CD8">
            <w:pPr>
              <w:spacing w:before="90" w:line="217"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8.366</w:t>
            </w:r>
          </w:p>
        </w:tc>
        <w:tc>
          <w:tcPr>
            <w:tcW w:w="1989" w:type="dxa"/>
            <w:vAlign w:val="top"/>
          </w:tcPr>
          <w:p w14:paraId="24B85E10">
            <w:pPr>
              <w:spacing w:before="90"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6.161</w:t>
            </w:r>
          </w:p>
        </w:tc>
      </w:tr>
      <w:tr w14:paraId="39E831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82AB2DA">
            <w:pPr>
              <w:spacing w:before="87"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-5</w:t>
            </w:r>
          </w:p>
        </w:tc>
        <w:tc>
          <w:tcPr>
            <w:tcW w:w="1842" w:type="dxa"/>
            <w:vAlign w:val="top"/>
          </w:tcPr>
          <w:p w14:paraId="01BB2779">
            <w:pPr>
              <w:spacing w:before="87"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3.896</w:t>
            </w:r>
          </w:p>
        </w:tc>
        <w:tc>
          <w:tcPr>
            <w:tcW w:w="1840" w:type="dxa"/>
            <w:vAlign w:val="top"/>
          </w:tcPr>
          <w:p w14:paraId="1378E3AD">
            <w:pPr>
              <w:spacing w:before="87"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2.890</w:t>
            </w:r>
          </w:p>
        </w:tc>
        <w:tc>
          <w:tcPr>
            <w:tcW w:w="1843" w:type="dxa"/>
            <w:vAlign w:val="top"/>
          </w:tcPr>
          <w:p w14:paraId="4F246DE9">
            <w:pPr>
              <w:spacing w:before="87" w:line="217"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8.362</w:t>
            </w:r>
          </w:p>
        </w:tc>
        <w:tc>
          <w:tcPr>
            <w:tcW w:w="1989" w:type="dxa"/>
            <w:vAlign w:val="top"/>
          </w:tcPr>
          <w:p w14:paraId="38228F9D">
            <w:pPr>
              <w:spacing w:before="87"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6.271</w:t>
            </w:r>
          </w:p>
        </w:tc>
      </w:tr>
      <w:tr w14:paraId="7AB06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25BCA77">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-4</w:t>
            </w:r>
          </w:p>
        </w:tc>
        <w:tc>
          <w:tcPr>
            <w:tcW w:w="1842" w:type="dxa"/>
            <w:vAlign w:val="top"/>
          </w:tcPr>
          <w:p w14:paraId="0FF1545A">
            <w:pPr>
              <w:spacing w:before="88"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3.086</w:t>
            </w:r>
          </w:p>
        </w:tc>
        <w:tc>
          <w:tcPr>
            <w:tcW w:w="1840" w:type="dxa"/>
            <w:vAlign w:val="top"/>
          </w:tcPr>
          <w:p w14:paraId="29D1D245">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2.363</w:t>
            </w:r>
          </w:p>
        </w:tc>
        <w:tc>
          <w:tcPr>
            <w:tcW w:w="1843" w:type="dxa"/>
            <w:vAlign w:val="top"/>
          </w:tcPr>
          <w:p w14:paraId="0D8794C9">
            <w:pPr>
              <w:spacing w:before="88" w:line="217"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8.235</w:t>
            </w:r>
          </w:p>
        </w:tc>
        <w:tc>
          <w:tcPr>
            <w:tcW w:w="1989" w:type="dxa"/>
            <w:vAlign w:val="top"/>
          </w:tcPr>
          <w:p w14:paraId="28776A2B">
            <w:pPr>
              <w:spacing w:before="88"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6.307</w:t>
            </w:r>
          </w:p>
        </w:tc>
      </w:tr>
      <w:tr w14:paraId="3E02C5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A647920">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-3</w:t>
            </w:r>
          </w:p>
        </w:tc>
        <w:tc>
          <w:tcPr>
            <w:tcW w:w="1842" w:type="dxa"/>
            <w:vAlign w:val="top"/>
          </w:tcPr>
          <w:p w14:paraId="4421CF0B">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2.296</w:t>
            </w:r>
          </w:p>
        </w:tc>
        <w:tc>
          <w:tcPr>
            <w:tcW w:w="1840" w:type="dxa"/>
            <w:vAlign w:val="top"/>
          </w:tcPr>
          <w:p w14:paraId="6A5781E4">
            <w:pPr>
              <w:spacing w:before="88"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1.812</w:t>
            </w:r>
          </w:p>
        </w:tc>
        <w:tc>
          <w:tcPr>
            <w:tcW w:w="1843" w:type="dxa"/>
            <w:vAlign w:val="top"/>
          </w:tcPr>
          <w:p w14:paraId="15B16DE1">
            <w:pPr>
              <w:spacing w:before="88" w:line="217"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8.074</w:t>
            </w:r>
          </w:p>
        </w:tc>
        <w:tc>
          <w:tcPr>
            <w:tcW w:w="1989" w:type="dxa"/>
            <w:vAlign w:val="top"/>
          </w:tcPr>
          <w:p w14:paraId="5854A245">
            <w:pPr>
              <w:spacing w:before="88"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6.299</w:t>
            </w:r>
          </w:p>
        </w:tc>
      </w:tr>
      <w:tr w14:paraId="463AD8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D116F4F">
            <w:pPr>
              <w:spacing w:before="87" w:line="218"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-2</w:t>
            </w:r>
          </w:p>
        </w:tc>
        <w:tc>
          <w:tcPr>
            <w:tcW w:w="1842" w:type="dxa"/>
            <w:vAlign w:val="top"/>
          </w:tcPr>
          <w:p w14:paraId="7C9EBAD8">
            <w:pPr>
              <w:spacing w:before="87" w:line="218"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1.624</w:t>
            </w:r>
          </w:p>
        </w:tc>
        <w:tc>
          <w:tcPr>
            <w:tcW w:w="1840" w:type="dxa"/>
            <w:vAlign w:val="top"/>
          </w:tcPr>
          <w:p w14:paraId="563C0ACB">
            <w:pPr>
              <w:spacing w:before="87" w:line="218"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1.314</w:t>
            </w:r>
          </w:p>
        </w:tc>
        <w:tc>
          <w:tcPr>
            <w:tcW w:w="1843" w:type="dxa"/>
            <w:vAlign w:val="top"/>
          </w:tcPr>
          <w:p w14:paraId="3AB718E3">
            <w:pPr>
              <w:spacing w:before="87"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7.941</w:t>
            </w:r>
          </w:p>
        </w:tc>
        <w:tc>
          <w:tcPr>
            <w:tcW w:w="1989" w:type="dxa"/>
            <w:vAlign w:val="top"/>
          </w:tcPr>
          <w:p w14:paraId="1DA7718E">
            <w:pPr>
              <w:spacing w:before="87" w:line="218"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6.276</w:t>
            </w:r>
          </w:p>
        </w:tc>
      </w:tr>
      <w:tr w14:paraId="131540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52860B4">
            <w:pPr>
              <w:spacing w:before="87"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w:t>
            </w:r>
          </w:p>
        </w:tc>
        <w:tc>
          <w:tcPr>
            <w:tcW w:w="1842" w:type="dxa"/>
            <w:vAlign w:val="top"/>
          </w:tcPr>
          <w:p w14:paraId="6B76AEAD">
            <w:pPr>
              <w:spacing w:before="87"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1.230</w:t>
            </w:r>
          </w:p>
        </w:tc>
        <w:tc>
          <w:tcPr>
            <w:tcW w:w="1840" w:type="dxa"/>
            <w:vAlign w:val="top"/>
          </w:tcPr>
          <w:p w14:paraId="4EEFFC22">
            <w:pPr>
              <w:spacing w:before="87"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1.006</w:t>
            </w:r>
          </w:p>
        </w:tc>
        <w:tc>
          <w:tcPr>
            <w:tcW w:w="1843" w:type="dxa"/>
            <w:vAlign w:val="top"/>
          </w:tcPr>
          <w:p w14:paraId="40D091DC">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7.868</w:t>
            </w:r>
          </w:p>
        </w:tc>
        <w:tc>
          <w:tcPr>
            <w:tcW w:w="1989" w:type="dxa"/>
            <w:vAlign w:val="top"/>
          </w:tcPr>
          <w:p w14:paraId="7990ACD6">
            <w:pPr>
              <w:spacing w:before="87"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6.256</w:t>
            </w:r>
          </w:p>
        </w:tc>
      </w:tr>
      <w:tr w14:paraId="49B13C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680B7F92">
            <w:pPr>
              <w:spacing w:before="90" w:line="217"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842" w:type="dxa"/>
            <w:vAlign w:val="top"/>
          </w:tcPr>
          <w:p w14:paraId="05D35AA8">
            <w:pPr>
              <w:spacing w:before="90"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1.330</w:t>
            </w:r>
          </w:p>
        </w:tc>
        <w:tc>
          <w:tcPr>
            <w:tcW w:w="1840" w:type="dxa"/>
            <w:vAlign w:val="top"/>
          </w:tcPr>
          <w:p w14:paraId="58D5DDBF">
            <w:pPr>
              <w:spacing w:before="90"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1.076</w:t>
            </w:r>
          </w:p>
        </w:tc>
        <w:tc>
          <w:tcPr>
            <w:tcW w:w="1843" w:type="dxa"/>
            <w:vAlign w:val="top"/>
          </w:tcPr>
          <w:p w14:paraId="3AEEA354">
            <w:pPr>
              <w:spacing w:before="90"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7.870</w:t>
            </w:r>
          </w:p>
        </w:tc>
        <w:tc>
          <w:tcPr>
            <w:tcW w:w="1989" w:type="dxa"/>
            <w:vAlign w:val="top"/>
          </w:tcPr>
          <w:p w14:paraId="16F4AF44">
            <w:pPr>
              <w:spacing w:before="90"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6.248</w:t>
            </w:r>
          </w:p>
        </w:tc>
      </w:tr>
      <w:tr w14:paraId="000889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52C5164">
            <w:pPr>
              <w:spacing w:before="88" w:line="217" w:lineRule="auto"/>
              <w:ind w:left="749"/>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842" w:type="dxa"/>
            <w:vAlign w:val="top"/>
          </w:tcPr>
          <w:p w14:paraId="50CA5AC8">
            <w:pPr>
              <w:spacing w:before="88"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1.852</w:t>
            </w:r>
          </w:p>
        </w:tc>
        <w:tc>
          <w:tcPr>
            <w:tcW w:w="1840" w:type="dxa"/>
            <w:vAlign w:val="top"/>
          </w:tcPr>
          <w:p w14:paraId="617195C0">
            <w:pPr>
              <w:spacing w:before="88"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1.468</w:t>
            </w:r>
          </w:p>
        </w:tc>
        <w:tc>
          <w:tcPr>
            <w:tcW w:w="1843" w:type="dxa"/>
            <w:vAlign w:val="top"/>
          </w:tcPr>
          <w:p w14:paraId="23F0A4E8">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7.943</w:t>
            </w:r>
          </w:p>
        </w:tc>
        <w:tc>
          <w:tcPr>
            <w:tcW w:w="1989" w:type="dxa"/>
            <w:vAlign w:val="top"/>
          </w:tcPr>
          <w:p w14:paraId="6B9C1F12">
            <w:pPr>
              <w:spacing w:before="88"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6.250</w:t>
            </w:r>
          </w:p>
        </w:tc>
      </w:tr>
      <w:tr w14:paraId="3C2C633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2C0441C">
            <w:pPr>
              <w:spacing w:before="88" w:line="216" w:lineRule="auto"/>
              <w:ind w:left="728"/>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842" w:type="dxa"/>
            <w:vAlign w:val="top"/>
          </w:tcPr>
          <w:p w14:paraId="7CB0F122">
            <w:pPr>
              <w:spacing w:before="88" w:line="216"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2.574</w:t>
            </w:r>
          </w:p>
        </w:tc>
        <w:tc>
          <w:tcPr>
            <w:tcW w:w="1840" w:type="dxa"/>
            <w:vAlign w:val="top"/>
          </w:tcPr>
          <w:p w14:paraId="25D37E10">
            <w:pPr>
              <w:spacing w:before="88" w:line="216"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1.987</w:t>
            </w:r>
          </w:p>
        </w:tc>
        <w:tc>
          <w:tcPr>
            <w:tcW w:w="1843" w:type="dxa"/>
            <w:vAlign w:val="top"/>
          </w:tcPr>
          <w:p w14:paraId="4EEDF605">
            <w:pPr>
              <w:spacing w:before="88" w:line="216"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8.068</w:t>
            </w:r>
          </w:p>
        </w:tc>
        <w:tc>
          <w:tcPr>
            <w:tcW w:w="1989" w:type="dxa"/>
            <w:vAlign w:val="top"/>
          </w:tcPr>
          <w:p w14:paraId="5C45EFE2">
            <w:pPr>
              <w:spacing w:before="88"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6.250</w:t>
            </w:r>
          </w:p>
        </w:tc>
      </w:tr>
      <w:tr w14:paraId="6D30F9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4E3DF9D">
            <w:pPr>
              <w:spacing w:before="88" w:line="217" w:lineRule="auto"/>
              <w:ind w:left="733"/>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842" w:type="dxa"/>
            <w:vAlign w:val="top"/>
          </w:tcPr>
          <w:p w14:paraId="7E794EF9">
            <w:pPr>
              <w:spacing w:before="88"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3.371</w:t>
            </w:r>
          </w:p>
        </w:tc>
        <w:tc>
          <w:tcPr>
            <w:tcW w:w="1840" w:type="dxa"/>
            <w:vAlign w:val="top"/>
          </w:tcPr>
          <w:p w14:paraId="1B3E8E2D">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2.524</w:t>
            </w:r>
          </w:p>
        </w:tc>
        <w:tc>
          <w:tcPr>
            <w:tcW w:w="1843" w:type="dxa"/>
            <w:vAlign w:val="top"/>
          </w:tcPr>
          <w:p w14:paraId="2B5986F2">
            <w:pPr>
              <w:spacing w:before="88" w:line="217"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8.198</w:t>
            </w:r>
          </w:p>
        </w:tc>
        <w:tc>
          <w:tcPr>
            <w:tcW w:w="1989" w:type="dxa"/>
            <w:vAlign w:val="top"/>
          </w:tcPr>
          <w:p w14:paraId="1DA8F24B">
            <w:pPr>
              <w:spacing w:before="88"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6.225</w:t>
            </w:r>
          </w:p>
        </w:tc>
      </w:tr>
      <w:tr w14:paraId="7E2336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64EAC50">
            <w:pPr>
              <w:spacing w:before="88" w:line="216" w:lineRule="auto"/>
              <w:ind w:left="727"/>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842" w:type="dxa"/>
            <w:vAlign w:val="top"/>
          </w:tcPr>
          <w:p w14:paraId="2083E1D8">
            <w:pPr>
              <w:spacing w:before="88" w:line="216"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4.138</w:t>
            </w:r>
          </w:p>
        </w:tc>
        <w:tc>
          <w:tcPr>
            <w:tcW w:w="1840" w:type="dxa"/>
            <w:vAlign w:val="top"/>
          </w:tcPr>
          <w:p w14:paraId="5BBD2DEC">
            <w:pPr>
              <w:spacing w:before="88" w:line="216"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3.011</w:t>
            </w:r>
          </w:p>
        </w:tc>
        <w:tc>
          <w:tcPr>
            <w:tcW w:w="1843" w:type="dxa"/>
            <w:vAlign w:val="top"/>
          </w:tcPr>
          <w:p w14:paraId="2B63E3A0">
            <w:pPr>
              <w:spacing w:before="88" w:line="216"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8.261</w:t>
            </w:r>
          </w:p>
        </w:tc>
        <w:tc>
          <w:tcPr>
            <w:tcW w:w="1989" w:type="dxa"/>
            <w:vAlign w:val="top"/>
          </w:tcPr>
          <w:p w14:paraId="5EF106FA">
            <w:pPr>
              <w:spacing w:before="88"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6.146</w:t>
            </w:r>
          </w:p>
        </w:tc>
      </w:tr>
      <w:tr w14:paraId="57A872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CBDCAEC">
            <w:pPr>
              <w:spacing w:before="88" w:line="217" w:lineRule="auto"/>
              <w:ind w:left="734"/>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842" w:type="dxa"/>
            <w:vAlign w:val="top"/>
          </w:tcPr>
          <w:p w14:paraId="73EA022B">
            <w:pPr>
              <w:spacing w:before="88" w:line="217"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4.743</w:t>
            </w:r>
          </w:p>
        </w:tc>
        <w:tc>
          <w:tcPr>
            <w:tcW w:w="1840" w:type="dxa"/>
            <w:vAlign w:val="top"/>
          </w:tcPr>
          <w:p w14:paraId="5ECF2ABF">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3.386</w:t>
            </w:r>
          </w:p>
        </w:tc>
        <w:tc>
          <w:tcPr>
            <w:tcW w:w="1843" w:type="dxa"/>
            <w:vAlign w:val="top"/>
          </w:tcPr>
          <w:p w14:paraId="557E3D34">
            <w:pPr>
              <w:spacing w:before="88" w:line="217"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8.160</w:t>
            </w:r>
          </w:p>
        </w:tc>
        <w:tc>
          <w:tcPr>
            <w:tcW w:w="1989" w:type="dxa"/>
            <w:vAlign w:val="top"/>
          </w:tcPr>
          <w:p w14:paraId="20C5F707">
            <w:pPr>
              <w:spacing w:before="88" w:line="217"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5.982</w:t>
            </w:r>
          </w:p>
        </w:tc>
      </w:tr>
      <w:tr w14:paraId="2A6FD8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0769B92F">
            <w:pPr>
              <w:spacing w:before="90" w:line="217" w:lineRule="auto"/>
              <w:ind w:left="733"/>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842" w:type="dxa"/>
            <w:vAlign w:val="top"/>
          </w:tcPr>
          <w:p w14:paraId="5EDC4BA9">
            <w:pPr>
              <w:spacing w:before="90"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5.052</w:t>
            </w:r>
          </w:p>
        </w:tc>
        <w:tc>
          <w:tcPr>
            <w:tcW w:w="1840" w:type="dxa"/>
            <w:vAlign w:val="top"/>
          </w:tcPr>
          <w:p w14:paraId="4E9A9AEA">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3.600</w:t>
            </w:r>
          </w:p>
        </w:tc>
        <w:tc>
          <w:tcPr>
            <w:tcW w:w="1843" w:type="dxa"/>
            <w:vAlign w:val="top"/>
          </w:tcPr>
          <w:p w14:paraId="15153A62">
            <w:pPr>
              <w:spacing w:before="90"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7.816</w:t>
            </w:r>
          </w:p>
        </w:tc>
        <w:tc>
          <w:tcPr>
            <w:tcW w:w="1989" w:type="dxa"/>
            <w:vAlign w:val="top"/>
          </w:tcPr>
          <w:p w14:paraId="20A763D6">
            <w:pPr>
              <w:spacing w:before="90" w:line="217"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5.716</w:t>
            </w:r>
          </w:p>
        </w:tc>
      </w:tr>
      <w:tr w14:paraId="73684A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B7B8840">
            <w:pPr>
              <w:spacing w:before="88" w:line="217"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1842" w:type="dxa"/>
            <w:vAlign w:val="top"/>
          </w:tcPr>
          <w:p w14:paraId="77815527">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5.004</w:t>
            </w:r>
          </w:p>
        </w:tc>
        <w:tc>
          <w:tcPr>
            <w:tcW w:w="1840" w:type="dxa"/>
            <w:vAlign w:val="top"/>
          </w:tcPr>
          <w:p w14:paraId="463D352E">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3.634</w:t>
            </w:r>
          </w:p>
        </w:tc>
        <w:tc>
          <w:tcPr>
            <w:tcW w:w="1843" w:type="dxa"/>
            <w:vAlign w:val="top"/>
          </w:tcPr>
          <w:p w14:paraId="02A233B7">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7.226</w:t>
            </w:r>
          </w:p>
        </w:tc>
        <w:tc>
          <w:tcPr>
            <w:tcW w:w="1989" w:type="dxa"/>
            <w:vAlign w:val="top"/>
          </w:tcPr>
          <w:p w14:paraId="20A8F626">
            <w:pPr>
              <w:spacing w:before="88" w:line="217"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5.351</w:t>
            </w:r>
          </w:p>
        </w:tc>
      </w:tr>
      <w:tr w14:paraId="6AAD3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2D76B66">
            <w:pPr>
              <w:spacing w:before="88" w:line="216" w:lineRule="auto"/>
              <w:ind w:left="737"/>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1842" w:type="dxa"/>
            <w:vAlign w:val="top"/>
          </w:tcPr>
          <w:p w14:paraId="3CD63579">
            <w:pPr>
              <w:spacing w:before="88" w:line="216"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4.652</w:t>
            </w:r>
          </w:p>
        </w:tc>
        <w:tc>
          <w:tcPr>
            <w:tcW w:w="1840" w:type="dxa"/>
            <w:vAlign w:val="top"/>
          </w:tcPr>
          <w:p w14:paraId="49B9B182">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3.502</w:t>
            </w:r>
          </w:p>
        </w:tc>
        <w:tc>
          <w:tcPr>
            <w:tcW w:w="1843" w:type="dxa"/>
            <w:vAlign w:val="top"/>
          </w:tcPr>
          <w:p w14:paraId="44A50596">
            <w:pPr>
              <w:spacing w:before="88"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6.472</w:t>
            </w:r>
          </w:p>
        </w:tc>
        <w:tc>
          <w:tcPr>
            <w:tcW w:w="1989" w:type="dxa"/>
            <w:vAlign w:val="top"/>
          </w:tcPr>
          <w:p w14:paraId="7F560DC8">
            <w:pPr>
              <w:spacing w:before="88" w:line="216"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4.914</w:t>
            </w:r>
          </w:p>
        </w:tc>
      </w:tr>
      <w:tr w14:paraId="4B15D3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1DD6752">
            <w:pPr>
              <w:spacing w:before="88" w:line="217"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1842" w:type="dxa"/>
            <w:vAlign w:val="top"/>
          </w:tcPr>
          <w:p w14:paraId="44428135">
            <w:pPr>
              <w:spacing w:before="88" w:line="217"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4.120</w:t>
            </w:r>
          </w:p>
        </w:tc>
        <w:tc>
          <w:tcPr>
            <w:tcW w:w="1840" w:type="dxa"/>
            <w:vAlign w:val="top"/>
          </w:tcPr>
          <w:p w14:paraId="7C8EF929">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3.249</w:t>
            </w:r>
          </w:p>
        </w:tc>
        <w:tc>
          <w:tcPr>
            <w:tcW w:w="1843" w:type="dxa"/>
            <w:vAlign w:val="top"/>
          </w:tcPr>
          <w:p w14:paraId="1C36C602">
            <w:pPr>
              <w:spacing w:before="88" w:line="217"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5.669</w:t>
            </w:r>
          </w:p>
        </w:tc>
        <w:tc>
          <w:tcPr>
            <w:tcW w:w="1989" w:type="dxa"/>
            <w:vAlign w:val="top"/>
          </w:tcPr>
          <w:p w14:paraId="05109383">
            <w:pPr>
              <w:spacing w:before="88" w:line="217"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4.444</w:t>
            </w:r>
          </w:p>
        </w:tc>
      </w:tr>
      <w:tr w14:paraId="3CBB2F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7C44BED">
            <w:pPr>
              <w:spacing w:before="88"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842" w:type="dxa"/>
            <w:vAlign w:val="top"/>
          </w:tcPr>
          <w:p w14:paraId="6D6EEBC6">
            <w:pPr>
              <w:spacing w:before="88"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3.533</w:t>
            </w:r>
          </w:p>
        </w:tc>
        <w:tc>
          <w:tcPr>
            <w:tcW w:w="1840" w:type="dxa"/>
            <w:vAlign w:val="top"/>
          </w:tcPr>
          <w:p w14:paraId="557EDF13">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2.928</w:t>
            </w:r>
          </w:p>
        </w:tc>
        <w:tc>
          <w:tcPr>
            <w:tcW w:w="1843" w:type="dxa"/>
            <w:vAlign w:val="top"/>
          </w:tcPr>
          <w:p w14:paraId="3F1FFBAF">
            <w:pPr>
              <w:spacing w:before="88" w:line="217"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4.909</w:t>
            </w:r>
          </w:p>
        </w:tc>
        <w:tc>
          <w:tcPr>
            <w:tcW w:w="1989" w:type="dxa"/>
            <w:vAlign w:val="top"/>
          </w:tcPr>
          <w:p w14:paraId="1B485E4D">
            <w:pPr>
              <w:spacing w:before="88"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3.976</w:t>
            </w:r>
          </w:p>
        </w:tc>
      </w:tr>
      <w:tr w14:paraId="0A24CB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ADB1C53">
            <w:pPr>
              <w:spacing w:before="88" w:line="217" w:lineRule="auto"/>
              <w:ind w:left="701"/>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11</w:t>
            </w:r>
          </w:p>
        </w:tc>
        <w:tc>
          <w:tcPr>
            <w:tcW w:w="1842" w:type="dxa"/>
            <w:vAlign w:val="top"/>
          </w:tcPr>
          <w:p w14:paraId="5F5EC80C">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2.972</w:t>
            </w:r>
          </w:p>
        </w:tc>
        <w:tc>
          <w:tcPr>
            <w:tcW w:w="1840" w:type="dxa"/>
            <w:vAlign w:val="top"/>
          </w:tcPr>
          <w:p w14:paraId="65CC843D">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2.585</w:t>
            </w:r>
          </w:p>
        </w:tc>
        <w:tc>
          <w:tcPr>
            <w:tcW w:w="1843" w:type="dxa"/>
            <w:vAlign w:val="top"/>
          </w:tcPr>
          <w:p w14:paraId="7D77CE3E">
            <w:pPr>
              <w:spacing w:before="88" w:line="217"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4.236</w:t>
            </w:r>
          </w:p>
        </w:tc>
        <w:tc>
          <w:tcPr>
            <w:tcW w:w="1989" w:type="dxa"/>
            <w:vAlign w:val="top"/>
          </w:tcPr>
          <w:p w14:paraId="5F2A2286">
            <w:pPr>
              <w:spacing w:before="88"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3.537</w:t>
            </w:r>
          </w:p>
        </w:tc>
      </w:tr>
      <w:tr w14:paraId="082DBD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5D773C4A">
            <w:pPr>
              <w:spacing w:before="90"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c>
          <w:tcPr>
            <w:tcW w:w="1842" w:type="dxa"/>
            <w:vAlign w:val="top"/>
          </w:tcPr>
          <w:p w14:paraId="676DB294">
            <w:pPr>
              <w:spacing w:before="90"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2.478</w:t>
            </w:r>
          </w:p>
        </w:tc>
        <w:tc>
          <w:tcPr>
            <w:tcW w:w="1840" w:type="dxa"/>
            <w:vAlign w:val="top"/>
          </w:tcPr>
          <w:p w14:paraId="110B0B73">
            <w:pPr>
              <w:spacing w:before="90"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2.252</w:t>
            </w:r>
          </w:p>
        </w:tc>
        <w:tc>
          <w:tcPr>
            <w:tcW w:w="1843" w:type="dxa"/>
            <w:vAlign w:val="top"/>
          </w:tcPr>
          <w:p w14:paraId="47FD2294">
            <w:pPr>
              <w:spacing w:before="90"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3.662</w:t>
            </w:r>
          </w:p>
        </w:tc>
        <w:tc>
          <w:tcPr>
            <w:tcW w:w="1989" w:type="dxa"/>
            <w:vAlign w:val="top"/>
          </w:tcPr>
          <w:p w14:paraId="474B458A">
            <w:pPr>
              <w:spacing w:before="90"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3.139</w:t>
            </w:r>
          </w:p>
        </w:tc>
      </w:tr>
      <w:tr w14:paraId="5F1BBC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65FE2CE">
            <w:pPr>
              <w:spacing w:before="87"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13</w:t>
            </w:r>
          </w:p>
        </w:tc>
        <w:tc>
          <w:tcPr>
            <w:tcW w:w="1842" w:type="dxa"/>
            <w:vAlign w:val="top"/>
          </w:tcPr>
          <w:p w14:paraId="160A586E">
            <w:pPr>
              <w:spacing w:before="87"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2.060</w:t>
            </w:r>
          </w:p>
        </w:tc>
        <w:tc>
          <w:tcPr>
            <w:tcW w:w="1840" w:type="dxa"/>
            <w:vAlign w:val="top"/>
          </w:tcPr>
          <w:p w14:paraId="4980D863">
            <w:pPr>
              <w:spacing w:before="87"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1.945</w:t>
            </w:r>
          </w:p>
        </w:tc>
        <w:tc>
          <w:tcPr>
            <w:tcW w:w="1843" w:type="dxa"/>
            <w:vAlign w:val="top"/>
          </w:tcPr>
          <w:p w14:paraId="7D02B4EA">
            <w:pPr>
              <w:spacing w:before="87"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3.181</w:t>
            </w:r>
          </w:p>
        </w:tc>
        <w:tc>
          <w:tcPr>
            <w:tcW w:w="1989" w:type="dxa"/>
            <w:vAlign w:val="top"/>
          </w:tcPr>
          <w:p w14:paraId="2D3630E8">
            <w:pPr>
              <w:spacing w:before="87"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2.787</w:t>
            </w:r>
          </w:p>
        </w:tc>
      </w:tr>
      <w:tr w14:paraId="093719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F5AD0BA">
            <w:pPr>
              <w:spacing w:before="88"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tc>
        <w:tc>
          <w:tcPr>
            <w:tcW w:w="1842" w:type="dxa"/>
            <w:vAlign w:val="top"/>
          </w:tcPr>
          <w:p w14:paraId="4033EC1C">
            <w:pPr>
              <w:spacing w:before="88"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1.714</w:t>
            </w:r>
          </w:p>
        </w:tc>
        <w:tc>
          <w:tcPr>
            <w:tcW w:w="1840" w:type="dxa"/>
            <w:vAlign w:val="top"/>
          </w:tcPr>
          <w:p w14:paraId="2AF4AF97">
            <w:pPr>
              <w:spacing w:before="88"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1.674</w:t>
            </w:r>
          </w:p>
        </w:tc>
        <w:tc>
          <w:tcPr>
            <w:tcW w:w="1843" w:type="dxa"/>
            <w:vAlign w:val="top"/>
          </w:tcPr>
          <w:p w14:paraId="7410C7F8">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2.780</w:t>
            </w:r>
          </w:p>
        </w:tc>
        <w:tc>
          <w:tcPr>
            <w:tcW w:w="1989" w:type="dxa"/>
            <w:vAlign w:val="top"/>
          </w:tcPr>
          <w:p w14:paraId="265BC5B2">
            <w:pPr>
              <w:spacing w:before="88"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2.481</w:t>
            </w:r>
          </w:p>
        </w:tc>
      </w:tr>
      <w:tr w14:paraId="60E872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D20EA28">
            <w:pPr>
              <w:spacing w:before="88" w:line="216"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842" w:type="dxa"/>
            <w:vAlign w:val="top"/>
          </w:tcPr>
          <w:p w14:paraId="61688BA2">
            <w:pPr>
              <w:spacing w:before="88" w:line="216"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1.432</w:t>
            </w:r>
          </w:p>
        </w:tc>
        <w:tc>
          <w:tcPr>
            <w:tcW w:w="1840" w:type="dxa"/>
            <w:vAlign w:val="top"/>
          </w:tcPr>
          <w:p w14:paraId="2701B0BC">
            <w:pPr>
              <w:spacing w:before="88" w:line="216"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1.439</w:t>
            </w:r>
          </w:p>
        </w:tc>
        <w:tc>
          <w:tcPr>
            <w:tcW w:w="1843" w:type="dxa"/>
            <w:vAlign w:val="top"/>
          </w:tcPr>
          <w:p w14:paraId="2BF52CC9">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2.445</w:t>
            </w:r>
          </w:p>
        </w:tc>
        <w:tc>
          <w:tcPr>
            <w:tcW w:w="1989" w:type="dxa"/>
            <w:vAlign w:val="top"/>
          </w:tcPr>
          <w:p w14:paraId="4D168411">
            <w:pPr>
              <w:spacing w:before="88" w:line="216"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2.215</w:t>
            </w:r>
          </w:p>
        </w:tc>
      </w:tr>
      <w:tr w14:paraId="12DD8A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322CC73">
            <w:pPr>
              <w:spacing w:before="88" w:line="216"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tc>
        <w:tc>
          <w:tcPr>
            <w:tcW w:w="1842" w:type="dxa"/>
            <w:vAlign w:val="top"/>
          </w:tcPr>
          <w:p w14:paraId="6501B043">
            <w:pPr>
              <w:spacing w:before="88" w:line="216"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1.203</w:t>
            </w:r>
          </w:p>
        </w:tc>
        <w:tc>
          <w:tcPr>
            <w:tcW w:w="1840" w:type="dxa"/>
            <w:vAlign w:val="top"/>
          </w:tcPr>
          <w:p w14:paraId="0D2776F1">
            <w:pPr>
              <w:spacing w:before="88" w:line="216"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1.238</w:t>
            </w:r>
          </w:p>
        </w:tc>
        <w:tc>
          <w:tcPr>
            <w:tcW w:w="1843" w:type="dxa"/>
            <w:vAlign w:val="top"/>
          </w:tcPr>
          <w:p w14:paraId="2E1D159C">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2.164</w:t>
            </w:r>
          </w:p>
        </w:tc>
        <w:tc>
          <w:tcPr>
            <w:tcW w:w="1989" w:type="dxa"/>
            <w:vAlign w:val="top"/>
          </w:tcPr>
          <w:p w14:paraId="4B7F4459">
            <w:pPr>
              <w:spacing w:before="88" w:line="216"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1.985</w:t>
            </w:r>
          </w:p>
        </w:tc>
      </w:tr>
      <w:tr w14:paraId="071A79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CF04F16">
            <w:pPr>
              <w:spacing w:before="89" w:line="215"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tc>
        <w:tc>
          <w:tcPr>
            <w:tcW w:w="1842" w:type="dxa"/>
            <w:vAlign w:val="top"/>
          </w:tcPr>
          <w:p w14:paraId="62BC1891">
            <w:pPr>
              <w:spacing w:before="89" w:line="215"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1.017</w:t>
            </w:r>
          </w:p>
        </w:tc>
        <w:tc>
          <w:tcPr>
            <w:tcW w:w="1840" w:type="dxa"/>
            <w:vAlign w:val="top"/>
          </w:tcPr>
          <w:p w14:paraId="37CEAB07">
            <w:pPr>
              <w:spacing w:before="89" w:line="215"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1.068</w:t>
            </w:r>
          </w:p>
        </w:tc>
        <w:tc>
          <w:tcPr>
            <w:tcW w:w="1843" w:type="dxa"/>
            <w:vAlign w:val="top"/>
          </w:tcPr>
          <w:p w14:paraId="69A0ABEE">
            <w:pPr>
              <w:spacing w:before="89"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1.927</w:t>
            </w:r>
          </w:p>
        </w:tc>
        <w:tc>
          <w:tcPr>
            <w:tcW w:w="1989" w:type="dxa"/>
            <w:vAlign w:val="top"/>
          </w:tcPr>
          <w:p w14:paraId="01AA5796">
            <w:pPr>
              <w:spacing w:before="89" w:line="215"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1.786</w:t>
            </w:r>
          </w:p>
        </w:tc>
      </w:tr>
      <w:tr w14:paraId="0B2D1D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33893B2A">
            <w:pPr>
              <w:spacing w:before="92" w:line="215"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tc>
        <w:tc>
          <w:tcPr>
            <w:tcW w:w="1842" w:type="dxa"/>
            <w:vAlign w:val="top"/>
          </w:tcPr>
          <w:p w14:paraId="70C7A83B">
            <w:pPr>
              <w:spacing w:before="92"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0.865</w:t>
            </w:r>
          </w:p>
        </w:tc>
        <w:tc>
          <w:tcPr>
            <w:tcW w:w="1840" w:type="dxa"/>
            <w:vAlign w:val="top"/>
          </w:tcPr>
          <w:p w14:paraId="74F8C930">
            <w:pPr>
              <w:spacing w:before="92"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0.924</w:t>
            </w:r>
          </w:p>
        </w:tc>
        <w:tc>
          <w:tcPr>
            <w:tcW w:w="1843" w:type="dxa"/>
            <w:vAlign w:val="top"/>
          </w:tcPr>
          <w:p w14:paraId="5ECFC44E">
            <w:pPr>
              <w:spacing w:before="92"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1.727</w:t>
            </w:r>
          </w:p>
        </w:tc>
        <w:tc>
          <w:tcPr>
            <w:tcW w:w="1989" w:type="dxa"/>
            <w:vAlign w:val="top"/>
          </w:tcPr>
          <w:p w14:paraId="7F9D10B8">
            <w:pPr>
              <w:spacing w:before="92" w:line="215"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1.614</w:t>
            </w:r>
          </w:p>
        </w:tc>
      </w:tr>
      <w:tr w14:paraId="0FEA86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F16091B">
            <w:pPr>
              <w:spacing w:before="89" w:line="215"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tc>
        <w:tc>
          <w:tcPr>
            <w:tcW w:w="1842" w:type="dxa"/>
            <w:vAlign w:val="top"/>
          </w:tcPr>
          <w:p w14:paraId="5646B1B4">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0.740</w:t>
            </w:r>
          </w:p>
        </w:tc>
        <w:tc>
          <w:tcPr>
            <w:tcW w:w="1840" w:type="dxa"/>
            <w:vAlign w:val="top"/>
          </w:tcPr>
          <w:p w14:paraId="0061A612">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0.803</w:t>
            </w:r>
          </w:p>
        </w:tc>
        <w:tc>
          <w:tcPr>
            <w:tcW w:w="1843" w:type="dxa"/>
            <w:vAlign w:val="top"/>
          </w:tcPr>
          <w:p w14:paraId="7EA1DCFB">
            <w:pPr>
              <w:spacing w:before="89"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1.555</w:t>
            </w:r>
          </w:p>
        </w:tc>
        <w:tc>
          <w:tcPr>
            <w:tcW w:w="1989" w:type="dxa"/>
            <w:vAlign w:val="top"/>
          </w:tcPr>
          <w:p w14:paraId="0986EF04">
            <w:pPr>
              <w:spacing w:before="89" w:line="215"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1.464</w:t>
            </w:r>
          </w:p>
        </w:tc>
      </w:tr>
      <w:tr w14:paraId="7D5F85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E47ACB1">
            <w:pPr>
              <w:spacing w:before="90" w:line="215"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842" w:type="dxa"/>
            <w:vAlign w:val="top"/>
          </w:tcPr>
          <w:p w14:paraId="178358C1">
            <w:pPr>
              <w:spacing w:before="90"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0.638</w:t>
            </w:r>
          </w:p>
        </w:tc>
        <w:tc>
          <w:tcPr>
            <w:tcW w:w="1840" w:type="dxa"/>
            <w:vAlign w:val="top"/>
          </w:tcPr>
          <w:p w14:paraId="1B2302C0">
            <w:pPr>
              <w:spacing w:before="90"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0.700</w:t>
            </w:r>
          </w:p>
        </w:tc>
        <w:tc>
          <w:tcPr>
            <w:tcW w:w="1843" w:type="dxa"/>
            <w:vAlign w:val="top"/>
          </w:tcPr>
          <w:p w14:paraId="0F2761B0">
            <w:pPr>
              <w:spacing w:before="90"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1.407</w:t>
            </w:r>
          </w:p>
        </w:tc>
        <w:tc>
          <w:tcPr>
            <w:tcW w:w="1989" w:type="dxa"/>
            <w:vAlign w:val="top"/>
          </w:tcPr>
          <w:p w14:paraId="033FAEE6">
            <w:pPr>
              <w:spacing w:before="90" w:line="215"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1.334</w:t>
            </w:r>
          </w:p>
        </w:tc>
      </w:tr>
      <w:tr w14:paraId="2DC911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8BB2D70">
            <w:pPr>
              <w:spacing w:before="90" w:line="215"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c>
          <w:tcPr>
            <w:tcW w:w="1842" w:type="dxa"/>
            <w:vAlign w:val="top"/>
          </w:tcPr>
          <w:p w14:paraId="03AB8C42">
            <w:pPr>
              <w:spacing w:before="90"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0.553</w:t>
            </w:r>
          </w:p>
        </w:tc>
        <w:tc>
          <w:tcPr>
            <w:tcW w:w="1840" w:type="dxa"/>
            <w:vAlign w:val="top"/>
          </w:tcPr>
          <w:p w14:paraId="788AA995">
            <w:pPr>
              <w:spacing w:before="90"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0.613</w:t>
            </w:r>
          </w:p>
        </w:tc>
        <w:tc>
          <w:tcPr>
            <w:tcW w:w="1843" w:type="dxa"/>
            <w:vAlign w:val="top"/>
          </w:tcPr>
          <w:p w14:paraId="0ED5D246">
            <w:pPr>
              <w:spacing w:before="90"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1.280</w:t>
            </w:r>
          </w:p>
        </w:tc>
        <w:tc>
          <w:tcPr>
            <w:tcW w:w="1989" w:type="dxa"/>
            <w:vAlign w:val="top"/>
          </w:tcPr>
          <w:p w14:paraId="3B9C968F">
            <w:pPr>
              <w:spacing w:before="90" w:line="215"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1.219</w:t>
            </w:r>
          </w:p>
        </w:tc>
      </w:tr>
      <w:tr w14:paraId="51810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F136A27">
            <w:pPr>
              <w:spacing w:before="90" w:line="214"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tc>
        <w:tc>
          <w:tcPr>
            <w:tcW w:w="1842" w:type="dxa"/>
            <w:vAlign w:val="top"/>
          </w:tcPr>
          <w:p w14:paraId="03FB8BE3">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0.483</w:t>
            </w:r>
          </w:p>
        </w:tc>
        <w:tc>
          <w:tcPr>
            <w:tcW w:w="1840" w:type="dxa"/>
            <w:vAlign w:val="top"/>
          </w:tcPr>
          <w:p w14:paraId="48C53B84">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0.540</w:t>
            </w:r>
          </w:p>
        </w:tc>
        <w:tc>
          <w:tcPr>
            <w:tcW w:w="1843" w:type="dxa"/>
            <w:vAlign w:val="top"/>
          </w:tcPr>
          <w:p w14:paraId="4A123EA0">
            <w:pPr>
              <w:spacing w:before="90" w:line="214"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1.169</w:t>
            </w:r>
          </w:p>
        </w:tc>
        <w:tc>
          <w:tcPr>
            <w:tcW w:w="1989" w:type="dxa"/>
            <w:vAlign w:val="top"/>
          </w:tcPr>
          <w:p w14:paraId="41FE40F0">
            <w:pPr>
              <w:spacing w:before="90" w:line="214" w:lineRule="auto"/>
              <w:ind w:left="78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1.118</w:t>
            </w:r>
          </w:p>
        </w:tc>
      </w:tr>
      <w:tr w14:paraId="6DBEF2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72EDA6B">
            <w:pPr>
              <w:spacing w:before="90" w:line="215"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tc>
        <w:tc>
          <w:tcPr>
            <w:tcW w:w="1842" w:type="dxa"/>
            <w:vAlign w:val="top"/>
          </w:tcPr>
          <w:p w14:paraId="44373FD6">
            <w:pPr>
              <w:spacing w:before="90"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0.424</w:t>
            </w:r>
          </w:p>
        </w:tc>
        <w:tc>
          <w:tcPr>
            <w:tcW w:w="1840" w:type="dxa"/>
            <w:vAlign w:val="top"/>
          </w:tcPr>
          <w:p w14:paraId="5DEBB69C">
            <w:pPr>
              <w:spacing w:before="90"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0.477</w:t>
            </w:r>
          </w:p>
        </w:tc>
        <w:tc>
          <w:tcPr>
            <w:tcW w:w="1843" w:type="dxa"/>
            <w:vAlign w:val="top"/>
          </w:tcPr>
          <w:p w14:paraId="57FF4700">
            <w:pPr>
              <w:spacing w:before="90"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1.071</w:t>
            </w:r>
          </w:p>
        </w:tc>
        <w:tc>
          <w:tcPr>
            <w:tcW w:w="1989" w:type="dxa"/>
            <w:vAlign w:val="top"/>
          </w:tcPr>
          <w:p w14:paraId="4ADCC26F">
            <w:pPr>
              <w:spacing w:before="90" w:line="215"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1.029</w:t>
            </w:r>
          </w:p>
        </w:tc>
      </w:tr>
      <w:tr w14:paraId="227098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58ABAF0A">
            <w:pPr>
              <w:spacing w:before="92" w:line="215"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tc>
        <w:tc>
          <w:tcPr>
            <w:tcW w:w="1842" w:type="dxa"/>
            <w:vAlign w:val="top"/>
          </w:tcPr>
          <w:p w14:paraId="725FD342">
            <w:pPr>
              <w:spacing w:before="92"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0.374</w:t>
            </w:r>
          </w:p>
        </w:tc>
        <w:tc>
          <w:tcPr>
            <w:tcW w:w="1840" w:type="dxa"/>
            <w:vAlign w:val="top"/>
          </w:tcPr>
          <w:p w14:paraId="21AA678D">
            <w:pPr>
              <w:spacing w:before="92"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0.423</w:t>
            </w:r>
          </w:p>
        </w:tc>
        <w:tc>
          <w:tcPr>
            <w:tcW w:w="1843" w:type="dxa"/>
            <w:vAlign w:val="top"/>
          </w:tcPr>
          <w:p w14:paraId="33F53A90">
            <w:pPr>
              <w:spacing w:before="92"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0.985</w:t>
            </w:r>
          </w:p>
        </w:tc>
        <w:tc>
          <w:tcPr>
            <w:tcW w:w="1989" w:type="dxa"/>
            <w:vAlign w:val="top"/>
          </w:tcPr>
          <w:p w14:paraId="2B30EBF4">
            <w:pPr>
              <w:spacing w:before="92"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0.950</w:t>
            </w:r>
          </w:p>
        </w:tc>
      </w:tr>
      <w:tr w14:paraId="18D9CF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968316B">
            <w:pPr>
              <w:spacing w:before="90" w:line="214"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tc>
        <w:tc>
          <w:tcPr>
            <w:tcW w:w="1842" w:type="dxa"/>
            <w:vAlign w:val="top"/>
          </w:tcPr>
          <w:p w14:paraId="15FF59B6">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0.332</w:t>
            </w:r>
          </w:p>
        </w:tc>
        <w:tc>
          <w:tcPr>
            <w:tcW w:w="1840" w:type="dxa"/>
            <w:vAlign w:val="top"/>
          </w:tcPr>
          <w:p w14:paraId="7E86EB17">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0.377</w:t>
            </w:r>
          </w:p>
        </w:tc>
        <w:tc>
          <w:tcPr>
            <w:tcW w:w="1843" w:type="dxa"/>
            <w:vAlign w:val="top"/>
          </w:tcPr>
          <w:p w14:paraId="50E30426">
            <w:pPr>
              <w:spacing w:before="90"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0.910</w:t>
            </w:r>
          </w:p>
        </w:tc>
        <w:tc>
          <w:tcPr>
            <w:tcW w:w="1989" w:type="dxa"/>
            <w:vAlign w:val="top"/>
          </w:tcPr>
          <w:p w14:paraId="60D72E43">
            <w:pPr>
              <w:spacing w:before="90"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0.879</w:t>
            </w:r>
          </w:p>
        </w:tc>
      </w:tr>
      <w:tr w14:paraId="7C6A95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F0E4FC7">
            <w:pPr>
              <w:spacing w:before="91" w:line="214"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tc>
        <w:tc>
          <w:tcPr>
            <w:tcW w:w="1842" w:type="dxa"/>
            <w:vAlign w:val="top"/>
          </w:tcPr>
          <w:p w14:paraId="278B8EE5">
            <w:pPr>
              <w:spacing w:before="91"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0.296</w:t>
            </w:r>
          </w:p>
        </w:tc>
        <w:tc>
          <w:tcPr>
            <w:tcW w:w="1840" w:type="dxa"/>
            <w:vAlign w:val="top"/>
          </w:tcPr>
          <w:p w14:paraId="2F0A0369">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0.337</w:t>
            </w:r>
          </w:p>
        </w:tc>
        <w:tc>
          <w:tcPr>
            <w:tcW w:w="1843" w:type="dxa"/>
            <w:vAlign w:val="top"/>
          </w:tcPr>
          <w:p w14:paraId="29301086">
            <w:pPr>
              <w:spacing w:before="91"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0.842</w:t>
            </w:r>
          </w:p>
        </w:tc>
        <w:tc>
          <w:tcPr>
            <w:tcW w:w="1989" w:type="dxa"/>
            <w:vAlign w:val="top"/>
          </w:tcPr>
          <w:p w14:paraId="67FD8E1F">
            <w:pPr>
              <w:spacing w:before="91"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0.816</w:t>
            </w:r>
          </w:p>
        </w:tc>
      </w:tr>
      <w:tr w14:paraId="4C3865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FCDFA0B">
            <w:pPr>
              <w:spacing w:before="90" w:line="214"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w:t>
            </w:r>
          </w:p>
        </w:tc>
        <w:tc>
          <w:tcPr>
            <w:tcW w:w="1842" w:type="dxa"/>
            <w:vAlign w:val="top"/>
          </w:tcPr>
          <w:p w14:paraId="05FD2501">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0.265</w:t>
            </w:r>
          </w:p>
        </w:tc>
        <w:tc>
          <w:tcPr>
            <w:tcW w:w="1840" w:type="dxa"/>
            <w:vAlign w:val="top"/>
          </w:tcPr>
          <w:p w14:paraId="1CC75A8C">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0.303</w:t>
            </w:r>
          </w:p>
        </w:tc>
        <w:tc>
          <w:tcPr>
            <w:tcW w:w="1843" w:type="dxa"/>
            <w:vAlign w:val="top"/>
          </w:tcPr>
          <w:p w14:paraId="3E9ADC18">
            <w:pPr>
              <w:spacing w:before="90"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0.782</w:t>
            </w:r>
          </w:p>
        </w:tc>
        <w:tc>
          <w:tcPr>
            <w:tcW w:w="1989" w:type="dxa"/>
            <w:vAlign w:val="top"/>
          </w:tcPr>
          <w:p w14:paraId="5F2BC3F5">
            <w:pPr>
              <w:spacing w:before="90"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0.760</w:t>
            </w:r>
          </w:p>
        </w:tc>
      </w:tr>
      <w:tr w14:paraId="142687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Align w:val="top"/>
          </w:tcPr>
          <w:p w14:paraId="6A9A7317">
            <w:pPr>
              <w:spacing w:before="91" w:line="218"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w:t>
            </w:r>
          </w:p>
        </w:tc>
        <w:tc>
          <w:tcPr>
            <w:tcW w:w="1842" w:type="dxa"/>
            <w:vAlign w:val="top"/>
          </w:tcPr>
          <w:p w14:paraId="43336EC1">
            <w:pPr>
              <w:spacing w:before="91"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0.239</w:t>
            </w:r>
          </w:p>
        </w:tc>
        <w:tc>
          <w:tcPr>
            <w:tcW w:w="1840" w:type="dxa"/>
            <w:vAlign w:val="top"/>
          </w:tcPr>
          <w:p w14:paraId="6B8E6F6B">
            <w:pPr>
              <w:spacing w:before="91"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0.273</w:t>
            </w:r>
          </w:p>
        </w:tc>
        <w:tc>
          <w:tcPr>
            <w:tcW w:w="1843" w:type="dxa"/>
            <w:vAlign w:val="top"/>
          </w:tcPr>
          <w:p w14:paraId="3521451D">
            <w:pPr>
              <w:spacing w:before="91"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0.728</w:t>
            </w:r>
          </w:p>
        </w:tc>
        <w:tc>
          <w:tcPr>
            <w:tcW w:w="1989" w:type="dxa"/>
            <w:vAlign w:val="top"/>
          </w:tcPr>
          <w:p w14:paraId="2D7E9469">
            <w:pPr>
              <w:spacing w:before="91"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0.709</w:t>
            </w:r>
          </w:p>
        </w:tc>
      </w:tr>
    </w:tbl>
    <w:p w14:paraId="46AE1D84">
      <w:pPr>
        <w:rPr>
          <w:rFonts w:ascii="Arial"/>
          <w:sz w:val="21"/>
        </w:rPr>
      </w:pPr>
    </w:p>
    <w:p w14:paraId="09F6B551">
      <w:pPr>
        <w:rPr>
          <w:rFonts w:ascii="Arial" w:hAnsi="Arial" w:eastAsia="Arial" w:cs="Arial"/>
          <w:sz w:val="21"/>
          <w:szCs w:val="21"/>
        </w:rPr>
        <w:sectPr>
          <w:footerReference r:id="rId115" w:type="default"/>
          <w:pgSz w:w="11907" w:h="16841"/>
          <w:pgMar w:top="400" w:right="1411" w:bottom="1126" w:left="1416" w:header="0" w:footer="925" w:gutter="0"/>
          <w:cols w:space="720" w:num="1"/>
        </w:sectPr>
      </w:pPr>
    </w:p>
    <w:p w14:paraId="4701223E">
      <w:pPr>
        <w:spacing w:before="2"/>
      </w:pPr>
    </w:p>
    <w:p w14:paraId="237AF8ED">
      <w:pPr>
        <w:spacing w:before="2"/>
      </w:pPr>
    </w:p>
    <w:p w14:paraId="395CE062">
      <w:pPr>
        <w:spacing w:before="1"/>
      </w:pPr>
    </w:p>
    <w:p w14:paraId="431882A9">
      <w:pPr>
        <w:spacing w:before="1"/>
      </w:pPr>
    </w:p>
    <w:p w14:paraId="5C9E0AF7">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2CE1DF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559" w:type="dxa"/>
            <w:vAlign w:val="top"/>
          </w:tcPr>
          <w:p w14:paraId="6F86A288">
            <w:pPr>
              <w:spacing w:before="93"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w:t>
            </w:r>
          </w:p>
        </w:tc>
        <w:tc>
          <w:tcPr>
            <w:tcW w:w="1842" w:type="dxa"/>
            <w:vAlign w:val="top"/>
          </w:tcPr>
          <w:p w14:paraId="6F87BC87">
            <w:pPr>
              <w:spacing w:before="93"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0.216</w:t>
            </w:r>
          </w:p>
        </w:tc>
        <w:tc>
          <w:tcPr>
            <w:tcW w:w="1840" w:type="dxa"/>
            <w:vAlign w:val="top"/>
          </w:tcPr>
          <w:p w14:paraId="36DDE4AE">
            <w:pPr>
              <w:spacing w:before="93"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0.247</w:t>
            </w:r>
          </w:p>
        </w:tc>
        <w:tc>
          <w:tcPr>
            <w:tcW w:w="1843" w:type="dxa"/>
            <w:vAlign w:val="top"/>
          </w:tcPr>
          <w:p w14:paraId="59C613ED">
            <w:pPr>
              <w:spacing w:before="93"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0.679</w:t>
            </w:r>
          </w:p>
        </w:tc>
        <w:tc>
          <w:tcPr>
            <w:tcW w:w="1989" w:type="dxa"/>
            <w:vAlign w:val="top"/>
          </w:tcPr>
          <w:p w14:paraId="6364A26B">
            <w:pPr>
              <w:spacing w:before="93"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0.663</w:t>
            </w:r>
          </w:p>
        </w:tc>
      </w:tr>
      <w:tr w14:paraId="59A6E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10458CDE">
            <w:pPr>
              <w:spacing w:before="88" w:line="219"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c>
          <w:tcPr>
            <w:tcW w:w="1842" w:type="dxa"/>
            <w:vAlign w:val="top"/>
          </w:tcPr>
          <w:p w14:paraId="1EAA0C61">
            <w:pPr>
              <w:spacing w:before="88"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0.196</w:t>
            </w:r>
          </w:p>
        </w:tc>
        <w:tc>
          <w:tcPr>
            <w:tcW w:w="1840" w:type="dxa"/>
            <w:vAlign w:val="top"/>
          </w:tcPr>
          <w:p w14:paraId="7A3EA04F">
            <w:pPr>
              <w:spacing w:before="88"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0.225</w:t>
            </w:r>
          </w:p>
        </w:tc>
        <w:tc>
          <w:tcPr>
            <w:tcW w:w="1843" w:type="dxa"/>
            <w:vAlign w:val="top"/>
          </w:tcPr>
          <w:p w14:paraId="58674CCC">
            <w:pPr>
              <w:spacing w:before="88" w:line="219"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0.635</w:t>
            </w:r>
          </w:p>
        </w:tc>
        <w:tc>
          <w:tcPr>
            <w:tcW w:w="1989" w:type="dxa"/>
            <w:vAlign w:val="top"/>
          </w:tcPr>
          <w:p w14:paraId="4F99FF98">
            <w:pPr>
              <w:spacing w:before="88" w:line="219"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0.621</w:t>
            </w:r>
          </w:p>
        </w:tc>
      </w:tr>
      <w:tr w14:paraId="0E913C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9099969">
            <w:pPr>
              <w:spacing w:before="85" w:line="219"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31</w:t>
            </w:r>
          </w:p>
        </w:tc>
        <w:tc>
          <w:tcPr>
            <w:tcW w:w="1842" w:type="dxa"/>
            <w:vAlign w:val="top"/>
          </w:tcPr>
          <w:p w14:paraId="7D2146D5">
            <w:pPr>
              <w:spacing w:before="85"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0.178</w:t>
            </w:r>
          </w:p>
        </w:tc>
        <w:tc>
          <w:tcPr>
            <w:tcW w:w="1840" w:type="dxa"/>
            <w:vAlign w:val="top"/>
          </w:tcPr>
          <w:p w14:paraId="3BC0DC10">
            <w:pPr>
              <w:spacing w:before="85"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0.205</w:t>
            </w:r>
          </w:p>
        </w:tc>
        <w:tc>
          <w:tcPr>
            <w:tcW w:w="1843" w:type="dxa"/>
            <w:vAlign w:val="top"/>
          </w:tcPr>
          <w:p w14:paraId="0A135E11">
            <w:pPr>
              <w:spacing w:before="85" w:line="219"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0.596</w:t>
            </w:r>
          </w:p>
        </w:tc>
        <w:tc>
          <w:tcPr>
            <w:tcW w:w="1989" w:type="dxa"/>
            <w:vAlign w:val="top"/>
          </w:tcPr>
          <w:p w14:paraId="3D22EC87">
            <w:pPr>
              <w:spacing w:before="85" w:line="219"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0.583</w:t>
            </w:r>
          </w:p>
        </w:tc>
      </w:tr>
      <w:tr w14:paraId="533916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48D98E9">
            <w:pPr>
              <w:spacing w:before="86" w:line="219"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32</w:t>
            </w:r>
          </w:p>
        </w:tc>
        <w:tc>
          <w:tcPr>
            <w:tcW w:w="1842" w:type="dxa"/>
            <w:vAlign w:val="top"/>
          </w:tcPr>
          <w:p w14:paraId="229DE3A2">
            <w:pPr>
              <w:spacing w:before="86"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0.163</w:t>
            </w:r>
          </w:p>
        </w:tc>
        <w:tc>
          <w:tcPr>
            <w:tcW w:w="1840" w:type="dxa"/>
            <w:vAlign w:val="top"/>
          </w:tcPr>
          <w:p w14:paraId="2F55A890">
            <w:pPr>
              <w:spacing w:before="86"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0.187</w:t>
            </w:r>
          </w:p>
        </w:tc>
        <w:tc>
          <w:tcPr>
            <w:tcW w:w="1843" w:type="dxa"/>
            <w:vAlign w:val="top"/>
          </w:tcPr>
          <w:p w14:paraId="25358811">
            <w:pPr>
              <w:spacing w:before="86" w:line="219"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0.560</w:t>
            </w:r>
          </w:p>
        </w:tc>
        <w:tc>
          <w:tcPr>
            <w:tcW w:w="1989" w:type="dxa"/>
            <w:vAlign w:val="top"/>
          </w:tcPr>
          <w:p w14:paraId="6669B4CB">
            <w:pPr>
              <w:spacing w:before="86" w:line="219"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0.548</w:t>
            </w:r>
          </w:p>
        </w:tc>
      </w:tr>
      <w:tr w14:paraId="0CB08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F1A3CBA">
            <w:pPr>
              <w:spacing w:before="86" w:line="218"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33</w:t>
            </w:r>
          </w:p>
        </w:tc>
        <w:tc>
          <w:tcPr>
            <w:tcW w:w="1842" w:type="dxa"/>
            <w:vAlign w:val="top"/>
          </w:tcPr>
          <w:p w14:paraId="11E167C7">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0.150</w:t>
            </w:r>
          </w:p>
        </w:tc>
        <w:tc>
          <w:tcPr>
            <w:tcW w:w="1840" w:type="dxa"/>
            <w:vAlign w:val="top"/>
          </w:tcPr>
          <w:p w14:paraId="7C5BBF8A">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0.171</w:t>
            </w:r>
          </w:p>
        </w:tc>
        <w:tc>
          <w:tcPr>
            <w:tcW w:w="1843" w:type="dxa"/>
            <w:vAlign w:val="top"/>
          </w:tcPr>
          <w:p w14:paraId="56E5A390">
            <w:pPr>
              <w:spacing w:before="86"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0.527</w:t>
            </w:r>
          </w:p>
        </w:tc>
        <w:tc>
          <w:tcPr>
            <w:tcW w:w="1989" w:type="dxa"/>
            <w:vAlign w:val="top"/>
          </w:tcPr>
          <w:p w14:paraId="1EB6502A">
            <w:pPr>
              <w:spacing w:before="86"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0.517</w:t>
            </w:r>
          </w:p>
        </w:tc>
      </w:tr>
      <w:tr w14:paraId="39648D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F9D2423">
            <w:pPr>
              <w:spacing w:before="86" w:line="218"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34</w:t>
            </w:r>
          </w:p>
        </w:tc>
        <w:tc>
          <w:tcPr>
            <w:tcW w:w="1842" w:type="dxa"/>
            <w:vAlign w:val="top"/>
          </w:tcPr>
          <w:p w14:paraId="652EC417">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0.138</w:t>
            </w:r>
          </w:p>
        </w:tc>
        <w:tc>
          <w:tcPr>
            <w:tcW w:w="1840" w:type="dxa"/>
            <w:vAlign w:val="top"/>
          </w:tcPr>
          <w:p w14:paraId="4F92EB72">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0.157</w:t>
            </w:r>
          </w:p>
        </w:tc>
        <w:tc>
          <w:tcPr>
            <w:tcW w:w="1843" w:type="dxa"/>
            <w:vAlign w:val="top"/>
          </w:tcPr>
          <w:p w14:paraId="55EEEA1D">
            <w:pPr>
              <w:spacing w:before="86"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0.497</w:t>
            </w:r>
          </w:p>
        </w:tc>
        <w:tc>
          <w:tcPr>
            <w:tcW w:w="1989" w:type="dxa"/>
            <w:vAlign w:val="top"/>
          </w:tcPr>
          <w:p w14:paraId="73925C8D">
            <w:pPr>
              <w:spacing w:before="86"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0.488</w:t>
            </w:r>
          </w:p>
        </w:tc>
      </w:tr>
      <w:tr w14:paraId="0BCCB0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F11132A">
            <w:pPr>
              <w:spacing w:before="87" w:line="217"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w:t>
            </w:r>
          </w:p>
        </w:tc>
        <w:tc>
          <w:tcPr>
            <w:tcW w:w="1842" w:type="dxa"/>
            <w:vAlign w:val="top"/>
          </w:tcPr>
          <w:p w14:paraId="42C69292">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0.127</w:t>
            </w:r>
          </w:p>
        </w:tc>
        <w:tc>
          <w:tcPr>
            <w:tcW w:w="1840" w:type="dxa"/>
            <w:vAlign w:val="top"/>
          </w:tcPr>
          <w:p w14:paraId="343461AE">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0.145</w:t>
            </w:r>
          </w:p>
        </w:tc>
        <w:tc>
          <w:tcPr>
            <w:tcW w:w="1843" w:type="dxa"/>
            <w:vAlign w:val="top"/>
          </w:tcPr>
          <w:p w14:paraId="6579A968">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0.469</w:t>
            </w:r>
          </w:p>
        </w:tc>
        <w:tc>
          <w:tcPr>
            <w:tcW w:w="1989" w:type="dxa"/>
            <w:vAlign w:val="top"/>
          </w:tcPr>
          <w:p w14:paraId="14F0AAE6">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0.461</w:t>
            </w:r>
          </w:p>
        </w:tc>
      </w:tr>
      <w:tr w14:paraId="34F01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3A6F2876">
            <w:pPr>
              <w:spacing w:before="90" w:line="217"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36</w:t>
            </w:r>
          </w:p>
        </w:tc>
        <w:tc>
          <w:tcPr>
            <w:tcW w:w="1842" w:type="dxa"/>
            <w:vAlign w:val="top"/>
          </w:tcPr>
          <w:p w14:paraId="69FD954D">
            <w:pPr>
              <w:spacing w:before="90" w:line="217"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0.117</w:t>
            </w:r>
          </w:p>
        </w:tc>
        <w:tc>
          <w:tcPr>
            <w:tcW w:w="1840" w:type="dxa"/>
            <w:vAlign w:val="top"/>
          </w:tcPr>
          <w:p w14:paraId="7B9AFBA3">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0.134</w:t>
            </w:r>
          </w:p>
        </w:tc>
        <w:tc>
          <w:tcPr>
            <w:tcW w:w="1843" w:type="dxa"/>
            <w:vAlign w:val="top"/>
          </w:tcPr>
          <w:p w14:paraId="79A35422">
            <w:pPr>
              <w:spacing w:before="90"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0.444</w:t>
            </w:r>
          </w:p>
        </w:tc>
        <w:tc>
          <w:tcPr>
            <w:tcW w:w="1989" w:type="dxa"/>
            <w:vAlign w:val="top"/>
          </w:tcPr>
          <w:p w14:paraId="1E107220">
            <w:pPr>
              <w:spacing w:before="90"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0.437</w:t>
            </w:r>
          </w:p>
        </w:tc>
      </w:tr>
      <w:tr w14:paraId="6AD13C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E7EC434">
            <w:pPr>
              <w:spacing w:before="87" w:line="217"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1842" w:type="dxa"/>
            <w:vAlign w:val="top"/>
          </w:tcPr>
          <w:p w14:paraId="0E28BB81">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0.109</w:t>
            </w:r>
          </w:p>
        </w:tc>
        <w:tc>
          <w:tcPr>
            <w:tcW w:w="1840" w:type="dxa"/>
            <w:vAlign w:val="top"/>
          </w:tcPr>
          <w:p w14:paraId="2513DC05">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0.124</w:t>
            </w:r>
          </w:p>
        </w:tc>
        <w:tc>
          <w:tcPr>
            <w:tcW w:w="1843" w:type="dxa"/>
            <w:vAlign w:val="top"/>
          </w:tcPr>
          <w:p w14:paraId="4F025BE6">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0.420</w:t>
            </w:r>
          </w:p>
        </w:tc>
        <w:tc>
          <w:tcPr>
            <w:tcW w:w="1989" w:type="dxa"/>
            <w:vAlign w:val="top"/>
          </w:tcPr>
          <w:p w14:paraId="495C894C">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0.414</w:t>
            </w:r>
          </w:p>
        </w:tc>
      </w:tr>
      <w:tr w14:paraId="7A8C6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2F03A72">
            <w:pPr>
              <w:spacing w:before="88"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1842" w:type="dxa"/>
            <w:vAlign w:val="top"/>
          </w:tcPr>
          <w:p w14:paraId="0D9794FB">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0.101</w:t>
            </w:r>
          </w:p>
        </w:tc>
        <w:tc>
          <w:tcPr>
            <w:tcW w:w="1840" w:type="dxa"/>
            <w:vAlign w:val="top"/>
          </w:tcPr>
          <w:p w14:paraId="61120262">
            <w:pPr>
              <w:spacing w:before="88"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0.115</w:t>
            </w:r>
          </w:p>
        </w:tc>
        <w:tc>
          <w:tcPr>
            <w:tcW w:w="1843" w:type="dxa"/>
            <w:vAlign w:val="top"/>
          </w:tcPr>
          <w:p w14:paraId="57777BFF">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0.399</w:t>
            </w:r>
          </w:p>
        </w:tc>
        <w:tc>
          <w:tcPr>
            <w:tcW w:w="1989" w:type="dxa"/>
            <w:vAlign w:val="top"/>
          </w:tcPr>
          <w:p w14:paraId="4C3D42C6">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0.393</w:t>
            </w:r>
          </w:p>
        </w:tc>
      </w:tr>
      <w:tr w14:paraId="3F5FA0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D84FA33">
            <w:pPr>
              <w:spacing w:before="89"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w:t>
            </w:r>
          </w:p>
        </w:tc>
        <w:tc>
          <w:tcPr>
            <w:tcW w:w="1842" w:type="dxa"/>
            <w:vAlign w:val="top"/>
          </w:tcPr>
          <w:p w14:paraId="2E961B55">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0.095</w:t>
            </w:r>
          </w:p>
        </w:tc>
        <w:tc>
          <w:tcPr>
            <w:tcW w:w="1840" w:type="dxa"/>
            <w:vAlign w:val="top"/>
          </w:tcPr>
          <w:p w14:paraId="4642532A">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0.107</w:t>
            </w:r>
          </w:p>
        </w:tc>
        <w:tc>
          <w:tcPr>
            <w:tcW w:w="1843" w:type="dxa"/>
            <w:vAlign w:val="top"/>
          </w:tcPr>
          <w:p w14:paraId="69878C24">
            <w:pPr>
              <w:spacing w:before="89"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0.379</w:t>
            </w:r>
          </w:p>
        </w:tc>
        <w:tc>
          <w:tcPr>
            <w:tcW w:w="1989" w:type="dxa"/>
            <w:vAlign w:val="top"/>
          </w:tcPr>
          <w:p w14:paraId="49ECEA74">
            <w:pPr>
              <w:spacing w:before="89"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0.374</w:t>
            </w:r>
          </w:p>
        </w:tc>
      </w:tr>
      <w:tr w14:paraId="38C829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C67F031">
            <w:pPr>
              <w:spacing w:before="89" w:line="216"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842" w:type="dxa"/>
            <w:vAlign w:val="top"/>
          </w:tcPr>
          <w:p w14:paraId="3E4C276B">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0.088</w:t>
            </w:r>
          </w:p>
        </w:tc>
        <w:tc>
          <w:tcPr>
            <w:tcW w:w="1840" w:type="dxa"/>
            <w:vAlign w:val="top"/>
          </w:tcPr>
          <w:p w14:paraId="53391842">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0.100</w:t>
            </w:r>
          </w:p>
        </w:tc>
        <w:tc>
          <w:tcPr>
            <w:tcW w:w="1843" w:type="dxa"/>
            <w:vAlign w:val="top"/>
          </w:tcPr>
          <w:p w14:paraId="42AC2AC5">
            <w:pPr>
              <w:spacing w:before="89"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0.360</w:t>
            </w:r>
          </w:p>
        </w:tc>
        <w:tc>
          <w:tcPr>
            <w:tcW w:w="1989" w:type="dxa"/>
            <w:vAlign w:val="top"/>
          </w:tcPr>
          <w:p w14:paraId="0D4501EF">
            <w:pPr>
              <w:spacing w:before="89"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0.356</w:t>
            </w:r>
          </w:p>
        </w:tc>
      </w:tr>
      <w:tr w14:paraId="06C491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BA3BE85">
            <w:pPr>
              <w:spacing w:before="89" w:line="215"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w:t>
            </w:r>
          </w:p>
        </w:tc>
        <w:tc>
          <w:tcPr>
            <w:tcW w:w="1842" w:type="dxa"/>
            <w:vAlign w:val="top"/>
          </w:tcPr>
          <w:p w14:paraId="53C10C77">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0.083</w:t>
            </w:r>
          </w:p>
        </w:tc>
        <w:tc>
          <w:tcPr>
            <w:tcW w:w="1840" w:type="dxa"/>
            <w:vAlign w:val="top"/>
          </w:tcPr>
          <w:p w14:paraId="0B9B6F94">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0.093</w:t>
            </w:r>
          </w:p>
        </w:tc>
        <w:tc>
          <w:tcPr>
            <w:tcW w:w="1843" w:type="dxa"/>
            <w:vAlign w:val="top"/>
          </w:tcPr>
          <w:p w14:paraId="45A54225">
            <w:pPr>
              <w:spacing w:before="89"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0.343</w:t>
            </w:r>
          </w:p>
        </w:tc>
        <w:tc>
          <w:tcPr>
            <w:tcW w:w="1989" w:type="dxa"/>
            <w:vAlign w:val="top"/>
          </w:tcPr>
          <w:p w14:paraId="7298F81A">
            <w:pPr>
              <w:spacing w:before="89"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0.339</w:t>
            </w:r>
          </w:p>
        </w:tc>
      </w:tr>
      <w:tr w14:paraId="090E9A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1BAF2084">
            <w:pPr>
              <w:spacing w:before="92" w:line="215"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w:t>
            </w:r>
          </w:p>
        </w:tc>
        <w:tc>
          <w:tcPr>
            <w:tcW w:w="1842" w:type="dxa"/>
            <w:vAlign w:val="top"/>
          </w:tcPr>
          <w:p w14:paraId="0AB4D9F5">
            <w:pPr>
              <w:spacing w:before="92"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0.078</w:t>
            </w:r>
          </w:p>
        </w:tc>
        <w:tc>
          <w:tcPr>
            <w:tcW w:w="1840" w:type="dxa"/>
            <w:vAlign w:val="top"/>
          </w:tcPr>
          <w:p w14:paraId="3E0A7167">
            <w:pPr>
              <w:spacing w:before="92"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0.087</w:t>
            </w:r>
          </w:p>
        </w:tc>
        <w:tc>
          <w:tcPr>
            <w:tcW w:w="1843" w:type="dxa"/>
            <w:vAlign w:val="top"/>
          </w:tcPr>
          <w:p w14:paraId="18D3510F">
            <w:pPr>
              <w:spacing w:before="92"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0.327</w:t>
            </w:r>
          </w:p>
        </w:tc>
        <w:tc>
          <w:tcPr>
            <w:tcW w:w="1989" w:type="dxa"/>
            <w:vAlign w:val="top"/>
          </w:tcPr>
          <w:p w14:paraId="723443BF">
            <w:pPr>
              <w:spacing w:before="92"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0.323</w:t>
            </w:r>
          </w:p>
        </w:tc>
      </w:tr>
      <w:tr w14:paraId="114855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BD68DD5">
            <w:pPr>
              <w:spacing w:before="90"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1842" w:type="dxa"/>
            <w:vAlign w:val="top"/>
          </w:tcPr>
          <w:p w14:paraId="7143AD4D">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0.073</w:t>
            </w:r>
          </w:p>
        </w:tc>
        <w:tc>
          <w:tcPr>
            <w:tcW w:w="1840" w:type="dxa"/>
            <w:vAlign w:val="top"/>
          </w:tcPr>
          <w:p w14:paraId="0F29C27C">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0.082</w:t>
            </w:r>
          </w:p>
        </w:tc>
        <w:tc>
          <w:tcPr>
            <w:tcW w:w="1843" w:type="dxa"/>
            <w:vAlign w:val="top"/>
          </w:tcPr>
          <w:p w14:paraId="2AC0EA18">
            <w:pPr>
              <w:spacing w:before="90"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0.312</w:t>
            </w:r>
          </w:p>
        </w:tc>
        <w:tc>
          <w:tcPr>
            <w:tcW w:w="1989" w:type="dxa"/>
            <w:vAlign w:val="top"/>
          </w:tcPr>
          <w:p w14:paraId="7F57D8E2">
            <w:pPr>
              <w:spacing w:before="90"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0.309</w:t>
            </w:r>
          </w:p>
        </w:tc>
      </w:tr>
      <w:tr w14:paraId="583EB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B4C37FC">
            <w:pPr>
              <w:spacing w:before="91" w:line="213"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w:t>
            </w:r>
          </w:p>
        </w:tc>
        <w:tc>
          <w:tcPr>
            <w:tcW w:w="1842" w:type="dxa"/>
            <w:vAlign w:val="top"/>
          </w:tcPr>
          <w:p w14:paraId="55D19155">
            <w:pPr>
              <w:spacing w:before="91"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0.069</w:t>
            </w:r>
          </w:p>
        </w:tc>
        <w:tc>
          <w:tcPr>
            <w:tcW w:w="1840" w:type="dxa"/>
            <w:vAlign w:val="top"/>
          </w:tcPr>
          <w:p w14:paraId="1C43B1BC">
            <w:pPr>
              <w:spacing w:before="91"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0.077</w:t>
            </w:r>
          </w:p>
        </w:tc>
        <w:tc>
          <w:tcPr>
            <w:tcW w:w="1843" w:type="dxa"/>
            <w:vAlign w:val="top"/>
          </w:tcPr>
          <w:p w14:paraId="3E78D116">
            <w:pPr>
              <w:spacing w:before="91" w:line="213"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0.298</w:t>
            </w:r>
          </w:p>
        </w:tc>
        <w:tc>
          <w:tcPr>
            <w:tcW w:w="1989" w:type="dxa"/>
            <w:vAlign w:val="top"/>
          </w:tcPr>
          <w:p w14:paraId="3919D87E">
            <w:pPr>
              <w:spacing w:before="91" w:line="213"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0.295</w:t>
            </w:r>
          </w:p>
        </w:tc>
      </w:tr>
      <w:tr w14:paraId="17FF25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E2792A8">
            <w:pPr>
              <w:spacing w:before="91"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c>
          <w:tcPr>
            <w:tcW w:w="1842" w:type="dxa"/>
            <w:vAlign w:val="top"/>
          </w:tcPr>
          <w:p w14:paraId="102ADBDF">
            <w:pPr>
              <w:spacing w:before="91"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0.065</w:t>
            </w:r>
          </w:p>
        </w:tc>
        <w:tc>
          <w:tcPr>
            <w:tcW w:w="1840" w:type="dxa"/>
            <w:vAlign w:val="top"/>
          </w:tcPr>
          <w:p w14:paraId="608E46C8">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0.072</w:t>
            </w:r>
          </w:p>
        </w:tc>
        <w:tc>
          <w:tcPr>
            <w:tcW w:w="1843" w:type="dxa"/>
            <w:vAlign w:val="top"/>
          </w:tcPr>
          <w:p w14:paraId="462DA185">
            <w:pPr>
              <w:spacing w:before="91"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0.285</w:t>
            </w:r>
          </w:p>
        </w:tc>
        <w:tc>
          <w:tcPr>
            <w:tcW w:w="1989" w:type="dxa"/>
            <w:vAlign w:val="top"/>
          </w:tcPr>
          <w:p w14:paraId="7C541331">
            <w:pPr>
              <w:spacing w:before="91"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0.283</w:t>
            </w:r>
          </w:p>
        </w:tc>
      </w:tr>
      <w:tr w14:paraId="6C03A6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E87517D">
            <w:pPr>
              <w:spacing w:before="91" w:line="213"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w:t>
            </w:r>
          </w:p>
        </w:tc>
        <w:tc>
          <w:tcPr>
            <w:tcW w:w="1842" w:type="dxa"/>
            <w:vAlign w:val="top"/>
          </w:tcPr>
          <w:p w14:paraId="1952EAB9">
            <w:pPr>
              <w:spacing w:before="91"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0.061</w:t>
            </w:r>
          </w:p>
        </w:tc>
        <w:tc>
          <w:tcPr>
            <w:tcW w:w="1840" w:type="dxa"/>
            <w:vAlign w:val="top"/>
          </w:tcPr>
          <w:p w14:paraId="2D0EC26A">
            <w:pPr>
              <w:spacing w:before="91"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0.068</w:t>
            </w:r>
          </w:p>
        </w:tc>
        <w:tc>
          <w:tcPr>
            <w:tcW w:w="1843" w:type="dxa"/>
            <w:vAlign w:val="top"/>
          </w:tcPr>
          <w:p w14:paraId="1540C3FC">
            <w:pPr>
              <w:spacing w:before="91" w:line="213"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0.273</w:t>
            </w:r>
          </w:p>
        </w:tc>
        <w:tc>
          <w:tcPr>
            <w:tcW w:w="1989" w:type="dxa"/>
            <w:vAlign w:val="top"/>
          </w:tcPr>
          <w:p w14:paraId="6240150E">
            <w:pPr>
              <w:spacing w:before="91" w:line="213"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0.271</w:t>
            </w:r>
          </w:p>
        </w:tc>
      </w:tr>
      <w:tr w14:paraId="3786F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9002407">
            <w:pPr>
              <w:spacing w:before="91"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w:t>
            </w:r>
          </w:p>
        </w:tc>
        <w:tc>
          <w:tcPr>
            <w:tcW w:w="1842" w:type="dxa"/>
            <w:vAlign w:val="top"/>
          </w:tcPr>
          <w:p w14:paraId="175E3446">
            <w:pPr>
              <w:spacing w:before="91"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0.058</w:t>
            </w:r>
          </w:p>
        </w:tc>
        <w:tc>
          <w:tcPr>
            <w:tcW w:w="1840" w:type="dxa"/>
            <w:vAlign w:val="top"/>
          </w:tcPr>
          <w:p w14:paraId="72DAEDC0">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0.064</w:t>
            </w:r>
          </w:p>
        </w:tc>
        <w:tc>
          <w:tcPr>
            <w:tcW w:w="1843" w:type="dxa"/>
            <w:vAlign w:val="top"/>
          </w:tcPr>
          <w:p w14:paraId="187F97DA">
            <w:pPr>
              <w:spacing w:before="91"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0.262</w:t>
            </w:r>
          </w:p>
        </w:tc>
        <w:tc>
          <w:tcPr>
            <w:tcW w:w="1989" w:type="dxa"/>
            <w:vAlign w:val="top"/>
          </w:tcPr>
          <w:p w14:paraId="68952802">
            <w:pPr>
              <w:spacing w:before="91"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0.260</w:t>
            </w:r>
          </w:p>
        </w:tc>
      </w:tr>
      <w:tr w14:paraId="3E869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205D2DF1">
            <w:pPr>
              <w:spacing w:before="93"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w:t>
            </w:r>
          </w:p>
        </w:tc>
        <w:tc>
          <w:tcPr>
            <w:tcW w:w="1842" w:type="dxa"/>
            <w:vAlign w:val="top"/>
          </w:tcPr>
          <w:p w14:paraId="43E38700">
            <w:pPr>
              <w:spacing w:before="93"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0.055</w:t>
            </w:r>
          </w:p>
        </w:tc>
        <w:tc>
          <w:tcPr>
            <w:tcW w:w="1840" w:type="dxa"/>
            <w:vAlign w:val="top"/>
          </w:tcPr>
          <w:p w14:paraId="48BECD26">
            <w:pPr>
              <w:spacing w:before="93"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0.061</w:t>
            </w:r>
          </w:p>
        </w:tc>
        <w:tc>
          <w:tcPr>
            <w:tcW w:w="1843" w:type="dxa"/>
            <w:vAlign w:val="top"/>
          </w:tcPr>
          <w:p w14:paraId="41F25FB2">
            <w:pPr>
              <w:spacing w:before="93"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0.251</w:t>
            </w:r>
          </w:p>
        </w:tc>
        <w:tc>
          <w:tcPr>
            <w:tcW w:w="1989" w:type="dxa"/>
            <w:vAlign w:val="top"/>
          </w:tcPr>
          <w:p w14:paraId="21018785">
            <w:pPr>
              <w:spacing w:before="93"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0.249</w:t>
            </w:r>
          </w:p>
        </w:tc>
      </w:tr>
      <w:tr w14:paraId="3BFDD4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A3B2B21">
            <w:pPr>
              <w:spacing w:before="91"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w:t>
            </w:r>
          </w:p>
        </w:tc>
        <w:tc>
          <w:tcPr>
            <w:tcW w:w="1842" w:type="dxa"/>
            <w:vAlign w:val="top"/>
          </w:tcPr>
          <w:p w14:paraId="6BE14D81">
            <w:pPr>
              <w:spacing w:before="91"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0.052</w:t>
            </w:r>
          </w:p>
        </w:tc>
        <w:tc>
          <w:tcPr>
            <w:tcW w:w="1840" w:type="dxa"/>
            <w:vAlign w:val="top"/>
          </w:tcPr>
          <w:p w14:paraId="0231669C">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0.058</w:t>
            </w:r>
          </w:p>
        </w:tc>
        <w:tc>
          <w:tcPr>
            <w:tcW w:w="1843" w:type="dxa"/>
            <w:vAlign w:val="top"/>
          </w:tcPr>
          <w:p w14:paraId="6B94221B">
            <w:pPr>
              <w:spacing w:before="91"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0.241</w:t>
            </w:r>
          </w:p>
        </w:tc>
        <w:tc>
          <w:tcPr>
            <w:tcW w:w="1989" w:type="dxa"/>
            <w:vAlign w:val="top"/>
          </w:tcPr>
          <w:p w14:paraId="6CD3E7F7">
            <w:pPr>
              <w:spacing w:before="91"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0.239</w:t>
            </w:r>
          </w:p>
        </w:tc>
      </w:tr>
      <w:tr w14:paraId="29321E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Align w:val="top"/>
          </w:tcPr>
          <w:p w14:paraId="3F1C0B7C">
            <w:pPr>
              <w:spacing w:before="91" w:line="218" w:lineRule="auto"/>
              <w:ind w:left="68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1842" w:type="dxa"/>
            <w:vAlign w:val="top"/>
          </w:tcPr>
          <w:p w14:paraId="0892EFC0">
            <w:pPr>
              <w:spacing w:before="91"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0.050</w:t>
            </w:r>
          </w:p>
        </w:tc>
        <w:tc>
          <w:tcPr>
            <w:tcW w:w="1840" w:type="dxa"/>
            <w:vAlign w:val="top"/>
          </w:tcPr>
          <w:p w14:paraId="69A24DB1">
            <w:pPr>
              <w:spacing w:before="91"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0.054</w:t>
            </w:r>
          </w:p>
        </w:tc>
        <w:tc>
          <w:tcPr>
            <w:tcW w:w="1843" w:type="dxa"/>
            <w:vAlign w:val="top"/>
          </w:tcPr>
          <w:p w14:paraId="7F0A0DA1">
            <w:pPr>
              <w:spacing w:before="91"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0.232</w:t>
            </w:r>
          </w:p>
        </w:tc>
        <w:tc>
          <w:tcPr>
            <w:tcW w:w="1989" w:type="dxa"/>
            <w:vAlign w:val="top"/>
          </w:tcPr>
          <w:p w14:paraId="43FBD140">
            <w:pPr>
              <w:spacing w:before="91"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0.230</w:t>
            </w:r>
          </w:p>
        </w:tc>
      </w:tr>
    </w:tbl>
    <w:p w14:paraId="0052669E">
      <w:pPr>
        <w:spacing w:before="111" w:line="4451" w:lineRule="exact"/>
        <w:ind w:firstLine="824"/>
      </w:pPr>
      <w:r>
        <mc:AlternateContent>
          <mc:Choice Requires="wps">
            <w:drawing>
              <wp:anchor distT="0" distB="0" distL="0" distR="0" simplePos="0" relativeHeight="251678720" behindDoc="0" locked="0" layoutInCell="1" allowOverlap="1">
                <wp:simplePos x="0" y="0"/>
                <wp:positionH relativeFrom="column">
                  <wp:posOffset>255270</wp:posOffset>
                </wp:positionH>
                <wp:positionV relativeFrom="paragraph">
                  <wp:posOffset>1306830</wp:posOffset>
                </wp:positionV>
                <wp:extent cx="1038860" cy="208280"/>
                <wp:effectExtent l="0" t="0" r="0" b="0"/>
                <wp:wrapNone/>
                <wp:docPr id="94" name="TextBox 94"/>
                <wp:cNvGraphicFramePr/>
                <a:graphic xmlns:a="http://schemas.openxmlformats.org/drawingml/2006/main">
                  <a:graphicData uri="http://schemas.microsoft.com/office/word/2010/wordprocessingShape">
                    <wps:wsp>
                      <wps:cNvSpPr txBox="1"/>
                      <wps:spPr>
                        <a:xfrm rot="16200000">
                          <a:off x="255312" y="1306831"/>
                          <a:ext cx="1038860" cy="20827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664C16E9">
                            <w:pPr>
                              <w:spacing w:before="56" w:line="251" w:lineRule="exact"/>
                              <w:ind w:left="20"/>
                              <w:rPr>
                                <w:rFonts w:ascii="宋体" w:hAnsi="宋体" w:eastAsia="宋体" w:cs="宋体"/>
                                <w:sz w:val="19"/>
                                <w:szCs w:val="19"/>
                              </w:rPr>
                            </w:pPr>
                            <w:r>
                              <w:rPr>
                                <w:rFonts w:ascii="宋体" w:hAnsi="宋体" w:eastAsia="宋体" w:cs="宋体"/>
                                <w:color w:val="595959"/>
                                <w:spacing w:val="4"/>
                                <w:position w:val="1"/>
                                <w:sz w:val="19"/>
                                <w:szCs w:val="19"/>
                              </w:rPr>
                              <w:t>电场强度（</w:t>
                            </w:r>
                            <w:r>
                              <w:rPr>
                                <w:rFonts w:ascii="Times New Roman" w:hAnsi="Times New Roman" w:eastAsia="Times New Roman" w:cs="Times New Roman"/>
                                <w:color w:val="595959"/>
                                <w:position w:val="1"/>
                                <w:sz w:val="19"/>
                                <w:szCs w:val="19"/>
                              </w:rPr>
                              <w:t>kV</w:t>
                            </w:r>
                            <w:r>
                              <w:rPr>
                                <w:rFonts w:ascii="Times New Roman" w:hAnsi="Times New Roman" w:eastAsia="Times New Roman" w:cs="Times New Roman"/>
                                <w:color w:val="595959"/>
                                <w:spacing w:val="4"/>
                                <w:position w:val="1"/>
                                <w:sz w:val="19"/>
                                <w:szCs w:val="19"/>
                              </w:rPr>
                              <w:t>/m</w:t>
                            </w:r>
                            <w:r>
                              <w:rPr>
                                <w:rFonts w:ascii="宋体" w:hAnsi="宋体" w:eastAsia="宋体" w:cs="宋体"/>
                                <w:color w:val="595959"/>
                                <w:spacing w:val="4"/>
                                <w:position w:val="1"/>
                                <w:sz w:val="19"/>
                                <w:szCs w:val="19"/>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94" o:spid="_x0000_s1026" o:spt="202" type="#_x0000_t202" style="position:absolute;left:0pt;margin-left:20.1pt;margin-top:102.9pt;height:16.4pt;width:81.8pt;rotation:-5898240f;z-index:251678720;mso-width-relative:page;mso-height-relative:page;" filled="f" stroked="f" coordsize="21600,21600" o:gfxdata="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A7uvUs2AAAAAoBAAAP&#10;AAAAAAAAAAEAIAAAACIAAABkcnMvZG93bnJldi54bWxQSwECFAAUAAAACACHTuJAJ7GDQlECAACj&#10;BAAADgAAAAAAAAABACAAAAAnAQAAZHJzL2Uyb0RvYy54bWxQSwUGAAAAAAYABgBZAQAA6gUAAAAA&#10;">
                <v:fill on="f" focussize="0,0"/>
                <v:stroke on="f" weight="0pt" miterlimit="0" joinstyle="miter"/>
                <v:imagedata o:title=""/>
                <o:lock v:ext="edit" aspectratio="f"/>
                <v:textbox inset="0mm,0mm,0mm,0mm">
                  <w:txbxContent>
                    <w:p w14:paraId="664C16E9">
                      <w:pPr>
                        <w:spacing w:before="56" w:line="251" w:lineRule="exact"/>
                        <w:ind w:left="20"/>
                        <w:rPr>
                          <w:rFonts w:ascii="宋体" w:hAnsi="宋体" w:eastAsia="宋体" w:cs="宋体"/>
                          <w:sz w:val="19"/>
                          <w:szCs w:val="19"/>
                        </w:rPr>
                      </w:pPr>
                      <w:r>
                        <w:rPr>
                          <w:rFonts w:ascii="宋体" w:hAnsi="宋体" w:eastAsia="宋体" w:cs="宋体"/>
                          <w:color w:val="595959"/>
                          <w:spacing w:val="4"/>
                          <w:position w:val="1"/>
                          <w:sz w:val="19"/>
                          <w:szCs w:val="19"/>
                        </w:rPr>
                        <w:t>电场强度（</w:t>
                      </w:r>
                      <w:r>
                        <w:rPr>
                          <w:rFonts w:ascii="Times New Roman" w:hAnsi="Times New Roman" w:eastAsia="Times New Roman" w:cs="Times New Roman"/>
                          <w:color w:val="595959"/>
                          <w:position w:val="1"/>
                          <w:sz w:val="19"/>
                          <w:szCs w:val="19"/>
                        </w:rPr>
                        <w:t>kV</w:t>
                      </w:r>
                      <w:r>
                        <w:rPr>
                          <w:rFonts w:ascii="Times New Roman" w:hAnsi="Times New Roman" w:eastAsia="Times New Roman" w:cs="Times New Roman"/>
                          <w:color w:val="595959"/>
                          <w:spacing w:val="4"/>
                          <w:position w:val="1"/>
                          <w:sz w:val="19"/>
                          <w:szCs w:val="19"/>
                        </w:rPr>
                        <w:t>/m</w:t>
                      </w:r>
                      <w:r>
                        <w:rPr>
                          <w:rFonts w:ascii="宋体" w:hAnsi="宋体" w:eastAsia="宋体" w:cs="宋体"/>
                          <w:color w:val="595959"/>
                          <w:spacing w:val="4"/>
                          <w:position w:val="1"/>
                          <w:sz w:val="19"/>
                          <w:szCs w:val="19"/>
                        </w:rPr>
                        <w:t>）</w:t>
                      </w:r>
                    </w:p>
                  </w:txbxContent>
                </v:textbox>
              </v:shape>
            </w:pict>
          </mc:Fallback>
        </mc:AlternateContent>
      </w:r>
      <w:r>
        <w:rPr>
          <w:position w:val="-89"/>
        </w:rPr>
        <w:pict>
          <v:group id="_x0000_s1244" o:spid="_x0000_s1244" o:spt="203" style="height:222.55pt;width:370.5pt;" coordsize="7410,4451">
            <o:lock v:ext="edit"/>
            <v:group id="_x0000_s1245" o:spid="_x0000_s1245" o:spt="203" style="position:absolute;left:0;top:0;height:4451;width:7410;" coordsize="7410,4451">
              <o:lock v:ext="edit"/>
              <v:shape id="_x0000_s1246" o:spid="_x0000_s1246" style="position:absolute;left:1000;top:753;height:2725;width:6127;" filled="f" stroked="t" coordsize="6127,2725" path="m0,2717l6126,2717m0,2621l6126,2621m0,2522l6126,2522m0,2426l6126,2426m0,2232l6126,2232m0,2136l6126,2136m0,2040l6126,2040m0,1944l6126,1944m0,1749l6126,1749m0,1653l6126,1653m0,1555l6126,1555m0,1459l6126,1459m0,1265l6126,1265m0,1169l6126,1169m0,1073l6126,1073m0,974l6126,974m0,782l6126,782m0,686l6126,686m0,588l6126,588m0,492l6126,492m0,297l6126,297m0,201l6126,201m0,105l6126,105m0,7l6126,7e">
                <v:fill on="f" focussize="0,0"/>
                <v:stroke color="#F2F2F2" miterlimit="10"/>
                <v:imagedata o:title=""/>
                <o:lock v:ext="edit"/>
              </v:shape>
              <v:shape id="_x0000_s1247" o:spid="_x0000_s1247" style="position:absolute;left:1000;top:657;height:2435;width:6127;" filled="f" stroked="t" coordsize="6127,2435" path="m0,2426l6126,2426m0,1941l6126,1941m0,1459l6126,1459m0,974l6126,974m0,492l6126,492m0,7l6126,7e">
                <v:fill on="f" focussize="0,0"/>
                <v:stroke color="#D9D9D9" miterlimit="10"/>
                <v:imagedata o:title=""/>
                <o:lock v:ext="edit"/>
              </v:shape>
              <v:shape id="_x0000_s1248" o:spid="_x0000_s1248" style="position:absolute;left:1145;top:664;height:2902;width:5777;" filled="f" stroked="t" coordsize="5777,2902" path="m7,0l7,2902m309,0l309,2902m614,0l614,2902m917,0l917,2902m1219,0l1219,2902m1524,0l1524,2902m1826,0l1826,2902m2129,0l2129,2902m2433,0l2433,2902m2736,0l2736,2902m3041,0l3041,2902m3343,0l3343,2902m3645,0l3645,2902m3950,0l3950,2902m4253,0l4253,2902m4555,0l4555,2902m4860,0l4860,2902m5162,0l5162,2902m5467,0l5467,2902m5769,0l5769,2902e">
                <v:fill on="f" focussize="0,0"/>
                <v:stroke color="#F2F2F2" miterlimit="10"/>
                <v:imagedata o:title=""/>
                <o:lock v:ext="edit"/>
              </v:shape>
              <v:shape id="_x0000_s1249" o:spid="_x0000_s1249" style="position:absolute;left:993;top:664;height:2902;width:6080;" filled="f" stroked="t" coordsize="6080,2902" path="m7,0l7,2902m310,0l310,2902m613,0l613,2902m917,0l917,2902m1220,0l1220,2902m1525,0l1525,2902m1827,0l1827,2902m2129,0l2129,2902m2434,0l2434,2902m2737,0l2737,2902m3039,0l3039,2902m3344,0l3344,2902m3646,0l3646,2902m3951,0l3951,2902m4253,0l4253,2902m4556,0l4556,2902m4861,0l4861,2902m5163,0l5163,2902m5465,0l5465,2902m5770,0l5770,2902m6073,0l6073,2902e">
                <v:fill on="f" focussize="0,0"/>
                <v:stroke color="#D9D9D9" miterlimit="10"/>
                <v:imagedata o:title=""/>
                <o:lock v:ext="edit"/>
              </v:shape>
              <v:shape id="_x0000_s1250" o:spid="_x0000_s1250" style="position:absolute;left:993;top:3513;height:106;width:6135;" filled="f" stroked="t" coordsize="6135,106" path="m7,53l6134,53m7,0l7,106m310,0l310,106m613,0l613,106m917,0l917,106m1220,0l1220,106m1525,0l1525,106m1827,0l1827,106m2129,0l2129,106m2434,0l2434,106m2737,0l2737,106m3039,0l3039,106m3344,0l3344,106m3646,0l3646,106m3951,0l3951,106m4253,0l4253,106m4556,0l4556,106m4861,0l4861,106m5163,0l5163,106m5465,0l5465,106m5770,0l5770,106m6073,0l6073,106e">
                <v:fill on="f" focussize="0,0"/>
                <v:stroke color="#000000" miterlimit="10"/>
                <v:imagedata o:title=""/>
                <o:lock v:ext="edit"/>
              </v:shape>
              <v:shape id="_x0000_s1251" o:spid="_x0000_s1251" style="position:absolute;left:1016;top:1032;height:2526;width:6095;" filled="f" stroked="t" coordsize="6095,2526" path="m15,2507c35,2506,55,2506,75,2505c95,2505,116,2504,136,2503c156,2503,176,2503,196,2502c217,2501,237,2500,257,2499c277,2499,297,2498,318,2498c338,2497,358,2496,378,2495c399,2494,419,2494,439,2493c459,2492,480,2491,500,2490c520,2489,540,2488,560,2487c580,2486,601,2484,621,2483c641,2482,661,2481,682,2480c702,2478,722,2477,742,2475c762,2474,783,2472,803,2470c823,2469,843,2467,864,2465c884,2463,904,2461,924,2459c945,2457,965,2455,985,2453c1005,2450,1026,2448,1046,2445c1066,2443,1086,2440,1106,2437c1126,2434,1147,2430,1167,2427c1187,2423,1207,2420,1228,2416c1248,2412,1268,2407,1288,2403c1308,2398,1329,2393,1349,2388c1369,2382,1389,2377,1410,2371c1430,2365,1450,2358,1470,2350c1490,2343,1511,2336,1531,2327c1551,2319,1571,2309,1591,2299c1612,2289,1632,2278,1652,2266c1672,2254,1693,2242,1713,2227c1733,2213,1753,2197,1773,2180c1794,2162,1814,2144,1834,2123c1855,2102,1875,2079,1895,2053c1915,2028,1935,2000,1955,1969c1976,1938,1996,1905,2016,1866c2036,1828,2057,1786,2077,1739c2097,1693,2117,1642,2137,1585c2158,1528,2178,1465,2198,1397c2218,1328,2238,1253,2259,1172c2279,1091,2299,1003,2319,912c2340,821,2360,721,2380,627c2400,533,2420,431,2441,346c2461,262,2481,176,2501,121c2522,66,2542,23,2562,15c2579,9,2606,37,2623,77c2643,126,2663,211,2683,306c2704,402,2724,527,2744,650c2764,772,2785,912,2805,1041c2825,1170,2845,1306,2865,1424c2886,1541,2906,1663,2926,1749c2946,1835,2967,1916,2987,1939c3001,1956,3033,1927,3047,1891c3067,1841,3088,1739,3108,1638c3128,1538,3148,1412,3169,1289c3189,1167,3209,1030,3229,904c3249,777,3270,643,3290,533c3310,422,3330,314,3351,240c3371,166,3391,111,3411,90c3428,72,3455,86,3472,114c3492,146,3512,213,3533,284c3553,355,3573,451,3593,541c3613,631,3634,733,3654,825c3674,918,3694,1012,3715,1097c3735,1182,3755,1262,3775,1336c3795,1409,3816,1476,3836,1538c3856,1599,3876,1655,3897,1705c3917,1756,3937,1800,3957,1842c3977,1883,3998,1919,4018,1952c4038,1986,4058,2015,4078,2042c4099,2070,4119,2094,4139,2116c4159,2138,4180,2158,4200,2176c4220,2195,4240,2211,4260,2226c4281,2241,4301,2254,4321,2267c4341,2279,4362,2290,4382,2301c4402,2311,4422,2320,4442,2329c4463,2338,4483,2346,4503,2353c4523,2361,4543,2367,4564,2374c4584,2380,4604,2386,4625,2391c4645,2396,4665,2401,4685,2406c4705,2411,4725,2415,4746,2419c4766,2423,4786,2426,4807,2430c4827,2433,4847,2436,4867,2439c4887,2443,4907,2446,4928,2448c4948,2451,4968,2453,4988,2455c5009,2458,5029,2460,5049,2462c5069,2464,5089,2466,5110,2468c5130,2469,5150,2471,5170,2473c5191,2475,5211,2476,5231,2478c5251,2479,5271,2480,5292,2482c5312,2483,5332,2484,5352,2485c5372,2487,5393,2487,5413,2488c5433,2489,5453,2491,5474,2492c5494,2493,5514,2493,5534,2494c5555,2495,5575,2496,5595,2497c5615,2497,5635,2498,5656,2499c5676,2500,5696,2500,5716,2501c5737,2502,5757,2502,5777,2503c5797,2503,5817,2504,5838,2505c5858,2505,5878,2506,5898,2506c5918,2507,5939,2507,5959,2508c5979,2508,5999,2509,6020,2509c6040,2510,6060,2510,6080,2510e">
                <v:fill on="f" focussize="0,0"/>
                <v:stroke weight="1.5pt" color="#FF0000" miterlimit="10" endcap="round"/>
                <v:imagedata o:title=""/>
                <o:lock v:ext="edit"/>
              </v:shape>
              <v:shape id="_x0000_s1252" o:spid="_x0000_s1252" style="position:absolute;left:1016;top:1734;height:1823;width:6095;" filled="f" stroked="t" coordsize="6095,1823" path="m15,1801c35,1801,55,1800,75,1800c95,1799,116,1798,136,1797c156,1797,176,1796,196,1795c217,1795,237,1794,257,1793c277,1792,297,1791,318,1791c338,1790,358,1789,378,1788c399,1787,419,1786,439,1785c459,1784,480,1783,500,1781c520,1780,540,1779,560,1778c580,1777,601,1775,621,1774c641,1772,661,1771,682,1769c702,1768,722,1766,742,1764c762,1763,783,1761,803,1759c823,1757,843,1755,864,1753c884,1751,904,1748,924,1746c945,1743,965,1741,985,1738c1005,1736,1026,1733,1046,1730c1066,1727,1086,1723,1106,1719c1126,1716,1147,1712,1167,1708c1187,1704,1207,1700,1228,1696c1248,1691,1268,1686,1288,1681c1308,1676,1329,1671,1349,1665c1369,1659,1389,1653,1410,1646c1430,1639,1450,1632,1470,1624c1490,1616,1511,1608,1531,1599c1551,1589,1571,1580,1591,1569c1612,1558,1632,1547,1652,1534c1672,1522,1693,1509,1713,1494c1733,1479,1753,1464,1773,1446c1794,1429,1814,1410,1834,1390c1855,1370,1875,1348,1895,1324c1915,1300,1935,1274,1955,1245c1976,1217,1996,1187,2016,1154c2036,1120,2057,1084,2077,1045c2097,1006,2117,965,2137,920c2158,875,2178,827,2198,777c2218,727,2238,673,2259,618c2279,564,2299,506,2319,451c2340,395,2360,337,2380,285c2400,234,2420,181,2441,141c2461,101,2481,64,2501,43c2522,22,2542,10,2562,16c2582,21,2602,41,2623,75c2643,109,2663,161,2683,221c2704,281,2724,357,2744,435c2764,513,2785,603,2805,690c2825,777,2845,872,2865,956c2886,1041,2906,1132,2926,1197c2946,1262,2967,1327,2987,1346c3003,1362,3031,1343,3047,1312c3067,1275,3088,1196,3108,1123c3128,1049,3148,957,3169,871c3189,786,3209,694,3229,612c3249,529,3270,446,3290,376c3310,307,3330,242,3351,195c3371,147,3391,111,3411,91c3431,71,3452,67,3472,75c3492,83,3512,108,3533,139c3553,170,3573,215,3593,261c3613,307,3634,363,3654,416c3674,470,3694,528,3715,582c3735,637,3755,692,3775,743c3795,795,3816,845,3836,892c3856,938,3876,982,3897,1023c3917,1064,3937,1101,3957,1137c3977,1172,3998,1204,4018,1234c4038,1264,4058,1291,4078,1316c4099,1341,4119,1364,4139,1386c4159,1407,4180,1426,4200,1444c4220,1462,4240,1479,4260,1494c4281,1509,4301,1523,4321,1536c4341,1549,4362,1560,4382,1571c4402,1582,4422,1593,4442,1602c4463,1611,4483,1620,4503,1628c4523,1636,4543,1643,4564,1650c4584,1657,4604,1664,4625,1670c4645,1676,4665,1681,4685,1686c4705,1691,4725,1696,4746,1701c4766,1705,4786,1709,4807,1713c4827,1717,4847,1720,4867,1724c4887,1727,4907,1730,4928,1734c4948,1737,4968,1739,4988,1742c5009,1745,5029,1748,5049,1750c5069,1752,5089,1755,5110,1757c5130,1759,5150,1761,5170,1763c5191,1764,5211,1766,5231,1768c5251,1770,5271,1771,5292,1773c5312,1774,5332,1776,5352,1777c5372,1778,5393,1780,5413,1781c5433,1782,5453,1783,5474,1784c5494,1785,5514,1787,5534,1788c5555,1789,5575,1790,5595,1791c5615,1791,5635,1792,5656,1793c5676,1794,5696,1795,5716,1795c5737,1796,5757,1797,5777,1798c5797,1799,5817,1799,5838,1800c5858,1800,5878,1801,5898,1802c5918,1802,5939,1803,5959,1803c5979,1804,5999,1804,6020,1805c6040,1805,6060,1806,6080,1807e">
                <v:fill on="f" focussize="0,0"/>
                <v:stroke weight="1.5pt" color="#00B050" miterlimit="10" endcap="round"/>
                <v:imagedata o:title=""/>
                <o:lock v:ext="edit"/>
              </v:shape>
              <v:shape id="_x0000_s1253" o:spid="_x0000_s1253" style="position:absolute;left:2923;top:271;height:30;width:415;" filled="f" stroked="t" coordsize="415,30" path="m15,15l399,15e">
                <v:fill on="f" focussize="0,0"/>
                <v:stroke weight="1.5pt" color="#FF0000" miterlimit="10" endcap="round"/>
                <v:imagedata o:title=""/>
                <o:lock v:ext="edit"/>
              </v:shape>
              <v:shape id="_x0000_s1254" o:spid="_x0000_s1254" style="position:absolute;left:3871;top:271;height:30;width:415;" filled="f" stroked="t" coordsize="415,30" path="m15,15l399,15e">
                <v:fill on="f" focussize="0,0"/>
                <v:stroke weight="1.5pt" color="#00B050" miterlimit="10" endcap="round"/>
                <v:imagedata o:title=""/>
                <o:lock v:ext="edit"/>
              </v:shape>
              <v:shape id="_x0000_s1255" o:spid="_x0000_s1255" style="position:absolute;left:0;top:0;height:4451;width:7410;" filled="f" stroked="t" coordsize="7410,4451" path="m7,4443l7401,4443,7401,7,7,7,7,4443xe">
                <v:fill on="f" focussize="0,0"/>
                <v:stroke color="#000000" miterlimit="10"/>
                <v:imagedata o:title=""/>
                <o:lock v:ext="edit"/>
              </v:shape>
            </v:group>
            <v:shape id="_x0000_s1256" o:spid="_x0000_s1256" o:spt="202" type="#_x0000_t202" style="position:absolute;left:560;top:198;height:3002;width:4003;" filled="f" stroked="f" coordsize="21600,21600">
              <v:path/>
              <v:fill on="f" focussize="0,0"/>
              <v:stroke on="f"/>
              <v:imagedata o:title=""/>
              <o:lock v:ext="edit" aspectratio="f"/>
              <v:textbox inset="0mm,0mm,0mm,0mm">
                <w:txbxContent>
                  <w:p w14:paraId="0EACE386">
                    <w:pPr>
                      <w:spacing w:before="19" w:line="445" w:lineRule="auto"/>
                      <w:ind w:left="24" w:right="20" w:firstLine="2786"/>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6.5m</w:t>
                    </w:r>
                    <w:r>
                      <w:rPr>
                        <w:rFonts w:ascii="Times New Roman" w:hAnsi="Times New Roman" w:eastAsia="Times New Roman" w:cs="Times New Roman"/>
                        <w:color w:val="595959"/>
                        <w:sz w:val="18"/>
                        <w:szCs w:val="18"/>
                      </w:rPr>
                      <w:t xml:space="preserve">             </w:t>
                    </w:r>
                    <w:r>
                      <w:rPr>
                        <w:rFonts w:ascii="Times New Roman" w:hAnsi="Times New Roman" w:eastAsia="Times New Roman" w:cs="Times New Roman"/>
                        <w:color w:val="595959"/>
                        <w:spacing w:val="-3"/>
                        <w:sz w:val="18"/>
                        <w:szCs w:val="18"/>
                      </w:rPr>
                      <w:t>8m</w:t>
                    </w:r>
                    <w:r>
                      <w:rPr>
                        <w:rFonts w:ascii="Times New Roman" w:hAnsi="Times New Roman" w:eastAsia="Times New Roman" w:cs="Times New Roman"/>
                        <w:color w:val="595959"/>
                        <w:spacing w:val="9"/>
                        <w:sz w:val="18"/>
                        <w:szCs w:val="18"/>
                      </w:rPr>
                      <w:t xml:space="preserve"> </w:t>
                    </w:r>
                    <w:r>
                      <w:rPr>
                        <w:rFonts w:ascii="Times New Roman" w:hAnsi="Times New Roman" w:eastAsia="Times New Roman" w:cs="Times New Roman"/>
                        <w:color w:val="595959"/>
                        <w:spacing w:val="-3"/>
                        <w:sz w:val="18"/>
                        <w:szCs w:val="18"/>
                      </w:rPr>
                      <w:t>6.0</w:t>
                    </w:r>
                  </w:p>
                  <w:p w14:paraId="0CFB8BDF">
                    <w:pPr>
                      <w:spacing w:before="95" w:line="232" w:lineRule="auto"/>
                      <w:ind w:left="25"/>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5.0</w:t>
                    </w:r>
                  </w:p>
                  <w:p w14:paraId="5CD21906">
                    <w:pPr>
                      <w:spacing w:before="283"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1"/>
                        <w:sz w:val="18"/>
                        <w:szCs w:val="18"/>
                      </w:rPr>
                      <w:t>4.0</w:t>
                    </w:r>
                  </w:p>
                  <w:p w14:paraId="78FBD1A5">
                    <w:pPr>
                      <w:spacing w:before="283" w:line="232" w:lineRule="auto"/>
                      <w:ind w:left="24"/>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3.0</w:t>
                    </w:r>
                  </w:p>
                  <w:p w14:paraId="4E9E1003">
                    <w:pPr>
                      <w:spacing w:before="284"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1"/>
                        <w:sz w:val="18"/>
                        <w:szCs w:val="18"/>
                      </w:rPr>
                      <w:t>2.0</w:t>
                    </w:r>
                  </w:p>
                  <w:p w14:paraId="62FF96FF">
                    <w:pPr>
                      <w:spacing w:before="284" w:line="232" w:lineRule="auto"/>
                      <w:ind w:left="38"/>
                      <w:rPr>
                        <w:rFonts w:ascii="Times New Roman" w:hAnsi="Times New Roman" w:eastAsia="Times New Roman" w:cs="Times New Roman"/>
                        <w:sz w:val="18"/>
                        <w:szCs w:val="18"/>
                      </w:rPr>
                    </w:pPr>
                    <w:r>
                      <w:rPr>
                        <w:rFonts w:ascii="Times New Roman" w:hAnsi="Times New Roman" w:eastAsia="Times New Roman" w:cs="Times New Roman"/>
                        <w:color w:val="595959"/>
                        <w:spacing w:val="-7"/>
                        <w:sz w:val="18"/>
                        <w:szCs w:val="18"/>
                      </w:rPr>
                      <w:t>1.0</w:t>
                    </w:r>
                  </w:p>
                </w:txbxContent>
              </v:textbox>
            </v:shape>
            <v:shape id="_x0000_s1257" o:spid="_x0000_s1257" o:spt="202" type="#_x0000_t202" style="position:absolute;left:564;top:3480;height:719;width:6645;" filled="f" stroked="f" coordsize="21600,21600">
              <v:path/>
              <v:fill on="f" focussize="0,0"/>
              <v:stroke on="f"/>
              <v:imagedata o:title=""/>
              <o:lock v:ext="edit" aspectratio="f"/>
              <v:textbox inset="0mm,0mm,0mm,0mm">
                <w:txbxContent>
                  <w:p w14:paraId="42A7E22C">
                    <w:pPr>
                      <w:spacing w:before="20"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0.0</w:t>
                    </w:r>
                  </w:p>
                  <w:p w14:paraId="0013E661">
                    <w:pPr>
                      <w:spacing w:before="10" w:line="277" w:lineRule="auto"/>
                      <w:ind w:left="2534" w:right="20" w:hanging="2180"/>
                      <w:rPr>
                        <w:rFonts w:ascii="宋体" w:hAnsi="宋体" w:eastAsia="宋体" w:cs="宋体"/>
                        <w:sz w:val="19"/>
                        <w:szCs w:val="19"/>
                      </w:rPr>
                    </w:pPr>
                    <w:r>
                      <w:rPr>
                        <w:rFonts w:ascii="Times New Roman" w:hAnsi="Times New Roman" w:eastAsia="Times New Roman" w:cs="Times New Roman"/>
                        <w:color w:val="595959"/>
                        <w:spacing w:val="-2"/>
                        <w:sz w:val="18"/>
                        <w:szCs w:val="18"/>
                      </w:rPr>
                      <w:t>-50</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-45</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-40</w:t>
                    </w:r>
                    <w:r>
                      <w:rPr>
                        <w:rFonts w:ascii="Times New Roman" w:hAnsi="Times New Roman" w:eastAsia="Times New Roman" w:cs="Times New Roman"/>
                        <w:color w:val="595959"/>
                        <w:spacing w:val="26"/>
                        <w:w w:val="102"/>
                        <w:sz w:val="18"/>
                        <w:szCs w:val="18"/>
                      </w:rPr>
                      <w:t xml:space="preserve"> </w:t>
                    </w:r>
                    <w:r>
                      <w:rPr>
                        <w:rFonts w:ascii="Times New Roman" w:hAnsi="Times New Roman" w:eastAsia="Times New Roman" w:cs="Times New Roman"/>
                        <w:color w:val="595959"/>
                        <w:spacing w:val="-2"/>
                        <w:sz w:val="18"/>
                        <w:szCs w:val="18"/>
                      </w:rPr>
                      <w:t>-35</w:t>
                    </w:r>
                    <w:r>
                      <w:rPr>
                        <w:rFonts w:ascii="Times New Roman" w:hAnsi="Times New Roman" w:eastAsia="Times New Roman" w:cs="Times New Roman"/>
                        <w:color w:val="595959"/>
                        <w:spacing w:val="26"/>
                        <w:w w:val="101"/>
                        <w:sz w:val="18"/>
                        <w:szCs w:val="18"/>
                      </w:rPr>
                      <w:t xml:space="preserve"> </w:t>
                    </w:r>
                    <w:r>
                      <w:rPr>
                        <w:rFonts w:ascii="Times New Roman" w:hAnsi="Times New Roman" w:eastAsia="Times New Roman" w:cs="Times New Roman"/>
                        <w:color w:val="595959"/>
                        <w:spacing w:val="-2"/>
                        <w:sz w:val="18"/>
                        <w:szCs w:val="18"/>
                      </w:rPr>
                      <w:t>-30</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-25</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-20</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-15</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-10</w:t>
                    </w:r>
                    <w:r>
                      <w:rPr>
                        <w:rFonts w:ascii="Times New Roman" w:hAnsi="Times New Roman" w:eastAsia="Times New Roman" w:cs="Times New Roman"/>
                        <w:color w:val="595959"/>
                        <w:spacing w:val="13"/>
                        <w:w w:val="101"/>
                        <w:sz w:val="18"/>
                        <w:szCs w:val="18"/>
                      </w:rPr>
                      <w:t xml:space="preserve">  </w:t>
                    </w:r>
                    <w:r>
                      <w:rPr>
                        <w:rFonts w:ascii="Times New Roman" w:hAnsi="Times New Roman" w:eastAsia="Times New Roman" w:cs="Times New Roman"/>
                        <w:color w:val="595959"/>
                        <w:spacing w:val="-2"/>
                        <w:sz w:val="18"/>
                        <w:szCs w:val="18"/>
                      </w:rPr>
                      <w:t>-5    0     5    1</w:t>
                    </w:r>
                    <w:r>
                      <w:rPr>
                        <w:rFonts w:ascii="Times New Roman" w:hAnsi="Times New Roman" w:eastAsia="Times New Roman" w:cs="Times New Roman"/>
                        <w:color w:val="595959"/>
                        <w:spacing w:val="-3"/>
                        <w:sz w:val="18"/>
                        <w:szCs w:val="18"/>
                      </w:rPr>
                      <w:t>0</w:t>
                    </w:r>
                    <w:r>
                      <w:rPr>
                        <w:rFonts w:ascii="Times New Roman" w:hAnsi="Times New Roman" w:eastAsia="Times New Roman" w:cs="Times New Roman"/>
                        <w:color w:val="595959"/>
                        <w:spacing w:val="2"/>
                        <w:sz w:val="18"/>
                        <w:szCs w:val="18"/>
                      </w:rPr>
                      <w:t xml:space="preserve">   </w:t>
                    </w:r>
                    <w:r>
                      <w:rPr>
                        <w:rFonts w:ascii="Times New Roman" w:hAnsi="Times New Roman" w:eastAsia="Times New Roman" w:cs="Times New Roman"/>
                        <w:color w:val="595959"/>
                        <w:spacing w:val="-3"/>
                        <w:sz w:val="18"/>
                        <w:szCs w:val="18"/>
                      </w:rPr>
                      <w:t>15   20   25   30   35   40   45   50</w:t>
                    </w:r>
                    <w:r>
                      <w:rPr>
                        <w:rFonts w:ascii="宋体" w:hAnsi="宋体" w:eastAsia="宋体" w:cs="宋体"/>
                        <w:color w:val="595959"/>
                        <w:spacing w:val="7"/>
                        <w:sz w:val="19"/>
                        <w:szCs w:val="19"/>
                      </w:rPr>
                      <w:t>距线路中心距离（</w:t>
                    </w:r>
                    <w:r>
                      <w:rPr>
                        <w:rFonts w:ascii="Times New Roman" w:hAnsi="Times New Roman" w:eastAsia="Times New Roman" w:cs="Times New Roman"/>
                        <w:color w:val="595959"/>
                        <w:spacing w:val="7"/>
                        <w:sz w:val="19"/>
                        <w:szCs w:val="19"/>
                      </w:rPr>
                      <w:t>m</w:t>
                    </w:r>
                    <w:r>
                      <w:rPr>
                        <w:rFonts w:ascii="宋体" w:hAnsi="宋体" w:eastAsia="宋体" w:cs="宋体"/>
                        <w:color w:val="595959"/>
                        <w:spacing w:val="7"/>
                        <w:sz w:val="19"/>
                        <w:szCs w:val="19"/>
                      </w:rPr>
                      <w:t>）</w:t>
                    </w:r>
                  </w:p>
                </w:txbxContent>
              </v:textbox>
            </v:shape>
            <w10:wrap type="none"/>
            <w10:anchorlock/>
          </v:group>
        </w:pict>
      </w:r>
    </w:p>
    <w:p w14:paraId="60C6A86B">
      <w:pPr>
        <w:spacing w:before="246" w:line="234" w:lineRule="auto"/>
        <w:ind w:left="1908"/>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45"/>
          <w:sz w:val="21"/>
          <w:szCs w:val="21"/>
        </w:rPr>
        <w:t xml:space="preserve"> </w:t>
      </w:r>
      <w:r>
        <w:rPr>
          <w:rFonts w:ascii="Times New Roman" w:hAnsi="Times New Roman" w:eastAsia="Times New Roman" w:cs="Times New Roman"/>
          <w:b/>
          <w:bCs/>
          <w:spacing w:val="-3"/>
          <w:sz w:val="21"/>
          <w:szCs w:val="21"/>
        </w:rPr>
        <w:t>4-7    DE</w:t>
      </w:r>
      <w:r>
        <w:rPr>
          <w:rFonts w:ascii="Times New Roman" w:hAnsi="Times New Roman" w:eastAsia="Times New Roman" w:cs="Times New Roman"/>
          <w:b/>
          <w:bCs/>
          <w:spacing w:val="28"/>
          <w:sz w:val="21"/>
          <w:szCs w:val="21"/>
        </w:rPr>
        <w:t xml:space="preserve"> </w:t>
      </w:r>
      <w:r>
        <w:rPr>
          <w:rFonts w:ascii="宋体" w:hAnsi="宋体" w:eastAsia="宋体" w:cs="宋体"/>
          <w:b/>
          <w:bCs/>
          <w:spacing w:val="-3"/>
          <w:sz w:val="21"/>
          <w:szCs w:val="21"/>
        </w:rPr>
        <w:t>回线单回三角排列最不利塔型电场强度分</w:t>
      </w:r>
      <w:r>
        <w:rPr>
          <w:rFonts w:ascii="宋体" w:hAnsi="宋体" w:eastAsia="宋体" w:cs="宋体"/>
          <w:b/>
          <w:bCs/>
          <w:spacing w:val="-4"/>
          <w:sz w:val="21"/>
          <w:szCs w:val="21"/>
        </w:rPr>
        <w:t>布图</w:t>
      </w:r>
    </w:p>
    <w:p w14:paraId="77E40C1C">
      <w:pPr>
        <w:spacing w:line="234" w:lineRule="auto"/>
        <w:rPr>
          <w:rFonts w:ascii="宋体" w:hAnsi="宋体" w:eastAsia="宋体" w:cs="宋体"/>
          <w:sz w:val="21"/>
          <w:szCs w:val="21"/>
        </w:rPr>
        <w:sectPr>
          <w:footerReference r:id="rId116" w:type="default"/>
          <w:pgSz w:w="11907" w:h="16841"/>
          <w:pgMar w:top="400" w:right="1411" w:bottom="1126" w:left="1416" w:header="0" w:footer="925" w:gutter="0"/>
          <w:cols w:space="720" w:num="1"/>
        </w:sectPr>
      </w:pPr>
    </w:p>
    <w:p w14:paraId="5F83FD0E">
      <w:pPr>
        <w:spacing w:line="264" w:lineRule="auto"/>
        <w:rPr>
          <w:rFonts w:ascii="Arial"/>
          <w:sz w:val="21"/>
        </w:rPr>
      </w:pPr>
    </w:p>
    <w:p w14:paraId="2E3D2EC9">
      <w:pPr>
        <w:spacing w:line="264" w:lineRule="auto"/>
        <w:rPr>
          <w:rFonts w:ascii="Arial"/>
          <w:sz w:val="21"/>
        </w:rPr>
      </w:pPr>
    </w:p>
    <w:p w14:paraId="74DF91D2">
      <w:pPr>
        <w:spacing w:line="264" w:lineRule="auto"/>
        <w:rPr>
          <w:rFonts w:ascii="Arial"/>
          <w:sz w:val="21"/>
        </w:rPr>
      </w:pPr>
    </w:p>
    <w:p w14:paraId="3AF52E35">
      <w:pPr>
        <w:spacing w:line="264" w:lineRule="auto"/>
        <w:rPr>
          <w:rFonts w:ascii="Arial"/>
          <w:sz w:val="21"/>
        </w:rPr>
      </w:pPr>
    </w:p>
    <w:p w14:paraId="5AF4C046">
      <w:pPr>
        <w:spacing w:line="264" w:lineRule="auto"/>
        <w:rPr>
          <w:rFonts w:ascii="Arial"/>
          <w:sz w:val="21"/>
        </w:rPr>
      </w:pPr>
    </w:p>
    <w:p w14:paraId="7C5FD3B8">
      <w:pPr>
        <w:spacing w:line="4451" w:lineRule="exact"/>
        <w:ind w:firstLine="824"/>
      </w:pPr>
      <w:r>
        <mc:AlternateContent>
          <mc:Choice Requires="wps">
            <w:drawing>
              <wp:anchor distT="0" distB="0" distL="0" distR="0" simplePos="0" relativeHeight="251679744" behindDoc="0" locked="0" layoutInCell="1" allowOverlap="1">
                <wp:simplePos x="0" y="0"/>
                <wp:positionH relativeFrom="column">
                  <wp:posOffset>252730</wp:posOffset>
                </wp:positionH>
                <wp:positionV relativeFrom="paragraph">
                  <wp:posOffset>1257300</wp:posOffset>
                </wp:positionV>
                <wp:extent cx="1042670" cy="180340"/>
                <wp:effectExtent l="0" t="0" r="0" b="0"/>
                <wp:wrapNone/>
                <wp:docPr id="96" name="TextBox 96"/>
                <wp:cNvGraphicFramePr/>
                <a:graphic xmlns:a="http://schemas.openxmlformats.org/drawingml/2006/main">
                  <a:graphicData uri="http://schemas.microsoft.com/office/word/2010/wordprocessingShape">
                    <wps:wsp>
                      <wps:cNvSpPr txBox="1"/>
                      <wps:spPr>
                        <a:xfrm rot="16200000">
                          <a:off x="253229" y="1257933"/>
                          <a:ext cx="1042669" cy="18033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11282552">
                            <w:pPr>
                              <w:spacing w:before="34" w:line="222" w:lineRule="auto"/>
                              <w:ind w:left="20"/>
                              <w:rPr>
                                <w:rFonts w:ascii="宋体" w:hAnsi="宋体" w:eastAsia="宋体" w:cs="宋体"/>
                                <w:sz w:val="19"/>
                                <w:szCs w:val="19"/>
                              </w:rPr>
                            </w:pPr>
                            <w:r>
                              <w:rPr>
                                <w:rFonts w:ascii="宋体" w:hAnsi="宋体" w:eastAsia="宋体" w:cs="宋体"/>
                                <w:color w:val="595959"/>
                                <w:sz w:val="19"/>
                                <w:szCs w:val="19"/>
                              </w:rPr>
                              <w:t>磁感应强度</w:t>
                            </w:r>
                            <w:r>
                              <w:rPr>
                                <w:rFonts w:ascii="宋体" w:hAnsi="宋体" w:eastAsia="宋体" w:cs="宋体"/>
                                <w:color w:val="595959"/>
                                <w:spacing w:val="18"/>
                                <w:sz w:val="19"/>
                                <w:szCs w:val="19"/>
                              </w:rPr>
                              <w:t xml:space="preserve"> </w:t>
                            </w:r>
                            <w:r>
                              <w:rPr>
                                <w:rFonts w:ascii="宋体" w:hAnsi="宋体" w:eastAsia="宋体" w:cs="宋体"/>
                                <w:color w:val="595959"/>
                                <w:sz w:val="19"/>
                                <w:szCs w:val="19"/>
                              </w:rPr>
                              <w:t>(</w:t>
                            </w:r>
                            <w:r>
                              <w:rPr>
                                <w:rFonts w:ascii="宋体" w:hAnsi="宋体" w:eastAsia="宋体" w:cs="宋体"/>
                                <w:color w:val="595959"/>
                                <w:spacing w:val="-55"/>
                                <w:sz w:val="19"/>
                                <w:szCs w:val="19"/>
                              </w:rPr>
                              <w:t xml:space="preserve"> </w:t>
                            </w:r>
                            <w:r>
                              <w:rPr>
                                <w:rFonts w:ascii="Times New Roman" w:hAnsi="Times New Roman" w:eastAsia="Times New Roman" w:cs="Times New Roman"/>
                                <w:color w:val="595959"/>
                                <w:sz w:val="19"/>
                                <w:szCs w:val="19"/>
                              </w:rPr>
                              <w:t>μT</w:t>
                            </w:r>
                            <w:r>
                              <w:rPr>
                                <w:rFonts w:ascii="宋体" w:hAnsi="宋体" w:eastAsia="宋体" w:cs="宋体"/>
                                <w:color w:val="595959"/>
                                <w:sz w:val="19"/>
                                <w:szCs w:val="19"/>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96" o:spid="_x0000_s1026" o:spt="202" type="#_x0000_t202" style="position:absolute;left:0pt;margin-left:19.9pt;margin-top:99pt;height:14.2pt;width:82.1pt;rotation:-5898240f;z-index:251679744;mso-width-relative:page;mso-height-relative:page;" filled="f" stroked="f" coordsize="21600,21600" o:gfxdata="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ahPActgAAAAKAQAADwAA&#10;AAAAAAABACAAAAAiAAAAZHJzL2Rvd25yZXYueG1sUEsBAhQAFAAAAAgAh07iQA9vZYtPAgAAowQA&#10;AA4AAAAAAAAAAQAgAAAAJwEAAGRycy9lMm9Eb2MueG1sUEsFBgAAAAAGAAYAWQEAAOgFAAAAAA==&#10;">
                <v:fill on="f" focussize="0,0"/>
                <v:stroke on="f" weight="0pt" miterlimit="0" joinstyle="miter"/>
                <v:imagedata o:title=""/>
                <o:lock v:ext="edit" aspectratio="f"/>
                <v:textbox inset="0mm,0mm,0mm,0mm">
                  <w:txbxContent>
                    <w:p w14:paraId="11282552">
                      <w:pPr>
                        <w:spacing w:before="34" w:line="222" w:lineRule="auto"/>
                        <w:ind w:left="20"/>
                        <w:rPr>
                          <w:rFonts w:ascii="宋体" w:hAnsi="宋体" w:eastAsia="宋体" w:cs="宋体"/>
                          <w:sz w:val="19"/>
                          <w:szCs w:val="19"/>
                        </w:rPr>
                      </w:pPr>
                      <w:r>
                        <w:rPr>
                          <w:rFonts w:ascii="宋体" w:hAnsi="宋体" w:eastAsia="宋体" w:cs="宋体"/>
                          <w:color w:val="595959"/>
                          <w:sz w:val="19"/>
                          <w:szCs w:val="19"/>
                        </w:rPr>
                        <w:t>磁感应强度</w:t>
                      </w:r>
                      <w:r>
                        <w:rPr>
                          <w:rFonts w:ascii="宋体" w:hAnsi="宋体" w:eastAsia="宋体" w:cs="宋体"/>
                          <w:color w:val="595959"/>
                          <w:spacing w:val="18"/>
                          <w:sz w:val="19"/>
                          <w:szCs w:val="19"/>
                        </w:rPr>
                        <w:t xml:space="preserve"> </w:t>
                      </w:r>
                      <w:r>
                        <w:rPr>
                          <w:rFonts w:ascii="宋体" w:hAnsi="宋体" w:eastAsia="宋体" w:cs="宋体"/>
                          <w:color w:val="595959"/>
                          <w:sz w:val="19"/>
                          <w:szCs w:val="19"/>
                        </w:rPr>
                        <w:t>(</w:t>
                      </w:r>
                      <w:r>
                        <w:rPr>
                          <w:rFonts w:ascii="宋体" w:hAnsi="宋体" w:eastAsia="宋体" w:cs="宋体"/>
                          <w:color w:val="595959"/>
                          <w:spacing w:val="-55"/>
                          <w:sz w:val="19"/>
                          <w:szCs w:val="19"/>
                        </w:rPr>
                        <w:t xml:space="preserve"> </w:t>
                      </w:r>
                      <w:r>
                        <w:rPr>
                          <w:rFonts w:ascii="Times New Roman" w:hAnsi="Times New Roman" w:eastAsia="Times New Roman" w:cs="Times New Roman"/>
                          <w:color w:val="595959"/>
                          <w:sz w:val="19"/>
                          <w:szCs w:val="19"/>
                        </w:rPr>
                        <w:t>μT</w:t>
                      </w:r>
                      <w:r>
                        <w:rPr>
                          <w:rFonts w:ascii="宋体" w:hAnsi="宋体" w:eastAsia="宋体" w:cs="宋体"/>
                          <w:color w:val="595959"/>
                          <w:sz w:val="19"/>
                          <w:szCs w:val="19"/>
                        </w:rPr>
                        <w:t>）</w:t>
                      </w:r>
                    </w:p>
                  </w:txbxContent>
                </v:textbox>
              </v:shape>
            </w:pict>
          </mc:Fallback>
        </mc:AlternateContent>
      </w:r>
      <w:r>
        <w:rPr>
          <w:position w:val="-89"/>
        </w:rPr>
        <w:pict>
          <v:group id="_x0000_s1258" o:spid="_x0000_s1258" o:spt="203" style="height:222.55pt;width:370.5pt;" coordsize="7410,4451">
            <o:lock v:ext="edit"/>
            <v:group id="_x0000_s1259" o:spid="_x0000_s1259" o:spt="203" style="position:absolute;left:0;top:0;height:4451;width:7410;" coordsize="7410,4451">
              <o:lock v:ext="edit"/>
              <v:shape id="_x0000_s1260" o:spid="_x0000_s1260" style="position:absolute;left:865;top:721;height:2790;width:6262;" filled="f" stroked="t" coordsize="6262,2790" path="m0,2781l6261,2781m0,2717l6261,2717m0,2652l6261,2652m0,2587l6261,2587m0,2457l6261,2457m0,2393l6261,2393m0,2330l6261,2330m0,2265l6261,2265m0,2136l6261,2136m0,2071l6261,2071m0,2006l6261,2006m0,1941l6261,1941m0,1814l6261,1814m0,1749l6261,1749m0,1685l6261,1685m0,1620l6261,1620m0,1490l6261,1490m0,1425l6261,1425m0,1361l6261,1361m0,1298l6261,1298m0,1169l6261,1169m0,1104l6261,1104m0,1039l6261,1039m0,974l6261,974m0,845l6261,845m0,782l6261,782m0,717l6261,717m0,653l6261,653m0,523l6261,523m0,458l6261,458m0,393l6261,393m0,329l6261,329m0,201l6261,201m0,137l6261,137m0,72l6261,72m0,7l6261,7e">
                <v:fill on="f" focussize="0,0"/>
                <v:stroke color="#F2F2F2" miterlimit="10"/>
                <v:imagedata o:title=""/>
                <o:lock v:ext="edit"/>
              </v:shape>
              <v:shape id="_x0000_s1261" o:spid="_x0000_s1261" style="position:absolute;left:865;top:657;height:2595;width:6262;" filled="f" stroked="t" coordsize="6262,2595" path="m0,2587l6261,2587m0,2265l6261,2265m0,1941l6261,1941m0,1619l6261,1619m0,1298l6261,1298m0,974l6261,974m0,652l6261,652m0,331l6261,331m0,7l6261,7e">
                <v:fill on="f" focussize="0,0"/>
                <v:stroke color="#D9D9D9" miterlimit="10"/>
                <v:imagedata o:title=""/>
                <o:lock v:ext="edit"/>
              </v:shape>
              <v:shape id="_x0000_s1262" o:spid="_x0000_s1262" style="position:absolute;left:1013;top:664;height:2902;width:5905;" filled="f" stroked="t" coordsize="5905,2902" path="m7,0l7,2902m317,0l317,2902m626,0l626,2902m936,0l936,2902m1248,0l1248,2902m1557,0l1557,2902m1867,0l1867,2902m2177,0l2177,2902m2486,0l2486,2902m2796,0l2796,2902m3108,0l3108,2902m3417,0l3417,2902m3727,0l3727,2902m4037,0l4037,2902m4346,0l4346,2902m4656,0l4656,2902m4968,0l4968,2902m5277,0l5277,2902m5587,0l5587,2902m5897,0l5897,2902e">
                <v:fill on="f" focussize="0,0"/>
                <v:stroke color="#F2F2F2" miterlimit="10"/>
                <v:imagedata o:title=""/>
                <o:lock v:ext="edit"/>
              </v:shape>
              <v:shape id="_x0000_s1263" o:spid="_x0000_s1263" style="position:absolute;left:858;top:664;height:2902;width:6215;" filled="f" stroked="t" coordsize="6215,2902" path="m7,0l7,2902m318,0l318,2902m628,0l628,2902m937,0l937,2902m1247,0l1247,2902m1556,0l1556,2902m1866,0l1866,2902m2178,0l2178,2902m2488,0l2488,2902m2797,0l2797,2902m3107,0l3107,2902m3416,0l3416,2902m3726,0l3726,2902m4036,0l4036,2902m4348,0l4348,2902m4657,0l4657,2902m4967,0l4967,2902m5276,0l5276,2902m5586,0l5586,2902m5896,0l5896,2902m6207,0l6207,2902e">
                <v:fill on="f" focussize="0,0"/>
                <v:stroke color="#D9D9D9" miterlimit="10"/>
                <v:imagedata o:title=""/>
                <o:lock v:ext="edit"/>
              </v:shape>
              <v:shape id="_x0000_s1264" o:spid="_x0000_s1264" style="position:absolute;left:858;top:3513;height:108;width:6270;" filled="f" stroked="t" coordsize="6270,108" path="m7,53l6269,53m7,0l7,107m318,0l318,107m628,0l628,107m937,0l937,107m1247,0l1247,107m1556,0l1556,107m1866,0l1866,107m2178,0l2178,107m2488,0l2488,107m2797,0l2797,107m3107,0l3107,107m3416,0l3416,107m3726,0l3726,107m4036,0l4036,107m4348,0l4348,107m4657,0l4657,107m4967,0l4967,107m5276,0l5276,107m5586,0l5586,107m5896,0l5896,107m6207,0l6207,107e">
                <v:fill on="f" focussize="0,0"/>
                <v:stroke color="#000000" miterlimit="10"/>
                <v:imagedata o:title=""/>
                <o:lock v:ext="edit"/>
              </v:shape>
              <v:shape id="_x0000_s1265" o:spid="_x0000_s1265" style="position:absolute;left:881;top:847;height:2660;width:6230;" filled="f" stroked="t" coordsize="6230,2660" path="m15,2639c35,2638,56,2637,76,2636c97,2635,118,2633,138,2632c159,2631,180,2630,201,2629c221,2627,242,2626,262,2624c283,2623,304,2621,325,2620c345,2618,366,2617,386,2615c407,2614,428,2612,448,2610c469,2609,490,2607,511,2605c531,2603,552,2601,572,2599c593,2597,614,2595,635,2593c655,2591,676,2589,696,2586c717,2584,738,2582,758,2579c779,2576,800,2574,821,2571c841,2569,862,2566,882,2563c903,2560,924,2556,945,2553c965,2550,986,2546,1006,2543c1027,2539,1048,2536,1068,2532c1089,2528,1110,2524,1131,2519c1151,2515,1172,2511,1192,2506c1213,2501,1234,2496,1255,2491c1275,2485,1296,2480,1316,2474c1337,2468,1358,2462,1378,2455c1399,2449,1420,2442,1440,2435c1461,2428,1482,2420,1502,2412c1523,2403,1544,2395,1564,2385c1585,2376,1606,2366,1626,2355c1647,2345,1668,2333,1688,2321c1709,2309,1730,2297,1750,2283c1771,2269,1792,2254,1812,2238c1833,2222,1854,2205,1874,2186c1895,2167,1916,2147,1936,2125c1957,2103,1978,2080,1998,2054c2019,2028,2040,2000,2060,1969c2081,1939,2102,1906,2122,1869c2143,1832,2164,1793,2184,1749c2205,1705,2226,1658,2246,1605c2267,1552,2288,1495,2308,1432c2329,1369,2350,1301,2370,1227c2391,1154,2412,1073,2432,990c2453,908,2474,818,2494,731c2515,644,2536,551,2556,470c2577,389,2598,308,2618,244c2639,181,2660,127,2680,90c2701,53,2722,32,2742,21c2763,10,2784,15,2804,22c2825,29,2846,48,2866,63c2887,79,2908,99,2928,115c2949,131,2970,147,2990,158c3011,169,3032,178,3052,182c3073,185,3093,185,3114,181c3135,177,3155,168,3176,157c3197,147,3217,131,3238,117c3259,103,3280,86,3300,75c3321,65,3342,53,3362,55c3383,57,3403,63,3424,87c3445,111,3465,148,3486,198c3507,249,3527,316,3548,389c3569,461,3590,548,3610,632c3631,715,3652,807,3672,891c3693,975,3713,1059,3734,1136c3755,1213,3775,1286,3796,1353c3817,1420,3837,1481,3858,1538c3879,1595,3900,1646,3920,1693c3941,1740,3962,1783,3982,1822c4003,1862,4023,1897,4044,1930c4065,1964,4085,1993,4106,2021c4127,2049,4147,2074,4168,2097c4189,2121,4210,2142,4230,2162c4251,2182,4272,2200,4292,2217c4313,2235,4333,2250,4354,2265c4375,2280,4395,2293,4416,2306c4437,2319,4457,2331,4478,2342c4499,2353,4520,2364,4540,2374c4561,2383,4582,2393,4602,2401c4623,2410,4643,2418,4664,2425c4685,2433,4705,2441,4726,2447c4747,2454,4767,2461,4788,2467c4809,2473,4830,2479,4850,2484c4871,2490,4892,2495,4912,2500c4933,2505,4953,2510,4974,2514c4995,2519,5015,2523,5036,2527c5057,2531,5077,2535,5098,2538c5119,2542,5140,2546,5160,2549c5181,2552,5202,2556,5222,2559c5243,2562,5263,2565,5284,2568c5305,2571,5325,2573,5346,2576c5367,2578,5387,2581,5408,2583c5429,2586,5450,2588,5470,2590c5491,2592,5511,2595,5532,2597c5553,2599,5573,2601,5594,2603c5615,2605,5635,2607,5656,2608c5677,2610,5697,2612,5718,2613c5739,2615,5759,2617,5780,2618c5801,2620,5821,2621,5842,2623c5863,2624,5883,2626,5904,2627c5925,2628,5945,2630,5966,2631c5987,2632,6007,2633,6028,2634c6049,2636,6069,2637,6090,2638c6111,2639,6131,2640,6152,2641c6173,2642,6193,2643,6214,2644e">
                <v:fill on="f" focussize="0,0"/>
                <v:stroke weight="1.5pt" color="#FF0000" miterlimit="10" endcap="round"/>
                <v:imagedata o:title=""/>
                <o:lock v:ext="edit"/>
              </v:shape>
              <v:shape id="_x0000_s1266" o:spid="_x0000_s1266" style="position:absolute;left:881;top:1517;height:1991;width:6230;" filled="f" stroked="t" coordsize="6230,1991" path="m15,1970c35,1969,56,1968,76,1967c97,1966,118,1964,138,1963c159,1962,180,1961,201,1959c221,1958,242,1957,262,1955c283,1954,304,1953,325,1951c345,1950,366,1948,386,1947c407,1945,428,1943,448,1942c469,1940,490,1938,511,1936c531,1935,552,1933,572,1931c593,1929,614,1927,635,1925c655,1923,676,1921,696,1918c717,1916,738,1914,758,1911c779,1909,800,1906,821,1904c841,1901,862,1898,882,1895c903,1892,924,1889,945,1886c965,1883,986,1880,1006,1876c1027,1873,1048,1869,1068,1865c1089,1862,1110,1858,1131,1854c1151,1850,1172,1846,1192,1841c1213,1836,1234,1831,1255,1826c1275,1821,1296,1816,1316,1811c1337,1805,1358,1799,1378,1793c1399,1787,1420,1781,1440,1774c1461,1767,1482,1760,1502,1752c1523,1744,1544,1736,1564,1728c1585,1719,1606,1710,1626,1700c1647,1691,1668,1680,1688,1669c1709,1658,1730,1647,1750,1634c1771,1622,1792,1609,1812,1594c1833,1580,1854,1565,1874,1548c1895,1532,1916,1515,1936,1496c1957,1477,1978,1457,1998,1436c2019,1414,2040,1391,2060,1366c2081,1340,2102,1313,2122,1284c2143,1255,2164,1224,2184,1191c2205,1157,2226,1121,2246,1083c2267,1044,2288,1003,2308,960c2329,916,2350,870,2370,822c2391,774,2412,723,2432,672c2453,621,2474,567,2494,516c2515,465,2536,413,2556,366c2577,319,2598,273,2618,234c2639,194,2660,159,2680,130c2701,102,2722,79,2742,62c2763,45,2784,34,2804,27c2825,19,2846,16,2866,15c2887,13,2908,16,2928,18c2949,19,2970,23,2990,25c3011,27,3032,30,3052,31c3073,33,3093,34,3114,34c3135,34,3155,33,3176,33c3197,33,3217,32,3238,33c3259,35,3280,36,3300,41c3321,47,3342,54,3362,67c3383,80,3403,97,3424,120c3445,143,3465,172,3486,206c3507,239,3527,280,3548,323c3569,366,3590,415,3610,464c3631,513,3652,565,3672,616c3693,666,3713,718,3734,767c3755,815,3775,863,3796,908c3817,953,3837,996,3858,1037c3879,1077,3900,1115,3920,1150c3941,1186,3962,1218,3982,1249c4003,1280,4023,1308,4044,1335c4065,1361,4085,1386,4106,1409c4127,1432,4147,1453,4168,1473c4189,1493,4210,1511,4230,1528c4251,1546,4272,1562,4292,1577c4313,1592,4333,1606,4354,1619c4375,1632,4395,1644,4416,1656c4437,1667,4457,1678,4478,1688c4499,1699,4520,1708,4540,1717c4561,1726,4582,1735,4602,1743c4623,1751,4643,1758,4664,1765c4685,1773,4705,1779,4726,1786c4747,1792,4767,1798,4788,1804c4809,1810,4830,1815,4850,1820c4871,1826,4892,1830,4912,1835c4933,1840,4953,1844,4974,1849c4995,1853,5015,1857,5036,1861c5057,1865,5077,1869,5098,1872c5119,1876,5140,1879,5160,1882c5181,1885,5202,1889,5222,1892c5243,1895,5263,1898,5284,1900c5305,1903,5325,1905,5346,1908c5367,1911,5387,1913,5408,1915c5429,1918,5450,1920,5470,1922c5491,1924,5511,1926,5532,1928c5553,1930,5573,1932,5594,1934c5615,1936,5635,1938,5656,1940c5677,1941,5697,1943,5718,1945c5739,1946,5759,1948,5780,1949c5801,1951,5821,1952,5842,1954c5863,1955,5883,1956,5904,1958c5925,1959,5945,1960,5966,1962c5987,1963,6007,1964,6028,1965c6049,1966,6069,1968,6090,1969c6111,1970,6131,1971,6152,1972c6173,1973,6193,1974,6214,1975e">
                <v:fill on="f" focussize="0,0"/>
                <v:stroke weight="1.5pt" color="#00B050" miterlimit="10" endcap="round"/>
                <v:imagedata o:title=""/>
                <o:lock v:ext="edit"/>
              </v:shape>
              <v:shape id="_x0000_s1267" o:spid="_x0000_s1267" style="position:absolute;left:2923;top:271;height:30;width:415;" filled="f" stroked="t" coordsize="415,30" path="m15,15l399,15e">
                <v:fill on="f" focussize="0,0"/>
                <v:stroke weight="1.5pt" color="#FF0000" miterlimit="10" endcap="round"/>
                <v:imagedata o:title=""/>
                <o:lock v:ext="edit"/>
              </v:shape>
              <v:shape id="_x0000_s1268" o:spid="_x0000_s1268" style="position:absolute;left:3871;top:271;height:30;width:415;" filled="f" stroked="t" coordsize="415,30" path="m15,15l399,15e">
                <v:fill on="f" focussize="0,0"/>
                <v:stroke weight="1.5pt" color="#00B050" miterlimit="10" endcap="round"/>
                <v:imagedata o:title=""/>
                <o:lock v:ext="edit"/>
              </v:shape>
              <v:shape id="_x0000_s1269" o:spid="_x0000_s1269" style="position:absolute;left:0;top:0;height:4451;width:7410;" filled="f" stroked="t" coordsize="7410,4451" path="m7,4443l7401,4443,7401,7,7,7,7,4443xe">
                <v:fill on="f" focussize="0,0"/>
                <v:stroke color="#000000" miterlimit="10"/>
                <v:imagedata o:title=""/>
                <o:lock v:ext="edit"/>
              </v:shape>
            </v:group>
            <v:shape id="_x0000_s1270" o:spid="_x0000_s1270" o:spt="202" type="#_x0000_t202" style="position:absolute;left:560;top:197;height:4001;width:6649;" filled="f" stroked="f" coordsize="21600,21600">
              <v:path/>
              <v:fill on="f" focussize="0,0"/>
              <v:stroke on="f"/>
              <v:imagedata o:title=""/>
              <o:lock v:ext="edit" aspectratio="f"/>
              <v:textbox inset="0mm,0mm,0mm,0mm">
                <w:txbxContent>
                  <w:p w14:paraId="109B3C43">
                    <w:pPr>
                      <w:spacing w:before="20" w:line="232" w:lineRule="auto"/>
                      <w:ind w:left="2810"/>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6.5m</w:t>
                    </w:r>
                    <w:r>
                      <w:rPr>
                        <w:rFonts w:ascii="Times New Roman" w:hAnsi="Times New Roman" w:eastAsia="Times New Roman" w:cs="Times New Roman"/>
                        <w:color w:val="595959"/>
                        <w:sz w:val="18"/>
                        <w:szCs w:val="18"/>
                      </w:rPr>
                      <w:t xml:space="preserve">             </w:t>
                    </w:r>
                    <w:r>
                      <w:rPr>
                        <w:rFonts w:ascii="Times New Roman" w:hAnsi="Times New Roman" w:eastAsia="Times New Roman" w:cs="Times New Roman"/>
                        <w:color w:val="595959"/>
                        <w:spacing w:val="-3"/>
                        <w:sz w:val="18"/>
                        <w:szCs w:val="18"/>
                      </w:rPr>
                      <w:t>8m</w:t>
                    </w:r>
                  </w:p>
                  <w:p w14:paraId="2BB207C3">
                    <w:pPr>
                      <w:spacing w:before="178" w:line="232" w:lineRule="auto"/>
                      <w:ind w:left="24"/>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9</w:t>
                    </w:r>
                  </w:p>
                  <w:p w14:paraId="5FB81474">
                    <w:pPr>
                      <w:spacing w:before="122" w:line="232" w:lineRule="auto"/>
                      <w:ind w:left="28"/>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8</w:t>
                    </w:r>
                  </w:p>
                  <w:p w14:paraId="0FFFB877">
                    <w:pPr>
                      <w:spacing w:before="122" w:line="232" w:lineRule="auto"/>
                      <w:ind w:left="23"/>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7</w:t>
                    </w:r>
                  </w:p>
                  <w:p w14:paraId="495F69E7">
                    <w:pPr>
                      <w:spacing w:before="122" w:line="232" w:lineRule="auto"/>
                      <w:ind w:left="24"/>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6</w:t>
                    </w:r>
                  </w:p>
                  <w:p w14:paraId="3FBAC681">
                    <w:pPr>
                      <w:spacing w:before="122" w:line="232" w:lineRule="auto"/>
                      <w:ind w:left="25"/>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5</w:t>
                    </w:r>
                  </w:p>
                  <w:p w14:paraId="7936D24B">
                    <w:pPr>
                      <w:spacing w:before="122" w:line="235"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4</w:t>
                    </w:r>
                  </w:p>
                  <w:p w14:paraId="0E3D0FB4">
                    <w:pPr>
                      <w:spacing w:before="121" w:line="232" w:lineRule="auto"/>
                      <w:ind w:left="24"/>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3</w:t>
                    </w:r>
                  </w:p>
                  <w:p w14:paraId="78CF47E8">
                    <w:pPr>
                      <w:spacing w:before="122" w:line="235"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2</w:t>
                    </w:r>
                  </w:p>
                  <w:p w14:paraId="766D8A62">
                    <w:pPr>
                      <w:spacing w:before="120" w:line="235" w:lineRule="auto"/>
                      <w:ind w:left="38"/>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1</w:t>
                    </w:r>
                  </w:p>
                  <w:p w14:paraId="48E4B272">
                    <w:pPr>
                      <w:spacing w:before="120" w:line="232" w:lineRule="auto"/>
                      <w:ind w:left="23"/>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0</w:t>
                    </w:r>
                  </w:p>
                  <w:p w14:paraId="49EF10BA">
                    <w:pPr>
                      <w:spacing w:before="11" w:line="232" w:lineRule="auto"/>
                      <w:ind w:right="20"/>
                      <w:jc w:val="right"/>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-50</w:t>
                    </w:r>
                    <w:r>
                      <w:rPr>
                        <w:rFonts w:ascii="Times New Roman" w:hAnsi="Times New Roman" w:eastAsia="Times New Roman" w:cs="Times New Roman"/>
                        <w:color w:val="595959"/>
                        <w:spacing w:val="34"/>
                        <w:sz w:val="18"/>
                        <w:szCs w:val="18"/>
                      </w:rPr>
                      <w:t xml:space="preserve"> </w:t>
                    </w:r>
                    <w:r>
                      <w:rPr>
                        <w:rFonts w:ascii="Times New Roman" w:hAnsi="Times New Roman" w:eastAsia="Times New Roman" w:cs="Times New Roman"/>
                        <w:color w:val="595959"/>
                        <w:spacing w:val="-2"/>
                        <w:sz w:val="18"/>
                        <w:szCs w:val="18"/>
                      </w:rPr>
                      <w:t>-45</w:t>
                    </w:r>
                    <w:r>
                      <w:rPr>
                        <w:rFonts w:ascii="Times New Roman" w:hAnsi="Times New Roman" w:eastAsia="Times New Roman" w:cs="Times New Roman"/>
                        <w:color w:val="595959"/>
                        <w:spacing w:val="33"/>
                        <w:w w:val="101"/>
                        <w:sz w:val="18"/>
                        <w:szCs w:val="18"/>
                      </w:rPr>
                      <w:t xml:space="preserve"> </w:t>
                    </w:r>
                    <w:r>
                      <w:rPr>
                        <w:rFonts w:ascii="Times New Roman" w:hAnsi="Times New Roman" w:eastAsia="Times New Roman" w:cs="Times New Roman"/>
                        <w:color w:val="595959"/>
                        <w:spacing w:val="-2"/>
                        <w:sz w:val="18"/>
                        <w:szCs w:val="18"/>
                      </w:rPr>
                      <w:t>-40</w:t>
                    </w:r>
                    <w:r>
                      <w:rPr>
                        <w:rFonts w:ascii="Times New Roman" w:hAnsi="Times New Roman" w:eastAsia="Times New Roman" w:cs="Times New Roman"/>
                        <w:color w:val="595959"/>
                        <w:spacing w:val="33"/>
                        <w:w w:val="101"/>
                        <w:sz w:val="18"/>
                        <w:szCs w:val="18"/>
                      </w:rPr>
                      <w:t xml:space="preserve"> </w:t>
                    </w:r>
                    <w:r>
                      <w:rPr>
                        <w:rFonts w:ascii="Times New Roman" w:hAnsi="Times New Roman" w:eastAsia="Times New Roman" w:cs="Times New Roman"/>
                        <w:color w:val="595959"/>
                        <w:spacing w:val="-2"/>
                        <w:sz w:val="18"/>
                        <w:szCs w:val="18"/>
                      </w:rPr>
                      <w:t>-35</w:t>
                    </w:r>
                    <w:r>
                      <w:rPr>
                        <w:rFonts w:ascii="Times New Roman" w:hAnsi="Times New Roman" w:eastAsia="Times New Roman" w:cs="Times New Roman"/>
                        <w:color w:val="595959"/>
                        <w:spacing w:val="34"/>
                        <w:sz w:val="18"/>
                        <w:szCs w:val="18"/>
                      </w:rPr>
                      <w:t xml:space="preserve"> </w:t>
                    </w:r>
                    <w:r>
                      <w:rPr>
                        <w:rFonts w:ascii="Times New Roman" w:hAnsi="Times New Roman" w:eastAsia="Times New Roman" w:cs="Times New Roman"/>
                        <w:color w:val="595959"/>
                        <w:spacing w:val="-2"/>
                        <w:sz w:val="18"/>
                        <w:szCs w:val="18"/>
                      </w:rPr>
                      <w:t>-30</w:t>
                    </w:r>
                    <w:r>
                      <w:rPr>
                        <w:rFonts w:ascii="Times New Roman" w:hAnsi="Times New Roman" w:eastAsia="Times New Roman" w:cs="Times New Roman"/>
                        <w:color w:val="595959"/>
                        <w:spacing w:val="33"/>
                        <w:w w:val="101"/>
                        <w:sz w:val="18"/>
                        <w:szCs w:val="18"/>
                      </w:rPr>
                      <w:t xml:space="preserve"> </w:t>
                    </w:r>
                    <w:r>
                      <w:rPr>
                        <w:rFonts w:ascii="Times New Roman" w:hAnsi="Times New Roman" w:eastAsia="Times New Roman" w:cs="Times New Roman"/>
                        <w:color w:val="595959"/>
                        <w:spacing w:val="-2"/>
                        <w:sz w:val="18"/>
                        <w:szCs w:val="18"/>
                      </w:rPr>
                      <w:t>-25</w:t>
                    </w:r>
                    <w:r>
                      <w:rPr>
                        <w:rFonts w:ascii="Times New Roman" w:hAnsi="Times New Roman" w:eastAsia="Times New Roman" w:cs="Times New Roman"/>
                        <w:color w:val="595959"/>
                        <w:spacing w:val="33"/>
                        <w:w w:val="101"/>
                        <w:sz w:val="18"/>
                        <w:szCs w:val="18"/>
                      </w:rPr>
                      <w:t xml:space="preserve"> </w:t>
                    </w:r>
                    <w:r>
                      <w:rPr>
                        <w:rFonts w:ascii="Times New Roman" w:hAnsi="Times New Roman" w:eastAsia="Times New Roman" w:cs="Times New Roman"/>
                        <w:color w:val="595959"/>
                        <w:spacing w:val="-2"/>
                        <w:sz w:val="18"/>
                        <w:szCs w:val="18"/>
                      </w:rPr>
                      <w:t>-20</w:t>
                    </w:r>
                    <w:r>
                      <w:rPr>
                        <w:rFonts w:ascii="Times New Roman" w:hAnsi="Times New Roman" w:eastAsia="Times New Roman" w:cs="Times New Roman"/>
                        <w:color w:val="595959"/>
                        <w:spacing w:val="33"/>
                        <w:w w:val="102"/>
                        <w:sz w:val="18"/>
                        <w:szCs w:val="18"/>
                      </w:rPr>
                      <w:t xml:space="preserve"> </w:t>
                    </w:r>
                    <w:r>
                      <w:rPr>
                        <w:rFonts w:ascii="Times New Roman" w:hAnsi="Times New Roman" w:eastAsia="Times New Roman" w:cs="Times New Roman"/>
                        <w:color w:val="595959"/>
                        <w:spacing w:val="-2"/>
                        <w:sz w:val="18"/>
                        <w:szCs w:val="18"/>
                      </w:rPr>
                      <w:t>-15</w:t>
                    </w:r>
                    <w:r>
                      <w:rPr>
                        <w:rFonts w:ascii="Times New Roman" w:hAnsi="Times New Roman" w:eastAsia="Times New Roman" w:cs="Times New Roman"/>
                        <w:color w:val="595959"/>
                        <w:spacing w:val="33"/>
                        <w:w w:val="101"/>
                        <w:sz w:val="18"/>
                        <w:szCs w:val="18"/>
                      </w:rPr>
                      <w:t xml:space="preserve"> </w:t>
                    </w:r>
                    <w:r>
                      <w:rPr>
                        <w:rFonts w:ascii="Times New Roman" w:hAnsi="Times New Roman" w:eastAsia="Times New Roman" w:cs="Times New Roman"/>
                        <w:color w:val="595959"/>
                        <w:spacing w:val="-2"/>
                        <w:sz w:val="18"/>
                        <w:szCs w:val="18"/>
                      </w:rPr>
                      <w:t>-10</w:t>
                    </w:r>
                    <w:r>
                      <w:rPr>
                        <w:rFonts w:ascii="Times New Roman" w:hAnsi="Times New Roman" w:eastAsia="Times New Roman" w:cs="Times New Roman"/>
                        <w:color w:val="595959"/>
                        <w:spacing w:val="16"/>
                        <w:w w:val="101"/>
                        <w:sz w:val="18"/>
                        <w:szCs w:val="18"/>
                      </w:rPr>
                      <w:t xml:space="preserve">  </w:t>
                    </w:r>
                    <w:r>
                      <w:rPr>
                        <w:rFonts w:ascii="Times New Roman" w:hAnsi="Times New Roman" w:eastAsia="Times New Roman" w:cs="Times New Roman"/>
                        <w:color w:val="595959"/>
                        <w:spacing w:val="-2"/>
                        <w:sz w:val="18"/>
                        <w:szCs w:val="18"/>
                      </w:rPr>
                      <w:t xml:space="preserve">-5    0     5     10  </w:t>
                    </w:r>
                    <w:r>
                      <w:rPr>
                        <w:rFonts w:ascii="Times New Roman" w:hAnsi="Times New Roman" w:eastAsia="Times New Roman" w:cs="Times New Roman"/>
                        <w:color w:val="595959"/>
                        <w:spacing w:val="-3"/>
                        <w:sz w:val="18"/>
                        <w:szCs w:val="18"/>
                      </w:rPr>
                      <w:t xml:space="preserve"> 15   20</w:t>
                    </w:r>
                    <w:r>
                      <w:rPr>
                        <w:rFonts w:ascii="Times New Roman" w:hAnsi="Times New Roman" w:eastAsia="Times New Roman" w:cs="Times New Roman"/>
                        <w:color w:val="595959"/>
                        <w:spacing w:val="21"/>
                        <w:sz w:val="18"/>
                        <w:szCs w:val="18"/>
                      </w:rPr>
                      <w:t xml:space="preserve">  </w:t>
                    </w:r>
                    <w:r>
                      <w:rPr>
                        <w:rFonts w:ascii="Times New Roman" w:hAnsi="Times New Roman" w:eastAsia="Times New Roman" w:cs="Times New Roman"/>
                        <w:color w:val="595959"/>
                        <w:spacing w:val="-3"/>
                        <w:sz w:val="18"/>
                        <w:szCs w:val="18"/>
                      </w:rPr>
                      <w:t>25</w:t>
                    </w:r>
                    <w:r>
                      <w:rPr>
                        <w:rFonts w:ascii="Times New Roman" w:hAnsi="Times New Roman" w:eastAsia="Times New Roman" w:cs="Times New Roman"/>
                        <w:color w:val="595959"/>
                        <w:sz w:val="18"/>
                        <w:szCs w:val="18"/>
                      </w:rPr>
                      <w:t xml:space="preserve">   </w:t>
                    </w:r>
                    <w:r>
                      <w:rPr>
                        <w:rFonts w:ascii="Times New Roman" w:hAnsi="Times New Roman" w:eastAsia="Times New Roman" w:cs="Times New Roman"/>
                        <w:color w:val="595959"/>
                        <w:spacing w:val="-3"/>
                        <w:sz w:val="18"/>
                        <w:szCs w:val="18"/>
                      </w:rPr>
                      <w:t>30</w:t>
                    </w:r>
                    <w:r>
                      <w:rPr>
                        <w:rFonts w:ascii="Times New Roman" w:hAnsi="Times New Roman" w:eastAsia="Times New Roman" w:cs="Times New Roman"/>
                        <w:color w:val="595959"/>
                        <w:spacing w:val="1"/>
                        <w:sz w:val="18"/>
                        <w:szCs w:val="18"/>
                      </w:rPr>
                      <w:t xml:space="preserve">   </w:t>
                    </w:r>
                    <w:r>
                      <w:rPr>
                        <w:rFonts w:ascii="Times New Roman" w:hAnsi="Times New Roman" w:eastAsia="Times New Roman" w:cs="Times New Roman"/>
                        <w:color w:val="595959"/>
                        <w:spacing w:val="-3"/>
                        <w:sz w:val="18"/>
                        <w:szCs w:val="18"/>
                      </w:rPr>
                      <w:t>35   40</w:t>
                    </w:r>
                    <w:r>
                      <w:rPr>
                        <w:rFonts w:ascii="Times New Roman" w:hAnsi="Times New Roman" w:eastAsia="Times New Roman" w:cs="Times New Roman"/>
                        <w:color w:val="595959"/>
                        <w:spacing w:val="20"/>
                        <w:w w:val="101"/>
                        <w:sz w:val="18"/>
                        <w:szCs w:val="18"/>
                      </w:rPr>
                      <w:t xml:space="preserve">  </w:t>
                    </w:r>
                    <w:r>
                      <w:rPr>
                        <w:rFonts w:ascii="Times New Roman" w:hAnsi="Times New Roman" w:eastAsia="Times New Roman" w:cs="Times New Roman"/>
                        <w:color w:val="595959"/>
                        <w:spacing w:val="-3"/>
                        <w:sz w:val="18"/>
                        <w:szCs w:val="18"/>
                      </w:rPr>
                      <w:t>45</w:t>
                    </w:r>
                    <w:r>
                      <w:rPr>
                        <w:rFonts w:ascii="Times New Roman" w:hAnsi="Times New Roman" w:eastAsia="Times New Roman" w:cs="Times New Roman"/>
                        <w:color w:val="595959"/>
                        <w:spacing w:val="1"/>
                        <w:sz w:val="18"/>
                        <w:szCs w:val="18"/>
                      </w:rPr>
                      <w:t xml:space="preserve">   </w:t>
                    </w:r>
                    <w:r>
                      <w:rPr>
                        <w:rFonts w:ascii="Times New Roman" w:hAnsi="Times New Roman" w:eastAsia="Times New Roman" w:cs="Times New Roman"/>
                        <w:color w:val="595959"/>
                        <w:spacing w:val="-3"/>
                        <w:sz w:val="18"/>
                        <w:szCs w:val="18"/>
                      </w:rPr>
                      <w:t>50</w:t>
                    </w:r>
                  </w:p>
                  <w:p w14:paraId="147C2706">
                    <w:pPr>
                      <w:spacing w:before="53" w:line="250" w:lineRule="exact"/>
                      <w:ind w:left="2470"/>
                      <w:rPr>
                        <w:rFonts w:ascii="宋体" w:hAnsi="宋体" w:eastAsia="宋体" w:cs="宋体"/>
                        <w:sz w:val="19"/>
                        <w:szCs w:val="19"/>
                      </w:rPr>
                    </w:pPr>
                    <w:r>
                      <w:rPr>
                        <w:rFonts w:ascii="宋体" w:hAnsi="宋体" w:eastAsia="宋体" w:cs="宋体"/>
                        <w:color w:val="595959"/>
                        <w:spacing w:val="7"/>
                        <w:position w:val="1"/>
                        <w:sz w:val="19"/>
                        <w:szCs w:val="19"/>
                      </w:rPr>
                      <w:t>距线路中心距离（</w:t>
                    </w:r>
                    <w:r>
                      <w:rPr>
                        <w:rFonts w:ascii="Times New Roman" w:hAnsi="Times New Roman" w:eastAsia="Times New Roman" w:cs="Times New Roman"/>
                        <w:color w:val="595959"/>
                        <w:spacing w:val="7"/>
                        <w:position w:val="1"/>
                        <w:sz w:val="19"/>
                        <w:szCs w:val="19"/>
                      </w:rPr>
                      <w:t>m</w:t>
                    </w:r>
                    <w:r>
                      <w:rPr>
                        <w:rFonts w:ascii="宋体" w:hAnsi="宋体" w:eastAsia="宋体" w:cs="宋体"/>
                        <w:color w:val="595959"/>
                        <w:spacing w:val="7"/>
                        <w:position w:val="1"/>
                        <w:sz w:val="19"/>
                        <w:szCs w:val="19"/>
                      </w:rPr>
                      <w:t>）</w:t>
                    </w:r>
                  </w:p>
                </w:txbxContent>
              </v:textbox>
            </v:shape>
            <w10:wrap type="none"/>
            <w10:anchorlock/>
          </v:group>
        </w:pict>
      </w:r>
    </w:p>
    <w:p w14:paraId="176D0DCD">
      <w:pPr>
        <w:spacing w:before="244" w:line="234" w:lineRule="auto"/>
        <w:ind w:left="1804"/>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44"/>
          <w:sz w:val="21"/>
          <w:szCs w:val="21"/>
        </w:rPr>
        <w:t xml:space="preserve"> </w:t>
      </w:r>
      <w:r>
        <w:rPr>
          <w:rFonts w:ascii="Times New Roman" w:hAnsi="Times New Roman" w:eastAsia="Times New Roman" w:cs="Times New Roman"/>
          <w:b/>
          <w:bCs/>
          <w:spacing w:val="-3"/>
          <w:sz w:val="21"/>
          <w:szCs w:val="21"/>
        </w:rPr>
        <w:t>4-8    DE</w:t>
      </w:r>
      <w:r>
        <w:rPr>
          <w:rFonts w:ascii="Times New Roman" w:hAnsi="Times New Roman" w:eastAsia="Times New Roman" w:cs="Times New Roman"/>
          <w:b/>
          <w:bCs/>
          <w:spacing w:val="27"/>
          <w:w w:val="101"/>
          <w:sz w:val="21"/>
          <w:szCs w:val="21"/>
        </w:rPr>
        <w:t xml:space="preserve"> </w:t>
      </w:r>
      <w:r>
        <w:rPr>
          <w:rFonts w:ascii="宋体" w:hAnsi="宋体" w:eastAsia="宋体" w:cs="宋体"/>
          <w:b/>
          <w:bCs/>
          <w:spacing w:val="-3"/>
          <w:sz w:val="21"/>
          <w:szCs w:val="21"/>
        </w:rPr>
        <w:t>回线单回三角排列最不利塔型磁感应强度分布图</w:t>
      </w:r>
    </w:p>
    <w:p w14:paraId="25307EF9">
      <w:pPr>
        <w:spacing w:before="189" w:line="233" w:lineRule="auto"/>
        <w:ind w:left="493"/>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5</w:t>
      </w:r>
      <w:r>
        <w:rPr>
          <w:rFonts w:ascii="宋体" w:hAnsi="宋体" w:eastAsia="宋体" w:cs="宋体"/>
          <w:spacing w:val="-2"/>
          <w:sz w:val="24"/>
          <w:szCs w:val="24"/>
        </w:rPr>
        <w:t>）</w:t>
      </w:r>
      <w:r>
        <w:rPr>
          <w:rFonts w:ascii="Times New Roman" w:hAnsi="Times New Roman" w:eastAsia="Times New Roman" w:cs="Times New Roman"/>
          <w:spacing w:val="-2"/>
          <w:sz w:val="24"/>
          <w:szCs w:val="24"/>
        </w:rPr>
        <w:t>DE</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回：单回水平排列最不利塔型</w:t>
      </w:r>
      <w:r>
        <w:rPr>
          <w:rFonts w:ascii="宋体" w:hAnsi="宋体" w:eastAsia="宋体" w:cs="宋体"/>
          <w:spacing w:val="-54"/>
          <w:sz w:val="24"/>
          <w:szCs w:val="24"/>
        </w:rPr>
        <w:t xml:space="preserve"> </w:t>
      </w:r>
      <w:r>
        <w:rPr>
          <w:rFonts w:ascii="Times New Roman" w:hAnsi="Times New Roman" w:eastAsia="Times New Roman" w:cs="Times New Roman"/>
          <w:spacing w:val="-2"/>
          <w:sz w:val="24"/>
          <w:szCs w:val="24"/>
        </w:rPr>
        <w:t>2D1R7-</w:t>
      </w:r>
      <w:r>
        <w:rPr>
          <w:rFonts w:ascii="Times New Roman" w:hAnsi="Times New Roman" w:eastAsia="Times New Roman" w:cs="Times New Roman"/>
          <w:spacing w:val="-3"/>
          <w:sz w:val="24"/>
          <w:szCs w:val="24"/>
        </w:rPr>
        <w:t>Z2</w:t>
      </w:r>
    </w:p>
    <w:p w14:paraId="5D98762A">
      <w:pPr>
        <w:spacing w:before="100" w:line="229" w:lineRule="auto"/>
        <w:ind w:left="2098"/>
        <w:rPr>
          <w:rFonts w:ascii="宋体" w:hAnsi="宋体" w:eastAsia="宋体" w:cs="宋体"/>
          <w:sz w:val="21"/>
          <w:szCs w:val="21"/>
        </w:rPr>
      </w:pPr>
      <w:r>
        <w:rPr>
          <w:rFonts w:ascii="宋体" w:hAnsi="宋体" w:eastAsia="宋体" w:cs="宋体"/>
          <w:b/>
          <w:bCs/>
          <w:spacing w:val="-3"/>
          <w:sz w:val="21"/>
          <w:szCs w:val="21"/>
        </w:rPr>
        <w:t>表</w:t>
      </w:r>
      <w:r>
        <w:rPr>
          <w:rFonts w:ascii="宋体" w:hAnsi="宋体" w:eastAsia="宋体" w:cs="宋体"/>
          <w:spacing w:val="-29"/>
          <w:sz w:val="21"/>
          <w:szCs w:val="21"/>
        </w:rPr>
        <w:t xml:space="preserve"> </w:t>
      </w:r>
      <w:r>
        <w:rPr>
          <w:rFonts w:ascii="Times New Roman" w:hAnsi="Times New Roman" w:eastAsia="Times New Roman" w:cs="Times New Roman"/>
          <w:b/>
          <w:bCs/>
          <w:spacing w:val="-3"/>
          <w:sz w:val="21"/>
          <w:szCs w:val="21"/>
        </w:rPr>
        <w:t>4-8    DE</w:t>
      </w:r>
      <w:r>
        <w:rPr>
          <w:rFonts w:ascii="Times New Roman" w:hAnsi="Times New Roman" w:eastAsia="Times New Roman" w:cs="Times New Roman"/>
          <w:b/>
          <w:bCs/>
          <w:spacing w:val="28"/>
          <w:sz w:val="21"/>
          <w:szCs w:val="21"/>
        </w:rPr>
        <w:t xml:space="preserve"> </w:t>
      </w:r>
      <w:r>
        <w:rPr>
          <w:rFonts w:ascii="宋体" w:hAnsi="宋体" w:eastAsia="宋体" w:cs="宋体"/>
          <w:b/>
          <w:bCs/>
          <w:spacing w:val="-3"/>
          <w:sz w:val="21"/>
          <w:szCs w:val="21"/>
        </w:rPr>
        <w:t>回线单回水平排列线路电磁场强度预测值</w:t>
      </w: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530AC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Merge w:val="restart"/>
            <w:tcBorders>
              <w:bottom w:val="nil"/>
            </w:tcBorders>
            <w:vAlign w:val="top"/>
          </w:tcPr>
          <w:p w14:paraId="5CCEDEC7">
            <w:pPr>
              <w:pStyle w:val="6"/>
              <w:spacing w:before="63" w:line="251" w:lineRule="auto"/>
              <w:ind w:left="178" w:right="142" w:hanging="27"/>
            </w:pPr>
            <w:r>
              <w:rPr>
                <w:b/>
                <w:bCs/>
                <w:spacing w:val="-3"/>
              </w:rPr>
              <w:t>距线路走廊中</w:t>
            </w:r>
            <w:r>
              <w:rPr>
                <w:b/>
                <w:bCs/>
                <w:spacing w:val="-4"/>
              </w:rPr>
              <w:t>心距离（</w:t>
            </w:r>
            <w:r>
              <w:rPr>
                <w:rFonts w:ascii="Times New Roman" w:hAnsi="Times New Roman" w:eastAsia="Times New Roman" w:cs="Times New Roman"/>
                <w:b/>
                <w:bCs/>
                <w:spacing w:val="-4"/>
              </w:rPr>
              <w:t>m</w:t>
            </w:r>
            <w:r>
              <w:rPr>
                <w:b/>
                <w:bCs/>
                <w:spacing w:val="-4"/>
              </w:rPr>
              <w:t>）</w:t>
            </w:r>
          </w:p>
        </w:tc>
        <w:tc>
          <w:tcPr>
            <w:tcW w:w="3682" w:type="dxa"/>
            <w:gridSpan w:val="2"/>
            <w:vAlign w:val="top"/>
          </w:tcPr>
          <w:p w14:paraId="0B90149A">
            <w:pPr>
              <w:pStyle w:val="6"/>
              <w:spacing w:before="56" w:line="221" w:lineRule="auto"/>
              <w:ind w:left="753"/>
            </w:pPr>
            <w:r>
              <w:rPr>
                <w:b/>
                <w:bCs/>
                <w:spacing w:val="-2"/>
              </w:rPr>
              <w:t>工频电场强度（</w:t>
            </w:r>
            <w:r>
              <w:rPr>
                <w:rFonts w:ascii="Times New Roman" w:hAnsi="Times New Roman" w:eastAsia="Times New Roman" w:cs="Times New Roman"/>
                <w:b/>
                <w:bCs/>
                <w:spacing w:val="-2"/>
              </w:rPr>
              <w:t>kV/m</w:t>
            </w:r>
            <w:r>
              <w:rPr>
                <w:b/>
                <w:bCs/>
                <w:spacing w:val="-2"/>
              </w:rPr>
              <w:t>）</w:t>
            </w:r>
          </w:p>
        </w:tc>
        <w:tc>
          <w:tcPr>
            <w:tcW w:w="3832" w:type="dxa"/>
            <w:gridSpan w:val="2"/>
            <w:vAlign w:val="top"/>
          </w:tcPr>
          <w:p w14:paraId="48EA349E">
            <w:pPr>
              <w:pStyle w:val="6"/>
              <w:spacing w:before="56" w:line="213" w:lineRule="auto"/>
              <w:ind w:left="844"/>
            </w:pPr>
            <w:r>
              <w:rPr>
                <w:b/>
                <w:bCs/>
                <w:spacing w:val="7"/>
              </w:rPr>
              <w:t>工频磁感应强度(</w:t>
            </w:r>
            <w:r>
              <w:rPr>
                <w:rFonts w:ascii="Times New Roman" w:hAnsi="Times New Roman" w:eastAsia="Times New Roman" w:cs="Times New Roman"/>
                <w:b/>
                <w:bCs/>
                <w:spacing w:val="7"/>
              </w:rPr>
              <w:t>µT</w:t>
            </w:r>
            <w:r>
              <w:rPr>
                <w:b/>
                <w:bCs/>
                <w:spacing w:val="7"/>
              </w:rPr>
              <w:t>）</w:t>
            </w:r>
          </w:p>
        </w:tc>
      </w:tr>
      <w:tr w14:paraId="07D49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Merge w:val="continue"/>
            <w:tcBorders>
              <w:top w:val="nil"/>
            </w:tcBorders>
            <w:vAlign w:val="top"/>
          </w:tcPr>
          <w:p w14:paraId="3A6641F2">
            <w:pPr>
              <w:rPr>
                <w:rFonts w:ascii="Arial"/>
                <w:sz w:val="21"/>
              </w:rPr>
            </w:pPr>
          </w:p>
        </w:tc>
        <w:tc>
          <w:tcPr>
            <w:tcW w:w="1842" w:type="dxa"/>
            <w:vAlign w:val="top"/>
          </w:tcPr>
          <w:p w14:paraId="4A41BBC5">
            <w:pPr>
              <w:pStyle w:val="6"/>
              <w:spacing w:before="54" w:line="224" w:lineRule="auto"/>
              <w:ind w:left="261"/>
              <w:rPr>
                <w:rFonts w:ascii="Times New Roman" w:hAnsi="Times New Roman" w:eastAsia="Times New Roman" w:cs="Times New Roman"/>
              </w:rPr>
            </w:pPr>
            <w:r>
              <w:rPr>
                <w:b/>
                <w:bCs/>
                <w:spacing w:val="-3"/>
              </w:rPr>
              <w:t>非居民区</w:t>
            </w:r>
            <w:r>
              <w:rPr>
                <w:spacing w:val="-42"/>
              </w:rPr>
              <w:t xml:space="preserve"> </w:t>
            </w:r>
            <w:r>
              <w:rPr>
                <w:rFonts w:ascii="Times New Roman" w:hAnsi="Times New Roman" w:eastAsia="Times New Roman" w:cs="Times New Roman"/>
                <w:b/>
                <w:bCs/>
                <w:spacing w:val="-3"/>
              </w:rPr>
              <w:t>6.5m</w:t>
            </w:r>
          </w:p>
        </w:tc>
        <w:tc>
          <w:tcPr>
            <w:tcW w:w="1840" w:type="dxa"/>
            <w:vAlign w:val="top"/>
          </w:tcPr>
          <w:p w14:paraId="6D93BBC9">
            <w:pPr>
              <w:pStyle w:val="6"/>
              <w:spacing w:before="54" w:line="224" w:lineRule="auto"/>
              <w:ind w:left="444"/>
              <w:rPr>
                <w:rFonts w:ascii="Times New Roman" w:hAnsi="Times New Roman" w:eastAsia="Times New Roman" w:cs="Times New Roman"/>
              </w:rPr>
            </w:pPr>
            <w:r>
              <w:rPr>
                <w:b/>
                <w:bCs/>
                <w:spacing w:val="-4"/>
              </w:rPr>
              <w:t>居民区</w:t>
            </w:r>
            <w:r>
              <w:rPr>
                <w:spacing w:val="-41"/>
              </w:rPr>
              <w:t xml:space="preserve"> </w:t>
            </w:r>
            <w:r>
              <w:rPr>
                <w:rFonts w:ascii="Times New Roman" w:hAnsi="Times New Roman" w:eastAsia="Times New Roman" w:cs="Times New Roman"/>
                <w:b/>
                <w:bCs/>
                <w:spacing w:val="-4"/>
              </w:rPr>
              <w:t>8m</w:t>
            </w:r>
          </w:p>
        </w:tc>
        <w:tc>
          <w:tcPr>
            <w:tcW w:w="1843" w:type="dxa"/>
            <w:vAlign w:val="top"/>
          </w:tcPr>
          <w:p w14:paraId="6C861323">
            <w:pPr>
              <w:pStyle w:val="6"/>
              <w:spacing w:before="54" w:line="224" w:lineRule="auto"/>
              <w:ind w:left="264"/>
              <w:rPr>
                <w:rFonts w:ascii="Times New Roman" w:hAnsi="Times New Roman" w:eastAsia="Times New Roman" w:cs="Times New Roman"/>
              </w:rPr>
            </w:pPr>
            <w:r>
              <w:rPr>
                <w:b/>
                <w:bCs/>
                <w:spacing w:val="-3"/>
              </w:rPr>
              <w:t>非居民区</w:t>
            </w:r>
            <w:r>
              <w:rPr>
                <w:spacing w:val="-42"/>
              </w:rPr>
              <w:t xml:space="preserve"> </w:t>
            </w:r>
            <w:r>
              <w:rPr>
                <w:rFonts w:ascii="Times New Roman" w:hAnsi="Times New Roman" w:eastAsia="Times New Roman" w:cs="Times New Roman"/>
                <w:b/>
                <w:bCs/>
                <w:spacing w:val="-3"/>
              </w:rPr>
              <w:t>6.5m</w:t>
            </w:r>
          </w:p>
        </w:tc>
        <w:tc>
          <w:tcPr>
            <w:tcW w:w="1989" w:type="dxa"/>
            <w:vAlign w:val="top"/>
          </w:tcPr>
          <w:p w14:paraId="35E29AF3">
            <w:pPr>
              <w:pStyle w:val="6"/>
              <w:spacing w:before="54" w:line="224" w:lineRule="auto"/>
              <w:ind w:left="518"/>
              <w:rPr>
                <w:rFonts w:ascii="Times New Roman" w:hAnsi="Times New Roman" w:eastAsia="Times New Roman" w:cs="Times New Roman"/>
              </w:rPr>
            </w:pPr>
            <w:r>
              <w:rPr>
                <w:b/>
                <w:bCs/>
                <w:spacing w:val="-4"/>
              </w:rPr>
              <w:t>居民区</w:t>
            </w:r>
            <w:r>
              <w:rPr>
                <w:spacing w:val="-41"/>
              </w:rPr>
              <w:t xml:space="preserve"> </w:t>
            </w:r>
            <w:r>
              <w:rPr>
                <w:rFonts w:ascii="Times New Roman" w:hAnsi="Times New Roman" w:eastAsia="Times New Roman" w:cs="Times New Roman"/>
                <w:b/>
                <w:bCs/>
                <w:spacing w:val="-4"/>
              </w:rPr>
              <w:t>8m</w:t>
            </w:r>
          </w:p>
        </w:tc>
      </w:tr>
      <w:tr w14:paraId="29D1E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96F755C">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1842" w:type="dxa"/>
            <w:vAlign w:val="top"/>
          </w:tcPr>
          <w:p w14:paraId="140CAA24">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0.065</w:t>
            </w:r>
          </w:p>
        </w:tc>
        <w:tc>
          <w:tcPr>
            <w:tcW w:w="1840" w:type="dxa"/>
            <w:vAlign w:val="top"/>
          </w:tcPr>
          <w:p w14:paraId="6A64CF0A">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0.078</w:t>
            </w:r>
          </w:p>
        </w:tc>
        <w:tc>
          <w:tcPr>
            <w:tcW w:w="1843" w:type="dxa"/>
            <w:vAlign w:val="top"/>
          </w:tcPr>
          <w:p w14:paraId="7C73A22C">
            <w:pPr>
              <w:spacing w:before="86"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0.303</w:t>
            </w:r>
          </w:p>
        </w:tc>
        <w:tc>
          <w:tcPr>
            <w:tcW w:w="1989" w:type="dxa"/>
            <w:vAlign w:val="top"/>
          </w:tcPr>
          <w:p w14:paraId="7C0C09D2">
            <w:pPr>
              <w:spacing w:before="86"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0.301</w:t>
            </w:r>
          </w:p>
        </w:tc>
      </w:tr>
      <w:tr w14:paraId="06048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BD59DEA">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-49</w:t>
            </w:r>
          </w:p>
        </w:tc>
        <w:tc>
          <w:tcPr>
            <w:tcW w:w="1842" w:type="dxa"/>
            <w:vAlign w:val="top"/>
          </w:tcPr>
          <w:p w14:paraId="5B6FA917">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0.069</w:t>
            </w:r>
          </w:p>
        </w:tc>
        <w:tc>
          <w:tcPr>
            <w:tcW w:w="1840" w:type="dxa"/>
            <w:vAlign w:val="top"/>
          </w:tcPr>
          <w:p w14:paraId="7626FB0F">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0.083</w:t>
            </w:r>
          </w:p>
        </w:tc>
        <w:tc>
          <w:tcPr>
            <w:tcW w:w="1843" w:type="dxa"/>
            <w:vAlign w:val="top"/>
          </w:tcPr>
          <w:p w14:paraId="596CB502">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0.316</w:t>
            </w:r>
          </w:p>
        </w:tc>
        <w:tc>
          <w:tcPr>
            <w:tcW w:w="1989" w:type="dxa"/>
            <w:vAlign w:val="top"/>
          </w:tcPr>
          <w:p w14:paraId="3C3081CE">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0.313</w:t>
            </w:r>
          </w:p>
        </w:tc>
      </w:tr>
      <w:tr w14:paraId="3F2D75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E006764">
            <w:pPr>
              <w:spacing w:before="87"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-48</w:t>
            </w:r>
          </w:p>
        </w:tc>
        <w:tc>
          <w:tcPr>
            <w:tcW w:w="1842" w:type="dxa"/>
            <w:vAlign w:val="top"/>
          </w:tcPr>
          <w:p w14:paraId="3F0EC128">
            <w:pPr>
              <w:spacing w:before="87"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0.074</w:t>
            </w:r>
          </w:p>
        </w:tc>
        <w:tc>
          <w:tcPr>
            <w:tcW w:w="1840" w:type="dxa"/>
            <w:vAlign w:val="top"/>
          </w:tcPr>
          <w:p w14:paraId="430B4E82">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0.088</w:t>
            </w:r>
          </w:p>
        </w:tc>
        <w:tc>
          <w:tcPr>
            <w:tcW w:w="1843" w:type="dxa"/>
            <w:vAlign w:val="top"/>
          </w:tcPr>
          <w:p w14:paraId="5A3496B4">
            <w:pPr>
              <w:spacing w:before="87"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0.329</w:t>
            </w:r>
          </w:p>
        </w:tc>
        <w:tc>
          <w:tcPr>
            <w:tcW w:w="1989" w:type="dxa"/>
            <w:vAlign w:val="top"/>
          </w:tcPr>
          <w:p w14:paraId="5709CC1F">
            <w:pPr>
              <w:spacing w:before="87"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0.327</w:t>
            </w:r>
          </w:p>
        </w:tc>
      </w:tr>
      <w:tr w14:paraId="12F3C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79E9073">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-47</w:t>
            </w:r>
          </w:p>
        </w:tc>
        <w:tc>
          <w:tcPr>
            <w:tcW w:w="1842" w:type="dxa"/>
            <w:vAlign w:val="top"/>
          </w:tcPr>
          <w:p w14:paraId="00431056">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0.079</w:t>
            </w:r>
          </w:p>
        </w:tc>
        <w:tc>
          <w:tcPr>
            <w:tcW w:w="1840" w:type="dxa"/>
            <w:vAlign w:val="top"/>
          </w:tcPr>
          <w:p w14:paraId="06121A69">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0.094</w:t>
            </w:r>
          </w:p>
        </w:tc>
        <w:tc>
          <w:tcPr>
            <w:tcW w:w="1843" w:type="dxa"/>
            <w:vAlign w:val="top"/>
          </w:tcPr>
          <w:p w14:paraId="10C0F28C">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0.344</w:t>
            </w:r>
          </w:p>
        </w:tc>
        <w:tc>
          <w:tcPr>
            <w:tcW w:w="1989" w:type="dxa"/>
            <w:vAlign w:val="top"/>
          </w:tcPr>
          <w:p w14:paraId="40297FB4">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0.341</w:t>
            </w:r>
          </w:p>
        </w:tc>
      </w:tr>
      <w:tr w14:paraId="355EE8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2D1BD27">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-46</w:t>
            </w:r>
          </w:p>
        </w:tc>
        <w:tc>
          <w:tcPr>
            <w:tcW w:w="1842" w:type="dxa"/>
            <w:vAlign w:val="top"/>
          </w:tcPr>
          <w:p w14:paraId="55E4DCEE">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0.084</w:t>
            </w:r>
          </w:p>
        </w:tc>
        <w:tc>
          <w:tcPr>
            <w:tcW w:w="1840" w:type="dxa"/>
            <w:vAlign w:val="top"/>
          </w:tcPr>
          <w:p w14:paraId="693284D6">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0.100</w:t>
            </w:r>
          </w:p>
        </w:tc>
        <w:tc>
          <w:tcPr>
            <w:tcW w:w="1843" w:type="dxa"/>
            <w:vAlign w:val="top"/>
          </w:tcPr>
          <w:p w14:paraId="4AA6F4AB">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0.360</w:t>
            </w:r>
          </w:p>
        </w:tc>
        <w:tc>
          <w:tcPr>
            <w:tcW w:w="1989" w:type="dxa"/>
            <w:vAlign w:val="top"/>
          </w:tcPr>
          <w:p w14:paraId="28E887BA">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0.356</w:t>
            </w:r>
          </w:p>
        </w:tc>
      </w:tr>
      <w:tr w14:paraId="6DDE30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711108F4">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-45</w:t>
            </w:r>
          </w:p>
        </w:tc>
        <w:tc>
          <w:tcPr>
            <w:tcW w:w="1842" w:type="dxa"/>
            <w:vAlign w:val="top"/>
          </w:tcPr>
          <w:p w14:paraId="36A342D1">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0.090</w:t>
            </w:r>
          </w:p>
        </w:tc>
        <w:tc>
          <w:tcPr>
            <w:tcW w:w="1840" w:type="dxa"/>
            <w:vAlign w:val="top"/>
          </w:tcPr>
          <w:p w14:paraId="63ABEE13">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0.107</w:t>
            </w:r>
          </w:p>
        </w:tc>
        <w:tc>
          <w:tcPr>
            <w:tcW w:w="1843" w:type="dxa"/>
            <w:vAlign w:val="top"/>
          </w:tcPr>
          <w:p w14:paraId="3CBF5A4B">
            <w:pPr>
              <w:spacing w:before="90"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0.376</w:t>
            </w:r>
          </w:p>
        </w:tc>
        <w:tc>
          <w:tcPr>
            <w:tcW w:w="1989" w:type="dxa"/>
            <w:vAlign w:val="top"/>
          </w:tcPr>
          <w:p w14:paraId="574710D9">
            <w:pPr>
              <w:spacing w:before="90"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0.373</w:t>
            </w:r>
          </w:p>
        </w:tc>
      </w:tr>
      <w:tr w14:paraId="2D69FD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E084C7D">
            <w:pPr>
              <w:spacing w:before="87"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-44</w:t>
            </w:r>
          </w:p>
        </w:tc>
        <w:tc>
          <w:tcPr>
            <w:tcW w:w="1842" w:type="dxa"/>
            <w:vAlign w:val="top"/>
          </w:tcPr>
          <w:p w14:paraId="53A5170D">
            <w:pPr>
              <w:spacing w:before="87"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0.097</w:t>
            </w:r>
          </w:p>
        </w:tc>
        <w:tc>
          <w:tcPr>
            <w:tcW w:w="1840" w:type="dxa"/>
            <w:vAlign w:val="top"/>
          </w:tcPr>
          <w:p w14:paraId="2C1DE1E5">
            <w:pPr>
              <w:spacing w:before="87" w:line="218"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0.115</w:t>
            </w:r>
          </w:p>
        </w:tc>
        <w:tc>
          <w:tcPr>
            <w:tcW w:w="1843" w:type="dxa"/>
            <w:vAlign w:val="top"/>
          </w:tcPr>
          <w:p w14:paraId="7A91D4A6">
            <w:pPr>
              <w:spacing w:before="87"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0.394</w:t>
            </w:r>
          </w:p>
        </w:tc>
        <w:tc>
          <w:tcPr>
            <w:tcW w:w="1989" w:type="dxa"/>
            <w:vAlign w:val="top"/>
          </w:tcPr>
          <w:p w14:paraId="5ED562E7">
            <w:pPr>
              <w:spacing w:before="87"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0.390</w:t>
            </w:r>
          </w:p>
        </w:tc>
      </w:tr>
      <w:tr w14:paraId="51DB0A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C226F02">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-43</w:t>
            </w:r>
          </w:p>
        </w:tc>
        <w:tc>
          <w:tcPr>
            <w:tcW w:w="1842" w:type="dxa"/>
            <w:vAlign w:val="top"/>
          </w:tcPr>
          <w:p w14:paraId="1BBACC0F">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0.104</w:t>
            </w:r>
          </w:p>
        </w:tc>
        <w:tc>
          <w:tcPr>
            <w:tcW w:w="1840" w:type="dxa"/>
            <w:vAlign w:val="top"/>
          </w:tcPr>
          <w:p w14:paraId="1F7071E7">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0.123</w:t>
            </w:r>
          </w:p>
        </w:tc>
        <w:tc>
          <w:tcPr>
            <w:tcW w:w="1843" w:type="dxa"/>
            <w:vAlign w:val="top"/>
          </w:tcPr>
          <w:p w14:paraId="24D9CA5E">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0.414</w:t>
            </w:r>
          </w:p>
        </w:tc>
        <w:tc>
          <w:tcPr>
            <w:tcW w:w="1989" w:type="dxa"/>
            <w:vAlign w:val="top"/>
          </w:tcPr>
          <w:p w14:paraId="5A1F4611">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0.409</w:t>
            </w:r>
          </w:p>
        </w:tc>
      </w:tr>
      <w:tr w14:paraId="71549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38685EB">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-42</w:t>
            </w:r>
          </w:p>
        </w:tc>
        <w:tc>
          <w:tcPr>
            <w:tcW w:w="1842" w:type="dxa"/>
            <w:vAlign w:val="top"/>
          </w:tcPr>
          <w:p w14:paraId="3B244166">
            <w:pPr>
              <w:spacing w:before="88"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0.112</w:t>
            </w:r>
          </w:p>
        </w:tc>
        <w:tc>
          <w:tcPr>
            <w:tcW w:w="1840" w:type="dxa"/>
            <w:vAlign w:val="top"/>
          </w:tcPr>
          <w:p w14:paraId="47F979C2">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0.132</w:t>
            </w:r>
          </w:p>
        </w:tc>
        <w:tc>
          <w:tcPr>
            <w:tcW w:w="1843" w:type="dxa"/>
            <w:vAlign w:val="top"/>
          </w:tcPr>
          <w:p w14:paraId="09F065A2">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0.434</w:t>
            </w:r>
          </w:p>
        </w:tc>
        <w:tc>
          <w:tcPr>
            <w:tcW w:w="1989" w:type="dxa"/>
            <w:vAlign w:val="top"/>
          </w:tcPr>
          <w:p w14:paraId="583A41AD">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0.429</w:t>
            </w:r>
          </w:p>
        </w:tc>
      </w:tr>
      <w:tr w14:paraId="0F2A06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FBD3CA4">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-41</w:t>
            </w:r>
          </w:p>
        </w:tc>
        <w:tc>
          <w:tcPr>
            <w:tcW w:w="1842" w:type="dxa"/>
            <w:vAlign w:val="top"/>
          </w:tcPr>
          <w:p w14:paraId="460F3C83">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0.121</w:t>
            </w:r>
          </w:p>
        </w:tc>
        <w:tc>
          <w:tcPr>
            <w:tcW w:w="1840" w:type="dxa"/>
            <w:vAlign w:val="top"/>
          </w:tcPr>
          <w:p w14:paraId="7CF4358F">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0.143</w:t>
            </w:r>
          </w:p>
        </w:tc>
        <w:tc>
          <w:tcPr>
            <w:tcW w:w="1843" w:type="dxa"/>
            <w:vAlign w:val="top"/>
          </w:tcPr>
          <w:p w14:paraId="5B48A29D">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0.457</w:t>
            </w:r>
          </w:p>
        </w:tc>
        <w:tc>
          <w:tcPr>
            <w:tcW w:w="1989" w:type="dxa"/>
            <w:vAlign w:val="top"/>
          </w:tcPr>
          <w:p w14:paraId="4CC2FF14">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0.451</w:t>
            </w:r>
          </w:p>
        </w:tc>
      </w:tr>
      <w:tr w14:paraId="614CF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A824156">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-40</w:t>
            </w:r>
          </w:p>
        </w:tc>
        <w:tc>
          <w:tcPr>
            <w:tcW w:w="1842" w:type="dxa"/>
            <w:vAlign w:val="top"/>
          </w:tcPr>
          <w:p w14:paraId="01819D57">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0.130</w:t>
            </w:r>
          </w:p>
        </w:tc>
        <w:tc>
          <w:tcPr>
            <w:tcW w:w="1840" w:type="dxa"/>
            <w:vAlign w:val="top"/>
          </w:tcPr>
          <w:p w14:paraId="3729DA7B">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0.154</w:t>
            </w:r>
          </w:p>
        </w:tc>
        <w:tc>
          <w:tcPr>
            <w:tcW w:w="1843" w:type="dxa"/>
            <w:vAlign w:val="top"/>
          </w:tcPr>
          <w:p w14:paraId="341FE27E">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0.481</w:t>
            </w:r>
          </w:p>
        </w:tc>
        <w:tc>
          <w:tcPr>
            <w:tcW w:w="1989" w:type="dxa"/>
            <w:vAlign w:val="top"/>
          </w:tcPr>
          <w:p w14:paraId="3254B2E9">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0.475</w:t>
            </w:r>
          </w:p>
        </w:tc>
      </w:tr>
      <w:tr w14:paraId="0B896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1051FE36">
            <w:pPr>
              <w:spacing w:before="91"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-39</w:t>
            </w:r>
          </w:p>
        </w:tc>
        <w:tc>
          <w:tcPr>
            <w:tcW w:w="1842" w:type="dxa"/>
            <w:vAlign w:val="top"/>
          </w:tcPr>
          <w:p w14:paraId="0E23FEB0">
            <w:pPr>
              <w:spacing w:before="91"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0.141</w:t>
            </w:r>
          </w:p>
        </w:tc>
        <w:tc>
          <w:tcPr>
            <w:tcW w:w="1840" w:type="dxa"/>
            <w:vAlign w:val="top"/>
          </w:tcPr>
          <w:p w14:paraId="1FA764A7">
            <w:pPr>
              <w:spacing w:before="91"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0.166</w:t>
            </w:r>
          </w:p>
        </w:tc>
        <w:tc>
          <w:tcPr>
            <w:tcW w:w="1843" w:type="dxa"/>
            <w:vAlign w:val="top"/>
          </w:tcPr>
          <w:p w14:paraId="488DBEB3">
            <w:pPr>
              <w:spacing w:before="91"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0.507</w:t>
            </w:r>
          </w:p>
        </w:tc>
        <w:tc>
          <w:tcPr>
            <w:tcW w:w="1989" w:type="dxa"/>
            <w:vAlign w:val="top"/>
          </w:tcPr>
          <w:p w14:paraId="1D22A3A0">
            <w:pPr>
              <w:spacing w:before="91"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0.500</w:t>
            </w:r>
          </w:p>
        </w:tc>
      </w:tr>
      <w:tr w14:paraId="047EE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B944CC2">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-38</w:t>
            </w:r>
          </w:p>
        </w:tc>
        <w:tc>
          <w:tcPr>
            <w:tcW w:w="1842" w:type="dxa"/>
            <w:vAlign w:val="top"/>
          </w:tcPr>
          <w:p w14:paraId="518C66AA">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0.153</w:t>
            </w:r>
          </w:p>
        </w:tc>
        <w:tc>
          <w:tcPr>
            <w:tcW w:w="1840" w:type="dxa"/>
            <w:vAlign w:val="top"/>
          </w:tcPr>
          <w:p w14:paraId="6C125CD9">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0.180</w:t>
            </w:r>
          </w:p>
        </w:tc>
        <w:tc>
          <w:tcPr>
            <w:tcW w:w="1843" w:type="dxa"/>
            <w:vAlign w:val="top"/>
          </w:tcPr>
          <w:p w14:paraId="78C37A4D">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0.535</w:t>
            </w:r>
          </w:p>
        </w:tc>
        <w:tc>
          <w:tcPr>
            <w:tcW w:w="1989" w:type="dxa"/>
            <w:vAlign w:val="top"/>
          </w:tcPr>
          <w:p w14:paraId="4BEF7228">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0.528</w:t>
            </w:r>
          </w:p>
        </w:tc>
      </w:tr>
      <w:tr w14:paraId="4CF631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F61B8B7">
            <w:pPr>
              <w:spacing w:before="89"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-37</w:t>
            </w:r>
          </w:p>
        </w:tc>
        <w:tc>
          <w:tcPr>
            <w:tcW w:w="1842" w:type="dxa"/>
            <w:vAlign w:val="top"/>
          </w:tcPr>
          <w:p w14:paraId="6D1D515C">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0.167</w:t>
            </w:r>
          </w:p>
        </w:tc>
        <w:tc>
          <w:tcPr>
            <w:tcW w:w="1840" w:type="dxa"/>
            <w:vAlign w:val="top"/>
          </w:tcPr>
          <w:p w14:paraId="67A804F1">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0.195</w:t>
            </w:r>
          </w:p>
        </w:tc>
        <w:tc>
          <w:tcPr>
            <w:tcW w:w="1843" w:type="dxa"/>
            <w:vAlign w:val="top"/>
          </w:tcPr>
          <w:p w14:paraId="560F19EA">
            <w:pPr>
              <w:spacing w:before="89"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0.566</w:t>
            </w:r>
          </w:p>
        </w:tc>
        <w:tc>
          <w:tcPr>
            <w:tcW w:w="1989" w:type="dxa"/>
            <w:vAlign w:val="top"/>
          </w:tcPr>
          <w:p w14:paraId="53C2053F">
            <w:pPr>
              <w:spacing w:before="89"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0.557</w:t>
            </w:r>
          </w:p>
        </w:tc>
      </w:tr>
      <w:tr w14:paraId="0BF67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317C0F6">
            <w:pPr>
              <w:spacing w:before="89"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-36</w:t>
            </w:r>
          </w:p>
        </w:tc>
        <w:tc>
          <w:tcPr>
            <w:tcW w:w="1842" w:type="dxa"/>
            <w:vAlign w:val="top"/>
          </w:tcPr>
          <w:p w14:paraId="03BA7A03">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0.182</w:t>
            </w:r>
          </w:p>
        </w:tc>
        <w:tc>
          <w:tcPr>
            <w:tcW w:w="1840" w:type="dxa"/>
            <w:vAlign w:val="top"/>
          </w:tcPr>
          <w:p w14:paraId="12861ECE">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0.212</w:t>
            </w:r>
          </w:p>
        </w:tc>
        <w:tc>
          <w:tcPr>
            <w:tcW w:w="1843" w:type="dxa"/>
            <w:vAlign w:val="top"/>
          </w:tcPr>
          <w:p w14:paraId="3486E27A">
            <w:pPr>
              <w:spacing w:before="89"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0.599</w:t>
            </w:r>
          </w:p>
        </w:tc>
        <w:tc>
          <w:tcPr>
            <w:tcW w:w="1989" w:type="dxa"/>
            <w:vAlign w:val="top"/>
          </w:tcPr>
          <w:p w14:paraId="77CB1EA8">
            <w:pPr>
              <w:spacing w:before="89"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0.590</w:t>
            </w:r>
          </w:p>
        </w:tc>
      </w:tr>
      <w:tr w14:paraId="5AE8F3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789FFE6">
            <w:pPr>
              <w:spacing w:before="89"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-35</w:t>
            </w:r>
          </w:p>
        </w:tc>
        <w:tc>
          <w:tcPr>
            <w:tcW w:w="1842" w:type="dxa"/>
            <w:vAlign w:val="top"/>
          </w:tcPr>
          <w:p w14:paraId="43BABB37">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0.199</w:t>
            </w:r>
          </w:p>
        </w:tc>
        <w:tc>
          <w:tcPr>
            <w:tcW w:w="1840" w:type="dxa"/>
            <w:vAlign w:val="top"/>
          </w:tcPr>
          <w:p w14:paraId="26BFB37D">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0.232</w:t>
            </w:r>
          </w:p>
        </w:tc>
        <w:tc>
          <w:tcPr>
            <w:tcW w:w="1843" w:type="dxa"/>
            <w:vAlign w:val="top"/>
          </w:tcPr>
          <w:p w14:paraId="07D21F74">
            <w:pPr>
              <w:spacing w:before="89"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0.636</w:t>
            </w:r>
          </w:p>
        </w:tc>
        <w:tc>
          <w:tcPr>
            <w:tcW w:w="1989" w:type="dxa"/>
            <w:vAlign w:val="top"/>
          </w:tcPr>
          <w:p w14:paraId="1618891D">
            <w:pPr>
              <w:spacing w:before="89"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0.625</w:t>
            </w:r>
          </w:p>
        </w:tc>
      </w:tr>
      <w:tr w14:paraId="49A6A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FA4812A">
            <w:pPr>
              <w:spacing w:before="89"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-34</w:t>
            </w:r>
          </w:p>
        </w:tc>
        <w:tc>
          <w:tcPr>
            <w:tcW w:w="1842" w:type="dxa"/>
            <w:vAlign w:val="top"/>
          </w:tcPr>
          <w:p w14:paraId="11AA385B">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0.218</w:t>
            </w:r>
          </w:p>
        </w:tc>
        <w:tc>
          <w:tcPr>
            <w:tcW w:w="1840" w:type="dxa"/>
            <w:vAlign w:val="top"/>
          </w:tcPr>
          <w:p w14:paraId="426250BA">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0.253</w:t>
            </w:r>
          </w:p>
        </w:tc>
        <w:tc>
          <w:tcPr>
            <w:tcW w:w="1843" w:type="dxa"/>
            <w:vAlign w:val="top"/>
          </w:tcPr>
          <w:p w14:paraId="578CF842">
            <w:pPr>
              <w:spacing w:before="89"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0.676</w:t>
            </w:r>
          </w:p>
        </w:tc>
        <w:tc>
          <w:tcPr>
            <w:tcW w:w="1989" w:type="dxa"/>
            <w:vAlign w:val="top"/>
          </w:tcPr>
          <w:p w14:paraId="1C0B6CB3">
            <w:pPr>
              <w:spacing w:before="89"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0.664</w:t>
            </w:r>
          </w:p>
        </w:tc>
      </w:tr>
      <w:tr w14:paraId="5383C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18DA3DDE">
            <w:pPr>
              <w:spacing w:before="92"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-33</w:t>
            </w:r>
          </w:p>
        </w:tc>
        <w:tc>
          <w:tcPr>
            <w:tcW w:w="1842" w:type="dxa"/>
            <w:vAlign w:val="top"/>
          </w:tcPr>
          <w:p w14:paraId="2ECFEB92">
            <w:pPr>
              <w:spacing w:before="92"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0.239</w:t>
            </w:r>
          </w:p>
        </w:tc>
        <w:tc>
          <w:tcPr>
            <w:tcW w:w="1840" w:type="dxa"/>
            <w:vAlign w:val="top"/>
          </w:tcPr>
          <w:p w14:paraId="35658119">
            <w:pPr>
              <w:spacing w:before="92"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0.277</w:t>
            </w:r>
          </w:p>
        </w:tc>
        <w:tc>
          <w:tcPr>
            <w:tcW w:w="1843" w:type="dxa"/>
            <w:vAlign w:val="top"/>
          </w:tcPr>
          <w:p w14:paraId="4628F527">
            <w:pPr>
              <w:spacing w:before="92"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0.720</w:t>
            </w:r>
          </w:p>
        </w:tc>
        <w:tc>
          <w:tcPr>
            <w:tcW w:w="1989" w:type="dxa"/>
            <w:vAlign w:val="top"/>
          </w:tcPr>
          <w:p w14:paraId="6D9FC377">
            <w:pPr>
              <w:spacing w:before="92"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0.706</w:t>
            </w:r>
          </w:p>
        </w:tc>
      </w:tr>
      <w:tr w14:paraId="299E25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D96547E">
            <w:pPr>
              <w:spacing w:before="90" w:line="214"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-32</w:t>
            </w:r>
          </w:p>
        </w:tc>
        <w:tc>
          <w:tcPr>
            <w:tcW w:w="1842" w:type="dxa"/>
            <w:vAlign w:val="top"/>
          </w:tcPr>
          <w:p w14:paraId="0D878FF7">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0.264</w:t>
            </w:r>
          </w:p>
        </w:tc>
        <w:tc>
          <w:tcPr>
            <w:tcW w:w="1840" w:type="dxa"/>
            <w:vAlign w:val="top"/>
          </w:tcPr>
          <w:p w14:paraId="568E47D6">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0.305</w:t>
            </w:r>
          </w:p>
        </w:tc>
        <w:tc>
          <w:tcPr>
            <w:tcW w:w="1843" w:type="dxa"/>
            <w:vAlign w:val="top"/>
          </w:tcPr>
          <w:p w14:paraId="4E6FD422">
            <w:pPr>
              <w:spacing w:before="90"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0.769</w:t>
            </w:r>
          </w:p>
        </w:tc>
        <w:tc>
          <w:tcPr>
            <w:tcW w:w="1989" w:type="dxa"/>
            <w:vAlign w:val="top"/>
          </w:tcPr>
          <w:p w14:paraId="5745110F">
            <w:pPr>
              <w:spacing w:before="90"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0.753</w:t>
            </w:r>
          </w:p>
        </w:tc>
      </w:tr>
      <w:tr w14:paraId="3F63C4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A89C5E8">
            <w:pPr>
              <w:spacing w:before="91" w:line="213"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-31</w:t>
            </w:r>
          </w:p>
        </w:tc>
        <w:tc>
          <w:tcPr>
            <w:tcW w:w="1842" w:type="dxa"/>
            <w:vAlign w:val="top"/>
          </w:tcPr>
          <w:p w14:paraId="0DA421AE">
            <w:pPr>
              <w:spacing w:before="91"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0.292</w:t>
            </w:r>
          </w:p>
        </w:tc>
        <w:tc>
          <w:tcPr>
            <w:tcW w:w="1840" w:type="dxa"/>
            <w:vAlign w:val="top"/>
          </w:tcPr>
          <w:p w14:paraId="0F797112">
            <w:pPr>
              <w:spacing w:before="91"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0.336</w:t>
            </w:r>
          </w:p>
        </w:tc>
        <w:tc>
          <w:tcPr>
            <w:tcW w:w="1843" w:type="dxa"/>
            <w:vAlign w:val="top"/>
          </w:tcPr>
          <w:p w14:paraId="4461EECA">
            <w:pPr>
              <w:spacing w:before="91" w:line="213"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0.822</w:t>
            </w:r>
          </w:p>
        </w:tc>
        <w:tc>
          <w:tcPr>
            <w:tcW w:w="1989" w:type="dxa"/>
            <w:vAlign w:val="top"/>
          </w:tcPr>
          <w:p w14:paraId="586313C5">
            <w:pPr>
              <w:spacing w:before="91" w:line="213"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0.804</w:t>
            </w:r>
          </w:p>
        </w:tc>
      </w:tr>
      <w:tr w14:paraId="05DA20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Align w:val="top"/>
          </w:tcPr>
          <w:p w14:paraId="3D7AB709">
            <w:pPr>
              <w:spacing w:before="91"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w:t>
            </w:r>
          </w:p>
        </w:tc>
        <w:tc>
          <w:tcPr>
            <w:tcW w:w="1842" w:type="dxa"/>
            <w:vAlign w:val="top"/>
          </w:tcPr>
          <w:p w14:paraId="11C8C84F">
            <w:pPr>
              <w:spacing w:before="91"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0.324</w:t>
            </w:r>
          </w:p>
        </w:tc>
        <w:tc>
          <w:tcPr>
            <w:tcW w:w="1840" w:type="dxa"/>
            <w:vAlign w:val="top"/>
          </w:tcPr>
          <w:p w14:paraId="3F18CECA">
            <w:pPr>
              <w:spacing w:before="91"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0.371</w:t>
            </w:r>
          </w:p>
        </w:tc>
        <w:tc>
          <w:tcPr>
            <w:tcW w:w="1843" w:type="dxa"/>
            <w:vAlign w:val="top"/>
          </w:tcPr>
          <w:p w14:paraId="34738FF9">
            <w:pPr>
              <w:spacing w:before="91"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0.882</w:t>
            </w:r>
          </w:p>
        </w:tc>
        <w:tc>
          <w:tcPr>
            <w:tcW w:w="1989" w:type="dxa"/>
            <w:vAlign w:val="top"/>
          </w:tcPr>
          <w:p w14:paraId="70C0830A">
            <w:pPr>
              <w:spacing w:before="91"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0.861</w:t>
            </w:r>
          </w:p>
        </w:tc>
      </w:tr>
    </w:tbl>
    <w:p w14:paraId="0621211A">
      <w:pPr>
        <w:rPr>
          <w:rFonts w:ascii="Arial"/>
          <w:sz w:val="21"/>
        </w:rPr>
      </w:pPr>
    </w:p>
    <w:p w14:paraId="66B2544D">
      <w:pPr>
        <w:rPr>
          <w:rFonts w:ascii="Arial" w:hAnsi="Arial" w:eastAsia="Arial" w:cs="Arial"/>
          <w:sz w:val="21"/>
          <w:szCs w:val="21"/>
        </w:rPr>
        <w:sectPr>
          <w:footerReference r:id="rId117" w:type="default"/>
          <w:pgSz w:w="11907" w:h="16841"/>
          <w:pgMar w:top="400" w:right="1411" w:bottom="1126" w:left="1416" w:header="0" w:footer="923" w:gutter="0"/>
          <w:cols w:space="720" w:num="1"/>
        </w:sectPr>
      </w:pPr>
    </w:p>
    <w:p w14:paraId="55AF8544">
      <w:pPr>
        <w:spacing w:before="2"/>
      </w:pPr>
    </w:p>
    <w:p w14:paraId="31941117">
      <w:pPr>
        <w:spacing w:before="2"/>
      </w:pPr>
    </w:p>
    <w:p w14:paraId="7EA17A27">
      <w:pPr>
        <w:spacing w:before="1"/>
      </w:pPr>
    </w:p>
    <w:p w14:paraId="66F67FDA">
      <w:pPr>
        <w:spacing w:before="1"/>
      </w:pPr>
    </w:p>
    <w:p w14:paraId="7BA26BDD">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62101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559" w:type="dxa"/>
            <w:vAlign w:val="top"/>
          </w:tcPr>
          <w:p w14:paraId="1D3B4E8C">
            <w:pPr>
              <w:spacing w:before="93"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-29</w:t>
            </w:r>
          </w:p>
        </w:tc>
        <w:tc>
          <w:tcPr>
            <w:tcW w:w="1842" w:type="dxa"/>
            <w:vAlign w:val="top"/>
          </w:tcPr>
          <w:p w14:paraId="3DDB4B28">
            <w:pPr>
              <w:spacing w:before="93"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0.361</w:t>
            </w:r>
          </w:p>
        </w:tc>
        <w:tc>
          <w:tcPr>
            <w:tcW w:w="1840" w:type="dxa"/>
            <w:vAlign w:val="top"/>
          </w:tcPr>
          <w:p w14:paraId="5F7DE870">
            <w:pPr>
              <w:spacing w:before="93"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0.412</w:t>
            </w:r>
          </w:p>
        </w:tc>
        <w:tc>
          <w:tcPr>
            <w:tcW w:w="1843" w:type="dxa"/>
            <w:vAlign w:val="top"/>
          </w:tcPr>
          <w:p w14:paraId="7AA783EE">
            <w:pPr>
              <w:spacing w:before="93"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0.949</w:t>
            </w:r>
          </w:p>
        </w:tc>
        <w:tc>
          <w:tcPr>
            <w:tcW w:w="1989" w:type="dxa"/>
            <w:vAlign w:val="top"/>
          </w:tcPr>
          <w:p w14:paraId="26B1909A">
            <w:pPr>
              <w:spacing w:before="93"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0.924</w:t>
            </w:r>
          </w:p>
        </w:tc>
      </w:tr>
      <w:tr w14:paraId="1D9554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40FA680B">
            <w:pPr>
              <w:spacing w:before="88"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-28</w:t>
            </w:r>
          </w:p>
        </w:tc>
        <w:tc>
          <w:tcPr>
            <w:tcW w:w="1842" w:type="dxa"/>
            <w:vAlign w:val="top"/>
          </w:tcPr>
          <w:p w14:paraId="6461DD83">
            <w:pPr>
              <w:spacing w:before="88"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0.404</w:t>
            </w:r>
          </w:p>
        </w:tc>
        <w:tc>
          <w:tcPr>
            <w:tcW w:w="1840" w:type="dxa"/>
            <w:vAlign w:val="top"/>
          </w:tcPr>
          <w:p w14:paraId="527ED1A7">
            <w:pPr>
              <w:spacing w:before="88"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0.458</w:t>
            </w:r>
          </w:p>
        </w:tc>
        <w:tc>
          <w:tcPr>
            <w:tcW w:w="1843" w:type="dxa"/>
            <w:vAlign w:val="top"/>
          </w:tcPr>
          <w:p w14:paraId="4E5B22F2">
            <w:pPr>
              <w:spacing w:before="88" w:line="219"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1.023</w:t>
            </w:r>
          </w:p>
        </w:tc>
        <w:tc>
          <w:tcPr>
            <w:tcW w:w="1989" w:type="dxa"/>
            <w:vAlign w:val="top"/>
          </w:tcPr>
          <w:p w14:paraId="24DA9D05">
            <w:pPr>
              <w:spacing w:before="88" w:line="219"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0.994</w:t>
            </w:r>
          </w:p>
        </w:tc>
      </w:tr>
      <w:tr w14:paraId="5DB1CE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49C7F06">
            <w:pPr>
              <w:spacing w:before="85"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-27</w:t>
            </w:r>
          </w:p>
        </w:tc>
        <w:tc>
          <w:tcPr>
            <w:tcW w:w="1842" w:type="dxa"/>
            <w:vAlign w:val="top"/>
          </w:tcPr>
          <w:p w14:paraId="0280CB14">
            <w:pPr>
              <w:spacing w:before="85"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0.454</w:t>
            </w:r>
          </w:p>
        </w:tc>
        <w:tc>
          <w:tcPr>
            <w:tcW w:w="1840" w:type="dxa"/>
            <w:vAlign w:val="top"/>
          </w:tcPr>
          <w:p w14:paraId="13DEC78D">
            <w:pPr>
              <w:spacing w:before="85"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0.512</w:t>
            </w:r>
          </w:p>
        </w:tc>
        <w:tc>
          <w:tcPr>
            <w:tcW w:w="1843" w:type="dxa"/>
            <w:vAlign w:val="top"/>
          </w:tcPr>
          <w:p w14:paraId="277EBD1C">
            <w:pPr>
              <w:spacing w:before="85" w:line="219"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1.107</w:t>
            </w:r>
          </w:p>
        </w:tc>
        <w:tc>
          <w:tcPr>
            <w:tcW w:w="1989" w:type="dxa"/>
            <w:vAlign w:val="top"/>
          </w:tcPr>
          <w:p w14:paraId="0D27DE2F">
            <w:pPr>
              <w:spacing w:before="85" w:line="219"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1.073</w:t>
            </w:r>
          </w:p>
        </w:tc>
      </w:tr>
      <w:tr w14:paraId="1F695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A7CC54E">
            <w:pPr>
              <w:spacing w:before="86"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-26</w:t>
            </w:r>
          </w:p>
        </w:tc>
        <w:tc>
          <w:tcPr>
            <w:tcW w:w="1842" w:type="dxa"/>
            <w:vAlign w:val="top"/>
          </w:tcPr>
          <w:p w14:paraId="03B4F01E">
            <w:pPr>
              <w:spacing w:before="86"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0.513</w:t>
            </w:r>
          </w:p>
        </w:tc>
        <w:tc>
          <w:tcPr>
            <w:tcW w:w="1840" w:type="dxa"/>
            <w:vAlign w:val="top"/>
          </w:tcPr>
          <w:p w14:paraId="7B81B1F2">
            <w:pPr>
              <w:spacing w:before="86"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0.573</w:t>
            </w:r>
          </w:p>
        </w:tc>
        <w:tc>
          <w:tcPr>
            <w:tcW w:w="1843" w:type="dxa"/>
            <w:vAlign w:val="top"/>
          </w:tcPr>
          <w:p w14:paraId="37BE81B4">
            <w:pPr>
              <w:spacing w:before="86" w:line="219"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1.201</w:t>
            </w:r>
          </w:p>
        </w:tc>
        <w:tc>
          <w:tcPr>
            <w:tcW w:w="1989" w:type="dxa"/>
            <w:vAlign w:val="top"/>
          </w:tcPr>
          <w:p w14:paraId="4F430786">
            <w:pPr>
              <w:spacing w:before="86" w:line="219"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1.161</w:t>
            </w:r>
          </w:p>
        </w:tc>
      </w:tr>
      <w:tr w14:paraId="4220DB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C090E7C">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-25</w:t>
            </w:r>
          </w:p>
        </w:tc>
        <w:tc>
          <w:tcPr>
            <w:tcW w:w="1842" w:type="dxa"/>
            <w:vAlign w:val="top"/>
          </w:tcPr>
          <w:p w14:paraId="117E4CED">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0.581</w:t>
            </w:r>
          </w:p>
        </w:tc>
        <w:tc>
          <w:tcPr>
            <w:tcW w:w="1840" w:type="dxa"/>
            <w:vAlign w:val="top"/>
          </w:tcPr>
          <w:p w14:paraId="525BCF04">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0.645</w:t>
            </w:r>
          </w:p>
        </w:tc>
        <w:tc>
          <w:tcPr>
            <w:tcW w:w="1843" w:type="dxa"/>
            <w:vAlign w:val="top"/>
          </w:tcPr>
          <w:p w14:paraId="0736D2FE">
            <w:pPr>
              <w:spacing w:before="86" w:line="218"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1.309</w:t>
            </w:r>
          </w:p>
        </w:tc>
        <w:tc>
          <w:tcPr>
            <w:tcW w:w="1989" w:type="dxa"/>
            <w:vAlign w:val="top"/>
          </w:tcPr>
          <w:p w14:paraId="799DA5EB">
            <w:pPr>
              <w:spacing w:before="86" w:line="218"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1.260</w:t>
            </w:r>
          </w:p>
        </w:tc>
      </w:tr>
      <w:tr w14:paraId="6F21B5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A3829A0">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-24</w:t>
            </w:r>
          </w:p>
        </w:tc>
        <w:tc>
          <w:tcPr>
            <w:tcW w:w="1842" w:type="dxa"/>
            <w:vAlign w:val="top"/>
          </w:tcPr>
          <w:p w14:paraId="51D94B49">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0.663</w:t>
            </w:r>
          </w:p>
        </w:tc>
        <w:tc>
          <w:tcPr>
            <w:tcW w:w="1840" w:type="dxa"/>
            <w:vAlign w:val="top"/>
          </w:tcPr>
          <w:p w14:paraId="221EE384">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0.728</w:t>
            </w:r>
          </w:p>
        </w:tc>
        <w:tc>
          <w:tcPr>
            <w:tcW w:w="1843" w:type="dxa"/>
            <w:vAlign w:val="top"/>
          </w:tcPr>
          <w:p w14:paraId="47636C1E">
            <w:pPr>
              <w:spacing w:before="86" w:line="218"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1.431</w:t>
            </w:r>
          </w:p>
        </w:tc>
        <w:tc>
          <w:tcPr>
            <w:tcW w:w="1989" w:type="dxa"/>
            <w:vAlign w:val="top"/>
          </w:tcPr>
          <w:p w14:paraId="761BCF1A">
            <w:pPr>
              <w:spacing w:before="86" w:line="218"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1.372</w:t>
            </w:r>
          </w:p>
        </w:tc>
      </w:tr>
      <w:tr w14:paraId="5BCF0E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2E8AADF">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-23</w:t>
            </w:r>
          </w:p>
        </w:tc>
        <w:tc>
          <w:tcPr>
            <w:tcW w:w="1842" w:type="dxa"/>
            <w:vAlign w:val="top"/>
          </w:tcPr>
          <w:p w14:paraId="02BFFBD6">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0.759</w:t>
            </w:r>
          </w:p>
        </w:tc>
        <w:tc>
          <w:tcPr>
            <w:tcW w:w="1840" w:type="dxa"/>
            <w:vAlign w:val="top"/>
          </w:tcPr>
          <w:p w14:paraId="5481F6DB">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0.825</w:t>
            </w:r>
          </w:p>
        </w:tc>
        <w:tc>
          <w:tcPr>
            <w:tcW w:w="1843" w:type="dxa"/>
            <w:vAlign w:val="top"/>
          </w:tcPr>
          <w:p w14:paraId="2AF0A9C6">
            <w:pPr>
              <w:spacing w:before="87"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1.572</w:t>
            </w:r>
          </w:p>
        </w:tc>
        <w:tc>
          <w:tcPr>
            <w:tcW w:w="1989" w:type="dxa"/>
            <w:vAlign w:val="top"/>
          </w:tcPr>
          <w:p w14:paraId="3ED013AB">
            <w:pPr>
              <w:spacing w:before="87"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1.500</w:t>
            </w:r>
          </w:p>
        </w:tc>
      </w:tr>
      <w:tr w14:paraId="4E31A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586A17E6">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-22</w:t>
            </w:r>
          </w:p>
        </w:tc>
        <w:tc>
          <w:tcPr>
            <w:tcW w:w="1842" w:type="dxa"/>
            <w:vAlign w:val="top"/>
          </w:tcPr>
          <w:p w14:paraId="7595958B">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0.875</w:t>
            </w:r>
          </w:p>
        </w:tc>
        <w:tc>
          <w:tcPr>
            <w:tcW w:w="1840" w:type="dxa"/>
            <w:vAlign w:val="top"/>
          </w:tcPr>
          <w:p w14:paraId="24E852DF">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0.939</w:t>
            </w:r>
          </w:p>
        </w:tc>
        <w:tc>
          <w:tcPr>
            <w:tcW w:w="1843" w:type="dxa"/>
            <w:vAlign w:val="top"/>
          </w:tcPr>
          <w:p w14:paraId="69A52CC3">
            <w:pPr>
              <w:spacing w:before="90"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1.735</w:t>
            </w:r>
          </w:p>
        </w:tc>
        <w:tc>
          <w:tcPr>
            <w:tcW w:w="1989" w:type="dxa"/>
            <w:vAlign w:val="top"/>
          </w:tcPr>
          <w:p w14:paraId="1B9A9718">
            <w:pPr>
              <w:spacing w:before="90"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1.646</w:t>
            </w:r>
          </w:p>
        </w:tc>
      </w:tr>
      <w:tr w14:paraId="62B8E9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7EACD4C">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-21</w:t>
            </w:r>
          </w:p>
        </w:tc>
        <w:tc>
          <w:tcPr>
            <w:tcW w:w="1842" w:type="dxa"/>
            <w:vAlign w:val="top"/>
          </w:tcPr>
          <w:p w14:paraId="51FFEE12">
            <w:pPr>
              <w:spacing w:before="87"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1.014</w:t>
            </w:r>
          </w:p>
        </w:tc>
        <w:tc>
          <w:tcPr>
            <w:tcW w:w="1840" w:type="dxa"/>
            <w:vAlign w:val="top"/>
          </w:tcPr>
          <w:p w14:paraId="0E16D49A">
            <w:pPr>
              <w:spacing w:before="87"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1.073</w:t>
            </w:r>
          </w:p>
        </w:tc>
        <w:tc>
          <w:tcPr>
            <w:tcW w:w="1843" w:type="dxa"/>
            <w:vAlign w:val="top"/>
          </w:tcPr>
          <w:p w14:paraId="03F8DA95">
            <w:pPr>
              <w:spacing w:before="87"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1.924</w:t>
            </w:r>
          </w:p>
        </w:tc>
        <w:tc>
          <w:tcPr>
            <w:tcW w:w="1989" w:type="dxa"/>
            <w:vAlign w:val="top"/>
          </w:tcPr>
          <w:p w14:paraId="50496531">
            <w:pPr>
              <w:spacing w:before="87"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1.813</w:t>
            </w:r>
          </w:p>
        </w:tc>
      </w:tr>
      <w:tr w14:paraId="38E386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30DA1BD">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-20</w:t>
            </w:r>
          </w:p>
        </w:tc>
        <w:tc>
          <w:tcPr>
            <w:tcW w:w="1842" w:type="dxa"/>
            <w:vAlign w:val="top"/>
          </w:tcPr>
          <w:p w14:paraId="6D841D32">
            <w:pPr>
              <w:spacing w:before="88"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1.183</w:t>
            </w:r>
          </w:p>
        </w:tc>
        <w:tc>
          <w:tcPr>
            <w:tcW w:w="1840" w:type="dxa"/>
            <w:vAlign w:val="top"/>
          </w:tcPr>
          <w:p w14:paraId="007CAA00">
            <w:pPr>
              <w:spacing w:before="88"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1.230</w:t>
            </w:r>
          </w:p>
        </w:tc>
        <w:tc>
          <w:tcPr>
            <w:tcW w:w="1843" w:type="dxa"/>
            <w:vAlign w:val="top"/>
          </w:tcPr>
          <w:p w14:paraId="54E8B80B">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2.146</w:t>
            </w:r>
          </w:p>
        </w:tc>
        <w:tc>
          <w:tcPr>
            <w:tcW w:w="1989" w:type="dxa"/>
            <w:vAlign w:val="top"/>
          </w:tcPr>
          <w:p w14:paraId="2F2DC8CC">
            <w:pPr>
              <w:spacing w:before="88"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2.006</w:t>
            </w:r>
          </w:p>
        </w:tc>
      </w:tr>
      <w:tr w14:paraId="6D730C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A010947">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-19</w:t>
            </w:r>
          </w:p>
        </w:tc>
        <w:tc>
          <w:tcPr>
            <w:tcW w:w="1842" w:type="dxa"/>
            <w:vAlign w:val="top"/>
          </w:tcPr>
          <w:p w14:paraId="73FCBF21">
            <w:pPr>
              <w:spacing w:before="88"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1.387</w:t>
            </w:r>
          </w:p>
        </w:tc>
        <w:tc>
          <w:tcPr>
            <w:tcW w:w="1840" w:type="dxa"/>
            <w:vAlign w:val="top"/>
          </w:tcPr>
          <w:p w14:paraId="29E8D345">
            <w:pPr>
              <w:spacing w:before="88"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1.414</w:t>
            </w:r>
          </w:p>
        </w:tc>
        <w:tc>
          <w:tcPr>
            <w:tcW w:w="1843" w:type="dxa"/>
            <w:vAlign w:val="top"/>
          </w:tcPr>
          <w:p w14:paraId="53791458">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2.408</w:t>
            </w:r>
          </w:p>
        </w:tc>
        <w:tc>
          <w:tcPr>
            <w:tcW w:w="1989" w:type="dxa"/>
            <w:vAlign w:val="top"/>
          </w:tcPr>
          <w:p w14:paraId="5C8E91DE">
            <w:pPr>
              <w:spacing w:before="88"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2.228</w:t>
            </w:r>
          </w:p>
        </w:tc>
      </w:tr>
      <w:tr w14:paraId="5A5EBF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5D9D30A">
            <w:pPr>
              <w:spacing w:before="87"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w:t>
            </w:r>
          </w:p>
        </w:tc>
        <w:tc>
          <w:tcPr>
            <w:tcW w:w="1842" w:type="dxa"/>
            <w:vAlign w:val="top"/>
          </w:tcPr>
          <w:p w14:paraId="6E5FF3AD">
            <w:pPr>
              <w:spacing w:before="87" w:line="218"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1.636</w:t>
            </w:r>
          </w:p>
        </w:tc>
        <w:tc>
          <w:tcPr>
            <w:tcW w:w="1840" w:type="dxa"/>
            <w:vAlign w:val="top"/>
          </w:tcPr>
          <w:p w14:paraId="20DE0C00">
            <w:pPr>
              <w:spacing w:before="87" w:line="218"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1.629</w:t>
            </w:r>
          </w:p>
        </w:tc>
        <w:tc>
          <w:tcPr>
            <w:tcW w:w="1843" w:type="dxa"/>
            <w:vAlign w:val="top"/>
          </w:tcPr>
          <w:p w14:paraId="7E951821">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2.719</w:t>
            </w:r>
          </w:p>
        </w:tc>
        <w:tc>
          <w:tcPr>
            <w:tcW w:w="1989" w:type="dxa"/>
            <w:vAlign w:val="top"/>
          </w:tcPr>
          <w:p w14:paraId="177BEAC8">
            <w:pPr>
              <w:spacing w:before="87" w:line="218"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2.486</w:t>
            </w:r>
          </w:p>
        </w:tc>
      </w:tr>
      <w:tr w14:paraId="3E8FA3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147B3F0">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w:t>
            </w:r>
          </w:p>
        </w:tc>
        <w:tc>
          <w:tcPr>
            <w:tcW w:w="1842" w:type="dxa"/>
            <w:vAlign w:val="top"/>
          </w:tcPr>
          <w:p w14:paraId="6533ABDA">
            <w:pPr>
              <w:spacing w:before="87"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1.940</w:t>
            </w:r>
          </w:p>
        </w:tc>
        <w:tc>
          <w:tcPr>
            <w:tcW w:w="1840" w:type="dxa"/>
            <w:vAlign w:val="top"/>
          </w:tcPr>
          <w:p w14:paraId="70247629">
            <w:pPr>
              <w:spacing w:before="87"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1.879</w:t>
            </w:r>
          </w:p>
        </w:tc>
        <w:tc>
          <w:tcPr>
            <w:tcW w:w="1843" w:type="dxa"/>
            <w:vAlign w:val="top"/>
          </w:tcPr>
          <w:p w14:paraId="3891E3A0">
            <w:pPr>
              <w:spacing w:before="87"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3.091</w:t>
            </w:r>
          </w:p>
        </w:tc>
        <w:tc>
          <w:tcPr>
            <w:tcW w:w="1989" w:type="dxa"/>
            <w:vAlign w:val="top"/>
          </w:tcPr>
          <w:p w14:paraId="6EB1FC57">
            <w:pPr>
              <w:spacing w:before="87"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2.785</w:t>
            </w:r>
          </w:p>
        </w:tc>
      </w:tr>
      <w:tr w14:paraId="60591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05C90544">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w:t>
            </w:r>
          </w:p>
        </w:tc>
        <w:tc>
          <w:tcPr>
            <w:tcW w:w="1842" w:type="dxa"/>
            <w:vAlign w:val="top"/>
          </w:tcPr>
          <w:p w14:paraId="2E68EB85">
            <w:pPr>
              <w:spacing w:before="90"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2.307</w:t>
            </w:r>
          </w:p>
        </w:tc>
        <w:tc>
          <w:tcPr>
            <w:tcW w:w="1840" w:type="dxa"/>
            <w:vAlign w:val="top"/>
          </w:tcPr>
          <w:p w14:paraId="2C50676E">
            <w:pPr>
              <w:spacing w:before="90"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2.164</w:t>
            </w:r>
          </w:p>
        </w:tc>
        <w:tc>
          <w:tcPr>
            <w:tcW w:w="1843" w:type="dxa"/>
            <w:vAlign w:val="top"/>
          </w:tcPr>
          <w:p w14:paraId="662ECFFB">
            <w:pPr>
              <w:spacing w:before="90"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3.538</w:t>
            </w:r>
          </w:p>
        </w:tc>
        <w:tc>
          <w:tcPr>
            <w:tcW w:w="1989" w:type="dxa"/>
            <w:vAlign w:val="top"/>
          </w:tcPr>
          <w:p w14:paraId="28C617C2">
            <w:pPr>
              <w:spacing w:before="90"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3.131</w:t>
            </w:r>
          </w:p>
        </w:tc>
      </w:tr>
      <w:tr w14:paraId="1EACF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17CAD3C">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w:t>
            </w:r>
          </w:p>
        </w:tc>
        <w:tc>
          <w:tcPr>
            <w:tcW w:w="1842" w:type="dxa"/>
            <w:vAlign w:val="top"/>
          </w:tcPr>
          <w:p w14:paraId="6B3A1849">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2.748</w:t>
            </w:r>
          </w:p>
        </w:tc>
        <w:tc>
          <w:tcPr>
            <w:tcW w:w="1840" w:type="dxa"/>
            <w:vAlign w:val="top"/>
          </w:tcPr>
          <w:p w14:paraId="654F170E">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2.483</w:t>
            </w:r>
          </w:p>
        </w:tc>
        <w:tc>
          <w:tcPr>
            <w:tcW w:w="1843" w:type="dxa"/>
            <w:vAlign w:val="top"/>
          </w:tcPr>
          <w:p w14:paraId="3F875373">
            <w:pPr>
              <w:spacing w:before="88" w:line="217"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4.076</w:t>
            </w:r>
          </w:p>
        </w:tc>
        <w:tc>
          <w:tcPr>
            <w:tcW w:w="1989" w:type="dxa"/>
            <w:vAlign w:val="top"/>
          </w:tcPr>
          <w:p w14:paraId="0E1195CF">
            <w:pPr>
              <w:spacing w:before="88"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3.529</w:t>
            </w:r>
          </w:p>
        </w:tc>
      </w:tr>
      <w:tr w14:paraId="2CCE84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A7C218C">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w:t>
            </w:r>
          </w:p>
        </w:tc>
        <w:tc>
          <w:tcPr>
            <w:tcW w:w="1842" w:type="dxa"/>
            <w:vAlign w:val="top"/>
          </w:tcPr>
          <w:p w14:paraId="78ADF250">
            <w:pPr>
              <w:spacing w:before="88" w:line="216"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3.263</w:t>
            </w:r>
          </w:p>
        </w:tc>
        <w:tc>
          <w:tcPr>
            <w:tcW w:w="1840" w:type="dxa"/>
            <w:vAlign w:val="top"/>
          </w:tcPr>
          <w:p w14:paraId="2C273923">
            <w:pPr>
              <w:spacing w:before="88" w:line="216"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2.827</w:t>
            </w:r>
          </w:p>
        </w:tc>
        <w:tc>
          <w:tcPr>
            <w:tcW w:w="1843" w:type="dxa"/>
            <w:vAlign w:val="top"/>
          </w:tcPr>
          <w:p w14:paraId="70A28477">
            <w:pPr>
              <w:spacing w:before="88" w:line="216"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4.720</w:t>
            </w:r>
          </w:p>
        </w:tc>
        <w:tc>
          <w:tcPr>
            <w:tcW w:w="1989" w:type="dxa"/>
            <w:vAlign w:val="top"/>
          </w:tcPr>
          <w:p w14:paraId="0208CE81">
            <w:pPr>
              <w:spacing w:before="88"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3.982</w:t>
            </w:r>
          </w:p>
        </w:tc>
      </w:tr>
      <w:tr w14:paraId="26A309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C4D40EA">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w:t>
            </w:r>
          </w:p>
        </w:tc>
        <w:tc>
          <w:tcPr>
            <w:tcW w:w="1842" w:type="dxa"/>
            <w:vAlign w:val="top"/>
          </w:tcPr>
          <w:p w14:paraId="1A6DE8FA">
            <w:pPr>
              <w:spacing w:before="88"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3.840</w:t>
            </w:r>
          </w:p>
        </w:tc>
        <w:tc>
          <w:tcPr>
            <w:tcW w:w="1840" w:type="dxa"/>
            <w:vAlign w:val="top"/>
          </w:tcPr>
          <w:p w14:paraId="342CA2CF">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3.177</w:t>
            </w:r>
          </w:p>
        </w:tc>
        <w:tc>
          <w:tcPr>
            <w:tcW w:w="1843" w:type="dxa"/>
            <w:vAlign w:val="top"/>
          </w:tcPr>
          <w:p w14:paraId="407D266A">
            <w:pPr>
              <w:spacing w:before="88" w:line="217"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5.477</w:t>
            </w:r>
          </w:p>
        </w:tc>
        <w:tc>
          <w:tcPr>
            <w:tcW w:w="1989" w:type="dxa"/>
            <w:vAlign w:val="top"/>
          </w:tcPr>
          <w:p w14:paraId="428FE7DA">
            <w:pPr>
              <w:spacing w:before="88" w:line="217"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4.483</w:t>
            </w:r>
          </w:p>
        </w:tc>
      </w:tr>
      <w:tr w14:paraId="48790D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4E71228">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w:t>
            </w:r>
          </w:p>
        </w:tc>
        <w:tc>
          <w:tcPr>
            <w:tcW w:w="1842" w:type="dxa"/>
            <w:vAlign w:val="top"/>
          </w:tcPr>
          <w:p w14:paraId="517FC706">
            <w:pPr>
              <w:spacing w:before="88" w:line="216"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4.436</w:t>
            </w:r>
          </w:p>
        </w:tc>
        <w:tc>
          <w:tcPr>
            <w:tcW w:w="1840" w:type="dxa"/>
            <w:vAlign w:val="top"/>
          </w:tcPr>
          <w:p w14:paraId="3D666688">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3.499</w:t>
            </w:r>
          </w:p>
        </w:tc>
        <w:tc>
          <w:tcPr>
            <w:tcW w:w="1843" w:type="dxa"/>
            <w:vAlign w:val="top"/>
          </w:tcPr>
          <w:p w14:paraId="3AC0010E">
            <w:pPr>
              <w:spacing w:before="88"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6.336</w:t>
            </w:r>
          </w:p>
        </w:tc>
        <w:tc>
          <w:tcPr>
            <w:tcW w:w="1989" w:type="dxa"/>
            <w:vAlign w:val="top"/>
          </w:tcPr>
          <w:p w14:paraId="4C5B99C2">
            <w:pPr>
              <w:spacing w:before="88" w:line="216"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5.020</w:t>
            </w:r>
          </w:p>
        </w:tc>
      </w:tr>
      <w:tr w14:paraId="0C8E88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B5996A2">
            <w:pPr>
              <w:spacing w:before="88" w:line="217" w:lineRule="auto"/>
              <w:ind w:left="649"/>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w:t>
            </w:r>
          </w:p>
        </w:tc>
        <w:tc>
          <w:tcPr>
            <w:tcW w:w="1842" w:type="dxa"/>
            <w:vAlign w:val="top"/>
          </w:tcPr>
          <w:p w14:paraId="297E6B49">
            <w:pPr>
              <w:spacing w:before="88" w:line="217"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4.964</w:t>
            </w:r>
          </w:p>
        </w:tc>
        <w:tc>
          <w:tcPr>
            <w:tcW w:w="1840" w:type="dxa"/>
            <w:vAlign w:val="top"/>
          </w:tcPr>
          <w:p w14:paraId="4400E9B1">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3.748</w:t>
            </w:r>
          </w:p>
        </w:tc>
        <w:tc>
          <w:tcPr>
            <w:tcW w:w="1843" w:type="dxa"/>
            <w:vAlign w:val="top"/>
          </w:tcPr>
          <w:p w14:paraId="7B4DDE8A">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7.247</w:t>
            </w:r>
          </w:p>
        </w:tc>
        <w:tc>
          <w:tcPr>
            <w:tcW w:w="1989" w:type="dxa"/>
            <w:vAlign w:val="top"/>
          </w:tcPr>
          <w:p w14:paraId="4DE108A2">
            <w:pPr>
              <w:spacing w:before="88" w:line="217"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5.565</w:t>
            </w:r>
          </w:p>
        </w:tc>
      </w:tr>
      <w:tr w14:paraId="3073E3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2C7C87AB">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w:t>
            </w:r>
          </w:p>
        </w:tc>
        <w:tc>
          <w:tcPr>
            <w:tcW w:w="1842" w:type="dxa"/>
            <w:vAlign w:val="top"/>
          </w:tcPr>
          <w:p w14:paraId="33394518">
            <w:pPr>
              <w:spacing w:before="90"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5.299</w:t>
            </w:r>
          </w:p>
        </w:tc>
        <w:tc>
          <w:tcPr>
            <w:tcW w:w="1840" w:type="dxa"/>
            <w:vAlign w:val="top"/>
          </w:tcPr>
          <w:p w14:paraId="3BE65C13">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3.872</w:t>
            </w:r>
          </w:p>
        </w:tc>
        <w:tc>
          <w:tcPr>
            <w:tcW w:w="1843" w:type="dxa"/>
            <w:vAlign w:val="top"/>
          </w:tcPr>
          <w:p w14:paraId="6C1508C4">
            <w:pPr>
              <w:spacing w:before="90" w:line="217"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8.110</w:t>
            </w:r>
          </w:p>
        </w:tc>
        <w:tc>
          <w:tcPr>
            <w:tcW w:w="1989" w:type="dxa"/>
            <w:vAlign w:val="top"/>
          </w:tcPr>
          <w:p w14:paraId="79349E9F">
            <w:pPr>
              <w:spacing w:before="90"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6.077</w:t>
            </w:r>
          </w:p>
        </w:tc>
      </w:tr>
      <w:tr w14:paraId="53E280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04E4086">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-9</w:t>
            </w:r>
          </w:p>
        </w:tc>
        <w:tc>
          <w:tcPr>
            <w:tcW w:w="1842" w:type="dxa"/>
            <w:vAlign w:val="top"/>
          </w:tcPr>
          <w:p w14:paraId="76E51D09">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5.324</w:t>
            </w:r>
          </w:p>
        </w:tc>
        <w:tc>
          <w:tcPr>
            <w:tcW w:w="1840" w:type="dxa"/>
            <w:vAlign w:val="top"/>
          </w:tcPr>
          <w:p w14:paraId="432B0308">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3.837</w:t>
            </w:r>
          </w:p>
        </w:tc>
        <w:tc>
          <w:tcPr>
            <w:tcW w:w="1843" w:type="dxa"/>
            <w:vAlign w:val="top"/>
          </w:tcPr>
          <w:p w14:paraId="65A4678D">
            <w:pPr>
              <w:spacing w:before="88" w:line="217"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8.802</w:t>
            </w:r>
          </w:p>
        </w:tc>
        <w:tc>
          <w:tcPr>
            <w:tcW w:w="1989" w:type="dxa"/>
            <w:vAlign w:val="top"/>
          </w:tcPr>
          <w:p w14:paraId="19029E58">
            <w:pPr>
              <w:spacing w:before="88"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6.515</w:t>
            </w:r>
          </w:p>
        </w:tc>
      </w:tr>
      <w:tr w14:paraId="1FD88E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6EBE2C3">
            <w:pPr>
              <w:spacing w:before="88" w:line="216"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-8</w:t>
            </w:r>
          </w:p>
        </w:tc>
        <w:tc>
          <w:tcPr>
            <w:tcW w:w="1842" w:type="dxa"/>
            <w:vAlign w:val="top"/>
          </w:tcPr>
          <w:p w14:paraId="46778CD5">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5.009</w:t>
            </w:r>
          </w:p>
        </w:tc>
        <w:tc>
          <w:tcPr>
            <w:tcW w:w="1840" w:type="dxa"/>
            <w:vAlign w:val="top"/>
          </w:tcPr>
          <w:p w14:paraId="44AF924D">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3.639</w:t>
            </w:r>
          </w:p>
        </w:tc>
        <w:tc>
          <w:tcPr>
            <w:tcW w:w="1843" w:type="dxa"/>
            <w:vAlign w:val="top"/>
          </w:tcPr>
          <w:p w14:paraId="667547A5">
            <w:pPr>
              <w:spacing w:before="88" w:line="216"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9.240</w:t>
            </w:r>
          </w:p>
        </w:tc>
        <w:tc>
          <w:tcPr>
            <w:tcW w:w="1989" w:type="dxa"/>
            <w:vAlign w:val="top"/>
          </w:tcPr>
          <w:p w14:paraId="54DEE7A8">
            <w:pPr>
              <w:spacing w:before="88" w:line="216"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6.852</w:t>
            </w:r>
          </w:p>
        </w:tc>
      </w:tr>
      <w:tr w14:paraId="4B7BB9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CBCD305">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-7</w:t>
            </w:r>
          </w:p>
        </w:tc>
        <w:tc>
          <w:tcPr>
            <w:tcW w:w="1842" w:type="dxa"/>
            <w:vAlign w:val="top"/>
          </w:tcPr>
          <w:p w14:paraId="6FE9AB58">
            <w:pPr>
              <w:spacing w:before="88" w:line="217"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4.451</w:t>
            </w:r>
          </w:p>
        </w:tc>
        <w:tc>
          <w:tcPr>
            <w:tcW w:w="1840" w:type="dxa"/>
            <w:vAlign w:val="top"/>
          </w:tcPr>
          <w:p w14:paraId="19461E30">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3.325</w:t>
            </w:r>
          </w:p>
        </w:tc>
        <w:tc>
          <w:tcPr>
            <w:tcW w:w="1843" w:type="dxa"/>
            <w:vAlign w:val="top"/>
          </w:tcPr>
          <w:p w14:paraId="7573A141">
            <w:pPr>
              <w:spacing w:before="88"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9.436</w:t>
            </w:r>
          </w:p>
        </w:tc>
        <w:tc>
          <w:tcPr>
            <w:tcW w:w="1989" w:type="dxa"/>
            <w:vAlign w:val="top"/>
          </w:tcPr>
          <w:p w14:paraId="3E43F0C7">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7.085</w:t>
            </w:r>
          </w:p>
        </w:tc>
      </w:tr>
      <w:tr w14:paraId="049540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16B8D2D">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-6</w:t>
            </w:r>
          </w:p>
        </w:tc>
        <w:tc>
          <w:tcPr>
            <w:tcW w:w="1842" w:type="dxa"/>
            <w:vAlign w:val="top"/>
          </w:tcPr>
          <w:p w14:paraId="7301E0CC">
            <w:pPr>
              <w:spacing w:before="88"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3.844</w:t>
            </w:r>
          </w:p>
        </w:tc>
        <w:tc>
          <w:tcPr>
            <w:tcW w:w="1840" w:type="dxa"/>
            <w:vAlign w:val="top"/>
          </w:tcPr>
          <w:p w14:paraId="267FB9AE">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2.982</w:t>
            </w:r>
          </w:p>
        </w:tc>
        <w:tc>
          <w:tcPr>
            <w:tcW w:w="1843" w:type="dxa"/>
            <w:vAlign w:val="top"/>
          </w:tcPr>
          <w:p w14:paraId="67A652FC">
            <w:pPr>
              <w:spacing w:before="88"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9.483</w:t>
            </w:r>
          </w:p>
        </w:tc>
        <w:tc>
          <w:tcPr>
            <w:tcW w:w="1989" w:type="dxa"/>
            <w:vAlign w:val="top"/>
          </w:tcPr>
          <w:p w14:paraId="1DA303A3">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7.233</w:t>
            </w:r>
          </w:p>
        </w:tc>
      </w:tr>
      <w:tr w14:paraId="2B4129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39EEB7D">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-5</w:t>
            </w:r>
          </w:p>
        </w:tc>
        <w:tc>
          <w:tcPr>
            <w:tcW w:w="1842" w:type="dxa"/>
            <w:vAlign w:val="top"/>
          </w:tcPr>
          <w:p w14:paraId="1A290762">
            <w:pPr>
              <w:spacing w:before="88"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3.414</w:t>
            </w:r>
          </w:p>
        </w:tc>
        <w:tc>
          <w:tcPr>
            <w:tcW w:w="1840" w:type="dxa"/>
            <w:vAlign w:val="top"/>
          </w:tcPr>
          <w:p w14:paraId="6B097EE1">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2.718</w:t>
            </w:r>
          </w:p>
        </w:tc>
        <w:tc>
          <w:tcPr>
            <w:tcW w:w="1843" w:type="dxa"/>
            <w:vAlign w:val="top"/>
          </w:tcPr>
          <w:p w14:paraId="2F85BB14">
            <w:pPr>
              <w:spacing w:before="88"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9.482</w:t>
            </w:r>
          </w:p>
        </w:tc>
        <w:tc>
          <w:tcPr>
            <w:tcW w:w="1989" w:type="dxa"/>
            <w:vAlign w:val="top"/>
          </w:tcPr>
          <w:p w14:paraId="388AD152">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7.328</w:t>
            </w:r>
          </w:p>
        </w:tc>
      </w:tr>
      <w:tr w14:paraId="153A31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38857351">
            <w:pPr>
              <w:spacing w:before="90"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-4</w:t>
            </w:r>
          </w:p>
        </w:tc>
        <w:tc>
          <w:tcPr>
            <w:tcW w:w="1842" w:type="dxa"/>
            <w:vAlign w:val="top"/>
          </w:tcPr>
          <w:p w14:paraId="0F0ABE1C">
            <w:pPr>
              <w:spacing w:before="90"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3.343</w:t>
            </w:r>
          </w:p>
        </w:tc>
        <w:tc>
          <w:tcPr>
            <w:tcW w:w="1840" w:type="dxa"/>
            <w:vAlign w:val="top"/>
          </w:tcPr>
          <w:p w14:paraId="44698C22">
            <w:pPr>
              <w:spacing w:before="90"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2.624</w:t>
            </w:r>
          </w:p>
        </w:tc>
        <w:tc>
          <w:tcPr>
            <w:tcW w:w="1843" w:type="dxa"/>
            <w:vAlign w:val="top"/>
          </w:tcPr>
          <w:p w14:paraId="0EA500FA">
            <w:pPr>
              <w:spacing w:before="90"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9.510</w:t>
            </w:r>
          </w:p>
        </w:tc>
        <w:tc>
          <w:tcPr>
            <w:tcW w:w="1989" w:type="dxa"/>
            <w:vAlign w:val="top"/>
          </w:tcPr>
          <w:p w14:paraId="1E68C1FC">
            <w:pPr>
              <w:spacing w:before="90"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7.398</w:t>
            </w:r>
          </w:p>
        </w:tc>
      </w:tr>
      <w:tr w14:paraId="041BD6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381303A">
            <w:pPr>
              <w:spacing w:before="87"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-3</w:t>
            </w:r>
          </w:p>
        </w:tc>
        <w:tc>
          <w:tcPr>
            <w:tcW w:w="1842" w:type="dxa"/>
            <w:vAlign w:val="top"/>
          </w:tcPr>
          <w:p w14:paraId="1D62A4DE">
            <w:pPr>
              <w:spacing w:before="87"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3.637</w:t>
            </w:r>
          </w:p>
        </w:tc>
        <w:tc>
          <w:tcPr>
            <w:tcW w:w="1840" w:type="dxa"/>
            <w:vAlign w:val="top"/>
          </w:tcPr>
          <w:p w14:paraId="5556E415">
            <w:pPr>
              <w:spacing w:before="87"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2.710</w:t>
            </w:r>
          </w:p>
        </w:tc>
        <w:tc>
          <w:tcPr>
            <w:tcW w:w="1843" w:type="dxa"/>
            <w:vAlign w:val="top"/>
          </w:tcPr>
          <w:p w14:paraId="7D64AE61">
            <w:pPr>
              <w:spacing w:before="87"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9.597</w:t>
            </w:r>
          </w:p>
        </w:tc>
        <w:tc>
          <w:tcPr>
            <w:tcW w:w="1989" w:type="dxa"/>
            <w:vAlign w:val="top"/>
          </w:tcPr>
          <w:p w14:paraId="5812B070">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7.459</w:t>
            </w:r>
          </w:p>
        </w:tc>
      </w:tr>
      <w:tr w14:paraId="539BD0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36F320D">
            <w:pPr>
              <w:spacing w:before="88"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-2</w:t>
            </w:r>
          </w:p>
        </w:tc>
        <w:tc>
          <w:tcPr>
            <w:tcW w:w="1842" w:type="dxa"/>
            <w:vAlign w:val="top"/>
          </w:tcPr>
          <w:p w14:paraId="05640D42">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4.114</w:t>
            </w:r>
          </w:p>
        </w:tc>
        <w:tc>
          <w:tcPr>
            <w:tcW w:w="1840" w:type="dxa"/>
            <w:vAlign w:val="top"/>
          </w:tcPr>
          <w:p w14:paraId="09005A25">
            <w:pPr>
              <w:spacing w:before="88"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2.897</w:t>
            </w:r>
          </w:p>
        </w:tc>
        <w:tc>
          <w:tcPr>
            <w:tcW w:w="1843" w:type="dxa"/>
            <w:vAlign w:val="top"/>
          </w:tcPr>
          <w:p w14:paraId="7377378D">
            <w:pPr>
              <w:spacing w:before="88"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9.730</w:t>
            </w:r>
          </w:p>
        </w:tc>
        <w:tc>
          <w:tcPr>
            <w:tcW w:w="1989" w:type="dxa"/>
            <w:vAlign w:val="top"/>
          </w:tcPr>
          <w:p w14:paraId="540C197B">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7.514</w:t>
            </w:r>
          </w:p>
        </w:tc>
      </w:tr>
      <w:tr w14:paraId="099535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65A140A">
            <w:pPr>
              <w:spacing w:before="88" w:line="216"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w:t>
            </w:r>
          </w:p>
        </w:tc>
        <w:tc>
          <w:tcPr>
            <w:tcW w:w="1842" w:type="dxa"/>
            <w:vAlign w:val="top"/>
          </w:tcPr>
          <w:p w14:paraId="5269C6E1">
            <w:pPr>
              <w:spacing w:before="88" w:line="216"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4.533</w:t>
            </w:r>
          </w:p>
        </w:tc>
        <w:tc>
          <w:tcPr>
            <w:tcW w:w="1840" w:type="dxa"/>
            <w:vAlign w:val="top"/>
          </w:tcPr>
          <w:p w14:paraId="3CE4C490">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3.070</w:t>
            </w:r>
          </w:p>
        </w:tc>
        <w:tc>
          <w:tcPr>
            <w:tcW w:w="1843" w:type="dxa"/>
            <w:vAlign w:val="top"/>
          </w:tcPr>
          <w:p w14:paraId="541057D8">
            <w:pPr>
              <w:spacing w:before="88" w:line="216"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9.855</w:t>
            </w:r>
          </w:p>
        </w:tc>
        <w:tc>
          <w:tcPr>
            <w:tcW w:w="1989" w:type="dxa"/>
            <w:vAlign w:val="top"/>
          </w:tcPr>
          <w:p w14:paraId="681FB305">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7.555</w:t>
            </w:r>
          </w:p>
        </w:tc>
      </w:tr>
      <w:tr w14:paraId="25B1B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05728A8">
            <w:pPr>
              <w:spacing w:before="88" w:line="216"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842" w:type="dxa"/>
            <w:vAlign w:val="top"/>
          </w:tcPr>
          <w:p w14:paraId="172D6C9B">
            <w:pPr>
              <w:spacing w:before="88" w:line="216"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4.698</w:t>
            </w:r>
          </w:p>
        </w:tc>
        <w:tc>
          <w:tcPr>
            <w:tcW w:w="1840" w:type="dxa"/>
            <w:vAlign w:val="top"/>
          </w:tcPr>
          <w:p w14:paraId="02E58CF9">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3.138</w:t>
            </w:r>
          </w:p>
        </w:tc>
        <w:tc>
          <w:tcPr>
            <w:tcW w:w="1843" w:type="dxa"/>
            <w:vAlign w:val="top"/>
          </w:tcPr>
          <w:p w14:paraId="0F65CB5F">
            <w:pPr>
              <w:spacing w:before="88" w:line="216"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9.906</w:t>
            </w:r>
          </w:p>
        </w:tc>
        <w:tc>
          <w:tcPr>
            <w:tcW w:w="1989" w:type="dxa"/>
            <w:vAlign w:val="top"/>
          </w:tcPr>
          <w:p w14:paraId="5ED19285">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7.570</w:t>
            </w:r>
          </w:p>
        </w:tc>
      </w:tr>
      <w:tr w14:paraId="43FC3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E1D8B50">
            <w:pPr>
              <w:spacing w:before="89" w:line="215" w:lineRule="auto"/>
              <w:ind w:left="749"/>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842" w:type="dxa"/>
            <w:vAlign w:val="top"/>
          </w:tcPr>
          <w:p w14:paraId="73DCB704">
            <w:pPr>
              <w:spacing w:before="89" w:line="215"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4.532</w:t>
            </w:r>
          </w:p>
        </w:tc>
        <w:tc>
          <w:tcPr>
            <w:tcW w:w="1840" w:type="dxa"/>
            <w:vAlign w:val="top"/>
          </w:tcPr>
          <w:p w14:paraId="638EA705">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3.069</w:t>
            </w:r>
          </w:p>
        </w:tc>
        <w:tc>
          <w:tcPr>
            <w:tcW w:w="1843" w:type="dxa"/>
            <w:vAlign w:val="top"/>
          </w:tcPr>
          <w:p w14:paraId="614587A5">
            <w:pPr>
              <w:spacing w:before="89" w:line="215"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9.855</w:t>
            </w:r>
          </w:p>
        </w:tc>
        <w:tc>
          <w:tcPr>
            <w:tcW w:w="1989" w:type="dxa"/>
            <w:vAlign w:val="top"/>
          </w:tcPr>
          <w:p w14:paraId="7C976550">
            <w:pPr>
              <w:spacing w:before="89"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7.555</w:t>
            </w:r>
          </w:p>
        </w:tc>
      </w:tr>
      <w:tr w14:paraId="4EAC92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4F54A064">
            <w:pPr>
              <w:spacing w:before="92" w:line="215" w:lineRule="auto"/>
              <w:ind w:left="728"/>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842" w:type="dxa"/>
            <w:vAlign w:val="top"/>
          </w:tcPr>
          <w:p w14:paraId="5BB1C3CB">
            <w:pPr>
              <w:spacing w:before="92"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4.114</w:t>
            </w:r>
          </w:p>
        </w:tc>
        <w:tc>
          <w:tcPr>
            <w:tcW w:w="1840" w:type="dxa"/>
            <w:vAlign w:val="top"/>
          </w:tcPr>
          <w:p w14:paraId="506B8E25">
            <w:pPr>
              <w:spacing w:before="92" w:line="215"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2.897</w:t>
            </w:r>
          </w:p>
        </w:tc>
        <w:tc>
          <w:tcPr>
            <w:tcW w:w="1843" w:type="dxa"/>
            <w:vAlign w:val="top"/>
          </w:tcPr>
          <w:p w14:paraId="3295966A">
            <w:pPr>
              <w:spacing w:before="92" w:line="215"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9.730</w:t>
            </w:r>
          </w:p>
        </w:tc>
        <w:tc>
          <w:tcPr>
            <w:tcW w:w="1989" w:type="dxa"/>
            <w:vAlign w:val="top"/>
          </w:tcPr>
          <w:p w14:paraId="718E5505">
            <w:pPr>
              <w:spacing w:before="92"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7.514</w:t>
            </w:r>
          </w:p>
        </w:tc>
      </w:tr>
      <w:tr w14:paraId="512299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EE50A74">
            <w:pPr>
              <w:spacing w:before="89" w:line="215" w:lineRule="auto"/>
              <w:ind w:left="733"/>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842" w:type="dxa"/>
            <w:vAlign w:val="top"/>
          </w:tcPr>
          <w:p w14:paraId="4A4E1D44">
            <w:pPr>
              <w:spacing w:before="89" w:line="215"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3.636</w:t>
            </w:r>
          </w:p>
        </w:tc>
        <w:tc>
          <w:tcPr>
            <w:tcW w:w="1840" w:type="dxa"/>
            <w:vAlign w:val="top"/>
          </w:tcPr>
          <w:p w14:paraId="0D713B2F">
            <w:pPr>
              <w:spacing w:before="89" w:line="215"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2.710</w:t>
            </w:r>
          </w:p>
        </w:tc>
        <w:tc>
          <w:tcPr>
            <w:tcW w:w="1843" w:type="dxa"/>
            <w:vAlign w:val="top"/>
          </w:tcPr>
          <w:p w14:paraId="2C3E7C97">
            <w:pPr>
              <w:spacing w:before="89" w:line="215"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9.597</w:t>
            </w:r>
          </w:p>
        </w:tc>
        <w:tc>
          <w:tcPr>
            <w:tcW w:w="1989" w:type="dxa"/>
            <w:vAlign w:val="top"/>
          </w:tcPr>
          <w:p w14:paraId="0AAD4CB0">
            <w:pPr>
              <w:spacing w:before="89"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7.459</w:t>
            </w:r>
          </w:p>
        </w:tc>
      </w:tr>
      <w:tr w14:paraId="196FDEA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31C25B7">
            <w:pPr>
              <w:spacing w:before="90" w:line="215" w:lineRule="auto"/>
              <w:ind w:left="727"/>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842" w:type="dxa"/>
            <w:vAlign w:val="top"/>
          </w:tcPr>
          <w:p w14:paraId="48264B42">
            <w:pPr>
              <w:spacing w:before="90" w:line="215"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3.342</w:t>
            </w:r>
          </w:p>
        </w:tc>
        <w:tc>
          <w:tcPr>
            <w:tcW w:w="1840" w:type="dxa"/>
            <w:vAlign w:val="top"/>
          </w:tcPr>
          <w:p w14:paraId="0CD2CBAD">
            <w:pPr>
              <w:spacing w:before="90" w:line="215"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2.623</w:t>
            </w:r>
          </w:p>
        </w:tc>
        <w:tc>
          <w:tcPr>
            <w:tcW w:w="1843" w:type="dxa"/>
            <w:vAlign w:val="top"/>
          </w:tcPr>
          <w:p w14:paraId="547FF8E1">
            <w:pPr>
              <w:spacing w:before="90" w:line="215"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9.510</w:t>
            </w:r>
          </w:p>
        </w:tc>
        <w:tc>
          <w:tcPr>
            <w:tcW w:w="1989" w:type="dxa"/>
            <w:vAlign w:val="top"/>
          </w:tcPr>
          <w:p w14:paraId="2CD84288">
            <w:pPr>
              <w:spacing w:before="90"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7.398</w:t>
            </w:r>
          </w:p>
        </w:tc>
      </w:tr>
      <w:tr w14:paraId="36E550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E4B9403">
            <w:pPr>
              <w:spacing w:before="90" w:line="215" w:lineRule="auto"/>
              <w:ind w:left="734"/>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842" w:type="dxa"/>
            <w:vAlign w:val="top"/>
          </w:tcPr>
          <w:p w14:paraId="6C7A9B06">
            <w:pPr>
              <w:spacing w:before="90" w:line="215"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3.413</w:t>
            </w:r>
          </w:p>
        </w:tc>
        <w:tc>
          <w:tcPr>
            <w:tcW w:w="1840" w:type="dxa"/>
            <w:vAlign w:val="top"/>
          </w:tcPr>
          <w:p w14:paraId="24AD57D6">
            <w:pPr>
              <w:spacing w:before="90" w:line="215"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2.718</w:t>
            </w:r>
          </w:p>
        </w:tc>
        <w:tc>
          <w:tcPr>
            <w:tcW w:w="1843" w:type="dxa"/>
            <w:vAlign w:val="top"/>
          </w:tcPr>
          <w:p w14:paraId="663A6839">
            <w:pPr>
              <w:spacing w:before="90" w:line="215"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9.482</w:t>
            </w:r>
          </w:p>
        </w:tc>
        <w:tc>
          <w:tcPr>
            <w:tcW w:w="1989" w:type="dxa"/>
            <w:vAlign w:val="top"/>
          </w:tcPr>
          <w:p w14:paraId="57136D10">
            <w:pPr>
              <w:spacing w:before="90"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7.328</w:t>
            </w:r>
          </w:p>
        </w:tc>
      </w:tr>
      <w:tr w14:paraId="004F73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6295E68">
            <w:pPr>
              <w:spacing w:before="90" w:line="214" w:lineRule="auto"/>
              <w:ind w:left="733"/>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842" w:type="dxa"/>
            <w:vAlign w:val="top"/>
          </w:tcPr>
          <w:p w14:paraId="0E3D5A6B">
            <w:pPr>
              <w:spacing w:before="90" w:line="214"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3.843</w:t>
            </w:r>
          </w:p>
        </w:tc>
        <w:tc>
          <w:tcPr>
            <w:tcW w:w="1840" w:type="dxa"/>
            <w:vAlign w:val="top"/>
          </w:tcPr>
          <w:p w14:paraId="6B53E457">
            <w:pPr>
              <w:spacing w:before="90" w:line="214"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2.981</w:t>
            </w:r>
          </w:p>
        </w:tc>
        <w:tc>
          <w:tcPr>
            <w:tcW w:w="1843" w:type="dxa"/>
            <w:vAlign w:val="top"/>
          </w:tcPr>
          <w:p w14:paraId="4E4883EA">
            <w:pPr>
              <w:spacing w:before="90" w:line="214"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9.483</w:t>
            </w:r>
          </w:p>
        </w:tc>
        <w:tc>
          <w:tcPr>
            <w:tcW w:w="1989" w:type="dxa"/>
            <w:vAlign w:val="top"/>
          </w:tcPr>
          <w:p w14:paraId="67F90D81">
            <w:pPr>
              <w:spacing w:before="90"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7.233</w:t>
            </w:r>
          </w:p>
        </w:tc>
      </w:tr>
      <w:tr w14:paraId="0C144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5A18A2D">
            <w:pPr>
              <w:spacing w:before="90" w:line="215"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1842" w:type="dxa"/>
            <w:vAlign w:val="top"/>
          </w:tcPr>
          <w:p w14:paraId="2F9DD944">
            <w:pPr>
              <w:spacing w:before="90" w:line="215"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4.450</w:t>
            </w:r>
          </w:p>
        </w:tc>
        <w:tc>
          <w:tcPr>
            <w:tcW w:w="1840" w:type="dxa"/>
            <w:vAlign w:val="top"/>
          </w:tcPr>
          <w:p w14:paraId="757AA0BA">
            <w:pPr>
              <w:spacing w:before="90"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3.325</w:t>
            </w:r>
          </w:p>
        </w:tc>
        <w:tc>
          <w:tcPr>
            <w:tcW w:w="1843" w:type="dxa"/>
            <w:vAlign w:val="top"/>
          </w:tcPr>
          <w:p w14:paraId="38636B24">
            <w:pPr>
              <w:spacing w:before="90" w:line="215"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9.436</w:t>
            </w:r>
          </w:p>
        </w:tc>
        <w:tc>
          <w:tcPr>
            <w:tcW w:w="1989" w:type="dxa"/>
            <w:vAlign w:val="top"/>
          </w:tcPr>
          <w:p w14:paraId="3F2B9561">
            <w:pPr>
              <w:spacing w:before="90"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7.085</w:t>
            </w:r>
          </w:p>
        </w:tc>
      </w:tr>
      <w:tr w14:paraId="72620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12DD72B8">
            <w:pPr>
              <w:spacing w:before="92" w:line="215" w:lineRule="auto"/>
              <w:ind w:left="737"/>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1842" w:type="dxa"/>
            <w:vAlign w:val="top"/>
          </w:tcPr>
          <w:p w14:paraId="1C5F7FF8">
            <w:pPr>
              <w:spacing w:before="92"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5.008</w:t>
            </w:r>
          </w:p>
        </w:tc>
        <w:tc>
          <w:tcPr>
            <w:tcW w:w="1840" w:type="dxa"/>
            <w:vAlign w:val="top"/>
          </w:tcPr>
          <w:p w14:paraId="0B6A858D">
            <w:pPr>
              <w:spacing w:before="92"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3.638</w:t>
            </w:r>
          </w:p>
        </w:tc>
        <w:tc>
          <w:tcPr>
            <w:tcW w:w="1843" w:type="dxa"/>
            <w:vAlign w:val="top"/>
          </w:tcPr>
          <w:p w14:paraId="35F037E7">
            <w:pPr>
              <w:spacing w:before="92" w:line="215"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9.240</w:t>
            </w:r>
          </w:p>
        </w:tc>
        <w:tc>
          <w:tcPr>
            <w:tcW w:w="1989" w:type="dxa"/>
            <w:vAlign w:val="top"/>
          </w:tcPr>
          <w:p w14:paraId="6D4912B2">
            <w:pPr>
              <w:spacing w:before="92" w:line="215"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6.852</w:t>
            </w:r>
          </w:p>
        </w:tc>
      </w:tr>
      <w:tr w14:paraId="3968D4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0133940">
            <w:pPr>
              <w:spacing w:before="90" w:line="214"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1842" w:type="dxa"/>
            <w:vAlign w:val="top"/>
          </w:tcPr>
          <w:p w14:paraId="13A40F37">
            <w:pPr>
              <w:spacing w:before="90"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5.324</w:t>
            </w:r>
          </w:p>
        </w:tc>
        <w:tc>
          <w:tcPr>
            <w:tcW w:w="1840" w:type="dxa"/>
            <w:vAlign w:val="top"/>
          </w:tcPr>
          <w:p w14:paraId="5D95574C">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3.836</w:t>
            </w:r>
          </w:p>
        </w:tc>
        <w:tc>
          <w:tcPr>
            <w:tcW w:w="1843" w:type="dxa"/>
            <w:vAlign w:val="top"/>
          </w:tcPr>
          <w:p w14:paraId="3DC77727">
            <w:pPr>
              <w:spacing w:before="90" w:line="214"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8.802</w:t>
            </w:r>
          </w:p>
        </w:tc>
        <w:tc>
          <w:tcPr>
            <w:tcW w:w="1989" w:type="dxa"/>
            <w:vAlign w:val="top"/>
          </w:tcPr>
          <w:p w14:paraId="4BCC2DB1">
            <w:pPr>
              <w:spacing w:before="90" w:line="214"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6.515</w:t>
            </w:r>
          </w:p>
        </w:tc>
      </w:tr>
      <w:tr w14:paraId="67AB0A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8263FA7">
            <w:pPr>
              <w:spacing w:before="91" w:line="214"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842" w:type="dxa"/>
            <w:vAlign w:val="top"/>
          </w:tcPr>
          <w:p w14:paraId="6BEAD044">
            <w:pPr>
              <w:spacing w:before="91"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5.299</w:t>
            </w:r>
          </w:p>
        </w:tc>
        <w:tc>
          <w:tcPr>
            <w:tcW w:w="1840" w:type="dxa"/>
            <w:vAlign w:val="top"/>
          </w:tcPr>
          <w:p w14:paraId="1E6EF338">
            <w:pPr>
              <w:spacing w:before="91"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3.872</w:t>
            </w:r>
          </w:p>
        </w:tc>
        <w:tc>
          <w:tcPr>
            <w:tcW w:w="1843" w:type="dxa"/>
            <w:vAlign w:val="top"/>
          </w:tcPr>
          <w:p w14:paraId="0C6BEB85">
            <w:pPr>
              <w:spacing w:before="91" w:line="214" w:lineRule="auto"/>
              <w:ind w:left="70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8.110</w:t>
            </w:r>
          </w:p>
        </w:tc>
        <w:tc>
          <w:tcPr>
            <w:tcW w:w="1989" w:type="dxa"/>
            <w:vAlign w:val="top"/>
          </w:tcPr>
          <w:p w14:paraId="2426F393">
            <w:pPr>
              <w:spacing w:before="91" w:line="214"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6.077</w:t>
            </w:r>
          </w:p>
        </w:tc>
      </w:tr>
      <w:tr w14:paraId="767ED7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2C1D408">
            <w:pPr>
              <w:spacing w:before="90" w:line="214" w:lineRule="auto"/>
              <w:ind w:left="701"/>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11</w:t>
            </w:r>
          </w:p>
        </w:tc>
        <w:tc>
          <w:tcPr>
            <w:tcW w:w="1842" w:type="dxa"/>
            <w:vAlign w:val="top"/>
          </w:tcPr>
          <w:p w14:paraId="52EAAE1D">
            <w:pPr>
              <w:spacing w:before="90" w:line="214"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4.963</w:t>
            </w:r>
          </w:p>
        </w:tc>
        <w:tc>
          <w:tcPr>
            <w:tcW w:w="1840" w:type="dxa"/>
            <w:vAlign w:val="top"/>
          </w:tcPr>
          <w:p w14:paraId="3F7BDA0E">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3.747</w:t>
            </w:r>
          </w:p>
        </w:tc>
        <w:tc>
          <w:tcPr>
            <w:tcW w:w="1843" w:type="dxa"/>
            <w:vAlign w:val="top"/>
          </w:tcPr>
          <w:p w14:paraId="690BF6E3">
            <w:pPr>
              <w:spacing w:before="90"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7.247</w:t>
            </w:r>
          </w:p>
        </w:tc>
        <w:tc>
          <w:tcPr>
            <w:tcW w:w="1989" w:type="dxa"/>
            <w:vAlign w:val="top"/>
          </w:tcPr>
          <w:p w14:paraId="00D762B8">
            <w:pPr>
              <w:spacing w:before="90" w:line="214"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5.565</w:t>
            </w:r>
          </w:p>
        </w:tc>
      </w:tr>
      <w:tr w14:paraId="725C44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Align w:val="top"/>
          </w:tcPr>
          <w:p w14:paraId="6E8ACFF0">
            <w:pPr>
              <w:spacing w:before="91" w:line="218"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c>
          <w:tcPr>
            <w:tcW w:w="1842" w:type="dxa"/>
            <w:vAlign w:val="top"/>
          </w:tcPr>
          <w:p w14:paraId="38227C07">
            <w:pPr>
              <w:spacing w:before="91" w:line="218"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4.435</w:t>
            </w:r>
          </w:p>
        </w:tc>
        <w:tc>
          <w:tcPr>
            <w:tcW w:w="1840" w:type="dxa"/>
            <w:vAlign w:val="top"/>
          </w:tcPr>
          <w:p w14:paraId="70E157C0">
            <w:pPr>
              <w:spacing w:before="91"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3.499</w:t>
            </w:r>
          </w:p>
        </w:tc>
        <w:tc>
          <w:tcPr>
            <w:tcW w:w="1843" w:type="dxa"/>
            <w:vAlign w:val="top"/>
          </w:tcPr>
          <w:p w14:paraId="219DFCD9">
            <w:pPr>
              <w:spacing w:before="91" w:line="218"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6.336</w:t>
            </w:r>
          </w:p>
        </w:tc>
        <w:tc>
          <w:tcPr>
            <w:tcW w:w="1989" w:type="dxa"/>
            <w:vAlign w:val="top"/>
          </w:tcPr>
          <w:p w14:paraId="7F08D281">
            <w:pPr>
              <w:spacing w:before="91" w:line="218"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5.020</w:t>
            </w:r>
          </w:p>
        </w:tc>
      </w:tr>
    </w:tbl>
    <w:p w14:paraId="0D259DA3">
      <w:pPr>
        <w:rPr>
          <w:rFonts w:ascii="Arial"/>
          <w:sz w:val="21"/>
        </w:rPr>
      </w:pPr>
    </w:p>
    <w:p w14:paraId="0BBE5DBF">
      <w:pPr>
        <w:rPr>
          <w:rFonts w:ascii="Arial" w:hAnsi="Arial" w:eastAsia="Arial" w:cs="Arial"/>
          <w:sz w:val="21"/>
          <w:szCs w:val="21"/>
        </w:rPr>
        <w:sectPr>
          <w:footerReference r:id="rId118" w:type="default"/>
          <w:pgSz w:w="11907" w:h="16841"/>
          <w:pgMar w:top="400" w:right="1411" w:bottom="1126" w:left="1416" w:header="0" w:footer="923" w:gutter="0"/>
          <w:cols w:space="720" w:num="1"/>
        </w:sectPr>
      </w:pPr>
    </w:p>
    <w:p w14:paraId="4B520334">
      <w:pPr>
        <w:spacing w:before="2"/>
      </w:pPr>
    </w:p>
    <w:p w14:paraId="12A6EAF4">
      <w:pPr>
        <w:spacing w:before="2"/>
      </w:pPr>
    </w:p>
    <w:p w14:paraId="0BA118AB">
      <w:pPr>
        <w:spacing w:before="1"/>
      </w:pPr>
    </w:p>
    <w:p w14:paraId="3AB650DC">
      <w:pPr>
        <w:spacing w:before="1"/>
      </w:pPr>
    </w:p>
    <w:p w14:paraId="29B1F43B">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73CDB1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559" w:type="dxa"/>
            <w:vAlign w:val="top"/>
          </w:tcPr>
          <w:p w14:paraId="5072DB59">
            <w:pPr>
              <w:spacing w:before="93"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13</w:t>
            </w:r>
          </w:p>
        </w:tc>
        <w:tc>
          <w:tcPr>
            <w:tcW w:w="1842" w:type="dxa"/>
            <w:vAlign w:val="top"/>
          </w:tcPr>
          <w:p w14:paraId="469DD425">
            <w:pPr>
              <w:spacing w:before="93" w:line="217"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3.840</w:t>
            </w:r>
          </w:p>
        </w:tc>
        <w:tc>
          <w:tcPr>
            <w:tcW w:w="1840" w:type="dxa"/>
            <w:vAlign w:val="top"/>
          </w:tcPr>
          <w:p w14:paraId="32991BEC">
            <w:pPr>
              <w:spacing w:before="93"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3.176</w:t>
            </w:r>
          </w:p>
        </w:tc>
        <w:tc>
          <w:tcPr>
            <w:tcW w:w="1843" w:type="dxa"/>
            <w:vAlign w:val="top"/>
          </w:tcPr>
          <w:p w14:paraId="0445F255">
            <w:pPr>
              <w:spacing w:before="93" w:line="217"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5.477</w:t>
            </w:r>
          </w:p>
        </w:tc>
        <w:tc>
          <w:tcPr>
            <w:tcW w:w="1989" w:type="dxa"/>
            <w:vAlign w:val="top"/>
          </w:tcPr>
          <w:p w14:paraId="59485C44">
            <w:pPr>
              <w:spacing w:before="93" w:line="217"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4.483</w:t>
            </w:r>
          </w:p>
        </w:tc>
      </w:tr>
      <w:tr w14:paraId="53ACA4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7F137D7D">
            <w:pPr>
              <w:spacing w:before="88" w:line="219"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tc>
        <w:tc>
          <w:tcPr>
            <w:tcW w:w="1842" w:type="dxa"/>
            <w:vAlign w:val="top"/>
          </w:tcPr>
          <w:p w14:paraId="4285DF2E">
            <w:pPr>
              <w:spacing w:before="88" w:line="219"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3.263</w:t>
            </w:r>
          </w:p>
        </w:tc>
        <w:tc>
          <w:tcPr>
            <w:tcW w:w="1840" w:type="dxa"/>
            <w:vAlign w:val="top"/>
          </w:tcPr>
          <w:p w14:paraId="65688DDC">
            <w:pPr>
              <w:spacing w:before="88" w:line="219"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2.827</w:t>
            </w:r>
          </w:p>
        </w:tc>
        <w:tc>
          <w:tcPr>
            <w:tcW w:w="1843" w:type="dxa"/>
            <w:vAlign w:val="top"/>
          </w:tcPr>
          <w:p w14:paraId="000A4203">
            <w:pPr>
              <w:spacing w:before="88" w:line="219"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4.720</w:t>
            </w:r>
          </w:p>
        </w:tc>
        <w:tc>
          <w:tcPr>
            <w:tcW w:w="1989" w:type="dxa"/>
            <w:vAlign w:val="top"/>
          </w:tcPr>
          <w:p w14:paraId="6958E7DE">
            <w:pPr>
              <w:spacing w:before="88" w:line="219"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3.982</w:t>
            </w:r>
          </w:p>
        </w:tc>
      </w:tr>
      <w:tr w14:paraId="420ED2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9968DA6">
            <w:pPr>
              <w:spacing w:before="85" w:line="219"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842" w:type="dxa"/>
            <w:vAlign w:val="top"/>
          </w:tcPr>
          <w:p w14:paraId="7A8C9922">
            <w:pPr>
              <w:spacing w:before="85" w:line="219"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2.747</w:t>
            </w:r>
          </w:p>
        </w:tc>
        <w:tc>
          <w:tcPr>
            <w:tcW w:w="1840" w:type="dxa"/>
            <w:vAlign w:val="top"/>
          </w:tcPr>
          <w:p w14:paraId="1FA9246C">
            <w:pPr>
              <w:spacing w:before="85" w:line="219"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2.483</w:t>
            </w:r>
          </w:p>
        </w:tc>
        <w:tc>
          <w:tcPr>
            <w:tcW w:w="1843" w:type="dxa"/>
            <w:vAlign w:val="top"/>
          </w:tcPr>
          <w:p w14:paraId="7000F1F8">
            <w:pPr>
              <w:spacing w:before="85" w:line="219"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4.076</w:t>
            </w:r>
          </w:p>
        </w:tc>
        <w:tc>
          <w:tcPr>
            <w:tcW w:w="1989" w:type="dxa"/>
            <w:vAlign w:val="top"/>
          </w:tcPr>
          <w:p w14:paraId="13286219">
            <w:pPr>
              <w:spacing w:before="85" w:line="219"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3.529</w:t>
            </w:r>
          </w:p>
        </w:tc>
      </w:tr>
      <w:tr w14:paraId="154912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9ED1238">
            <w:pPr>
              <w:spacing w:before="86" w:line="219"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tc>
        <w:tc>
          <w:tcPr>
            <w:tcW w:w="1842" w:type="dxa"/>
            <w:vAlign w:val="top"/>
          </w:tcPr>
          <w:p w14:paraId="761BFF13">
            <w:pPr>
              <w:spacing w:before="86" w:line="219"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2.307</w:t>
            </w:r>
          </w:p>
        </w:tc>
        <w:tc>
          <w:tcPr>
            <w:tcW w:w="1840" w:type="dxa"/>
            <w:vAlign w:val="top"/>
          </w:tcPr>
          <w:p w14:paraId="51A9C799">
            <w:pPr>
              <w:spacing w:before="86" w:line="219"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2.164</w:t>
            </w:r>
          </w:p>
        </w:tc>
        <w:tc>
          <w:tcPr>
            <w:tcW w:w="1843" w:type="dxa"/>
            <w:vAlign w:val="top"/>
          </w:tcPr>
          <w:p w14:paraId="1F3688FE">
            <w:pPr>
              <w:spacing w:before="86" w:line="219"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3.538</w:t>
            </w:r>
          </w:p>
        </w:tc>
        <w:tc>
          <w:tcPr>
            <w:tcW w:w="1989" w:type="dxa"/>
            <w:vAlign w:val="top"/>
          </w:tcPr>
          <w:p w14:paraId="2BF26385">
            <w:pPr>
              <w:spacing w:before="86" w:line="219"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3.131</w:t>
            </w:r>
          </w:p>
        </w:tc>
      </w:tr>
      <w:tr w14:paraId="0E9A54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41D519F">
            <w:pPr>
              <w:spacing w:before="86" w:line="218"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tc>
        <w:tc>
          <w:tcPr>
            <w:tcW w:w="1842" w:type="dxa"/>
            <w:vAlign w:val="top"/>
          </w:tcPr>
          <w:p w14:paraId="4B3764A8">
            <w:pPr>
              <w:spacing w:before="86" w:line="218"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1.939</w:t>
            </w:r>
          </w:p>
        </w:tc>
        <w:tc>
          <w:tcPr>
            <w:tcW w:w="1840" w:type="dxa"/>
            <w:vAlign w:val="top"/>
          </w:tcPr>
          <w:p w14:paraId="384C64BC">
            <w:pPr>
              <w:spacing w:before="86" w:line="218"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1.878</w:t>
            </w:r>
          </w:p>
        </w:tc>
        <w:tc>
          <w:tcPr>
            <w:tcW w:w="1843" w:type="dxa"/>
            <w:vAlign w:val="top"/>
          </w:tcPr>
          <w:p w14:paraId="217195E8">
            <w:pPr>
              <w:spacing w:before="86" w:line="218"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3.091</w:t>
            </w:r>
          </w:p>
        </w:tc>
        <w:tc>
          <w:tcPr>
            <w:tcW w:w="1989" w:type="dxa"/>
            <w:vAlign w:val="top"/>
          </w:tcPr>
          <w:p w14:paraId="360E1BB7">
            <w:pPr>
              <w:spacing w:before="86" w:line="218"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2.785</w:t>
            </w:r>
          </w:p>
        </w:tc>
      </w:tr>
      <w:tr w14:paraId="529511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EFEB3D8">
            <w:pPr>
              <w:spacing w:before="86" w:line="218"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tc>
        <w:tc>
          <w:tcPr>
            <w:tcW w:w="1842" w:type="dxa"/>
            <w:vAlign w:val="top"/>
          </w:tcPr>
          <w:p w14:paraId="5CD493F6">
            <w:pPr>
              <w:spacing w:before="86" w:line="218"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1.636</w:t>
            </w:r>
          </w:p>
        </w:tc>
        <w:tc>
          <w:tcPr>
            <w:tcW w:w="1840" w:type="dxa"/>
            <w:vAlign w:val="top"/>
          </w:tcPr>
          <w:p w14:paraId="148DA43E">
            <w:pPr>
              <w:spacing w:before="86" w:line="218"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1.629</w:t>
            </w:r>
          </w:p>
        </w:tc>
        <w:tc>
          <w:tcPr>
            <w:tcW w:w="1843" w:type="dxa"/>
            <w:vAlign w:val="top"/>
          </w:tcPr>
          <w:p w14:paraId="517CE78F">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2.719</w:t>
            </w:r>
          </w:p>
        </w:tc>
        <w:tc>
          <w:tcPr>
            <w:tcW w:w="1989" w:type="dxa"/>
            <w:vAlign w:val="top"/>
          </w:tcPr>
          <w:p w14:paraId="2017692E">
            <w:pPr>
              <w:spacing w:before="86" w:line="218"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2.486</w:t>
            </w:r>
          </w:p>
        </w:tc>
      </w:tr>
      <w:tr w14:paraId="1C1B35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004766A">
            <w:pPr>
              <w:spacing w:before="87"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tc>
        <w:tc>
          <w:tcPr>
            <w:tcW w:w="1842" w:type="dxa"/>
            <w:vAlign w:val="top"/>
          </w:tcPr>
          <w:p w14:paraId="5595236A">
            <w:pPr>
              <w:spacing w:before="87"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1.387</w:t>
            </w:r>
          </w:p>
        </w:tc>
        <w:tc>
          <w:tcPr>
            <w:tcW w:w="1840" w:type="dxa"/>
            <w:vAlign w:val="top"/>
          </w:tcPr>
          <w:p w14:paraId="43EC8896">
            <w:pPr>
              <w:spacing w:before="87"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1.414</w:t>
            </w:r>
          </w:p>
        </w:tc>
        <w:tc>
          <w:tcPr>
            <w:tcW w:w="1843" w:type="dxa"/>
            <w:vAlign w:val="top"/>
          </w:tcPr>
          <w:p w14:paraId="76608E1A">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2.408</w:t>
            </w:r>
          </w:p>
        </w:tc>
        <w:tc>
          <w:tcPr>
            <w:tcW w:w="1989" w:type="dxa"/>
            <w:vAlign w:val="top"/>
          </w:tcPr>
          <w:p w14:paraId="1DDB9DCF">
            <w:pPr>
              <w:spacing w:before="87"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2.228</w:t>
            </w:r>
          </w:p>
        </w:tc>
      </w:tr>
      <w:tr w14:paraId="3347C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3C23F76F">
            <w:pPr>
              <w:spacing w:before="90"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842" w:type="dxa"/>
            <w:vAlign w:val="top"/>
          </w:tcPr>
          <w:p w14:paraId="56C4DA96">
            <w:pPr>
              <w:spacing w:before="90"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1.182</w:t>
            </w:r>
          </w:p>
        </w:tc>
        <w:tc>
          <w:tcPr>
            <w:tcW w:w="1840" w:type="dxa"/>
            <w:vAlign w:val="top"/>
          </w:tcPr>
          <w:p w14:paraId="53A28CED">
            <w:pPr>
              <w:spacing w:before="90"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1.230</w:t>
            </w:r>
          </w:p>
        </w:tc>
        <w:tc>
          <w:tcPr>
            <w:tcW w:w="1843" w:type="dxa"/>
            <w:vAlign w:val="top"/>
          </w:tcPr>
          <w:p w14:paraId="748ECA5D">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2.146</w:t>
            </w:r>
          </w:p>
        </w:tc>
        <w:tc>
          <w:tcPr>
            <w:tcW w:w="1989" w:type="dxa"/>
            <w:vAlign w:val="top"/>
          </w:tcPr>
          <w:p w14:paraId="7C3CADCC">
            <w:pPr>
              <w:spacing w:before="90"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2.006</w:t>
            </w:r>
          </w:p>
        </w:tc>
      </w:tr>
      <w:tr w14:paraId="4390F2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978A39D">
            <w:pPr>
              <w:spacing w:before="87"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c>
          <w:tcPr>
            <w:tcW w:w="1842" w:type="dxa"/>
            <w:vAlign w:val="top"/>
          </w:tcPr>
          <w:p w14:paraId="3195B53B">
            <w:pPr>
              <w:spacing w:before="87"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1.014</w:t>
            </w:r>
          </w:p>
        </w:tc>
        <w:tc>
          <w:tcPr>
            <w:tcW w:w="1840" w:type="dxa"/>
            <w:vAlign w:val="top"/>
          </w:tcPr>
          <w:p w14:paraId="31EAD9D4">
            <w:pPr>
              <w:spacing w:before="87"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1.073</w:t>
            </w:r>
          </w:p>
        </w:tc>
        <w:tc>
          <w:tcPr>
            <w:tcW w:w="1843" w:type="dxa"/>
            <w:vAlign w:val="top"/>
          </w:tcPr>
          <w:p w14:paraId="35250660">
            <w:pPr>
              <w:spacing w:before="87"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1.924</w:t>
            </w:r>
          </w:p>
        </w:tc>
        <w:tc>
          <w:tcPr>
            <w:tcW w:w="1989" w:type="dxa"/>
            <w:vAlign w:val="top"/>
          </w:tcPr>
          <w:p w14:paraId="43D5A3CA">
            <w:pPr>
              <w:spacing w:before="87"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1.813</w:t>
            </w:r>
          </w:p>
        </w:tc>
      </w:tr>
      <w:tr w14:paraId="343B89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5C8BB91">
            <w:pPr>
              <w:spacing w:before="88" w:line="216"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tc>
        <w:tc>
          <w:tcPr>
            <w:tcW w:w="1842" w:type="dxa"/>
            <w:vAlign w:val="top"/>
          </w:tcPr>
          <w:p w14:paraId="1FF4D25B">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0.875</w:t>
            </w:r>
          </w:p>
        </w:tc>
        <w:tc>
          <w:tcPr>
            <w:tcW w:w="1840" w:type="dxa"/>
            <w:vAlign w:val="top"/>
          </w:tcPr>
          <w:p w14:paraId="3E146DC4">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0.939</w:t>
            </w:r>
          </w:p>
        </w:tc>
        <w:tc>
          <w:tcPr>
            <w:tcW w:w="1843" w:type="dxa"/>
            <w:vAlign w:val="top"/>
          </w:tcPr>
          <w:p w14:paraId="6866A63E">
            <w:pPr>
              <w:spacing w:before="88" w:line="216"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1.735</w:t>
            </w:r>
          </w:p>
        </w:tc>
        <w:tc>
          <w:tcPr>
            <w:tcW w:w="1989" w:type="dxa"/>
            <w:vAlign w:val="top"/>
          </w:tcPr>
          <w:p w14:paraId="203FCA57">
            <w:pPr>
              <w:spacing w:before="88" w:line="216"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1.646</w:t>
            </w:r>
          </w:p>
        </w:tc>
      </w:tr>
      <w:tr w14:paraId="7ADE27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D5D120B">
            <w:pPr>
              <w:spacing w:before="89" w:line="216"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tc>
        <w:tc>
          <w:tcPr>
            <w:tcW w:w="1842" w:type="dxa"/>
            <w:vAlign w:val="top"/>
          </w:tcPr>
          <w:p w14:paraId="47BCBEF1">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0.759</w:t>
            </w:r>
          </w:p>
        </w:tc>
        <w:tc>
          <w:tcPr>
            <w:tcW w:w="1840" w:type="dxa"/>
            <w:vAlign w:val="top"/>
          </w:tcPr>
          <w:p w14:paraId="678DA9E2">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0.825</w:t>
            </w:r>
          </w:p>
        </w:tc>
        <w:tc>
          <w:tcPr>
            <w:tcW w:w="1843" w:type="dxa"/>
            <w:vAlign w:val="top"/>
          </w:tcPr>
          <w:p w14:paraId="4AA05804">
            <w:pPr>
              <w:spacing w:before="89" w:line="216"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1.572</w:t>
            </w:r>
          </w:p>
        </w:tc>
        <w:tc>
          <w:tcPr>
            <w:tcW w:w="1989" w:type="dxa"/>
            <w:vAlign w:val="top"/>
          </w:tcPr>
          <w:p w14:paraId="491F50E3">
            <w:pPr>
              <w:spacing w:before="89" w:line="216"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1.500</w:t>
            </w:r>
          </w:p>
        </w:tc>
      </w:tr>
      <w:tr w14:paraId="47A916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A7E3858">
            <w:pPr>
              <w:spacing w:before="88"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tc>
        <w:tc>
          <w:tcPr>
            <w:tcW w:w="1842" w:type="dxa"/>
            <w:vAlign w:val="top"/>
          </w:tcPr>
          <w:p w14:paraId="6D6F2058">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0.662</w:t>
            </w:r>
          </w:p>
        </w:tc>
        <w:tc>
          <w:tcPr>
            <w:tcW w:w="1840" w:type="dxa"/>
            <w:vAlign w:val="top"/>
          </w:tcPr>
          <w:p w14:paraId="5D7EEB8E">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0.728</w:t>
            </w:r>
          </w:p>
        </w:tc>
        <w:tc>
          <w:tcPr>
            <w:tcW w:w="1843" w:type="dxa"/>
            <w:vAlign w:val="top"/>
          </w:tcPr>
          <w:p w14:paraId="0847DB73">
            <w:pPr>
              <w:spacing w:before="88"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1.431</w:t>
            </w:r>
          </w:p>
        </w:tc>
        <w:tc>
          <w:tcPr>
            <w:tcW w:w="1989" w:type="dxa"/>
            <w:vAlign w:val="top"/>
          </w:tcPr>
          <w:p w14:paraId="56BD543D">
            <w:pPr>
              <w:spacing w:before="88"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1.372</w:t>
            </w:r>
          </w:p>
        </w:tc>
      </w:tr>
      <w:tr w14:paraId="1F5E43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4BEA593">
            <w:pPr>
              <w:spacing w:before="88" w:line="216"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tc>
        <w:tc>
          <w:tcPr>
            <w:tcW w:w="1842" w:type="dxa"/>
            <w:vAlign w:val="top"/>
          </w:tcPr>
          <w:p w14:paraId="393C0094">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0.581</w:t>
            </w:r>
          </w:p>
        </w:tc>
        <w:tc>
          <w:tcPr>
            <w:tcW w:w="1840" w:type="dxa"/>
            <w:vAlign w:val="top"/>
          </w:tcPr>
          <w:p w14:paraId="69E2AEBA">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0.645</w:t>
            </w:r>
          </w:p>
        </w:tc>
        <w:tc>
          <w:tcPr>
            <w:tcW w:w="1843" w:type="dxa"/>
            <w:vAlign w:val="top"/>
          </w:tcPr>
          <w:p w14:paraId="27A2B6DF">
            <w:pPr>
              <w:spacing w:before="88" w:line="216"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1.309</w:t>
            </w:r>
          </w:p>
        </w:tc>
        <w:tc>
          <w:tcPr>
            <w:tcW w:w="1989" w:type="dxa"/>
            <w:vAlign w:val="top"/>
          </w:tcPr>
          <w:p w14:paraId="3E7AD9D7">
            <w:pPr>
              <w:spacing w:before="88" w:line="216"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1.260</w:t>
            </w:r>
          </w:p>
        </w:tc>
      </w:tr>
      <w:tr w14:paraId="3E6EFB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0C8B0C18">
            <w:pPr>
              <w:spacing w:before="91" w:line="216"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tc>
        <w:tc>
          <w:tcPr>
            <w:tcW w:w="1842" w:type="dxa"/>
            <w:vAlign w:val="top"/>
          </w:tcPr>
          <w:p w14:paraId="6B2DE030">
            <w:pPr>
              <w:spacing w:before="91"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0.512</w:t>
            </w:r>
          </w:p>
        </w:tc>
        <w:tc>
          <w:tcPr>
            <w:tcW w:w="1840" w:type="dxa"/>
            <w:vAlign w:val="top"/>
          </w:tcPr>
          <w:p w14:paraId="708349C0">
            <w:pPr>
              <w:spacing w:before="91"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0.573</w:t>
            </w:r>
          </w:p>
        </w:tc>
        <w:tc>
          <w:tcPr>
            <w:tcW w:w="1843" w:type="dxa"/>
            <w:vAlign w:val="top"/>
          </w:tcPr>
          <w:p w14:paraId="5DB1F024">
            <w:pPr>
              <w:spacing w:before="91" w:line="216"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1.201</w:t>
            </w:r>
          </w:p>
        </w:tc>
        <w:tc>
          <w:tcPr>
            <w:tcW w:w="1989" w:type="dxa"/>
            <w:vAlign w:val="top"/>
          </w:tcPr>
          <w:p w14:paraId="70D52C93">
            <w:pPr>
              <w:spacing w:before="91" w:line="216"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1.161</w:t>
            </w:r>
          </w:p>
        </w:tc>
      </w:tr>
      <w:tr w14:paraId="20F576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081428A">
            <w:pPr>
              <w:spacing w:before="89" w:line="216"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w:t>
            </w:r>
          </w:p>
        </w:tc>
        <w:tc>
          <w:tcPr>
            <w:tcW w:w="1842" w:type="dxa"/>
            <w:vAlign w:val="top"/>
          </w:tcPr>
          <w:p w14:paraId="75462A2A">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0.454</w:t>
            </w:r>
          </w:p>
        </w:tc>
        <w:tc>
          <w:tcPr>
            <w:tcW w:w="1840" w:type="dxa"/>
            <w:vAlign w:val="top"/>
          </w:tcPr>
          <w:p w14:paraId="19F15D04">
            <w:pPr>
              <w:spacing w:before="89"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0.511</w:t>
            </w:r>
          </w:p>
        </w:tc>
        <w:tc>
          <w:tcPr>
            <w:tcW w:w="1843" w:type="dxa"/>
            <w:vAlign w:val="top"/>
          </w:tcPr>
          <w:p w14:paraId="48EA32A8">
            <w:pPr>
              <w:spacing w:before="89" w:line="216"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1.107</w:t>
            </w:r>
          </w:p>
        </w:tc>
        <w:tc>
          <w:tcPr>
            <w:tcW w:w="1989" w:type="dxa"/>
            <w:vAlign w:val="top"/>
          </w:tcPr>
          <w:p w14:paraId="3324A3AE">
            <w:pPr>
              <w:spacing w:before="89" w:line="216"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1.073</w:t>
            </w:r>
          </w:p>
        </w:tc>
      </w:tr>
      <w:tr w14:paraId="042B84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A791D79">
            <w:pPr>
              <w:spacing w:before="89" w:line="215"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w:t>
            </w:r>
          </w:p>
        </w:tc>
        <w:tc>
          <w:tcPr>
            <w:tcW w:w="1842" w:type="dxa"/>
            <w:vAlign w:val="top"/>
          </w:tcPr>
          <w:p w14:paraId="7298FD59">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0.404</w:t>
            </w:r>
          </w:p>
        </w:tc>
        <w:tc>
          <w:tcPr>
            <w:tcW w:w="1840" w:type="dxa"/>
            <w:vAlign w:val="top"/>
          </w:tcPr>
          <w:p w14:paraId="6EF892D5">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0.458</w:t>
            </w:r>
          </w:p>
        </w:tc>
        <w:tc>
          <w:tcPr>
            <w:tcW w:w="1843" w:type="dxa"/>
            <w:vAlign w:val="top"/>
          </w:tcPr>
          <w:p w14:paraId="62394D1F">
            <w:pPr>
              <w:spacing w:before="89"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1.023</w:t>
            </w:r>
          </w:p>
        </w:tc>
        <w:tc>
          <w:tcPr>
            <w:tcW w:w="1989" w:type="dxa"/>
            <w:vAlign w:val="top"/>
          </w:tcPr>
          <w:p w14:paraId="7310D81F">
            <w:pPr>
              <w:spacing w:before="89"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0.994</w:t>
            </w:r>
          </w:p>
        </w:tc>
      </w:tr>
      <w:tr w14:paraId="05A7FF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5EDC638">
            <w:pPr>
              <w:spacing w:before="89" w:line="216"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w:t>
            </w:r>
          </w:p>
        </w:tc>
        <w:tc>
          <w:tcPr>
            <w:tcW w:w="1842" w:type="dxa"/>
            <w:vAlign w:val="top"/>
          </w:tcPr>
          <w:p w14:paraId="0D434288">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0.361</w:t>
            </w:r>
          </w:p>
        </w:tc>
        <w:tc>
          <w:tcPr>
            <w:tcW w:w="1840" w:type="dxa"/>
            <w:vAlign w:val="top"/>
          </w:tcPr>
          <w:p w14:paraId="115DDF25">
            <w:pPr>
              <w:spacing w:before="89"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0.411</w:t>
            </w:r>
          </w:p>
        </w:tc>
        <w:tc>
          <w:tcPr>
            <w:tcW w:w="1843" w:type="dxa"/>
            <w:vAlign w:val="top"/>
          </w:tcPr>
          <w:p w14:paraId="5C8CA754">
            <w:pPr>
              <w:spacing w:before="89"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0.949</w:t>
            </w:r>
          </w:p>
        </w:tc>
        <w:tc>
          <w:tcPr>
            <w:tcW w:w="1989" w:type="dxa"/>
            <w:vAlign w:val="top"/>
          </w:tcPr>
          <w:p w14:paraId="3F1794F4">
            <w:pPr>
              <w:spacing w:before="89"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0.924</w:t>
            </w:r>
          </w:p>
        </w:tc>
      </w:tr>
      <w:tr w14:paraId="4069FC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6A20999">
            <w:pPr>
              <w:spacing w:before="89"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c>
          <w:tcPr>
            <w:tcW w:w="1842" w:type="dxa"/>
            <w:vAlign w:val="top"/>
          </w:tcPr>
          <w:p w14:paraId="3B76202D">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0.324</w:t>
            </w:r>
          </w:p>
        </w:tc>
        <w:tc>
          <w:tcPr>
            <w:tcW w:w="1840" w:type="dxa"/>
            <w:vAlign w:val="top"/>
          </w:tcPr>
          <w:p w14:paraId="0B07EA83">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0.371</w:t>
            </w:r>
          </w:p>
        </w:tc>
        <w:tc>
          <w:tcPr>
            <w:tcW w:w="1843" w:type="dxa"/>
            <w:vAlign w:val="top"/>
          </w:tcPr>
          <w:p w14:paraId="4A66C693">
            <w:pPr>
              <w:spacing w:before="89"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0.882</w:t>
            </w:r>
          </w:p>
        </w:tc>
        <w:tc>
          <w:tcPr>
            <w:tcW w:w="1989" w:type="dxa"/>
            <w:vAlign w:val="top"/>
          </w:tcPr>
          <w:p w14:paraId="0F9A2C0F">
            <w:pPr>
              <w:spacing w:before="89"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0.861</w:t>
            </w:r>
          </w:p>
        </w:tc>
      </w:tr>
      <w:tr w14:paraId="64A605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50AFBF0">
            <w:pPr>
              <w:spacing w:before="89"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31</w:t>
            </w:r>
          </w:p>
        </w:tc>
        <w:tc>
          <w:tcPr>
            <w:tcW w:w="1842" w:type="dxa"/>
            <w:vAlign w:val="top"/>
          </w:tcPr>
          <w:p w14:paraId="030C8A5F">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0.292</w:t>
            </w:r>
          </w:p>
        </w:tc>
        <w:tc>
          <w:tcPr>
            <w:tcW w:w="1840" w:type="dxa"/>
            <w:vAlign w:val="top"/>
          </w:tcPr>
          <w:p w14:paraId="2EE8C3B0">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0.336</w:t>
            </w:r>
          </w:p>
        </w:tc>
        <w:tc>
          <w:tcPr>
            <w:tcW w:w="1843" w:type="dxa"/>
            <w:vAlign w:val="top"/>
          </w:tcPr>
          <w:p w14:paraId="0D656348">
            <w:pPr>
              <w:spacing w:before="89"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0.822</w:t>
            </w:r>
          </w:p>
        </w:tc>
        <w:tc>
          <w:tcPr>
            <w:tcW w:w="1989" w:type="dxa"/>
            <w:vAlign w:val="top"/>
          </w:tcPr>
          <w:p w14:paraId="74020CBA">
            <w:pPr>
              <w:spacing w:before="89"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0.804</w:t>
            </w:r>
          </w:p>
        </w:tc>
      </w:tr>
      <w:tr w14:paraId="439AFF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1F49D9EA">
            <w:pPr>
              <w:spacing w:before="91"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32</w:t>
            </w:r>
          </w:p>
        </w:tc>
        <w:tc>
          <w:tcPr>
            <w:tcW w:w="1842" w:type="dxa"/>
            <w:vAlign w:val="top"/>
          </w:tcPr>
          <w:p w14:paraId="210BFB56">
            <w:pPr>
              <w:spacing w:before="91"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0.264</w:t>
            </w:r>
          </w:p>
        </w:tc>
        <w:tc>
          <w:tcPr>
            <w:tcW w:w="1840" w:type="dxa"/>
            <w:vAlign w:val="top"/>
          </w:tcPr>
          <w:p w14:paraId="75DBFB3A">
            <w:pPr>
              <w:spacing w:before="91"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0.305</w:t>
            </w:r>
          </w:p>
        </w:tc>
        <w:tc>
          <w:tcPr>
            <w:tcW w:w="1843" w:type="dxa"/>
            <w:vAlign w:val="top"/>
          </w:tcPr>
          <w:p w14:paraId="2D188244">
            <w:pPr>
              <w:spacing w:before="91"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0.769</w:t>
            </w:r>
          </w:p>
        </w:tc>
        <w:tc>
          <w:tcPr>
            <w:tcW w:w="1989" w:type="dxa"/>
            <w:vAlign w:val="top"/>
          </w:tcPr>
          <w:p w14:paraId="40C7C41E">
            <w:pPr>
              <w:spacing w:before="91"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0.753</w:t>
            </w:r>
          </w:p>
        </w:tc>
      </w:tr>
      <w:tr w14:paraId="4EAD1D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B444B10">
            <w:pPr>
              <w:spacing w:before="89"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33</w:t>
            </w:r>
          </w:p>
        </w:tc>
        <w:tc>
          <w:tcPr>
            <w:tcW w:w="1842" w:type="dxa"/>
            <w:vAlign w:val="top"/>
          </w:tcPr>
          <w:p w14:paraId="7B7AA334">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0.239</w:t>
            </w:r>
          </w:p>
        </w:tc>
        <w:tc>
          <w:tcPr>
            <w:tcW w:w="1840" w:type="dxa"/>
            <w:vAlign w:val="top"/>
          </w:tcPr>
          <w:p w14:paraId="6B5FB09D">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0.277</w:t>
            </w:r>
          </w:p>
        </w:tc>
        <w:tc>
          <w:tcPr>
            <w:tcW w:w="1843" w:type="dxa"/>
            <w:vAlign w:val="top"/>
          </w:tcPr>
          <w:p w14:paraId="61B44420">
            <w:pPr>
              <w:spacing w:before="89"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0.720</w:t>
            </w:r>
          </w:p>
        </w:tc>
        <w:tc>
          <w:tcPr>
            <w:tcW w:w="1989" w:type="dxa"/>
            <w:vAlign w:val="top"/>
          </w:tcPr>
          <w:p w14:paraId="12714797">
            <w:pPr>
              <w:spacing w:before="89"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0.706</w:t>
            </w:r>
          </w:p>
        </w:tc>
      </w:tr>
      <w:tr w14:paraId="587355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01B81D5">
            <w:pPr>
              <w:spacing w:before="89"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34</w:t>
            </w:r>
          </w:p>
        </w:tc>
        <w:tc>
          <w:tcPr>
            <w:tcW w:w="1842" w:type="dxa"/>
            <w:vAlign w:val="top"/>
          </w:tcPr>
          <w:p w14:paraId="4F8106A3">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0.217</w:t>
            </w:r>
          </w:p>
        </w:tc>
        <w:tc>
          <w:tcPr>
            <w:tcW w:w="1840" w:type="dxa"/>
            <w:vAlign w:val="top"/>
          </w:tcPr>
          <w:p w14:paraId="12114166">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0.253</w:t>
            </w:r>
          </w:p>
        </w:tc>
        <w:tc>
          <w:tcPr>
            <w:tcW w:w="1843" w:type="dxa"/>
            <w:vAlign w:val="top"/>
          </w:tcPr>
          <w:p w14:paraId="60093278">
            <w:pPr>
              <w:spacing w:before="89"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0.676</w:t>
            </w:r>
          </w:p>
        </w:tc>
        <w:tc>
          <w:tcPr>
            <w:tcW w:w="1989" w:type="dxa"/>
            <w:vAlign w:val="top"/>
          </w:tcPr>
          <w:p w14:paraId="15AA0D50">
            <w:pPr>
              <w:spacing w:before="89"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0.664</w:t>
            </w:r>
          </w:p>
        </w:tc>
      </w:tr>
      <w:tr w14:paraId="403EC8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90D8076">
            <w:pPr>
              <w:spacing w:before="89"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w:t>
            </w:r>
          </w:p>
        </w:tc>
        <w:tc>
          <w:tcPr>
            <w:tcW w:w="1842" w:type="dxa"/>
            <w:vAlign w:val="top"/>
          </w:tcPr>
          <w:p w14:paraId="01B0CAB1">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0.198</w:t>
            </w:r>
          </w:p>
        </w:tc>
        <w:tc>
          <w:tcPr>
            <w:tcW w:w="1840" w:type="dxa"/>
            <w:vAlign w:val="top"/>
          </w:tcPr>
          <w:p w14:paraId="37C9A8C1">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0.231</w:t>
            </w:r>
          </w:p>
        </w:tc>
        <w:tc>
          <w:tcPr>
            <w:tcW w:w="1843" w:type="dxa"/>
            <w:vAlign w:val="top"/>
          </w:tcPr>
          <w:p w14:paraId="62A483A6">
            <w:pPr>
              <w:spacing w:before="89"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0.636</w:t>
            </w:r>
          </w:p>
        </w:tc>
        <w:tc>
          <w:tcPr>
            <w:tcW w:w="1989" w:type="dxa"/>
            <w:vAlign w:val="top"/>
          </w:tcPr>
          <w:p w14:paraId="057EC100">
            <w:pPr>
              <w:spacing w:before="89"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0.625</w:t>
            </w:r>
          </w:p>
        </w:tc>
      </w:tr>
      <w:tr w14:paraId="5A3F4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EA81976">
            <w:pPr>
              <w:spacing w:before="89"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36</w:t>
            </w:r>
          </w:p>
        </w:tc>
        <w:tc>
          <w:tcPr>
            <w:tcW w:w="1842" w:type="dxa"/>
            <w:vAlign w:val="top"/>
          </w:tcPr>
          <w:p w14:paraId="5DA725B0">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0.181</w:t>
            </w:r>
          </w:p>
        </w:tc>
        <w:tc>
          <w:tcPr>
            <w:tcW w:w="1840" w:type="dxa"/>
            <w:vAlign w:val="top"/>
          </w:tcPr>
          <w:p w14:paraId="3E1AE6AA">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0.212</w:t>
            </w:r>
          </w:p>
        </w:tc>
        <w:tc>
          <w:tcPr>
            <w:tcW w:w="1843" w:type="dxa"/>
            <w:vAlign w:val="top"/>
          </w:tcPr>
          <w:p w14:paraId="3C17AEC9">
            <w:pPr>
              <w:spacing w:before="89"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0.599</w:t>
            </w:r>
          </w:p>
        </w:tc>
        <w:tc>
          <w:tcPr>
            <w:tcW w:w="1989" w:type="dxa"/>
            <w:vAlign w:val="top"/>
          </w:tcPr>
          <w:p w14:paraId="1A9B77FE">
            <w:pPr>
              <w:spacing w:before="89"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0.590</w:t>
            </w:r>
          </w:p>
        </w:tc>
      </w:tr>
      <w:tr w14:paraId="532873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1CEC165">
            <w:pPr>
              <w:spacing w:before="89"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1842" w:type="dxa"/>
            <w:vAlign w:val="top"/>
          </w:tcPr>
          <w:p w14:paraId="55223B69">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0.166</w:t>
            </w:r>
          </w:p>
        </w:tc>
        <w:tc>
          <w:tcPr>
            <w:tcW w:w="1840" w:type="dxa"/>
            <w:vAlign w:val="top"/>
          </w:tcPr>
          <w:p w14:paraId="11E7E25D">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0.195</w:t>
            </w:r>
          </w:p>
        </w:tc>
        <w:tc>
          <w:tcPr>
            <w:tcW w:w="1843" w:type="dxa"/>
            <w:vAlign w:val="top"/>
          </w:tcPr>
          <w:p w14:paraId="35905E9F">
            <w:pPr>
              <w:spacing w:before="89"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0.566</w:t>
            </w:r>
          </w:p>
        </w:tc>
        <w:tc>
          <w:tcPr>
            <w:tcW w:w="1989" w:type="dxa"/>
            <w:vAlign w:val="top"/>
          </w:tcPr>
          <w:p w14:paraId="6EE698A3">
            <w:pPr>
              <w:spacing w:before="89"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0.557</w:t>
            </w:r>
          </w:p>
        </w:tc>
      </w:tr>
      <w:tr w14:paraId="7A1F0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25C50F40">
            <w:pPr>
              <w:spacing w:before="91"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1842" w:type="dxa"/>
            <w:vAlign w:val="top"/>
          </w:tcPr>
          <w:p w14:paraId="1724BACF">
            <w:pPr>
              <w:spacing w:before="91"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0.153</w:t>
            </w:r>
          </w:p>
        </w:tc>
        <w:tc>
          <w:tcPr>
            <w:tcW w:w="1840" w:type="dxa"/>
            <w:vAlign w:val="top"/>
          </w:tcPr>
          <w:p w14:paraId="1C8FDEE0">
            <w:pPr>
              <w:spacing w:before="91"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0.180</w:t>
            </w:r>
          </w:p>
        </w:tc>
        <w:tc>
          <w:tcPr>
            <w:tcW w:w="1843" w:type="dxa"/>
            <w:vAlign w:val="top"/>
          </w:tcPr>
          <w:p w14:paraId="2D3C0C07">
            <w:pPr>
              <w:spacing w:before="91"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0.535</w:t>
            </w:r>
          </w:p>
        </w:tc>
        <w:tc>
          <w:tcPr>
            <w:tcW w:w="1989" w:type="dxa"/>
            <w:vAlign w:val="top"/>
          </w:tcPr>
          <w:p w14:paraId="0B839BA0">
            <w:pPr>
              <w:spacing w:before="91"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0.528</w:t>
            </w:r>
          </w:p>
        </w:tc>
      </w:tr>
      <w:tr w14:paraId="6E9EE8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FD7A333">
            <w:pPr>
              <w:spacing w:before="88" w:line="216"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w:t>
            </w:r>
          </w:p>
        </w:tc>
        <w:tc>
          <w:tcPr>
            <w:tcW w:w="1842" w:type="dxa"/>
            <w:vAlign w:val="top"/>
          </w:tcPr>
          <w:p w14:paraId="3C39FECE">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0.141</w:t>
            </w:r>
          </w:p>
        </w:tc>
        <w:tc>
          <w:tcPr>
            <w:tcW w:w="1840" w:type="dxa"/>
            <w:vAlign w:val="top"/>
          </w:tcPr>
          <w:p w14:paraId="04025FAC">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0.166</w:t>
            </w:r>
          </w:p>
        </w:tc>
        <w:tc>
          <w:tcPr>
            <w:tcW w:w="1843" w:type="dxa"/>
            <w:vAlign w:val="top"/>
          </w:tcPr>
          <w:p w14:paraId="6BC97DB7">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0.507</w:t>
            </w:r>
          </w:p>
        </w:tc>
        <w:tc>
          <w:tcPr>
            <w:tcW w:w="1989" w:type="dxa"/>
            <w:vAlign w:val="top"/>
          </w:tcPr>
          <w:p w14:paraId="0B68BEF0">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0.500</w:t>
            </w:r>
          </w:p>
        </w:tc>
      </w:tr>
      <w:tr w14:paraId="4DA89F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DEA6BCE">
            <w:pPr>
              <w:spacing w:before="89" w:line="216"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842" w:type="dxa"/>
            <w:vAlign w:val="top"/>
          </w:tcPr>
          <w:p w14:paraId="30B61109">
            <w:pPr>
              <w:spacing w:before="89"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0.130</w:t>
            </w:r>
          </w:p>
        </w:tc>
        <w:tc>
          <w:tcPr>
            <w:tcW w:w="1840" w:type="dxa"/>
            <w:vAlign w:val="top"/>
          </w:tcPr>
          <w:p w14:paraId="664BB63E">
            <w:pPr>
              <w:spacing w:before="89"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0.154</w:t>
            </w:r>
          </w:p>
        </w:tc>
        <w:tc>
          <w:tcPr>
            <w:tcW w:w="1843" w:type="dxa"/>
            <w:vAlign w:val="top"/>
          </w:tcPr>
          <w:p w14:paraId="06C87134">
            <w:pPr>
              <w:spacing w:before="89"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0.481</w:t>
            </w:r>
          </w:p>
        </w:tc>
        <w:tc>
          <w:tcPr>
            <w:tcW w:w="1989" w:type="dxa"/>
            <w:vAlign w:val="top"/>
          </w:tcPr>
          <w:p w14:paraId="4277396F">
            <w:pPr>
              <w:spacing w:before="89"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0.475</w:t>
            </w:r>
          </w:p>
        </w:tc>
      </w:tr>
      <w:tr w14:paraId="66D90C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FFCD8E6">
            <w:pPr>
              <w:spacing w:before="89" w:line="215"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w:t>
            </w:r>
          </w:p>
        </w:tc>
        <w:tc>
          <w:tcPr>
            <w:tcW w:w="1842" w:type="dxa"/>
            <w:vAlign w:val="top"/>
          </w:tcPr>
          <w:p w14:paraId="4D635B73">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0.121</w:t>
            </w:r>
          </w:p>
        </w:tc>
        <w:tc>
          <w:tcPr>
            <w:tcW w:w="1840" w:type="dxa"/>
            <w:vAlign w:val="top"/>
          </w:tcPr>
          <w:p w14:paraId="2AF94914">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0.142</w:t>
            </w:r>
          </w:p>
        </w:tc>
        <w:tc>
          <w:tcPr>
            <w:tcW w:w="1843" w:type="dxa"/>
            <w:vAlign w:val="top"/>
          </w:tcPr>
          <w:p w14:paraId="7729D234">
            <w:pPr>
              <w:spacing w:before="89"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0.457</w:t>
            </w:r>
          </w:p>
        </w:tc>
        <w:tc>
          <w:tcPr>
            <w:tcW w:w="1989" w:type="dxa"/>
            <w:vAlign w:val="top"/>
          </w:tcPr>
          <w:p w14:paraId="08FAF5A1">
            <w:pPr>
              <w:spacing w:before="89"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0.451</w:t>
            </w:r>
          </w:p>
        </w:tc>
      </w:tr>
      <w:tr w14:paraId="239535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BF3184D">
            <w:pPr>
              <w:spacing w:before="89" w:line="215"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w:t>
            </w:r>
          </w:p>
        </w:tc>
        <w:tc>
          <w:tcPr>
            <w:tcW w:w="1842" w:type="dxa"/>
            <w:vAlign w:val="top"/>
          </w:tcPr>
          <w:p w14:paraId="2A6D502A">
            <w:pPr>
              <w:spacing w:before="89" w:line="215"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0.112</w:t>
            </w:r>
          </w:p>
        </w:tc>
        <w:tc>
          <w:tcPr>
            <w:tcW w:w="1840" w:type="dxa"/>
            <w:vAlign w:val="top"/>
          </w:tcPr>
          <w:p w14:paraId="68C4FB9C">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0.132</w:t>
            </w:r>
          </w:p>
        </w:tc>
        <w:tc>
          <w:tcPr>
            <w:tcW w:w="1843" w:type="dxa"/>
            <w:vAlign w:val="top"/>
          </w:tcPr>
          <w:p w14:paraId="704006BB">
            <w:pPr>
              <w:spacing w:before="89"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0.434</w:t>
            </w:r>
          </w:p>
        </w:tc>
        <w:tc>
          <w:tcPr>
            <w:tcW w:w="1989" w:type="dxa"/>
            <w:vAlign w:val="top"/>
          </w:tcPr>
          <w:p w14:paraId="74903303">
            <w:pPr>
              <w:spacing w:before="89"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0.429</w:t>
            </w:r>
          </w:p>
        </w:tc>
      </w:tr>
      <w:tr w14:paraId="2DCCB2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B79ABA0">
            <w:pPr>
              <w:spacing w:before="90"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1842" w:type="dxa"/>
            <w:vAlign w:val="top"/>
          </w:tcPr>
          <w:p w14:paraId="0B4E596B">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0.104</w:t>
            </w:r>
          </w:p>
        </w:tc>
        <w:tc>
          <w:tcPr>
            <w:tcW w:w="1840" w:type="dxa"/>
            <w:vAlign w:val="top"/>
          </w:tcPr>
          <w:p w14:paraId="6FA369E2">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0.123</w:t>
            </w:r>
          </w:p>
        </w:tc>
        <w:tc>
          <w:tcPr>
            <w:tcW w:w="1843" w:type="dxa"/>
            <w:vAlign w:val="top"/>
          </w:tcPr>
          <w:p w14:paraId="62B03C83">
            <w:pPr>
              <w:spacing w:before="90"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0.414</w:t>
            </w:r>
          </w:p>
        </w:tc>
        <w:tc>
          <w:tcPr>
            <w:tcW w:w="1989" w:type="dxa"/>
            <w:vAlign w:val="top"/>
          </w:tcPr>
          <w:p w14:paraId="564A8C3D">
            <w:pPr>
              <w:spacing w:before="90"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0.409</w:t>
            </w:r>
          </w:p>
        </w:tc>
      </w:tr>
      <w:tr w14:paraId="44CCC9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48FCBEBC">
            <w:pPr>
              <w:spacing w:before="93"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w:t>
            </w:r>
          </w:p>
        </w:tc>
        <w:tc>
          <w:tcPr>
            <w:tcW w:w="1842" w:type="dxa"/>
            <w:vAlign w:val="top"/>
          </w:tcPr>
          <w:p w14:paraId="4125AB16">
            <w:pPr>
              <w:spacing w:before="93"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0.097</w:t>
            </w:r>
          </w:p>
        </w:tc>
        <w:tc>
          <w:tcPr>
            <w:tcW w:w="1840" w:type="dxa"/>
            <w:vAlign w:val="top"/>
          </w:tcPr>
          <w:p w14:paraId="5173AEB7">
            <w:pPr>
              <w:spacing w:before="93" w:line="214"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0.115</w:t>
            </w:r>
          </w:p>
        </w:tc>
        <w:tc>
          <w:tcPr>
            <w:tcW w:w="1843" w:type="dxa"/>
            <w:vAlign w:val="top"/>
          </w:tcPr>
          <w:p w14:paraId="61519225">
            <w:pPr>
              <w:spacing w:before="93"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0.394</w:t>
            </w:r>
          </w:p>
        </w:tc>
        <w:tc>
          <w:tcPr>
            <w:tcW w:w="1989" w:type="dxa"/>
            <w:vAlign w:val="top"/>
          </w:tcPr>
          <w:p w14:paraId="190DEB3A">
            <w:pPr>
              <w:spacing w:before="93"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0.390</w:t>
            </w:r>
          </w:p>
        </w:tc>
      </w:tr>
      <w:tr w14:paraId="02F74E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9B442DC">
            <w:pPr>
              <w:spacing w:before="90"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c>
          <w:tcPr>
            <w:tcW w:w="1842" w:type="dxa"/>
            <w:vAlign w:val="top"/>
          </w:tcPr>
          <w:p w14:paraId="59F13563">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0.090</w:t>
            </w:r>
          </w:p>
        </w:tc>
        <w:tc>
          <w:tcPr>
            <w:tcW w:w="1840" w:type="dxa"/>
            <w:vAlign w:val="top"/>
          </w:tcPr>
          <w:p w14:paraId="409AB47C">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0.107</w:t>
            </w:r>
          </w:p>
        </w:tc>
        <w:tc>
          <w:tcPr>
            <w:tcW w:w="1843" w:type="dxa"/>
            <w:vAlign w:val="top"/>
          </w:tcPr>
          <w:p w14:paraId="30C1E7F2">
            <w:pPr>
              <w:spacing w:before="90"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0.376</w:t>
            </w:r>
          </w:p>
        </w:tc>
        <w:tc>
          <w:tcPr>
            <w:tcW w:w="1989" w:type="dxa"/>
            <w:vAlign w:val="top"/>
          </w:tcPr>
          <w:p w14:paraId="64AA83C5">
            <w:pPr>
              <w:spacing w:before="90"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0.373</w:t>
            </w:r>
          </w:p>
        </w:tc>
      </w:tr>
      <w:tr w14:paraId="373CA9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915F759">
            <w:pPr>
              <w:spacing w:before="91"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w:t>
            </w:r>
          </w:p>
        </w:tc>
        <w:tc>
          <w:tcPr>
            <w:tcW w:w="1842" w:type="dxa"/>
            <w:vAlign w:val="top"/>
          </w:tcPr>
          <w:p w14:paraId="40ED2EFB">
            <w:pPr>
              <w:spacing w:before="91"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0.084</w:t>
            </w:r>
          </w:p>
        </w:tc>
        <w:tc>
          <w:tcPr>
            <w:tcW w:w="1840" w:type="dxa"/>
            <w:vAlign w:val="top"/>
          </w:tcPr>
          <w:p w14:paraId="65E0D549">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0.100</w:t>
            </w:r>
          </w:p>
        </w:tc>
        <w:tc>
          <w:tcPr>
            <w:tcW w:w="1843" w:type="dxa"/>
            <w:vAlign w:val="top"/>
          </w:tcPr>
          <w:p w14:paraId="0E35EF9C">
            <w:pPr>
              <w:spacing w:before="91"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0.360</w:t>
            </w:r>
          </w:p>
        </w:tc>
        <w:tc>
          <w:tcPr>
            <w:tcW w:w="1989" w:type="dxa"/>
            <w:vAlign w:val="top"/>
          </w:tcPr>
          <w:p w14:paraId="19B2B17A">
            <w:pPr>
              <w:spacing w:before="91"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0.356</w:t>
            </w:r>
          </w:p>
        </w:tc>
      </w:tr>
      <w:tr w14:paraId="5E9024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47C19E0">
            <w:pPr>
              <w:spacing w:before="91"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w:t>
            </w:r>
          </w:p>
        </w:tc>
        <w:tc>
          <w:tcPr>
            <w:tcW w:w="1842" w:type="dxa"/>
            <w:vAlign w:val="top"/>
          </w:tcPr>
          <w:p w14:paraId="4DB022AD">
            <w:pPr>
              <w:spacing w:before="91"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0.079</w:t>
            </w:r>
          </w:p>
        </w:tc>
        <w:tc>
          <w:tcPr>
            <w:tcW w:w="1840" w:type="dxa"/>
            <w:vAlign w:val="top"/>
          </w:tcPr>
          <w:p w14:paraId="5BFC4FD3">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0.094</w:t>
            </w:r>
          </w:p>
        </w:tc>
        <w:tc>
          <w:tcPr>
            <w:tcW w:w="1843" w:type="dxa"/>
            <w:vAlign w:val="top"/>
          </w:tcPr>
          <w:p w14:paraId="69B14A2D">
            <w:pPr>
              <w:spacing w:before="91"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0.344</w:t>
            </w:r>
          </w:p>
        </w:tc>
        <w:tc>
          <w:tcPr>
            <w:tcW w:w="1989" w:type="dxa"/>
            <w:vAlign w:val="top"/>
          </w:tcPr>
          <w:p w14:paraId="4EACEC63">
            <w:pPr>
              <w:spacing w:before="91"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0.341</w:t>
            </w:r>
          </w:p>
        </w:tc>
      </w:tr>
      <w:tr w14:paraId="52C8CA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00713D7">
            <w:pPr>
              <w:spacing w:before="91" w:line="213"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w:t>
            </w:r>
          </w:p>
        </w:tc>
        <w:tc>
          <w:tcPr>
            <w:tcW w:w="1842" w:type="dxa"/>
            <w:vAlign w:val="top"/>
          </w:tcPr>
          <w:p w14:paraId="1A505C17">
            <w:pPr>
              <w:spacing w:before="91" w:line="21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0.074</w:t>
            </w:r>
          </w:p>
        </w:tc>
        <w:tc>
          <w:tcPr>
            <w:tcW w:w="1840" w:type="dxa"/>
            <w:vAlign w:val="top"/>
          </w:tcPr>
          <w:p w14:paraId="6C962399">
            <w:pPr>
              <w:spacing w:before="91" w:line="213"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0.088</w:t>
            </w:r>
          </w:p>
        </w:tc>
        <w:tc>
          <w:tcPr>
            <w:tcW w:w="1843" w:type="dxa"/>
            <w:vAlign w:val="top"/>
          </w:tcPr>
          <w:p w14:paraId="09415C26">
            <w:pPr>
              <w:spacing w:before="91" w:line="213"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0.329</w:t>
            </w:r>
          </w:p>
        </w:tc>
        <w:tc>
          <w:tcPr>
            <w:tcW w:w="1989" w:type="dxa"/>
            <w:vAlign w:val="top"/>
          </w:tcPr>
          <w:p w14:paraId="2AB3B0B2">
            <w:pPr>
              <w:spacing w:before="91" w:line="213"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0.327</w:t>
            </w:r>
          </w:p>
        </w:tc>
      </w:tr>
      <w:tr w14:paraId="45E892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A1F9CA0">
            <w:pPr>
              <w:spacing w:before="91" w:line="21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w:t>
            </w:r>
          </w:p>
        </w:tc>
        <w:tc>
          <w:tcPr>
            <w:tcW w:w="1842" w:type="dxa"/>
            <w:vAlign w:val="top"/>
          </w:tcPr>
          <w:p w14:paraId="0E6EA7A9">
            <w:pPr>
              <w:spacing w:before="91"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0.069</w:t>
            </w:r>
          </w:p>
        </w:tc>
        <w:tc>
          <w:tcPr>
            <w:tcW w:w="1840" w:type="dxa"/>
            <w:vAlign w:val="top"/>
          </w:tcPr>
          <w:p w14:paraId="1F7E3AB0">
            <w:pPr>
              <w:spacing w:before="91"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0.083</w:t>
            </w:r>
          </w:p>
        </w:tc>
        <w:tc>
          <w:tcPr>
            <w:tcW w:w="1843" w:type="dxa"/>
            <w:vAlign w:val="top"/>
          </w:tcPr>
          <w:p w14:paraId="68BDD02B">
            <w:pPr>
              <w:spacing w:before="91"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0.316</w:t>
            </w:r>
          </w:p>
        </w:tc>
        <w:tc>
          <w:tcPr>
            <w:tcW w:w="1989" w:type="dxa"/>
            <w:vAlign w:val="top"/>
          </w:tcPr>
          <w:p w14:paraId="6FF3B1ED">
            <w:pPr>
              <w:spacing w:before="91"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0.313</w:t>
            </w:r>
          </w:p>
        </w:tc>
      </w:tr>
      <w:tr w14:paraId="232AF8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1559" w:type="dxa"/>
            <w:vAlign w:val="top"/>
          </w:tcPr>
          <w:p w14:paraId="4A40C657">
            <w:pPr>
              <w:spacing w:before="93" w:line="219" w:lineRule="auto"/>
              <w:ind w:left="68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1842" w:type="dxa"/>
            <w:vAlign w:val="top"/>
          </w:tcPr>
          <w:p w14:paraId="2DF8B161">
            <w:pPr>
              <w:spacing w:before="93"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0.065</w:t>
            </w:r>
          </w:p>
        </w:tc>
        <w:tc>
          <w:tcPr>
            <w:tcW w:w="1840" w:type="dxa"/>
            <w:vAlign w:val="top"/>
          </w:tcPr>
          <w:p w14:paraId="6D68C438">
            <w:pPr>
              <w:spacing w:before="93"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0.078</w:t>
            </w:r>
          </w:p>
        </w:tc>
        <w:tc>
          <w:tcPr>
            <w:tcW w:w="1843" w:type="dxa"/>
            <w:vAlign w:val="top"/>
          </w:tcPr>
          <w:p w14:paraId="7C2B78A4">
            <w:pPr>
              <w:spacing w:before="93" w:line="219"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0.303</w:t>
            </w:r>
          </w:p>
        </w:tc>
        <w:tc>
          <w:tcPr>
            <w:tcW w:w="1989" w:type="dxa"/>
            <w:vAlign w:val="top"/>
          </w:tcPr>
          <w:p w14:paraId="36D75A2B">
            <w:pPr>
              <w:spacing w:before="93" w:line="219"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0.301</w:t>
            </w:r>
          </w:p>
        </w:tc>
      </w:tr>
    </w:tbl>
    <w:p w14:paraId="3F20B487">
      <w:pPr>
        <w:rPr>
          <w:rFonts w:ascii="Arial"/>
          <w:sz w:val="21"/>
        </w:rPr>
      </w:pPr>
    </w:p>
    <w:p w14:paraId="00A6712A">
      <w:pPr>
        <w:rPr>
          <w:rFonts w:ascii="Arial" w:hAnsi="Arial" w:eastAsia="Arial" w:cs="Arial"/>
          <w:sz w:val="21"/>
          <w:szCs w:val="21"/>
        </w:rPr>
        <w:sectPr>
          <w:footerReference r:id="rId119" w:type="default"/>
          <w:pgSz w:w="11907" w:h="16841"/>
          <w:pgMar w:top="400" w:right="1411" w:bottom="1126" w:left="1416" w:header="0" w:footer="925" w:gutter="0"/>
          <w:cols w:space="720" w:num="1"/>
        </w:sectPr>
      </w:pPr>
    </w:p>
    <w:p w14:paraId="40C0F668">
      <w:pPr>
        <w:spacing w:line="244" w:lineRule="auto"/>
        <w:rPr>
          <w:rFonts w:ascii="Arial"/>
          <w:sz w:val="21"/>
        </w:rPr>
      </w:pPr>
    </w:p>
    <w:p w14:paraId="081F7F60">
      <w:pPr>
        <w:spacing w:line="245" w:lineRule="auto"/>
        <w:rPr>
          <w:rFonts w:ascii="Arial"/>
          <w:sz w:val="21"/>
        </w:rPr>
      </w:pPr>
    </w:p>
    <w:p w14:paraId="30803FBC">
      <w:pPr>
        <w:spacing w:line="245" w:lineRule="auto"/>
        <w:rPr>
          <w:rFonts w:ascii="Arial"/>
          <w:sz w:val="21"/>
        </w:rPr>
      </w:pPr>
    </w:p>
    <w:p w14:paraId="67ECAEFA">
      <w:pPr>
        <w:spacing w:line="245" w:lineRule="auto"/>
        <w:rPr>
          <w:rFonts w:ascii="Arial"/>
          <w:sz w:val="21"/>
        </w:rPr>
      </w:pPr>
    </w:p>
    <w:p w14:paraId="00D00455">
      <w:pPr>
        <w:spacing w:line="245" w:lineRule="auto"/>
        <w:rPr>
          <w:rFonts w:ascii="Arial"/>
          <w:sz w:val="21"/>
        </w:rPr>
      </w:pPr>
    </w:p>
    <w:p w14:paraId="0F77FC67">
      <w:pPr>
        <w:spacing w:line="4323" w:lineRule="exact"/>
        <w:ind w:firstLine="929"/>
      </w:pPr>
      <w:r>
        <mc:AlternateContent>
          <mc:Choice Requires="wps">
            <w:drawing>
              <wp:anchor distT="0" distB="0" distL="0" distR="0" simplePos="0" relativeHeight="251681792" behindDoc="0" locked="0" layoutInCell="1" allowOverlap="1">
                <wp:simplePos x="0" y="0"/>
                <wp:positionH relativeFrom="column">
                  <wp:posOffset>321945</wp:posOffset>
                </wp:positionH>
                <wp:positionV relativeFrom="paragraph">
                  <wp:posOffset>1196340</wp:posOffset>
                </wp:positionV>
                <wp:extent cx="1038860" cy="208280"/>
                <wp:effectExtent l="0" t="0" r="0" b="0"/>
                <wp:wrapNone/>
                <wp:docPr id="98" name="TextBox 98"/>
                <wp:cNvGraphicFramePr/>
                <a:graphic xmlns:a="http://schemas.openxmlformats.org/drawingml/2006/main">
                  <a:graphicData uri="http://schemas.microsoft.com/office/word/2010/wordprocessingShape">
                    <wps:wsp>
                      <wps:cNvSpPr txBox="1"/>
                      <wps:spPr>
                        <a:xfrm rot="16200000">
                          <a:off x="322254" y="1196502"/>
                          <a:ext cx="1038860" cy="20827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2A2A2964">
                            <w:pPr>
                              <w:spacing w:before="56" w:line="251" w:lineRule="exact"/>
                              <w:ind w:left="20"/>
                              <w:rPr>
                                <w:rFonts w:ascii="宋体" w:hAnsi="宋体" w:eastAsia="宋体" w:cs="宋体"/>
                                <w:sz w:val="19"/>
                                <w:szCs w:val="19"/>
                              </w:rPr>
                            </w:pPr>
                            <w:r>
                              <w:rPr>
                                <w:rFonts w:ascii="宋体" w:hAnsi="宋体" w:eastAsia="宋体" w:cs="宋体"/>
                                <w:color w:val="595959"/>
                                <w:spacing w:val="4"/>
                                <w:position w:val="1"/>
                                <w:sz w:val="19"/>
                                <w:szCs w:val="19"/>
                              </w:rPr>
                              <w:t>电场强度（</w:t>
                            </w:r>
                            <w:r>
                              <w:rPr>
                                <w:rFonts w:ascii="Times New Roman" w:hAnsi="Times New Roman" w:eastAsia="Times New Roman" w:cs="Times New Roman"/>
                                <w:color w:val="595959"/>
                                <w:position w:val="1"/>
                                <w:sz w:val="19"/>
                                <w:szCs w:val="19"/>
                              </w:rPr>
                              <w:t>kV</w:t>
                            </w:r>
                            <w:r>
                              <w:rPr>
                                <w:rFonts w:ascii="Times New Roman" w:hAnsi="Times New Roman" w:eastAsia="Times New Roman" w:cs="Times New Roman"/>
                                <w:color w:val="595959"/>
                                <w:spacing w:val="4"/>
                                <w:position w:val="1"/>
                                <w:sz w:val="19"/>
                                <w:szCs w:val="19"/>
                              </w:rPr>
                              <w:t>/m</w:t>
                            </w:r>
                            <w:r>
                              <w:rPr>
                                <w:rFonts w:ascii="宋体" w:hAnsi="宋体" w:eastAsia="宋体" w:cs="宋体"/>
                                <w:color w:val="595959"/>
                                <w:spacing w:val="4"/>
                                <w:position w:val="1"/>
                                <w:sz w:val="19"/>
                                <w:szCs w:val="19"/>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98" o:spid="_x0000_s1026" o:spt="202" type="#_x0000_t202" style="position:absolute;left:0pt;margin-left:25.35pt;margin-top:94.2pt;height:16.4pt;width:81.8pt;rotation:-5898240f;z-index:251681792;mso-width-relative:page;mso-height-relative:page;" filled="f" stroked="f" coordsize="21600,21600" o:gfxdata="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">
                <v:fill on="f" focussize="0,0"/>
                <v:stroke on="f" weight="0pt" miterlimit="0" joinstyle="miter"/>
                <v:imagedata o:title=""/>
                <o:lock v:ext="edit" aspectratio="f"/>
                <v:textbox inset="0mm,0mm,0mm,0mm">
                  <w:txbxContent>
                    <w:p w14:paraId="2A2A2964">
                      <w:pPr>
                        <w:spacing w:before="56" w:line="251" w:lineRule="exact"/>
                        <w:ind w:left="20"/>
                        <w:rPr>
                          <w:rFonts w:ascii="宋体" w:hAnsi="宋体" w:eastAsia="宋体" w:cs="宋体"/>
                          <w:sz w:val="19"/>
                          <w:szCs w:val="19"/>
                        </w:rPr>
                      </w:pPr>
                      <w:r>
                        <w:rPr>
                          <w:rFonts w:ascii="宋体" w:hAnsi="宋体" w:eastAsia="宋体" w:cs="宋体"/>
                          <w:color w:val="595959"/>
                          <w:spacing w:val="4"/>
                          <w:position w:val="1"/>
                          <w:sz w:val="19"/>
                          <w:szCs w:val="19"/>
                        </w:rPr>
                        <w:t>电场强度（</w:t>
                      </w:r>
                      <w:r>
                        <w:rPr>
                          <w:rFonts w:ascii="Times New Roman" w:hAnsi="Times New Roman" w:eastAsia="Times New Roman" w:cs="Times New Roman"/>
                          <w:color w:val="595959"/>
                          <w:position w:val="1"/>
                          <w:sz w:val="19"/>
                          <w:szCs w:val="19"/>
                        </w:rPr>
                        <w:t>kV</w:t>
                      </w:r>
                      <w:r>
                        <w:rPr>
                          <w:rFonts w:ascii="Times New Roman" w:hAnsi="Times New Roman" w:eastAsia="Times New Roman" w:cs="Times New Roman"/>
                          <w:color w:val="595959"/>
                          <w:spacing w:val="4"/>
                          <w:position w:val="1"/>
                          <w:sz w:val="19"/>
                          <w:szCs w:val="19"/>
                        </w:rPr>
                        <w:t>/m</w:t>
                      </w:r>
                      <w:r>
                        <w:rPr>
                          <w:rFonts w:ascii="宋体" w:hAnsi="宋体" w:eastAsia="宋体" w:cs="宋体"/>
                          <w:color w:val="595959"/>
                          <w:spacing w:val="4"/>
                          <w:position w:val="1"/>
                          <w:sz w:val="19"/>
                          <w:szCs w:val="19"/>
                        </w:rPr>
                        <w:t>）</w:t>
                      </w:r>
                    </w:p>
                  </w:txbxContent>
                </v:textbox>
              </v:shape>
            </w:pict>
          </mc:Fallback>
        </mc:AlternateContent>
      </w:r>
      <w:r>
        <w:rPr>
          <w:position w:val="-86"/>
        </w:rPr>
        <w:pict>
          <v:group id="_x0000_s1271" o:spid="_x0000_s1271" o:spt="203" style="height:216.15pt;width:359.5pt;" coordsize="7190,4322">
            <o:lock v:ext="edit"/>
            <v:group id="_x0000_s1272" o:spid="_x0000_s1272" o:spt="203" style="position:absolute;left:0;top:0;height:4322;width:7190;" coordsize="7190,4322">
              <o:lock v:ext="edit"/>
              <v:shape id="_x0000_s1273" o:spid="_x0000_s1273" style="position:absolute;left:1000;top:750;height:2605;width:5907;" filled="f" stroked="t" coordsize="5907,2605" path="m0,2597l5906,2597m0,2503l5906,2503m0,2412l5906,2412m0,2318l5906,2318m0,2133l5906,2133m0,2040l5906,2040m0,1949l5906,1949m0,1855l5906,1855m0,1670l5906,1670m0,1579l5906,1579m0,1485l5906,1485m0,1394l5906,1394m0,1209l5906,1209m0,1116l5906,1116m0,1025l5906,1025m0,931l5906,931m0,746l5906,746m0,653l5906,653m0,561l5906,561m0,468l5906,468m0,283l5906,283m0,192l5906,192m0,98l5906,98m0,7l5906,7e">
                <v:fill on="f" focussize="0,0"/>
                <v:stroke color="#F2F2F2" miterlimit="10"/>
                <v:imagedata o:title=""/>
                <o:lock v:ext="edit"/>
              </v:shape>
              <v:shape id="_x0000_s1274" o:spid="_x0000_s1274" style="position:absolute;left:1000;top:657;height:2328;width:5907;" filled="f" stroked="t" coordsize="5907,2328" path="m0,2320l5906,2320m0,1857l5906,1857m0,1394l5906,1394m0,933l5906,933m0,470l5906,470m0,7l5906,7e">
                <v:fill on="f" focussize="0,0"/>
                <v:stroke color="#D9D9D9" miterlimit="10"/>
                <v:imagedata o:title=""/>
                <o:lock v:ext="edit"/>
              </v:shape>
              <v:shape id="_x0000_s1275" o:spid="_x0000_s1275" style="position:absolute;left:1138;top:664;height:2775;width:5570;" filled="f" stroked="t" coordsize="5570,2775" path="m7,0l7,2774m300,0l300,2774m593,0l593,2774m885,0l885,2774m1178,0l1178,2774m1469,0l1469,2774m1761,0l1761,2774m2054,0l2054,2774m2347,0l2347,2774m2640,0l2640,2774m2933,0l2933,2774m3223,0l3223,2774m3516,0l3516,2774m3809,0l3809,2774m4101,0l4101,2774m4394,0l4394,2774m4687,0l4687,2774m4977,0l4977,2774m5270,0l5270,2774m5563,0l5563,2774e">
                <v:fill on="f" focussize="0,0"/>
                <v:stroke color="#F2F2F2" miterlimit="10"/>
                <v:imagedata o:title=""/>
                <o:lock v:ext="edit"/>
              </v:shape>
              <v:shape id="_x0000_s1276" o:spid="_x0000_s1276" style="position:absolute;left:993;top:664;height:2775;width:5864;" filled="f" stroked="t" coordsize="5864,2775" path="m7,0l7,2774m299,0l299,2774m592,0l592,2774m884,0l884,2774m1177,0l1177,2774m1470,0l1470,2774m1760,0l1760,2774m2053,0l2053,2774m2346,0l2346,2774m2639,0l2639,2774m2932,0l2932,2774m3224,0l3224,2774m3515,0l3515,2774m3808,0l3808,2774m4100,0l4100,2774m4393,0l4393,2774m4686,0l4686,2774m4979,0l4979,2774m5269,0l5269,2774m5562,0l5562,2774m5855,0l5855,2774e">
                <v:fill on="f" focussize="0,0"/>
                <v:stroke color="#D9D9D9" miterlimit="10"/>
                <v:imagedata o:title=""/>
                <o:lock v:ext="edit"/>
              </v:shape>
              <v:shape id="_x0000_s1277" o:spid="_x0000_s1277" style="position:absolute;left:993;top:3385;height:106;width:5914;" filled="f" stroked="t" coordsize="5914,106" path="m7,53l5913,53m7,0l7,106m299,0l299,106m592,0l592,106m884,0l884,106m1177,0l1177,106m1470,0l1470,106m1760,0l1760,106m2053,0l2053,106m2346,0l2346,106m2639,0l2639,106m2932,0l2932,106m3224,0l3224,106m3515,0l3515,106m3808,0l3808,106m4100,0l4100,106m4393,0l4393,106m4686,0l4686,106m4979,0l4979,106m5269,0l5269,106m5562,0l5562,106m5855,0l5855,106e">
                <v:fill on="f" focussize="0,0"/>
                <v:stroke color="#000000" miterlimit="10"/>
                <v:imagedata o:title=""/>
                <o:lock v:ext="edit"/>
              </v:shape>
              <v:shape id="_x0000_s1278" o:spid="_x0000_s1278" style="position:absolute;left:1014;top:950;height:2473;width:5879;" filled="f" stroked="t" coordsize="5879,2473" path="m15,2458c34,2457,53,2457,73,2456c93,2455,112,2454,132,2454c151,2453,171,2452,190,2451c210,2451,229,2450,248,2449c268,2448,287,2447,307,2446c327,2445,346,2444,366,2443c385,2442,405,2441,424,2440c443,2439,463,2437,482,2436c502,2435,521,2433,541,2432c560,2431,580,2429,599,2428c619,2426,638,2425,658,2423c677,2421,697,2419,716,2417c736,2415,755,2413,775,2411c794,2408,814,2406,833,2404c853,2401,872,2399,892,2396c911,2393,931,2390,950,2387c970,2384,989,2381,1009,2377c1028,2374,1048,2370,1067,2366c1087,2362,1106,2358,1126,2353c1145,2348,1165,2343,1184,2338c1204,2333,1223,2327,1243,2321c1262,2315,1282,2308,1301,2301c1321,2294,1340,2286,1360,2278c1379,2270,1398,2261,1418,2251c1437,2241,1457,2231,1477,2219c1496,2208,1516,2195,1535,2181c1555,2168,1574,2153,1593,2137c1613,2121,1633,2103,1652,2083c1672,2064,1691,2043,1711,2019c1730,1995,1750,1970,1769,1941c1788,1912,1808,1881,1828,1847c1847,1812,1866,1774,1886,1731c1905,1689,1925,1643,1944,1591c1964,1539,1983,1483,2003,1421c2022,1359,2042,1291,2061,1217c2081,1144,2100,1063,2120,979c2139,895,2159,803,2178,712c2198,622,2217,523,2237,437c2256,350,2276,259,2295,193c2315,126,2334,65,2354,38c2371,13,2395,6,2412,26c2432,48,2451,104,2471,172c2490,239,2510,340,2529,430c2549,520,2568,631,2588,710c2607,790,2627,871,2646,909c2661,939,2690,955,2705,942c2724,925,2744,866,2763,806c2783,747,2802,655,2822,586c2841,517,2861,437,2880,392c2899,348,2920,315,2938,316c2958,316,2978,348,2997,392c3016,437,3036,517,3056,586c3075,655,3095,747,3114,807c3134,866,3153,925,3173,943c3188,956,3216,940,3231,910c3251,871,3270,791,3289,711c3309,631,3328,520,3348,430c3367,340,3387,240,3406,172c3426,105,3445,49,3465,26c3482,6,3506,13,3523,38c3543,65,3562,126,3582,193c3601,260,3621,351,3640,437c3660,524,3679,622,3699,712c3718,803,3738,895,3757,979c3777,1063,3796,1144,3816,1218c3835,1291,3855,1359,3874,1421c3894,1483,3913,1540,3933,1591c3952,1643,3972,1689,3991,1731c4011,1774,4030,1812,4050,1847c4069,1882,4089,1913,4108,1941c4128,1970,4147,1995,4166,2019c4186,2043,4206,2064,4225,2083c4245,2103,4264,2121,4284,2137c4303,2153,4323,2168,4342,2182c4362,2196,4381,2208,4401,2219c4420,2231,4440,2241,4459,2251c4478,2261,4498,2270,4518,2278c4537,2286,4556,2294,4576,2301c4596,2308,4615,2315,4635,2321c4654,2327,4674,2333,4693,2338c4712,2343,4732,2348,4751,2353c4771,2358,4790,2362,4810,2366c4829,2370,4849,2374,4868,2377c4888,2381,4907,2384,4927,2388c4946,2391,4966,2394,4985,2396c5005,2399,5024,2402,5044,2404c5063,2407,5083,2409,5102,2411c5122,2413,5141,2415,5161,2417c5180,2419,5200,2421,5219,2423c5239,2425,5258,2426,5278,2428c5297,2429,5317,2431,5336,2432c5356,2433,5375,2435,5395,2436c5414,2437,5434,2439,5453,2440c5473,2441,5492,2442,5512,2443c5531,2444,5550,2445,5570,2446c5590,2447,5609,2448,5629,2449c5648,2450,5668,2451,5687,2451c5706,2452,5726,2453,5745,2454c5765,2454,5785,2455,5804,2456c5824,2457,5843,2457,5863,2458e">
                <v:fill on="f" focussize="0,0"/>
                <v:stroke weight="1.5pt" color="#FF0000" miterlimit="10" endcap="round"/>
                <v:imagedata o:title=""/>
                <o:lock v:ext="edit"/>
              </v:shape>
              <v:shape id="_x0000_s1279" o:spid="_x0000_s1279" style="position:absolute;left:1014;top:1630;height:1788;width:5879;" filled="f" stroked="t" coordsize="5879,1788" path="m15,1772c34,1771,53,1770,73,1770c93,1769,112,1768,132,1767c151,1766,171,1765,190,1764c210,1764,229,1763,248,1762c268,1761,287,1760,307,1758c327,1757,346,1756,366,1755c385,1754,405,1752,424,1751c443,1750,463,1748,482,1747c502,1745,521,1744,541,1742c560,1740,580,1739,599,1737c619,1735,638,1733,658,1731c677,1729,697,1727,716,1725c736,1722,755,1720,775,1718c794,1715,814,1713,833,1710c853,1707,872,1704,892,1701c911,1698,931,1694,950,1691c970,1687,989,1684,1009,1680c1028,1676,1048,1671,1067,1667c1087,1662,1106,1658,1126,1653c1145,1647,1165,1642,1184,1636c1204,1631,1223,1624,1243,1617c1262,1611,1282,1604,1301,1596c1321,1588,1340,1580,1360,1571c1379,1562,1398,1553,1418,1543c1437,1533,1457,1522,1477,1510c1496,1498,1516,1485,1535,1471c1555,1457,1574,1443,1593,1426c1613,1410,1633,1393,1652,1374c1672,1355,1691,1334,1711,1312c1730,1289,1750,1265,1769,1239c1788,1213,1808,1185,1828,1154c1847,1123,1866,1091,1886,1055c1905,1019,1925,980,1944,939c1964,898,1983,854,2003,807c2022,761,2042,711,2061,660c2081,609,2100,554,2120,501c2139,447,2159,391,2178,339c2198,287,2217,234,2237,190c2256,146,2276,104,2295,75c2315,46,2334,24,2354,17c2373,11,2393,16,2412,34c2432,52,2451,86,2471,125c2490,165,2510,220,2529,270c2549,321,2568,382,2588,429c2607,476,2627,524,2646,551c2666,579,2685,594,2705,595c2724,595,2744,576,2763,555c2783,534,2802,496,2822,468c2841,441,2861,407,2880,388c2900,370,2919,357,2938,357c2958,357,2978,370,2997,389c3016,407,3036,441,3056,468c3075,496,3095,534,3114,555c3134,576,3153,596,3173,595c3192,594,3212,579,3231,551c3251,524,3270,476,3289,430c3309,383,3328,321,3348,270c3367,220,3387,165,3406,126c3426,86,3445,52,3465,34c3484,16,3504,11,3523,17c3543,24,3562,47,3582,75c3601,104,3621,146,3640,190c3660,234,3679,288,3699,339c3718,391,3738,447,3757,501c3777,554,3796,609,3816,660c3835,711,3855,761,3874,807c3894,854,3913,898,3933,940c3952,981,3972,1019,3991,1055c4011,1090,4030,1123,4050,1154c4069,1185,4089,1213,4108,1239c4128,1265,4147,1289,4166,1312c4186,1334,4206,1355,4225,1374c4245,1393,4264,1410,4284,1426c4303,1443,4323,1457,4342,1471c4362,1485,4381,1498,4401,1510c4420,1522,4440,1533,4459,1543c4478,1553,4498,1563,4518,1572c4537,1581,4556,1588,4576,1596c4596,1604,4615,1611,4635,1618c4654,1625,4674,1631,4693,1636c4712,1642,4732,1647,4751,1653c4771,1658,4790,1662,4810,1667c4829,1671,4849,1676,4868,1680c4888,1684,4907,1687,4927,1691c4946,1695,4966,1698,4985,1701c5005,1704,5024,1707,5044,1710c5063,1713,5083,1715,5102,1718c5122,1720,5141,1722,5161,1725c5180,1727,5200,1729,5219,1731c5239,1733,5258,1735,5278,1737c5297,1739,5317,1741,5336,1742c5356,1744,5375,1745,5395,1747c5414,1748,5434,1750,5453,1751c5473,1752,5492,1754,5512,1755c5531,1756,5550,1757,5570,1758c5590,1760,5609,1761,5629,1762c5648,1763,5668,1764,5687,1764c5706,1765,5726,1766,5745,1767c5765,1768,5785,1769,5804,1770c5824,1770,5843,1771,5863,1772e">
                <v:fill on="f" focussize="0,0"/>
                <v:stroke weight="1.5pt" color="#00B050" miterlimit="10" endcap="round"/>
                <v:imagedata o:title=""/>
                <o:lock v:ext="edit"/>
              </v:shape>
              <v:shape id="_x0000_s1280" o:spid="_x0000_s1280" style="position:absolute;left:2813;top:271;height:30;width:414;" filled="f" stroked="t" coordsize="414,30" path="m15,15l398,15e">
                <v:fill on="f" focussize="0,0"/>
                <v:stroke weight="1.5pt" color="#FF0000" miterlimit="10" endcap="round"/>
                <v:imagedata o:title=""/>
                <o:lock v:ext="edit"/>
              </v:shape>
              <v:shape id="_x0000_s1281" o:spid="_x0000_s1281" style="position:absolute;left:3762;top:271;height:30;width:414;" filled="f" stroked="t" coordsize="414,30" path="m15,15l398,15e">
                <v:fill on="f" focussize="0,0"/>
                <v:stroke weight="1.5pt" color="#00B050" miterlimit="10" endcap="round"/>
                <v:imagedata o:title=""/>
                <o:lock v:ext="edit"/>
              </v:shape>
              <v:shape id="_x0000_s1282" o:spid="_x0000_s1282" style="position:absolute;left:0;top:0;height:4322;width:7190;" filled="f" stroked="t" coordsize="7190,4322" path="m7,4315l7182,4315,7182,7,7,7,7,4315xe">
                <v:fill on="f" focussize="0,0"/>
                <v:stroke color="#000000" miterlimit="10"/>
                <v:imagedata o:title=""/>
                <o:lock v:ext="edit"/>
              </v:shape>
            </v:group>
            <v:shape id="_x0000_s1283" o:spid="_x0000_s1283" o:spt="202" type="#_x0000_t202" style="position:absolute;left:561;top:197;height:2895;width:3893;" filled="f" stroked="f" coordsize="21600,21600">
              <v:path/>
              <v:fill on="f" focussize="0,0"/>
              <v:stroke on="f"/>
              <v:imagedata o:title=""/>
              <o:lock v:ext="edit" aspectratio="f"/>
              <v:textbox inset="0mm,0mm,0mm,0mm">
                <w:txbxContent>
                  <w:p w14:paraId="3F624E7D">
                    <w:pPr>
                      <w:spacing w:before="19" w:line="445" w:lineRule="auto"/>
                      <w:ind w:left="24" w:right="20" w:firstLine="2676"/>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6.5m</w:t>
                    </w:r>
                    <w:r>
                      <w:rPr>
                        <w:rFonts w:ascii="Times New Roman" w:hAnsi="Times New Roman" w:eastAsia="Times New Roman" w:cs="Times New Roman"/>
                        <w:color w:val="595959"/>
                        <w:sz w:val="18"/>
                        <w:szCs w:val="18"/>
                      </w:rPr>
                      <w:t xml:space="preserve">             </w:t>
                    </w:r>
                    <w:r>
                      <w:rPr>
                        <w:rFonts w:ascii="Times New Roman" w:hAnsi="Times New Roman" w:eastAsia="Times New Roman" w:cs="Times New Roman"/>
                        <w:color w:val="595959"/>
                        <w:spacing w:val="-3"/>
                        <w:sz w:val="18"/>
                        <w:szCs w:val="18"/>
                      </w:rPr>
                      <w:t>8m</w:t>
                    </w:r>
                    <w:r>
                      <w:rPr>
                        <w:rFonts w:ascii="Times New Roman" w:hAnsi="Times New Roman" w:eastAsia="Times New Roman" w:cs="Times New Roman"/>
                        <w:color w:val="595959"/>
                        <w:spacing w:val="9"/>
                        <w:sz w:val="18"/>
                        <w:szCs w:val="18"/>
                      </w:rPr>
                      <w:t xml:space="preserve"> </w:t>
                    </w:r>
                    <w:r>
                      <w:rPr>
                        <w:rFonts w:ascii="Times New Roman" w:hAnsi="Times New Roman" w:eastAsia="Times New Roman" w:cs="Times New Roman"/>
                        <w:color w:val="595959"/>
                        <w:spacing w:val="-3"/>
                        <w:sz w:val="18"/>
                        <w:szCs w:val="18"/>
                      </w:rPr>
                      <w:t>6.0</w:t>
                    </w:r>
                  </w:p>
                  <w:p w14:paraId="5707CF63">
                    <w:pPr>
                      <w:spacing w:before="74" w:line="232" w:lineRule="auto"/>
                      <w:ind w:left="25"/>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5.0</w:t>
                    </w:r>
                  </w:p>
                  <w:p w14:paraId="40C170E6">
                    <w:pPr>
                      <w:spacing w:before="262"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1"/>
                        <w:sz w:val="18"/>
                        <w:szCs w:val="18"/>
                      </w:rPr>
                      <w:t>4.0</w:t>
                    </w:r>
                  </w:p>
                  <w:p w14:paraId="5BF3568F">
                    <w:pPr>
                      <w:spacing w:before="261" w:line="233" w:lineRule="auto"/>
                      <w:ind w:left="24"/>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3.0</w:t>
                    </w:r>
                  </w:p>
                  <w:p w14:paraId="10B89729">
                    <w:pPr>
                      <w:spacing w:before="262"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1"/>
                        <w:sz w:val="18"/>
                        <w:szCs w:val="18"/>
                      </w:rPr>
                      <w:t>2.0</w:t>
                    </w:r>
                  </w:p>
                  <w:p w14:paraId="7ABD8F91">
                    <w:pPr>
                      <w:spacing w:before="262" w:line="232" w:lineRule="auto"/>
                      <w:ind w:left="38"/>
                      <w:rPr>
                        <w:rFonts w:ascii="Times New Roman" w:hAnsi="Times New Roman" w:eastAsia="Times New Roman" w:cs="Times New Roman"/>
                        <w:sz w:val="18"/>
                        <w:szCs w:val="18"/>
                      </w:rPr>
                    </w:pPr>
                    <w:r>
                      <w:rPr>
                        <w:rFonts w:ascii="Times New Roman" w:hAnsi="Times New Roman" w:eastAsia="Times New Roman" w:cs="Times New Roman"/>
                        <w:color w:val="595959"/>
                        <w:spacing w:val="-7"/>
                        <w:sz w:val="18"/>
                        <w:szCs w:val="18"/>
                      </w:rPr>
                      <w:t>1.0</w:t>
                    </w:r>
                  </w:p>
                </w:txbxContent>
              </v:textbox>
            </v:shape>
            <v:shape id="_x0000_s1284" o:spid="_x0000_s1284" o:spt="202" type="#_x0000_t202" style="position:absolute;left:564;top:3351;height:720;width:6427;" filled="f" stroked="f" coordsize="21600,21600">
              <v:path/>
              <v:fill on="f" focussize="0,0"/>
              <v:stroke on="f"/>
              <v:imagedata o:title=""/>
              <o:lock v:ext="edit" aspectratio="f"/>
              <v:textbox inset="0mm,0mm,0mm,0mm">
                <w:txbxContent>
                  <w:p w14:paraId="7983E00A">
                    <w:pPr>
                      <w:spacing w:before="20"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0.0</w:t>
                    </w:r>
                  </w:p>
                  <w:p w14:paraId="3F2D20DA">
                    <w:pPr>
                      <w:spacing w:before="11" w:line="277" w:lineRule="auto"/>
                      <w:ind w:left="2425" w:right="20" w:hanging="2072"/>
                      <w:rPr>
                        <w:rFonts w:ascii="宋体" w:hAnsi="宋体" w:eastAsia="宋体" w:cs="宋体"/>
                        <w:sz w:val="19"/>
                        <w:szCs w:val="19"/>
                      </w:rPr>
                    </w:pPr>
                    <w:r>
                      <w:rPr>
                        <w:rFonts w:ascii="Times New Roman" w:hAnsi="Times New Roman" w:eastAsia="Times New Roman" w:cs="Times New Roman"/>
                        <w:color w:val="595959"/>
                        <w:spacing w:val="-3"/>
                        <w:sz w:val="18"/>
                        <w:szCs w:val="18"/>
                      </w:rPr>
                      <w:t>-50</w:t>
                    </w:r>
                    <w:r>
                      <w:rPr>
                        <w:rFonts w:ascii="Times New Roman" w:hAnsi="Times New Roman" w:eastAsia="Times New Roman" w:cs="Times New Roman"/>
                        <w:color w:val="595959"/>
                        <w:spacing w:val="23"/>
                        <w:w w:val="101"/>
                        <w:sz w:val="18"/>
                        <w:szCs w:val="18"/>
                      </w:rPr>
                      <w:t xml:space="preserve"> </w:t>
                    </w:r>
                    <w:r>
                      <w:rPr>
                        <w:rFonts w:ascii="Times New Roman" w:hAnsi="Times New Roman" w:eastAsia="Times New Roman" w:cs="Times New Roman"/>
                        <w:color w:val="595959"/>
                        <w:spacing w:val="-3"/>
                        <w:sz w:val="18"/>
                        <w:szCs w:val="18"/>
                      </w:rPr>
                      <w:t>-45</w:t>
                    </w:r>
                    <w:r>
                      <w:rPr>
                        <w:rFonts w:ascii="Times New Roman" w:hAnsi="Times New Roman" w:eastAsia="Times New Roman" w:cs="Times New Roman"/>
                        <w:color w:val="595959"/>
                        <w:spacing w:val="16"/>
                        <w:sz w:val="18"/>
                        <w:szCs w:val="18"/>
                      </w:rPr>
                      <w:t xml:space="preserve"> </w:t>
                    </w:r>
                    <w:r>
                      <w:rPr>
                        <w:rFonts w:ascii="Times New Roman" w:hAnsi="Times New Roman" w:eastAsia="Times New Roman" w:cs="Times New Roman"/>
                        <w:color w:val="595959"/>
                        <w:spacing w:val="-3"/>
                        <w:sz w:val="18"/>
                        <w:szCs w:val="18"/>
                      </w:rPr>
                      <w:t>-40</w:t>
                    </w:r>
                    <w:r>
                      <w:rPr>
                        <w:rFonts w:ascii="Times New Roman" w:hAnsi="Times New Roman" w:eastAsia="Times New Roman" w:cs="Times New Roman"/>
                        <w:color w:val="595959"/>
                        <w:spacing w:val="16"/>
                        <w:sz w:val="18"/>
                        <w:szCs w:val="18"/>
                      </w:rPr>
                      <w:t xml:space="preserve"> </w:t>
                    </w:r>
                    <w:r>
                      <w:rPr>
                        <w:rFonts w:ascii="Times New Roman" w:hAnsi="Times New Roman" w:eastAsia="Times New Roman" w:cs="Times New Roman"/>
                        <w:color w:val="595959"/>
                        <w:spacing w:val="-3"/>
                        <w:sz w:val="18"/>
                        <w:szCs w:val="18"/>
                      </w:rPr>
                      <w:t>-35</w:t>
                    </w:r>
                    <w:r>
                      <w:rPr>
                        <w:rFonts w:ascii="Times New Roman" w:hAnsi="Times New Roman" w:eastAsia="Times New Roman" w:cs="Times New Roman"/>
                        <w:color w:val="595959"/>
                        <w:spacing w:val="16"/>
                        <w:sz w:val="18"/>
                        <w:szCs w:val="18"/>
                      </w:rPr>
                      <w:t xml:space="preserve"> </w:t>
                    </w:r>
                    <w:r>
                      <w:rPr>
                        <w:rFonts w:ascii="Times New Roman" w:hAnsi="Times New Roman" w:eastAsia="Times New Roman" w:cs="Times New Roman"/>
                        <w:color w:val="595959"/>
                        <w:spacing w:val="-3"/>
                        <w:sz w:val="18"/>
                        <w:szCs w:val="18"/>
                      </w:rPr>
                      <w:t>-30</w:t>
                    </w:r>
                    <w:r>
                      <w:rPr>
                        <w:rFonts w:ascii="Times New Roman" w:hAnsi="Times New Roman" w:eastAsia="Times New Roman" w:cs="Times New Roman"/>
                        <w:color w:val="595959"/>
                        <w:spacing w:val="16"/>
                        <w:sz w:val="18"/>
                        <w:szCs w:val="18"/>
                      </w:rPr>
                      <w:t xml:space="preserve"> </w:t>
                    </w:r>
                    <w:r>
                      <w:rPr>
                        <w:rFonts w:ascii="Times New Roman" w:hAnsi="Times New Roman" w:eastAsia="Times New Roman" w:cs="Times New Roman"/>
                        <w:color w:val="595959"/>
                        <w:spacing w:val="-3"/>
                        <w:sz w:val="18"/>
                        <w:szCs w:val="18"/>
                      </w:rPr>
                      <w:t>-25</w:t>
                    </w:r>
                    <w:r>
                      <w:rPr>
                        <w:rFonts w:ascii="Times New Roman" w:hAnsi="Times New Roman" w:eastAsia="Times New Roman" w:cs="Times New Roman"/>
                        <w:color w:val="595959"/>
                        <w:spacing w:val="15"/>
                        <w:w w:val="102"/>
                        <w:sz w:val="18"/>
                        <w:szCs w:val="18"/>
                      </w:rPr>
                      <w:t xml:space="preserve"> </w:t>
                    </w:r>
                    <w:r>
                      <w:rPr>
                        <w:rFonts w:ascii="Times New Roman" w:hAnsi="Times New Roman" w:eastAsia="Times New Roman" w:cs="Times New Roman"/>
                        <w:color w:val="595959"/>
                        <w:spacing w:val="-3"/>
                        <w:sz w:val="18"/>
                        <w:szCs w:val="18"/>
                      </w:rPr>
                      <w:t>-20</w:t>
                    </w:r>
                    <w:r>
                      <w:rPr>
                        <w:rFonts w:ascii="Times New Roman" w:hAnsi="Times New Roman" w:eastAsia="Times New Roman" w:cs="Times New Roman"/>
                        <w:color w:val="595959"/>
                        <w:spacing w:val="16"/>
                        <w:sz w:val="18"/>
                        <w:szCs w:val="18"/>
                      </w:rPr>
                      <w:t xml:space="preserve"> </w:t>
                    </w:r>
                    <w:r>
                      <w:rPr>
                        <w:rFonts w:ascii="Times New Roman" w:hAnsi="Times New Roman" w:eastAsia="Times New Roman" w:cs="Times New Roman"/>
                        <w:color w:val="595959"/>
                        <w:spacing w:val="-3"/>
                        <w:sz w:val="18"/>
                        <w:szCs w:val="18"/>
                      </w:rPr>
                      <w:t>-15</w:t>
                    </w:r>
                    <w:r>
                      <w:rPr>
                        <w:rFonts w:ascii="Times New Roman" w:hAnsi="Times New Roman" w:eastAsia="Times New Roman" w:cs="Times New Roman"/>
                        <w:color w:val="595959"/>
                        <w:spacing w:val="16"/>
                        <w:sz w:val="18"/>
                        <w:szCs w:val="18"/>
                      </w:rPr>
                      <w:t xml:space="preserve"> </w:t>
                    </w:r>
                    <w:r>
                      <w:rPr>
                        <w:rFonts w:ascii="Times New Roman" w:hAnsi="Times New Roman" w:eastAsia="Times New Roman" w:cs="Times New Roman"/>
                        <w:color w:val="595959"/>
                        <w:spacing w:val="-3"/>
                        <w:sz w:val="18"/>
                        <w:szCs w:val="18"/>
                      </w:rPr>
                      <w:t>-10  -5    0     5    10   15   20   25</w:t>
                    </w:r>
                    <w:r>
                      <w:rPr>
                        <w:rFonts w:ascii="Times New Roman" w:hAnsi="Times New Roman" w:eastAsia="Times New Roman" w:cs="Times New Roman"/>
                        <w:color w:val="595959"/>
                        <w:spacing w:val="14"/>
                        <w:w w:val="101"/>
                        <w:sz w:val="18"/>
                        <w:szCs w:val="18"/>
                      </w:rPr>
                      <w:t xml:space="preserve">  </w:t>
                    </w:r>
                    <w:r>
                      <w:rPr>
                        <w:rFonts w:ascii="Times New Roman" w:hAnsi="Times New Roman" w:eastAsia="Times New Roman" w:cs="Times New Roman"/>
                        <w:color w:val="595959"/>
                        <w:spacing w:val="-3"/>
                        <w:sz w:val="18"/>
                        <w:szCs w:val="18"/>
                      </w:rPr>
                      <w:t>30</w:t>
                    </w:r>
                    <w:r>
                      <w:rPr>
                        <w:rFonts w:ascii="Times New Roman" w:hAnsi="Times New Roman" w:eastAsia="Times New Roman" w:cs="Times New Roman"/>
                        <w:color w:val="595959"/>
                        <w:spacing w:val="14"/>
                        <w:w w:val="101"/>
                        <w:sz w:val="18"/>
                        <w:szCs w:val="18"/>
                      </w:rPr>
                      <w:t xml:space="preserve">  </w:t>
                    </w:r>
                    <w:r>
                      <w:rPr>
                        <w:rFonts w:ascii="Times New Roman" w:hAnsi="Times New Roman" w:eastAsia="Times New Roman" w:cs="Times New Roman"/>
                        <w:color w:val="595959"/>
                        <w:spacing w:val="-3"/>
                        <w:sz w:val="18"/>
                        <w:szCs w:val="18"/>
                      </w:rPr>
                      <w:t>35</w:t>
                    </w:r>
                    <w:r>
                      <w:rPr>
                        <w:rFonts w:ascii="Times New Roman" w:hAnsi="Times New Roman" w:eastAsia="Times New Roman" w:cs="Times New Roman"/>
                        <w:color w:val="595959"/>
                        <w:spacing w:val="12"/>
                        <w:sz w:val="18"/>
                        <w:szCs w:val="18"/>
                      </w:rPr>
                      <w:t xml:space="preserve">  </w:t>
                    </w:r>
                    <w:r>
                      <w:rPr>
                        <w:rFonts w:ascii="Times New Roman" w:hAnsi="Times New Roman" w:eastAsia="Times New Roman" w:cs="Times New Roman"/>
                        <w:color w:val="595959"/>
                        <w:spacing w:val="-3"/>
                        <w:sz w:val="18"/>
                        <w:szCs w:val="18"/>
                      </w:rPr>
                      <w:t>40</w:t>
                    </w:r>
                    <w:r>
                      <w:rPr>
                        <w:rFonts w:ascii="Times New Roman" w:hAnsi="Times New Roman" w:eastAsia="Times New Roman" w:cs="Times New Roman"/>
                        <w:color w:val="595959"/>
                        <w:spacing w:val="12"/>
                        <w:sz w:val="18"/>
                        <w:szCs w:val="18"/>
                      </w:rPr>
                      <w:t xml:space="preserve">  </w:t>
                    </w:r>
                    <w:r>
                      <w:rPr>
                        <w:rFonts w:ascii="Times New Roman" w:hAnsi="Times New Roman" w:eastAsia="Times New Roman" w:cs="Times New Roman"/>
                        <w:color w:val="595959"/>
                        <w:spacing w:val="-3"/>
                        <w:sz w:val="18"/>
                        <w:szCs w:val="18"/>
                      </w:rPr>
                      <w:t>45</w:t>
                    </w:r>
                    <w:r>
                      <w:rPr>
                        <w:rFonts w:ascii="Times New Roman" w:hAnsi="Times New Roman" w:eastAsia="Times New Roman" w:cs="Times New Roman"/>
                        <w:color w:val="595959"/>
                        <w:spacing w:val="15"/>
                        <w:sz w:val="18"/>
                        <w:szCs w:val="18"/>
                      </w:rPr>
                      <w:t xml:space="preserve">  </w:t>
                    </w:r>
                    <w:r>
                      <w:rPr>
                        <w:rFonts w:ascii="Times New Roman" w:hAnsi="Times New Roman" w:eastAsia="Times New Roman" w:cs="Times New Roman"/>
                        <w:color w:val="595959"/>
                        <w:spacing w:val="-3"/>
                        <w:sz w:val="18"/>
                        <w:szCs w:val="18"/>
                      </w:rPr>
                      <w:t>50</w:t>
                    </w:r>
                    <w:r>
                      <w:rPr>
                        <w:rFonts w:ascii="宋体" w:hAnsi="宋体" w:eastAsia="宋体" w:cs="宋体"/>
                        <w:color w:val="595959"/>
                        <w:spacing w:val="7"/>
                        <w:sz w:val="19"/>
                        <w:szCs w:val="19"/>
                      </w:rPr>
                      <w:t>距线路中心距离（</w:t>
                    </w:r>
                    <w:r>
                      <w:rPr>
                        <w:rFonts w:ascii="Times New Roman" w:hAnsi="Times New Roman" w:eastAsia="Times New Roman" w:cs="Times New Roman"/>
                        <w:color w:val="595959"/>
                        <w:spacing w:val="7"/>
                        <w:sz w:val="19"/>
                        <w:szCs w:val="19"/>
                      </w:rPr>
                      <w:t>m</w:t>
                    </w:r>
                    <w:r>
                      <w:rPr>
                        <w:rFonts w:ascii="宋体" w:hAnsi="宋体" w:eastAsia="宋体" w:cs="宋体"/>
                        <w:color w:val="595959"/>
                        <w:spacing w:val="7"/>
                        <w:sz w:val="19"/>
                        <w:szCs w:val="19"/>
                      </w:rPr>
                      <w:t>）</w:t>
                    </w:r>
                  </w:p>
                </w:txbxContent>
              </v:textbox>
            </v:shape>
            <w10:wrap type="none"/>
            <w10:anchorlock/>
          </v:group>
        </w:pict>
      </w:r>
    </w:p>
    <w:p w14:paraId="44D6299C">
      <w:pPr>
        <w:spacing w:before="156" w:line="234" w:lineRule="auto"/>
        <w:ind w:left="1908"/>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45"/>
          <w:sz w:val="21"/>
          <w:szCs w:val="21"/>
        </w:rPr>
        <w:t xml:space="preserve"> </w:t>
      </w:r>
      <w:r>
        <w:rPr>
          <w:rFonts w:ascii="Times New Roman" w:hAnsi="Times New Roman" w:eastAsia="Times New Roman" w:cs="Times New Roman"/>
          <w:b/>
          <w:bCs/>
          <w:spacing w:val="-3"/>
          <w:sz w:val="21"/>
          <w:szCs w:val="21"/>
        </w:rPr>
        <w:t>4-9    DE</w:t>
      </w:r>
      <w:r>
        <w:rPr>
          <w:rFonts w:ascii="Times New Roman" w:hAnsi="Times New Roman" w:eastAsia="Times New Roman" w:cs="Times New Roman"/>
          <w:b/>
          <w:bCs/>
          <w:spacing w:val="28"/>
          <w:sz w:val="21"/>
          <w:szCs w:val="21"/>
        </w:rPr>
        <w:t xml:space="preserve"> </w:t>
      </w:r>
      <w:r>
        <w:rPr>
          <w:rFonts w:ascii="宋体" w:hAnsi="宋体" w:eastAsia="宋体" w:cs="宋体"/>
          <w:b/>
          <w:bCs/>
          <w:spacing w:val="-3"/>
          <w:sz w:val="21"/>
          <w:szCs w:val="21"/>
        </w:rPr>
        <w:t>回线单回水平排列最不利塔型电场强度分</w:t>
      </w:r>
      <w:r>
        <w:rPr>
          <w:rFonts w:ascii="宋体" w:hAnsi="宋体" w:eastAsia="宋体" w:cs="宋体"/>
          <w:b/>
          <w:bCs/>
          <w:spacing w:val="-4"/>
          <w:sz w:val="21"/>
          <w:szCs w:val="21"/>
        </w:rPr>
        <w:t>布图</w:t>
      </w:r>
    </w:p>
    <w:p w14:paraId="21C591D5">
      <w:pPr>
        <w:spacing w:before="90" w:line="4323" w:lineRule="exact"/>
        <w:ind w:firstLine="929"/>
      </w:pPr>
      <w:r>
        <mc:AlternateContent>
          <mc:Choice Requires="wps">
            <w:drawing>
              <wp:anchor distT="0" distB="0" distL="0" distR="0" simplePos="0" relativeHeight="251680768" behindDoc="0" locked="0" layoutInCell="1" allowOverlap="1">
                <wp:simplePos x="0" y="0"/>
                <wp:positionH relativeFrom="column">
                  <wp:posOffset>319405</wp:posOffset>
                </wp:positionH>
                <wp:positionV relativeFrom="paragraph">
                  <wp:posOffset>1274445</wp:posOffset>
                </wp:positionV>
                <wp:extent cx="1043305" cy="179705"/>
                <wp:effectExtent l="0" t="0" r="0" b="0"/>
                <wp:wrapNone/>
                <wp:docPr id="100" name="TextBox 100"/>
                <wp:cNvGraphicFramePr/>
                <a:graphic xmlns:a="http://schemas.openxmlformats.org/drawingml/2006/main">
                  <a:graphicData uri="http://schemas.microsoft.com/office/word/2010/wordprocessingShape">
                    <wps:wsp>
                      <wps:cNvSpPr txBox="1"/>
                      <wps:spPr>
                        <a:xfrm rot="16200000">
                          <a:off x="319998" y="1274510"/>
                          <a:ext cx="1043305" cy="179704"/>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7B9DAE54">
                            <w:pPr>
                              <w:spacing w:before="34" w:line="222" w:lineRule="auto"/>
                              <w:ind w:left="20"/>
                              <w:rPr>
                                <w:rFonts w:ascii="宋体" w:hAnsi="宋体" w:eastAsia="宋体" w:cs="宋体"/>
                                <w:sz w:val="19"/>
                                <w:szCs w:val="19"/>
                              </w:rPr>
                            </w:pPr>
                            <w:r>
                              <w:rPr>
                                <w:rFonts w:ascii="宋体" w:hAnsi="宋体" w:eastAsia="宋体" w:cs="宋体"/>
                                <w:color w:val="595959"/>
                                <w:sz w:val="19"/>
                                <w:szCs w:val="19"/>
                              </w:rPr>
                              <w:t>磁感应强度</w:t>
                            </w:r>
                            <w:r>
                              <w:rPr>
                                <w:rFonts w:ascii="宋体" w:hAnsi="宋体" w:eastAsia="宋体" w:cs="宋体"/>
                                <w:color w:val="595959"/>
                                <w:spacing w:val="20"/>
                                <w:sz w:val="19"/>
                                <w:szCs w:val="19"/>
                              </w:rPr>
                              <w:t xml:space="preserve"> </w:t>
                            </w:r>
                            <w:r>
                              <w:rPr>
                                <w:rFonts w:ascii="宋体" w:hAnsi="宋体" w:eastAsia="宋体" w:cs="宋体"/>
                                <w:color w:val="595959"/>
                                <w:sz w:val="19"/>
                                <w:szCs w:val="19"/>
                              </w:rPr>
                              <w:t>(</w:t>
                            </w:r>
                            <w:r>
                              <w:rPr>
                                <w:rFonts w:ascii="宋体" w:hAnsi="宋体" w:eastAsia="宋体" w:cs="宋体"/>
                                <w:color w:val="595959"/>
                                <w:spacing w:val="-57"/>
                                <w:sz w:val="19"/>
                                <w:szCs w:val="19"/>
                              </w:rPr>
                              <w:t xml:space="preserve"> </w:t>
                            </w:r>
                            <w:r>
                              <w:rPr>
                                <w:rFonts w:ascii="Times New Roman" w:hAnsi="Times New Roman" w:eastAsia="Times New Roman" w:cs="Times New Roman"/>
                                <w:color w:val="595959"/>
                                <w:sz w:val="19"/>
                                <w:szCs w:val="19"/>
                              </w:rPr>
                              <w:t>μT</w:t>
                            </w:r>
                            <w:r>
                              <w:rPr>
                                <w:rFonts w:ascii="宋体" w:hAnsi="宋体" w:eastAsia="宋体" w:cs="宋体"/>
                                <w:color w:val="595959"/>
                                <w:sz w:val="19"/>
                                <w:szCs w:val="19"/>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00" o:spid="_x0000_s1026" o:spt="202" type="#_x0000_t202" style="position:absolute;left:0pt;margin-left:25.15pt;margin-top:100.35pt;height:14.15pt;width:82.15pt;rotation:-5898240f;z-index:251680768;mso-width-relative:page;mso-height-relative:page;" filled="f" stroked="f" coordsize="21600,21600" o:gfxdata="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">
                <v:fill on="f" focussize="0,0"/>
                <v:stroke on="f" weight="0pt" miterlimit="0" joinstyle="miter"/>
                <v:imagedata o:title=""/>
                <o:lock v:ext="edit" aspectratio="f"/>
                <v:textbox inset="0mm,0mm,0mm,0mm">
                  <w:txbxContent>
                    <w:p w14:paraId="7B9DAE54">
                      <w:pPr>
                        <w:spacing w:before="34" w:line="222" w:lineRule="auto"/>
                        <w:ind w:left="20"/>
                        <w:rPr>
                          <w:rFonts w:ascii="宋体" w:hAnsi="宋体" w:eastAsia="宋体" w:cs="宋体"/>
                          <w:sz w:val="19"/>
                          <w:szCs w:val="19"/>
                        </w:rPr>
                      </w:pPr>
                      <w:r>
                        <w:rPr>
                          <w:rFonts w:ascii="宋体" w:hAnsi="宋体" w:eastAsia="宋体" w:cs="宋体"/>
                          <w:color w:val="595959"/>
                          <w:sz w:val="19"/>
                          <w:szCs w:val="19"/>
                        </w:rPr>
                        <w:t>磁感应强度</w:t>
                      </w:r>
                      <w:r>
                        <w:rPr>
                          <w:rFonts w:ascii="宋体" w:hAnsi="宋体" w:eastAsia="宋体" w:cs="宋体"/>
                          <w:color w:val="595959"/>
                          <w:spacing w:val="20"/>
                          <w:sz w:val="19"/>
                          <w:szCs w:val="19"/>
                        </w:rPr>
                        <w:t xml:space="preserve"> </w:t>
                      </w:r>
                      <w:r>
                        <w:rPr>
                          <w:rFonts w:ascii="宋体" w:hAnsi="宋体" w:eastAsia="宋体" w:cs="宋体"/>
                          <w:color w:val="595959"/>
                          <w:sz w:val="19"/>
                          <w:szCs w:val="19"/>
                        </w:rPr>
                        <w:t>(</w:t>
                      </w:r>
                      <w:r>
                        <w:rPr>
                          <w:rFonts w:ascii="宋体" w:hAnsi="宋体" w:eastAsia="宋体" w:cs="宋体"/>
                          <w:color w:val="595959"/>
                          <w:spacing w:val="-57"/>
                          <w:sz w:val="19"/>
                          <w:szCs w:val="19"/>
                        </w:rPr>
                        <w:t xml:space="preserve"> </w:t>
                      </w:r>
                      <w:r>
                        <w:rPr>
                          <w:rFonts w:ascii="Times New Roman" w:hAnsi="Times New Roman" w:eastAsia="Times New Roman" w:cs="Times New Roman"/>
                          <w:color w:val="595959"/>
                          <w:sz w:val="19"/>
                          <w:szCs w:val="19"/>
                        </w:rPr>
                        <w:t>μT</w:t>
                      </w:r>
                      <w:r>
                        <w:rPr>
                          <w:rFonts w:ascii="宋体" w:hAnsi="宋体" w:eastAsia="宋体" w:cs="宋体"/>
                          <w:color w:val="595959"/>
                          <w:sz w:val="19"/>
                          <w:szCs w:val="19"/>
                        </w:rPr>
                        <w:t>）</w:t>
                      </w:r>
                    </w:p>
                  </w:txbxContent>
                </v:textbox>
              </v:shape>
            </w:pict>
          </mc:Fallback>
        </mc:AlternateContent>
      </w:r>
      <w:r>
        <w:rPr>
          <w:position w:val="-86"/>
        </w:rPr>
        <w:pict>
          <v:group id="_x0000_s1285" o:spid="_x0000_s1285" o:spt="203" style="height:216.15pt;width:359.5pt;" coordsize="7190,4322">
            <o:lock v:ext="edit"/>
            <v:group id="_x0000_s1286" o:spid="_x0000_s1286" o:spt="203" style="position:absolute;left:0;top:0;height:4322;width:7190;" coordsize="7190,4322">
              <o:lock v:ext="edit"/>
              <v:shape id="_x0000_s1287" o:spid="_x0000_s1287" style="position:absolute;left:955;top:750;height:2605;width:5952;" filled="f" stroked="t" coordsize="5952,2605" path="m0,2597l5951,2597m0,2503l5951,2503m0,2412l5951,2412m0,2318l5951,2318m0,2133l5951,2133m0,2040l5951,2040m0,1949l5951,1949m0,1855l5951,1855m0,1670l5951,1670m0,1579l5951,1579m0,1485l5951,1485m0,1394l5951,1394m0,1209l5951,1209m0,1116l5951,1116m0,1025l5951,1025m0,931l5951,931m0,746l5951,746m0,653l5951,653m0,561l5951,561m0,468l5951,468m0,283l5951,283m0,192l5951,192m0,98l5951,98m0,7l5951,7e">
                <v:fill on="f" focussize="0,0"/>
                <v:stroke color="#F2F2F2" miterlimit="10"/>
                <v:imagedata o:title=""/>
                <o:lock v:ext="edit"/>
              </v:shape>
              <v:shape id="_x0000_s1288" o:spid="_x0000_s1288" style="position:absolute;left:955;top:657;height:2328;width:5952;" filled="f" stroked="t" coordsize="5952,2328" path="m0,2320l5951,2320m0,1857l5951,1857m0,1394l5951,1394m0,933l5951,933m0,470l5951,470m0,7l5951,7e">
                <v:fill on="f" focussize="0,0"/>
                <v:stroke color="#D9D9D9" miterlimit="10"/>
                <v:imagedata o:title=""/>
                <o:lock v:ext="edit"/>
              </v:shape>
              <v:shape id="_x0000_s1289" o:spid="_x0000_s1289" style="position:absolute;left:1095;top:664;height:2775;width:5612;" filled="f" stroked="t" coordsize="5612,2775" path="m7,0l7,2774m302,0l302,2774m597,0l597,2774m890,0l890,2774m1185,0l1185,2774m1481,0l1481,2774m1776,0l1776,2774m2069,0l2069,2774m2364,0l2364,2774m2659,0l2659,2774m2954,0l2954,2774m3247,0l3247,2774m3542,0l3542,2774m3837,0l3837,2774m4133,0l4133,2774m4425,0l4425,2774m4721,0l4721,2774m5016,0l5016,2774m5311,0l5311,2774m5604,0l5604,2774e">
                <v:fill on="f" focussize="0,0"/>
                <v:stroke color="#F2F2F2" miterlimit="10"/>
                <v:imagedata o:title=""/>
                <o:lock v:ext="edit"/>
              </v:shape>
              <v:shape id="_x0000_s1290" o:spid="_x0000_s1290" style="position:absolute;left:948;top:664;height:2775;width:5907;" filled="f" stroked="t" coordsize="5907,2775" path="m7,0l7,2774m301,0l301,2774m596,0l596,2774m891,0l891,2774m1186,0l1186,2774m1479,0l1479,2774m1774,0l1774,2774m2069,0l2069,2774m2365,0l2365,2774m2660,0l2660,2774m2953,0l2953,2774m3248,0l3248,2774m3543,0l3543,2774m3838,0l3838,2774m4131,0l4131,2774m4426,0l4426,2774m4721,0l4721,2774m5017,0l5017,2774m5309,0l5309,2774m5605,0l5605,2774m5900,0l5900,2774e">
                <v:fill on="f" focussize="0,0"/>
                <v:stroke color="#D9D9D9" miterlimit="10"/>
                <v:imagedata o:title=""/>
                <o:lock v:ext="edit"/>
              </v:shape>
              <v:shape id="_x0000_s1291" o:spid="_x0000_s1291" style="position:absolute;left:948;top:3385;height:108;width:5959;" filled="f" stroked="t" coordsize="5959,108" path="m7,53l5958,53m7,0l7,107m301,0l301,107m596,0l596,107m891,0l891,107m1186,0l1186,107m1479,0l1479,107m1774,0l1774,107m2069,0l2069,107m2365,0l2365,107m2660,0l2660,107m2953,0l2953,107m3248,0l3248,107m3543,0l3543,107m3838,0l3838,107m4131,0l4131,107m4426,0l4426,107m4721,0l4721,107m5017,0l5017,107m5309,0l5309,107m5605,0l5605,107m5900,0l5900,107e">
                <v:fill on="f" focussize="0,0"/>
                <v:stroke color="#000000" miterlimit="10"/>
                <v:imagedata o:title=""/>
                <o:lock v:ext="edit"/>
              </v:shape>
              <v:shape id="_x0000_s1292" o:spid="_x0000_s1292" style="position:absolute;left:970;top:1133;height:2251;width:5922;" filled="f" stroked="t" coordsize="5922,2251" path="m15,2235c34,2234,54,2233,73,2232c93,2231,113,2230,132,2229c152,2228,172,2227,191,2225c211,2224,231,2223,250,2222c270,2220,290,2219,309,2218c329,2217,348,2215,368,2214c388,2212,407,2211,427,2209c447,2208,466,2206,486,2205c506,2203,525,2201,545,2199c565,2197,584,2196,604,2194c623,2192,643,2190,663,2188c682,2186,702,2183,722,2181c741,2179,761,2177,781,2174c800,2172,820,2169,840,2166c859,2164,879,2161,898,2158c918,2155,938,2152,957,2149c977,2145,997,2142,1016,2138c1036,2135,1056,2131,1075,2127c1095,2123,1115,2119,1134,2115c1154,2110,1173,2106,1193,2101c1213,2096,1232,2091,1252,2085c1272,2080,1291,2074,1311,2068c1331,2062,1350,2056,1370,2049c1390,2042,1409,2035,1429,2027c1448,2019,1468,2011,1488,2002c1507,1993,1527,1984,1547,1974c1566,1964,1586,1953,1606,1941c1625,1930,1645,1917,1665,1904c1684,1890,1704,1876,1723,1860c1743,1844,1763,1827,1782,1809c1802,1790,1822,1770,1841,1748c1861,1726,1880,1702,1900,1676c1920,1650,1939,1622,1959,1590c1979,1559,1998,1525,2018,1487c2038,1449,2057,1408,2077,1362c2096,1317,2116,1268,2136,1214c2156,1160,2175,1101,2195,1039c2214,976,2234,908,2254,840c2273,772,2293,698,2313,629c2332,561,2352,490,2371,430c2391,370,2411,313,2430,270c2450,226,2470,193,2489,169c2509,144,2529,132,2548,123c2568,114,2588,114,2607,112c2627,111,2646,114,2666,112c2686,112,2706,111,2725,106c2745,102,2764,95,2784,86c2804,78,2823,65,2843,55c2863,45,2882,33,2902,26c2921,20,2941,15,2961,15c2980,15,3000,20,3020,26c3039,33,3059,45,3079,55c3098,65,3118,78,3138,86c3157,95,3177,102,3196,106c3216,111,3236,112,3256,112c3275,114,3295,111,3314,112c3334,114,3354,114,3373,123c3393,132,3412,144,3432,169c3452,193,3471,226,3491,270c3511,313,3530,370,3550,430c3570,490,3589,561,3609,629c3629,698,3648,772,3668,840c3688,908,3707,976,3727,1039c3746,1101,3766,1160,3786,1214c3806,1268,3825,1317,3845,1362c3864,1408,3884,1449,3904,1487c3923,1525,3943,1559,3962,1590c3982,1622,4002,1650,4021,1676c4041,1702,4061,1726,4080,1748c4100,1770,4120,1790,4139,1809c4159,1827,4178,1844,4198,1860c4218,1876,4238,1890,4257,1904c4277,1917,4296,1930,4316,1941c4336,1953,4355,1964,4375,1974c4395,1984,4414,1993,4434,2002c4453,2011,4473,2019,4493,2027c4512,2035,4532,2042,4552,2049c4571,2056,4591,2062,4611,2068c4630,2074,4650,2080,4670,2085c4689,2091,4709,2096,4728,2101c4748,2106,4768,2110,4788,2115c4807,2119,4827,2123,4846,2127c4866,2131,4886,2135,4905,2138c4925,2142,4945,2145,4964,2149c4984,2152,5003,2155,5023,2158c5043,2161,5062,2164,5082,2166c5102,2169,5121,2172,5141,2174c5161,2177,5180,2179,5200,2181c5220,2183,5239,2186,5259,2188c5279,2190,5298,2192,5318,2194c5338,2196,5357,2197,5377,2199c5396,2201,5416,2203,5436,2205c5455,2206,5475,2208,5495,2209c5514,2211,5534,2212,5554,2214c5573,2215,5593,2217,5612,2218c5632,2219,5652,2220,5671,2222c5691,2223,5711,2224,5730,2225c5750,2227,5770,2228,5789,2229c5809,2230,5829,2231,5848,2232c5868,2233,5888,2234,5907,2235e">
                <v:fill on="f" focussize="0,0"/>
                <v:stroke weight="1.5pt" color="#FF0000" miterlimit="10" endcap="round"/>
                <v:imagedata o:title=""/>
                <o:lock v:ext="edit"/>
              </v:shape>
              <v:shape id="_x0000_s1293" o:spid="_x0000_s1293" style="position:absolute;left:970;top:1673;height:1711;width:5922;" filled="f" stroked="t" coordsize="5922,1711" path="m15,1695c34,1694,54,1694,73,1692c93,1692,113,1690,132,1689c152,1688,172,1687,191,1686c211,1685,231,1684,250,1682c270,1681,290,1680,309,1679c329,1677,348,1676,368,1675c388,1673,407,1672,427,1670c447,1669,466,1667,486,1666c506,1664,525,1662,545,1661c565,1659,584,1657,604,1655c623,1653,643,1651,663,1649c682,1647,702,1645,722,1643c741,1641,761,1639,781,1636c800,1634,820,1631,840,1628c859,1626,879,1623,898,1620c918,1618,938,1615,957,1611c977,1608,997,1605,1016,1602c1036,1598,1056,1595,1075,1591c1095,1587,1115,1583,1134,1579c1154,1575,1173,1570,1193,1566c1213,1561,1232,1556,1252,1551c1272,1546,1291,1541,1311,1535c1331,1529,1350,1523,1370,1517c1390,1510,1409,1504,1429,1496c1448,1489,1468,1482,1488,1474c1507,1465,1527,1457,1547,1448c1566,1438,1586,1429,1606,1418c1625,1408,1645,1396,1665,1384c1684,1372,1704,1360,1723,1346c1743,1332,1763,1317,1782,1301c1802,1285,1822,1268,1841,1250c1861,1231,1880,1212,1900,1190c1920,1169,1939,1146,1959,1121c1979,1096,1998,1070,2018,1041c2038,1012,2057,982,2077,949c2096,916,2116,881,2136,844c2156,807,2175,768,2195,728c2214,688,2234,646,2254,604c2273,562,2293,519,2313,478c2332,438,2352,396,2371,360c2391,323,2411,288,2430,259c2450,229,2470,202,2489,181c2509,159,2529,141,2548,127c2568,112,2588,102,2607,92c2627,83,2646,77,2666,71c2686,64,2706,59,2725,54c2745,49,2764,45,2784,40c2804,36,2823,31,2843,28c2863,24,2882,20,2902,18c2921,16,2941,15,2961,15c2980,15,3000,16,3020,18c3039,20,3059,24,3079,28c3098,31,3118,36,3138,40c3157,45,3177,49,3196,54c3216,59,3236,64,3256,71c3275,77,3295,83,3314,92c3334,102,3354,112,3373,127c3393,141,3412,159,3432,181c3452,202,3471,229,3491,259c3511,288,3530,323,3550,360c3570,396,3589,438,3609,478c3629,519,3648,562,3668,604c3688,646,3707,688,3727,728c3746,768,3766,807,3786,844c3806,881,3825,916,3845,949c3864,982,3884,1012,3904,1041c3923,1070,3943,1096,3962,1121c3982,1146,4002,1169,4021,1190c4041,1212,4061,1231,4080,1250c4100,1268,4120,1285,4139,1301c4159,1317,4178,1332,4198,1346c4218,1360,4238,1372,4257,1384c4277,1396,4296,1408,4316,1418c4336,1429,4355,1438,4375,1448c4395,1457,4414,1465,4434,1474c4453,1482,4473,1489,4493,1496c4512,1504,4532,1510,4552,1517c4571,1523,4591,1529,4611,1535c4630,1541,4650,1546,4670,1551c4689,1556,4709,1561,4728,1566c4748,1570,4768,1575,4788,1579c4807,1583,4827,1587,4846,1591c4866,1595,4886,1598,4905,1602c4925,1605,4945,1608,4964,1611c4984,1615,5003,1618,5023,1620c5043,1623,5062,1626,5082,1628c5102,1631,5121,1634,5141,1636c5161,1639,5180,1641,5200,1643c5220,1645,5239,1647,5259,1649c5279,1651,5298,1653,5318,1655c5338,1657,5357,1659,5377,1661c5396,1662,5416,1664,5436,1666c5455,1667,5475,1669,5495,1670c5514,1672,5534,1673,5554,1675c5573,1676,5593,1677,5612,1679c5632,1680,5652,1681,5671,1682c5691,1684,5711,1685,5730,1686c5750,1687,5770,1688,5789,1689c5809,1690,5829,1692,5848,1692c5868,1694,5888,1694,5907,1695e">
                <v:fill on="f" focussize="0,0"/>
                <v:stroke weight="1.5pt" color="#00B050" miterlimit="10" endcap="round"/>
                <v:imagedata o:title=""/>
                <o:lock v:ext="edit"/>
              </v:shape>
              <v:shape id="_x0000_s1294" o:spid="_x0000_s1294" style="position:absolute;left:2813;top:271;height:30;width:414;" filled="f" stroked="t" coordsize="414,30" path="m15,15l398,15e">
                <v:fill on="f" focussize="0,0"/>
                <v:stroke weight="1.5pt" color="#FF0000" miterlimit="10" endcap="round"/>
                <v:imagedata o:title=""/>
                <o:lock v:ext="edit"/>
              </v:shape>
              <v:shape id="_x0000_s1295" o:spid="_x0000_s1295" style="position:absolute;left:3762;top:271;height:30;width:414;" filled="f" stroked="t" coordsize="414,30" path="m15,15l398,15e">
                <v:fill on="f" focussize="0,0"/>
                <v:stroke weight="1.5pt" color="#00B050" miterlimit="10" endcap="round"/>
                <v:imagedata o:title=""/>
                <o:lock v:ext="edit"/>
              </v:shape>
              <v:shape id="_x0000_s1296" o:spid="_x0000_s1296" style="position:absolute;left:0;top:0;height:4322;width:7190;" filled="f" stroked="t" coordsize="7190,4322" path="m7,4315l7182,4315,7182,7,7,7,7,4315xe">
                <v:fill on="f" focussize="0,0"/>
                <v:stroke color="#000000" miterlimit="10"/>
                <v:imagedata o:title=""/>
                <o:lock v:ext="edit"/>
              </v:shape>
            </v:group>
            <v:shape id="_x0000_s1297" o:spid="_x0000_s1297" o:spt="202" type="#_x0000_t202" style="position:absolute;left:579;top:198;height:2896;width:3876;" filled="f" stroked="f" coordsize="21600,21600">
              <v:path/>
              <v:fill on="f" focussize="0,0"/>
              <v:stroke on="f"/>
              <v:imagedata o:title=""/>
              <o:lock v:ext="edit" aspectratio="f"/>
              <v:textbox inset="0mm,0mm,0mm,0mm">
                <w:txbxContent>
                  <w:p w14:paraId="6A0EA221">
                    <w:pPr>
                      <w:spacing w:before="20" w:line="232" w:lineRule="auto"/>
                      <w:ind w:right="20"/>
                      <w:jc w:val="right"/>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6.5m</w:t>
                    </w:r>
                    <w:r>
                      <w:rPr>
                        <w:rFonts w:ascii="Times New Roman" w:hAnsi="Times New Roman" w:eastAsia="Times New Roman" w:cs="Times New Roman"/>
                        <w:color w:val="595959"/>
                        <w:sz w:val="18"/>
                        <w:szCs w:val="18"/>
                      </w:rPr>
                      <w:t xml:space="preserve">             </w:t>
                    </w:r>
                    <w:r>
                      <w:rPr>
                        <w:rFonts w:ascii="Times New Roman" w:hAnsi="Times New Roman" w:eastAsia="Times New Roman" w:cs="Times New Roman"/>
                        <w:color w:val="595959"/>
                        <w:spacing w:val="-3"/>
                        <w:sz w:val="18"/>
                        <w:szCs w:val="18"/>
                      </w:rPr>
                      <w:t>8m</w:t>
                    </w:r>
                  </w:p>
                  <w:p w14:paraId="2708CE1C">
                    <w:pPr>
                      <w:spacing w:before="178" w:line="235"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10"/>
                        <w:sz w:val="18"/>
                        <w:szCs w:val="18"/>
                      </w:rPr>
                      <w:t>12</w:t>
                    </w:r>
                  </w:p>
                  <w:p w14:paraId="7FC9C016">
                    <w:pPr>
                      <w:spacing w:before="260"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10"/>
                        <w:sz w:val="18"/>
                        <w:szCs w:val="18"/>
                      </w:rPr>
                      <w:t>10</w:t>
                    </w:r>
                  </w:p>
                  <w:p w14:paraId="4F5B302E">
                    <w:pPr>
                      <w:spacing w:before="262" w:line="232" w:lineRule="auto"/>
                      <w:ind w:left="100"/>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8</w:t>
                    </w:r>
                  </w:p>
                  <w:p w14:paraId="31498557">
                    <w:pPr>
                      <w:spacing w:before="262" w:line="232" w:lineRule="auto"/>
                      <w:ind w:left="96"/>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6</w:t>
                    </w:r>
                  </w:p>
                  <w:p w14:paraId="3EC67AE9">
                    <w:pPr>
                      <w:spacing w:before="261" w:line="235" w:lineRule="auto"/>
                      <w:ind w:left="92"/>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4</w:t>
                    </w:r>
                  </w:p>
                  <w:p w14:paraId="7EFFA338">
                    <w:pPr>
                      <w:spacing w:before="260" w:line="235" w:lineRule="auto"/>
                      <w:ind w:left="92"/>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2</w:t>
                    </w:r>
                  </w:p>
                </w:txbxContent>
              </v:textbox>
            </v:shape>
            <v:shape id="_x0000_s1298" o:spid="_x0000_s1298" o:spt="202" type="#_x0000_t202" style="position:absolute;left:654;top:3351;height:720;width:6335;" filled="f" stroked="f" coordsize="21600,21600">
              <v:path/>
              <v:fill on="f" focussize="0,0"/>
              <v:stroke on="f"/>
              <v:imagedata o:title=""/>
              <o:lock v:ext="edit" aspectratio="f"/>
              <v:textbox inset="0mm,0mm,0mm,0mm">
                <w:txbxContent>
                  <w:p w14:paraId="751AACA5">
                    <w:pPr>
                      <w:spacing w:before="20"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0</w:t>
                    </w:r>
                  </w:p>
                  <w:p w14:paraId="1BA69065">
                    <w:pPr>
                      <w:spacing w:before="11" w:line="232" w:lineRule="auto"/>
                      <w:ind w:right="20"/>
                      <w:jc w:val="right"/>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-50</w:t>
                    </w:r>
                    <w:r>
                      <w:rPr>
                        <w:rFonts w:ascii="Times New Roman" w:hAnsi="Times New Roman" w:eastAsia="Times New Roman" w:cs="Times New Roman"/>
                        <w:color w:val="595959"/>
                        <w:spacing w:val="37"/>
                        <w:sz w:val="18"/>
                        <w:szCs w:val="18"/>
                      </w:rPr>
                      <w:t xml:space="preserve"> </w:t>
                    </w:r>
                    <w:r>
                      <w:rPr>
                        <w:rFonts w:ascii="Times New Roman" w:hAnsi="Times New Roman" w:eastAsia="Times New Roman" w:cs="Times New Roman"/>
                        <w:color w:val="595959"/>
                        <w:spacing w:val="-3"/>
                        <w:sz w:val="18"/>
                        <w:szCs w:val="18"/>
                      </w:rPr>
                      <w:t>-45</w:t>
                    </w:r>
                    <w:r>
                      <w:rPr>
                        <w:rFonts w:ascii="Times New Roman" w:hAnsi="Times New Roman" w:eastAsia="Times New Roman" w:cs="Times New Roman"/>
                        <w:color w:val="595959"/>
                        <w:spacing w:val="18"/>
                        <w:w w:val="101"/>
                        <w:sz w:val="18"/>
                        <w:szCs w:val="18"/>
                      </w:rPr>
                      <w:t xml:space="preserve"> </w:t>
                    </w:r>
                    <w:r>
                      <w:rPr>
                        <w:rFonts w:ascii="Times New Roman" w:hAnsi="Times New Roman" w:eastAsia="Times New Roman" w:cs="Times New Roman"/>
                        <w:color w:val="595959"/>
                        <w:spacing w:val="-3"/>
                        <w:sz w:val="18"/>
                        <w:szCs w:val="18"/>
                      </w:rPr>
                      <w:t>-40</w:t>
                    </w:r>
                    <w:r>
                      <w:rPr>
                        <w:rFonts w:ascii="Times New Roman" w:hAnsi="Times New Roman" w:eastAsia="Times New Roman" w:cs="Times New Roman"/>
                        <w:color w:val="595959"/>
                        <w:spacing w:val="18"/>
                        <w:sz w:val="18"/>
                        <w:szCs w:val="18"/>
                      </w:rPr>
                      <w:t xml:space="preserve"> </w:t>
                    </w:r>
                    <w:r>
                      <w:rPr>
                        <w:rFonts w:ascii="Times New Roman" w:hAnsi="Times New Roman" w:eastAsia="Times New Roman" w:cs="Times New Roman"/>
                        <w:color w:val="595959"/>
                        <w:spacing w:val="-3"/>
                        <w:sz w:val="18"/>
                        <w:szCs w:val="18"/>
                      </w:rPr>
                      <w:t>-35</w:t>
                    </w:r>
                    <w:r>
                      <w:rPr>
                        <w:rFonts w:ascii="Times New Roman" w:hAnsi="Times New Roman" w:eastAsia="Times New Roman" w:cs="Times New Roman"/>
                        <w:color w:val="595959"/>
                        <w:spacing w:val="18"/>
                        <w:w w:val="101"/>
                        <w:sz w:val="18"/>
                        <w:szCs w:val="18"/>
                      </w:rPr>
                      <w:t xml:space="preserve"> </w:t>
                    </w:r>
                    <w:r>
                      <w:rPr>
                        <w:rFonts w:ascii="Times New Roman" w:hAnsi="Times New Roman" w:eastAsia="Times New Roman" w:cs="Times New Roman"/>
                        <w:color w:val="595959"/>
                        <w:spacing w:val="-3"/>
                        <w:sz w:val="18"/>
                        <w:szCs w:val="18"/>
                      </w:rPr>
                      <w:t>-30</w:t>
                    </w:r>
                    <w:r>
                      <w:rPr>
                        <w:rFonts w:ascii="Times New Roman" w:hAnsi="Times New Roman" w:eastAsia="Times New Roman" w:cs="Times New Roman"/>
                        <w:color w:val="595959"/>
                        <w:spacing w:val="18"/>
                        <w:sz w:val="18"/>
                        <w:szCs w:val="18"/>
                      </w:rPr>
                      <w:t xml:space="preserve"> </w:t>
                    </w:r>
                    <w:r>
                      <w:rPr>
                        <w:rFonts w:ascii="Times New Roman" w:hAnsi="Times New Roman" w:eastAsia="Times New Roman" w:cs="Times New Roman"/>
                        <w:color w:val="595959"/>
                        <w:spacing w:val="-3"/>
                        <w:sz w:val="18"/>
                        <w:szCs w:val="18"/>
                      </w:rPr>
                      <w:t>-25</w:t>
                    </w:r>
                    <w:r>
                      <w:rPr>
                        <w:rFonts w:ascii="Times New Roman" w:hAnsi="Times New Roman" w:eastAsia="Times New Roman" w:cs="Times New Roman"/>
                        <w:color w:val="595959"/>
                        <w:spacing w:val="18"/>
                        <w:w w:val="101"/>
                        <w:sz w:val="18"/>
                        <w:szCs w:val="18"/>
                      </w:rPr>
                      <w:t xml:space="preserve"> </w:t>
                    </w:r>
                    <w:r>
                      <w:rPr>
                        <w:rFonts w:ascii="Times New Roman" w:hAnsi="Times New Roman" w:eastAsia="Times New Roman" w:cs="Times New Roman"/>
                        <w:color w:val="595959"/>
                        <w:spacing w:val="-3"/>
                        <w:sz w:val="18"/>
                        <w:szCs w:val="18"/>
                      </w:rPr>
                      <w:t>-20</w:t>
                    </w:r>
                    <w:r>
                      <w:rPr>
                        <w:rFonts w:ascii="Times New Roman" w:hAnsi="Times New Roman" w:eastAsia="Times New Roman" w:cs="Times New Roman"/>
                        <w:color w:val="595959"/>
                        <w:spacing w:val="18"/>
                        <w:sz w:val="18"/>
                        <w:szCs w:val="18"/>
                      </w:rPr>
                      <w:t xml:space="preserve"> </w:t>
                    </w:r>
                    <w:r>
                      <w:rPr>
                        <w:rFonts w:ascii="Times New Roman" w:hAnsi="Times New Roman" w:eastAsia="Times New Roman" w:cs="Times New Roman"/>
                        <w:color w:val="595959"/>
                        <w:spacing w:val="-3"/>
                        <w:sz w:val="18"/>
                        <w:szCs w:val="18"/>
                      </w:rPr>
                      <w:t>-15</w:t>
                    </w:r>
                    <w:r>
                      <w:rPr>
                        <w:rFonts w:ascii="Times New Roman" w:hAnsi="Times New Roman" w:eastAsia="Times New Roman" w:cs="Times New Roman"/>
                        <w:color w:val="595959"/>
                        <w:spacing w:val="18"/>
                        <w:w w:val="101"/>
                        <w:sz w:val="18"/>
                        <w:szCs w:val="18"/>
                      </w:rPr>
                      <w:t xml:space="preserve"> </w:t>
                    </w:r>
                    <w:r>
                      <w:rPr>
                        <w:rFonts w:ascii="Times New Roman" w:hAnsi="Times New Roman" w:eastAsia="Times New Roman" w:cs="Times New Roman"/>
                        <w:color w:val="595959"/>
                        <w:spacing w:val="-3"/>
                        <w:sz w:val="18"/>
                        <w:szCs w:val="18"/>
                      </w:rPr>
                      <w:t>-10  -5    0     5    10   15   20   25   30</w:t>
                    </w:r>
                    <w:r>
                      <w:rPr>
                        <w:rFonts w:ascii="Times New Roman" w:hAnsi="Times New Roman" w:eastAsia="Times New Roman" w:cs="Times New Roman"/>
                        <w:color w:val="595959"/>
                        <w:spacing w:val="15"/>
                        <w:sz w:val="18"/>
                        <w:szCs w:val="18"/>
                      </w:rPr>
                      <w:t xml:space="preserve">  </w:t>
                    </w:r>
                    <w:r>
                      <w:rPr>
                        <w:rFonts w:ascii="Times New Roman" w:hAnsi="Times New Roman" w:eastAsia="Times New Roman" w:cs="Times New Roman"/>
                        <w:color w:val="595959"/>
                        <w:spacing w:val="-3"/>
                        <w:sz w:val="18"/>
                        <w:szCs w:val="18"/>
                      </w:rPr>
                      <w:t>35</w:t>
                    </w:r>
                    <w:r>
                      <w:rPr>
                        <w:rFonts w:ascii="Times New Roman" w:hAnsi="Times New Roman" w:eastAsia="Times New Roman" w:cs="Times New Roman"/>
                        <w:color w:val="595959"/>
                        <w:spacing w:val="13"/>
                        <w:w w:val="101"/>
                        <w:sz w:val="18"/>
                        <w:szCs w:val="18"/>
                      </w:rPr>
                      <w:t xml:space="preserve">  </w:t>
                    </w:r>
                    <w:r>
                      <w:rPr>
                        <w:rFonts w:ascii="Times New Roman" w:hAnsi="Times New Roman" w:eastAsia="Times New Roman" w:cs="Times New Roman"/>
                        <w:color w:val="595959"/>
                        <w:spacing w:val="-3"/>
                        <w:sz w:val="18"/>
                        <w:szCs w:val="18"/>
                      </w:rPr>
                      <w:t>40</w:t>
                    </w:r>
                    <w:r>
                      <w:rPr>
                        <w:rFonts w:ascii="Times New Roman" w:hAnsi="Times New Roman" w:eastAsia="Times New Roman" w:cs="Times New Roman"/>
                        <w:color w:val="595959"/>
                        <w:spacing w:val="13"/>
                        <w:sz w:val="18"/>
                        <w:szCs w:val="18"/>
                      </w:rPr>
                      <w:t xml:space="preserve">  </w:t>
                    </w:r>
                    <w:r>
                      <w:rPr>
                        <w:rFonts w:ascii="Times New Roman" w:hAnsi="Times New Roman" w:eastAsia="Times New Roman" w:cs="Times New Roman"/>
                        <w:color w:val="595959"/>
                        <w:spacing w:val="-3"/>
                        <w:sz w:val="18"/>
                        <w:szCs w:val="18"/>
                      </w:rPr>
                      <w:t>45</w:t>
                    </w:r>
                    <w:r>
                      <w:rPr>
                        <w:rFonts w:ascii="Times New Roman" w:hAnsi="Times New Roman" w:eastAsia="Times New Roman" w:cs="Times New Roman"/>
                        <w:color w:val="595959"/>
                        <w:spacing w:val="16"/>
                        <w:sz w:val="18"/>
                        <w:szCs w:val="18"/>
                      </w:rPr>
                      <w:t xml:space="preserve">  </w:t>
                    </w:r>
                    <w:r>
                      <w:rPr>
                        <w:rFonts w:ascii="Times New Roman" w:hAnsi="Times New Roman" w:eastAsia="Times New Roman" w:cs="Times New Roman"/>
                        <w:color w:val="595959"/>
                        <w:spacing w:val="-3"/>
                        <w:sz w:val="18"/>
                        <w:szCs w:val="18"/>
                      </w:rPr>
                      <w:t>50</w:t>
                    </w:r>
                  </w:p>
                  <w:p w14:paraId="20C609BC">
                    <w:pPr>
                      <w:spacing w:before="53" w:line="250" w:lineRule="exact"/>
                      <w:ind w:left="2312"/>
                      <w:rPr>
                        <w:rFonts w:ascii="宋体" w:hAnsi="宋体" w:eastAsia="宋体" w:cs="宋体"/>
                        <w:sz w:val="19"/>
                        <w:szCs w:val="19"/>
                      </w:rPr>
                    </w:pPr>
                    <w:r>
                      <w:rPr>
                        <w:rFonts w:ascii="宋体" w:hAnsi="宋体" w:eastAsia="宋体" w:cs="宋体"/>
                        <w:color w:val="595959"/>
                        <w:spacing w:val="7"/>
                        <w:position w:val="1"/>
                        <w:sz w:val="19"/>
                        <w:szCs w:val="19"/>
                      </w:rPr>
                      <w:t>距线路中心距离（</w:t>
                    </w:r>
                    <w:r>
                      <w:rPr>
                        <w:rFonts w:ascii="Times New Roman" w:hAnsi="Times New Roman" w:eastAsia="Times New Roman" w:cs="Times New Roman"/>
                        <w:color w:val="595959"/>
                        <w:spacing w:val="7"/>
                        <w:position w:val="1"/>
                        <w:sz w:val="19"/>
                        <w:szCs w:val="19"/>
                      </w:rPr>
                      <w:t>m</w:t>
                    </w:r>
                    <w:r>
                      <w:rPr>
                        <w:rFonts w:ascii="宋体" w:hAnsi="宋体" w:eastAsia="宋体" w:cs="宋体"/>
                        <w:color w:val="595959"/>
                        <w:spacing w:val="7"/>
                        <w:position w:val="1"/>
                        <w:sz w:val="19"/>
                        <w:szCs w:val="19"/>
                      </w:rPr>
                      <w:t>）</w:t>
                    </w:r>
                  </w:p>
                </w:txbxContent>
              </v:textbox>
            </v:shape>
            <w10:wrap type="none"/>
            <w10:anchorlock/>
          </v:group>
        </w:pict>
      </w:r>
    </w:p>
    <w:p w14:paraId="31FF2DB7">
      <w:pPr>
        <w:spacing w:before="157" w:line="234" w:lineRule="auto"/>
        <w:ind w:left="1752"/>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42"/>
          <w:sz w:val="21"/>
          <w:szCs w:val="21"/>
        </w:rPr>
        <w:t xml:space="preserve"> </w:t>
      </w:r>
      <w:r>
        <w:rPr>
          <w:rFonts w:ascii="Times New Roman" w:hAnsi="Times New Roman" w:eastAsia="Times New Roman" w:cs="Times New Roman"/>
          <w:b/>
          <w:bCs/>
          <w:spacing w:val="-3"/>
          <w:sz w:val="21"/>
          <w:szCs w:val="21"/>
        </w:rPr>
        <w:t>4-10    DE</w:t>
      </w:r>
      <w:r>
        <w:rPr>
          <w:rFonts w:ascii="Times New Roman" w:hAnsi="Times New Roman" w:eastAsia="Times New Roman" w:cs="Times New Roman"/>
          <w:b/>
          <w:bCs/>
          <w:spacing w:val="29"/>
          <w:sz w:val="21"/>
          <w:szCs w:val="21"/>
        </w:rPr>
        <w:t xml:space="preserve"> </w:t>
      </w:r>
      <w:r>
        <w:rPr>
          <w:rFonts w:ascii="宋体" w:hAnsi="宋体" w:eastAsia="宋体" w:cs="宋体"/>
          <w:b/>
          <w:bCs/>
          <w:spacing w:val="-3"/>
          <w:sz w:val="21"/>
          <w:szCs w:val="21"/>
        </w:rPr>
        <w:t>回线单回水平排列最不利塔型磁感应强度分布图</w:t>
      </w:r>
    </w:p>
    <w:p w14:paraId="5F9CA609">
      <w:pPr>
        <w:spacing w:before="189" w:line="233" w:lineRule="auto"/>
        <w:ind w:left="492"/>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6</w:t>
      </w:r>
      <w:r>
        <w:rPr>
          <w:rFonts w:ascii="宋体" w:hAnsi="宋体" w:eastAsia="宋体" w:cs="宋体"/>
          <w:spacing w:val="-2"/>
          <w:sz w:val="24"/>
          <w:szCs w:val="24"/>
        </w:rPr>
        <w:t>）</w:t>
      </w:r>
      <w:r>
        <w:rPr>
          <w:rFonts w:ascii="Times New Roman" w:hAnsi="Times New Roman" w:eastAsia="Times New Roman" w:cs="Times New Roman"/>
          <w:spacing w:val="-2"/>
          <w:sz w:val="24"/>
          <w:szCs w:val="24"/>
        </w:rPr>
        <w:t>DE</w:t>
      </w:r>
      <w:r>
        <w:rPr>
          <w:rFonts w:ascii="Times New Roman" w:hAnsi="Times New Roman" w:eastAsia="Times New Roman" w:cs="Times New Roman"/>
          <w:spacing w:val="44"/>
          <w:sz w:val="24"/>
          <w:szCs w:val="24"/>
        </w:rPr>
        <w:t xml:space="preserve"> </w:t>
      </w:r>
      <w:r>
        <w:rPr>
          <w:rFonts w:ascii="宋体" w:hAnsi="宋体" w:eastAsia="宋体" w:cs="宋体"/>
          <w:spacing w:val="-2"/>
          <w:sz w:val="24"/>
          <w:szCs w:val="24"/>
        </w:rPr>
        <w:t>回：双回垂直排列（单边挂线）最不利塔型</w:t>
      </w:r>
      <w:r>
        <w:rPr>
          <w:rFonts w:ascii="宋体" w:hAnsi="宋体" w:eastAsia="宋体" w:cs="宋体"/>
          <w:spacing w:val="-54"/>
          <w:sz w:val="24"/>
          <w:szCs w:val="24"/>
        </w:rPr>
        <w:t xml:space="preserve"> </w:t>
      </w:r>
      <w:r>
        <w:rPr>
          <w:rFonts w:ascii="Times New Roman" w:hAnsi="Times New Roman" w:eastAsia="Times New Roman" w:cs="Times New Roman"/>
          <w:spacing w:val="-2"/>
          <w:sz w:val="24"/>
          <w:szCs w:val="24"/>
        </w:rPr>
        <w:t>2D2Z5-JD</w:t>
      </w:r>
    </w:p>
    <w:p w14:paraId="3DCDD2D0">
      <w:pPr>
        <w:spacing w:before="101" w:line="229" w:lineRule="auto"/>
        <w:ind w:left="1466"/>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45"/>
          <w:sz w:val="21"/>
          <w:szCs w:val="21"/>
        </w:rPr>
        <w:t xml:space="preserve"> </w:t>
      </w:r>
      <w:r>
        <w:rPr>
          <w:rFonts w:ascii="Times New Roman" w:hAnsi="Times New Roman" w:eastAsia="Times New Roman" w:cs="Times New Roman"/>
          <w:b/>
          <w:bCs/>
          <w:spacing w:val="-2"/>
          <w:sz w:val="21"/>
          <w:szCs w:val="21"/>
        </w:rPr>
        <w:t>4-9    DE</w:t>
      </w:r>
      <w:r>
        <w:rPr>
          <w:rFonts w:ascii="Times New Roman" w:hAnsi="Times New Roman" w:eastAsia="Times New Roman" w:cs="Times New Roman"/>
          <w:b/>
          <w:bCs/>
          <w:spacing w:val="28"/>
          <w:w w:val="101"/>
          <w:sz w:val="21"/>
          <w:szCs w:val="21"/>
        </w:rPr>
        <w:t xml:space="preserve"> </w:t>
      </w:r>
      <w:r>
        <w:rPr>
          <w:rFonts w:ascii="宋体" w:hAnsi="宋体" w:eastAsia="宋体" w:cs="宋体"/>
          <w:b/>
          <w:bCs/>
          <w:spacing w:val="-2"/>
          <w:sz w:val="21"/>
          <w:szCs w:val="21"/>
        </w:rPr>
        <w:t>回线双回垂直排列（单边挂线）线路电</w:t>
      </w:r>
      <w:r>
        <w:rPr>
          <w:rFonts w:ascii="宋体" w:hAnsi="宋体" w:eastAsia="宋体" w:cs="宋体"/>
          <w:b/>
          <w:bCs/>
          <w:spacing w:val="-3"/>
          <w:sz w:val="21"/>
          <w:szCs w:val="21"/>
        </w:rPr>
        <w:t>磁场强度预测值</w:t>
      </w: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323FD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Merge w:val="restart"/>
            <w:tcBorders>
              <w:bottom w:val="nil"/>
            </w:tcBorders>
            <w:vAlign w:val="top"/>
          </w:tcPr>
          <w:p w14:paraId="209A823D">
            <w:pPr>
              <w:pStyle w:val="6"/>
              <w:spacing w:before="62" w:line="251" w:lineRule="auto"/>
              <w:ind w:left="178" w:right="142" w:hanging="27"/>
            </w:pPr>
            <w:r>
              <w:rPr>
                <w:b/>
                <w:bCs/>
                <w:spacing w:val="-3"/>
              </w:rPr>
              <w:t>距线路走廊中</w:t>
            </w:r>
            <w:r>
              <w:rPr>
                <w:b/>
                <w:bCs/>
                <w:spacing w:val="-4"/>
              </w:rPr>
              <w:t>心距离（</w:t>
            </w:r>
            <w:r>
              <w:rPr>
                <w:rFonts w:ascii="Times New Roman" w:hAnsi="Times New Roman" w:eastAsia="Times New Roman" w:cs="Times New Roman"/>
                <w:b/>
                <w:bCs/>
                <w:spacing w:val="-4"/>
              </w:rPr>
              <w:t>m</w:t>
            </w:r>
            <w:r>
              <w:rPr>
                <w:b/>
                <w:bCs/>
                <w:spacing w:val="-4"/>
              </w:rPr>
              <w:t>）</w:t>
            </w:r>
          </w:p>
        </w:tc>
        <w:tc>
          <w:tcPr>
            <w:tcW w:w="3682" w:type="dxa"/>
            <w:gridSpan w:val="2"/>
            <w:vAlign w:val="top"/>
          </w:tcPr>
          <w:p w14:paraId="34D8D5B6">
            <w:pPr>
              <w:pStyle w:val="6"/>
              <w:spacing w:before="56" w:line="221" w:lineRule="auto"/>
              <w:ind w:left="753"/>
            </w:pPr>
            <w:r>
              <w:rPr>
                <w:b/>
                <w:bCs/>
                <w:spacing w:val="-2"/>
              </w:rPr>
              <w:t>工频电场强度（</w:t>
            </w:r>
            <w:r>
              <w:rPr>
                <w:rFonts w:ascii="Times New Roman" w:hAnsi="Times New Roman" w:eastAsia="Times New Roman" w:cs="Times New Roman"/>
                <w:b/>
                <w:bCs/>
                <w:spacing w:val="-2"/>
              </w:rPr>
              <w:t>kV/m</w:t>
            </w:r>
            <w:r>
              <w:rPr>
                <w:b/>
                <w:bCs/>
                <w:spacing w:val="-2"/>
              </w:rPr>
              <w:t>）</w:t>
            </w:r>
          </w:p>
        </w:tc>
        <w:tc>
          <w:tcPr>
            <w:tcW w:w="3832" w:type="dxa"/>
            <w:gridSpan w:val="2"/>
            <w:vAlign w:val="top"/>
          </w:tcPr>
          <w:p w14:paraId="7919A146">
            <w:pPr>
              <w:pStyle w:val="6"/>
              <w:spacing w:before="56" w:line="213" w:lineRule="auto"/>
              <w:ind w:left="844"/>
            </w:pPr>
            <w:r>
              <w:rPr>
                <w:b/>
                <w:bCs/>
                <w:spacing w:val="7"/>
              </w:rPr>
              <w:t>工频磁感应强度(</w:t>
            </w:r>
            <w:r>
              <w:rPr>
                <w:rFonts w:ascii="Times New Roman" w:hAnsi="Times New Roman" w:eastAsia="Times New Roman" w:cs="Times New Roman"/>
                <w:b/>
                <w:bCs/>
                <w:spacing w:val="7"/>
              </w:rPr>
              <w:t>µT</w:t>
            </w:r>
            <w:r>
              <w:rPr>
                <w:b/>
                <w:bCs/>
                <w:spacing w:val="7"/>
              </w:rPr>
              <w:t>）</w:t>
            </w:r>
          </w:p>
        </w:tc>
      </w:tr>
      <w:tr w14:paraId="75A888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1559" w:type="dxa"/>
            <w:vMerge w:val="continue"/>
            <w:tcBorders>
              <w:top w:val="nil"/>
            </w:tcBorders>
            <w:vAlign w:val="top"/>
          </w:tcPr>
          <w:p w14:paraId="5C0D5E5C">
            <w:pPr>
              <w:rPr>
                <w:rFonts w:ascii="Arial"/>
                <w:sz w:val="21"/>
              </w:rPr>
            </w:pPr>
          </w:p>
        </w:tc>
        <w:tc>
          <w:tcPr>
            <w:tcW w:w="1842" w:type="dxa"/>
            <w:vAlign w:val="top"/>
          </w:tcPr>
          <w:p w14:paraId="6285BCE1">
            <w:pPr>
              <w:pStyle w:val="6"/>
              <w:spacing w:before="54" w:line="223" w:lineRule="auto"/>
              <w:ind w:left="261"/>
              <w:rPr>
                <w:rFonts w:ascii="Times New Roman" w:hAnsi="Times New Roman" w:eastAsia="Times New Roman" w:cs="Times New Roman"/>
              </w:rPr>
            </w:pPr>
            <w:r>
              <w:rPr>
                <w:b/>
                <w:bCs/>
                <w:spacing w:val="-3"/>
              </w:rPr>
              <w:t>非居民区</w:t>
            </w:r>
            <w:r>
              <w:rPr>
                <w:spacing w:val="-42"/>
              </w:rPr>
              <w:t xml:space="preserve"> </w:t>
            </w:r>
            <w:r>
              <w:rPr>
                <w:rFonts w:ascii="Times New Roman" w:hAnsi="Times New Roman" w:eastAsia="Times New Roman" w:cs="Times New Roman"/>
                <w:b/>
                <w:bCs/>
                <w:spacing w:val="-3"/>
              </w:rPr>
              <w:t>6.5m</w:t>
            </w:r>
          </w:p>
        </w:tc>
        <w:tc>
          <w:tcPr>
            <w:tcW w:w="1840" w:type="dxa"/>
            <w:vAlign w:val="top"/>
          </w:tcPr>
          <w:p w14:paraId="1F1EC188">
            <w:pPr>
              <w:pStyle w:val="6"/>
              <w:spacing w:before="54" w:line="223" w:lineRule="auto"/>
              <w:ind w:left="365"/>
              <w:rPr>
                <w:rFonts w:ascii="Times New Roman" w:hAnsi="Times New Roman" w:eastAsia="Times New Roman" w:cs="Times New Roman"/>
              </w:rPr>
            </w:pPr>
            <w:r>
              <w:rPr>
                <w:b/>
                <w:bCs/>
                <w:spacing w:val="-3"/>
              </w:rPr>
              <w:t>居民区</w:t>
            </w:r>
            <w:r>
              <w:rPr>
                <w:spacing w:val="-43"/>
              </w:rPr>
              <w:t xml:space="preserve"> </w:t>
            </w:r>
            <w:r>
              <w:rPr>
                <w:rFonts w:ascii="Times New Roman" w:hAnsi="Times New Roman" w:eastAsia="Times New Roman" w:cs="Times New Roman"/>
                <w:b/>
                <w:bCs/>
                <w:spacing w:val="-3"/>
              </w:rPr>
              <w:t>7.5m</w:t>
            </w:r>
          </w:p>
        </w:tc>
        <w:tc>
          <w:tcPr>
            <w:tcW w:w="1843" w:type="dxa"/>
            <w:vAlign w:val="top"/>
          </w:tcPr>
          <w:p w14:paraId="00884435">
            <w:pPr>
              <w:pStyle w:val="6"/>
              <w:spacing w:before="54" w:line="223" w:lineRule="auto"/>
              <w:ind w:left="264"/>
              <w:rPr>
                <w:rFonts w:ascii="Times New Roman" w:hAnsi="Times New Roman" w:eastAsia="Times New Roman" w:cs="Times New Roman"/>
              </w:rPr>
            </w:pPr>
            <w:r>
              <w:rPr>
                <w:b/>
                <w:bCs/>
                <w:spacing w:val="-3"/>
              </w:rPr>
              <w:t>非居民区</w:t>
            </w:r>
            <w:r>
              <w:rPr>
                <w:spacing w:val="-42"/>
              </w:rPr>
              <w:t xml:space="preserve"> </w:t>
            </w:r>
            <w:r>
              <w:rPr>
                <w:rFonts w:ascii="Times New Roman" w:hAnsi="Times New Roman" w:eastAsia="Times New Roman" w:cs="Times New Roman"/>
                <w:b/>
                <w:bCs/>
                <w:spacing w:val="-3"/>
              </w:rPr>
              <w:t>6.5m</w:t>
            </w:r>
          </w:p>
        </w:tc>
        <w:tc>
          <w:tcPr>
            <w:tcW w:w="1989" w:type="dxa"/>
            <w:vAlign w:val="top"/>
          </w:tcPr>
          <w:p w14:paraId="18926049">
            <w:pPr>
              <w:pStyle w:val="6"/>
              <w:spacing w:before="54" w:line="223" w:lineRule="auto"/>
              <w:ind w:left="439"/>
              <w:rPr>
                <w:rFonts w:ascii="Times New Roman" w:hAnsi="Times New Roman" w:eastAsia="Times New Roman" w:cs="Times New Roman"/>
              </w:rPr>
            </w:pPr>
            <w:r>
              <w:rPr>
                <w:b/>
                <w:bCs/>
                <w:spacing w:val="-3"/>
              </w:rPr>
              <w:t>居民区</w:t>
            </w:r>
            <w:r>
              <w:rPr>
                <w:spacing w:val="-43"/>
              </w:rPr>
              <w:t xml:space="preserve"> </w:t>
            </w:r>
            <w:r>
              <w:rPr>
                <w:rFonts w:ascii="Times New Roman" w:hAnsi="Times New Roman" w:eastAsia="Times New Roman" w:cs="Times New Roman"/>
                <w:b/>
                <w:bCs/>
                <w:spacing w:val="-3"/>
              </w:rPr>
              <w:t>7.5m</w:t>
            </w:r>
          </w:p>
        </w:tc>
      </w:tr>
      <w:tr w14:paraId="4711AC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86F425E">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1842" w:type="dxa"/>
            <w:vAlign w:val="top"/>
          </w:tcPr>
          <w:p w14:paraId="508A25A9">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0.070</w:t>
            </w:r>
          </w:p>
        </w:tc>
        <w:tc>
          <w:tcPr>
            <w:tcW w:w="1840" w:type="dxa"/>
            <w:vAlign w:val="top"/>
          </w:tcPr>
          <w:p w14:paraId="444B06AE">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0.067</w:t>
            </w:r>
          </w:p>
        </w:tc>
        <w:tc>
          <w:tcPr>
            <w:tcW w:w="1843" w:type="dxa"/>
            <w:vAlign w:val="top"/>
          </w:tcPr>
          <w:p w14:paraId="073C158F">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0.205</w:t>
            </w:r>
          </w:p>
        </w:tc>
        <w:tc>
          <w:tcPr>
            <w:tcW w:w="1989" w:type="dxa"/>
            <w:vAlign w:val="top"/>
          </w:tcPr>
          <w:p w14:paraId="3731C540">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0.203</w:t>
            </w:r>
          </w:p>
        </w:tc>
      </w:tr>
      <w:tr w14:paraId="19C66A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63865CC">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-49</w:t>
            </w:r>
          </w:p>
        </w:tc>
        <w:tc>
          <w:tcPr>
            <w:tcW w:w="1842" w:type="dxa"/>
            <w:vAlign w:val="top"/>
          </w:tcPr>
          <w:p w14:paraId="39CFCA81">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0.073</w:t>
            </w:r>
          </w:p>
        </w:tc>
        <w:tc>
          <w:tcPr>
            <w:tcW w:w="1840" w:type="dxa"/>
            <w:vAlign w:val="top"/>
          </w:tcPr>
          <w:p w14:paraId="36FE3451">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0.069</w:t>
            </w:r>
          </w:p>
        </w:tc>
        <w:tc>
          <w:tcPr>
            <w:tcW w:w="1843" w:type="dxa"/>
            <w:vAlign w:val="top"/>
          </w:tcPr>
          <w:p w14:paraId="4D5F9819">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0.213</w:t>
            </w:r>
          </w:p>
        </w:tc>
        <w:tc>
          <w:tcPr>
            <w:tcW w:w="1989" w:type="dxa"/>
            <w:vAlign w:val="top"/>
          </w:tcPr>
          <w:p w14:paraId="167E5B60">
            <w:pPr>
              <w:spacing w:before="87" w:line="217" w:lineRule="auto"/>
              <w:ind w:left="7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0.211</w:t>
            </w:r>
          </w:p>
        </w:tc>
      </w:tr>
      <w:tr w14:paraId="20849B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194D00D">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-48</w:t>
            </w:r>
          </w:p>
        </w:tc>
        <w:tc>
          <w:tcPr>
            <w:tcW w:w="1842" w:type="dxa"/>
            <w:vAlign w:val="top"/>
          </w:tcPr>
          <w:p w14:paraId="0781B260">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0.075</w:t>
            </w:r>
          </w:p>
        </w:tc>
        <w:tc>
          <w:tcPr>
            <w:tcW w:w="1840" w:type="dxa"/>
            <w:vAlign w:val="top"/>
          </w:tcPr>
          <w:p w14:paraId="272B7E6A">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0.071</w:t>
            </w:r>
          </w:p>
        </w:tc>
        <w:tc>
          <w:tcPr>
            <w:tcW w:w="1843" w:type="dxa"/>
            <w:vAlign w:val="top"/>
          </w:tcPr>
          <w:p w14:paraId="6F3EE450">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0.221</w:t>
            </w:r>
          </w:p>
        </w:tc>
        <w:tc>
          <w:tcPr>
            <w:tcW w:w="1989" w:type="dxa"/>
            <w:vAlign w:val="top"/>
          </w:tcPr>
          <w:p w14:paraId="05063E21">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0.219</w:t>
            </w:r>
          </w:p>
        </w:tc>
      </w:tr>
      <w:tr w14:paraId="1FDE0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81C1D08">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-47</w:t>
            </w:r>
          </w:p>
        </w:tc>
        <w:tc>
          <w:tcPr>
            <w:tcW w:w="1842" w:type="dxa"/>
            <w:vAlign w:val="top"/>
          </w:tcPr>
          <w:p w14:paraId="7597B9CB">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0.077</w:t>
            </w:r>
          </w:p>
        </w:tc>
        <w:tc>
          <w:tcPr>
            <w:tcW w:w="1840" w:type="dxa"/>
            <w:vAlign w:val="top"/>
          </w:tcPr>
          <w:p w14:paraId="45AB7DC2">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0.073</w:t>
            </w:r>
          </w:p>
        </w:tc>
        <w:tc>
          <w:tcPr>
            <w:tcW w:w="1843" w:type="dxa"/>
            <w:vAlign w:val="top"/>
          </w:tcPr>
          <w:p w14:paraId="49DB07A5">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0.230</w:t>
            </w:r>
          </w:p>
        </w:tc>
        <w:tc>
          <w:tcPr>
            <w:tcW w:w="1989" w:type="dxa"/>
            <w:vAlign w:val="top"/>
          </w:tcPr>
          <w:p w14:paraId="5257085C">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0.227</w:t>
            </w:r>
          </w:p>
        </w:tc>
      </w:tr>
      <w:tr w14:paraId="548CD1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D889031">
            <w:pPr>
              <w:spacing w:before="89"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-46</w:t>
            </w:r>
          </w:p>
        </w:tc>
        <w:tc>
          <w:tcPr>
            <w:tcW w:w="1842" w:type="dxa"/>
            <w:vAlign w:val="top"/>
          </w:tcPr>
          <w:p w14:paraId="33517BFE">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0.079</w:t>
            </w:r>
          </w:p>
        </w:tc>
        <w:tc>
          <w:tcPr>
            <w:tcW w:w="1840" w:type="dxa"/>
            <w:vAlign w:val="top"/>
          </w:tcPr>
          <w:p w14:paraId="1784BC78">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0.075</w:t>
            </w:r>
          </w:p>
        </w:tc>
        <w:tc>
          <w:tcPr>
            <w:tcW w:w="1843" w:type="dxa"/>
            <w:vAlign w:val="top"/>
          </w:tcPr>
          <w:p w14:paraId="6BBB5A91">
            <w:pPr>
              <w:spacing w:before="89"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0.239</w:t>
            </w:r>
          </w:p>
        </w:tc>
        <w:tc>
          <w:tcPr>
            <w:tcW w:w="1989" w:type="dxa"/>
            <w:vAlign w:val="top"/>
          </w:tcPr>
          <w:p w14:paraId="66245808">
            <w:pPr>
              <w:spacing w:before="89"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0.237</w:t>
            </w:r>
          </w:p>
        </w:tc>
      </w:tr>
      <w:tr w14:paraId="07F49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1559" w:type="dxa"/>
            <w:vAlign w:val="top"/>
          </w:tcPr>
          <w:p w14:paraId="4E5E2A87">
            <w:pPr>
              <w:spacing w:before="92" w:line="214"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-45</w:t>
            </w:r>
          </w:p>
        </w:tc>
        <w:tc>
          <w:tcPr>
            <w:tcW w:w="1842" w:type="dxa"/>
            <w:vAlign w:val="top"/>
          </w:tcPr>
          <w:p w14:paraId="647DB55F">
            <w:pPr>
              <w:spacing w:before="92"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0.082</w:t>
            </w:r>
          </w:p>
        </w:tc>
        <w:tc>
          <w:tcPr>
            <w:tcW w:w="1840" w:type="dxa"/>
            <w:vAlign w:val="top"/>
          </w:tcPr>
          <w:p w14:paraId="1C513D83">
            <w:pPr>
              <w:spacing w:before="92"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0.077</w:t>
            </w:r>
          </w:p>
        </w:tc>
        <w:tc>
          <w:tcPr>
            <w:tcW w:w="1843" w:type="dxa"/>
            <w:vAlign w:val="top"/>
          </w:tcPr>
          <w:p w14:paraId="0429805B">
            <w:pPr>
              <w:spacing w:before="92"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0.249</w:t>
            </w:r>
          </w:p>
        </w:tc>
        <w:tc>
          <w:tcPr>
            <w:tcW w:w="1989" w:type="dxa"/>
            <w:vAlign w:val="top"/>
          </w:tcPr>
          <w:p w14:paraId="6DD8595A">
            <w:pPr>
              <w:spacing w:before="92"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0.246</w:t>
            </w:r>
          </w:p>
        </w:tc>
      </w:tr>
      <w:tr w14:paraId="40C36B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Align w:val="top"/>
          </w:tcPr>
          <w:p w14:paraId="79FDC86E">
            <w:pPr>
              <w:spacing w:before="91"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-44</w:t>
            </w:r>
          </w:p>
        </w:tc>
        <w:tc>
          <w:tcPr>
            <w:tcW w:w="1842" w:type="dxa"/>
            <w:vAlign w:val="top"/>
          </w:tcPr>
          <w:p w14:paraId="3B6AD4A0">
            <w:pPr>
              <w:spacing w:before="91"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0.084</w:t>
            </w:r>
          </w:p>
        </w:tc>
        <w:tc>
          <w:tcPr>
            <w:tcW w:w="1840" w:type="dxa"/>
            <w:vAlign w:val="top"/>
          </w:tcPr>
          <w:p w14:paraId="3A3093A1">
            <w:pPr>
              <w:spacing w:before="91"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0.079</w:t>
            </w:r>
          </w:p>
        </w:tc>
        <w:tc>
          <w:tcPr>
            <w:tcW w:w="1843" w:type="dxa"/>
            <w:vAlign w:val="top"/>
          </w:tcPr>
          <w:p w14:paraId="28A14A70">
            <w:pPr>
              <w:spacing w:before="91"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0.259</w:t>
            </w:r>
          </w:p>
        </w:tc>
        <w:tc>
          <w:tcPr>
            <w:tcW w:w="1989" w:type="dxa"/>
            <w:vAlign w:val="top"/>
          </w:tcPr>
          <w:p w14:paraId="5A6A573E">
            <w:pPr>
              <w:spacing w:before="91"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0.257</w:t>
            </w:r>
          </w:p>
        </w:tc>
      </w:tr>
    </w:tbl>
    <w:p w14:paraId="7619BA31">
      <w:pPr>
        <w:rPr>
          <w:rFonts w:ascii="Arial"/>
          <w:sz w:val="21"/>
        </w:rPr>
      </w:pPr>
    </w:p>
    <w:p w14:paraId="4C3B0670">
      <w:pPr>
        <w:rPr>
          <w:rFonts w:ascii="Arial" w:hAnsi="Arial" w:eastAsia="Arial" w:cs="Arial"/>
          <w:sz w:val="21"/>
          <w:szCs w:val="21"/>
        </w:rPr>
        <w:sectPr>
          <w:footerReference r:id="rId120" w:type="default"/>
          <w:pgSz w:w="11907" w:h="16841"/>
          <w:pgMar w:top="400" w:right="1411" w:bottom="1126" w:left="1416" w:header="0" w:footer="923" w:gutter="0"/>
          <w:cols w:space="720" w:num="1"/>
        </w:sectPr>
      </w:pPr>
    </w:p>
    <w:p w14:paraId="4ADC698D">
      <w:pPr>
        <w:spacing w:before="2"/>
      </w:pPr>
    </w:p>
    <w:p w14:paraId="27E025B8">
      <w:pPr>
        <w:spacing w:before="2"/>
      </w:pPr>
    </w:p>
    <w:p w14:paraId="18105B53">
      <w:pPr>
        <w:spacing w:before="1"/>
      </w:pPr>
    </w:p>
    <w:p w14:paraId="39127F2A">
      <w:pPr>
        <w:spacing w:before="1"/>
      </w:pPr>
    </w:p>
    <w:p w14:paraId="3626256A">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065075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559" w:type="dxa"/>
            <w:vAlign w:val="top"/>
          </w:tcPr>
          <w:p w14:paraId="12078619">
            <w:pPr>
              <w:spacing w:before="93"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-43</w:t>
            </w:r>
          </w:p>
        </w:tc>
        <w:tc>
          <w:tcPr>
            <w:tcW w:w="1842" w:type="dxa"/>
            <w:vAlign w:val="top"/>
          </w:tcPr>
          <w:p w14:paraId="1D8E5765">
            <w:pPr>
              <w:spacing w:before="93"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0.087</w:t>
            </w:r>
          </w:p>
        </w:tc>
        <w:tc>
          <w:tcPr>
            <w:tcW w:w="1840" w:type="dxa"/>
            <w:vAlign w:val="top"/>
          </w:tcPr>
          <w:p w14:paraId="54F759C0">
            <w:pPr>
              <w:spacing w:before="93"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0.081</w:t>
            </w:r>
          </w:p>
        </w:tc>
        <w:tc>
          <w:tcPr>
            <w:tcW w:w="1843" w:type="dxa"/>
            <w:vAlign w:val="top"/>
          </w:tcPr>
          <w:p w14:paraId="203BCA37">
            <w:pPr>
              <w:spacing w:before="93"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0.271</w:t>
            </w:r>
          </w:p>
        </w:tc>
        <w:tc>
          <w:tcPr>
            <w:tcW w:w="1989" w:type="dxa"/>
            <w:vAlign w:val="top"/>
          </w:tcPr>
          <w:p w14:paraId="3FCBAFFE">
            <w:pPr>
              <w:spacing w:before="93"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0.268</w:t>
            </w:r>
          </w:p>
        </w:tc>
      </w:tr>
      <w:tr w14:paraId="6FEA55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7425EC87">
            <w:pPr>
              <w:spacing w:before="88"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-42</w:t>
            </w:r>
          </w:p>
        </w:tc>
        <w:tc>
          <w:tcPr>
            <w:tcW w:w="1842" w:type="dxa"/>
            <w:vAlign w:val="top"/>
          </w:tcPr>
          <w:p w14:paraId="231AD011">
            <w:pPr>
              <w:spacing w:before="88"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0.089</w:t>
            </w:r>
          </w:p>
        </w:tc>
        <w:tc>
          <w:tcPr>
            <w:tcW w:w="1840" w:type="dxa"/>
            <w:vAlign w:val="top"/>
          </w:tcPr>
          <w:p w14:paraId="413DA694">
            <w:pPr>
              <w:spacing w:before="88"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0.083</w:t>
            </w:r>
          </w:p>
        </w:tc>
        <w:tc>
          <w:tcPr>
            <w:tcW w:w="1843" w:type="dxa"/>
            <w:vAlign w:val="top"/>
          </w:tcPr>
          <w:p w14:paraId="53BAFCDA">
            <w:pPr>
              <w:spacing w:before="88" w:line="219"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0.283</w:t>
            </w:r>
          </w:p>
        </w:tc>
        <w:tc>
          <w:tcPr>
            <w:tcW w:w="1989" w:type="dxa"/>
            <w:vAlign w:val="top"/>
          </w:tcPr>
          <w:p w14:paraId="271D4991">
            <w:pPr>
              <w:spacing w:before="88" w:line="219"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0.279</w:t>
            </w:r>
          </w:p>
        </w:tc>
      </w:tr>
      <w:tr w14:paraId="15EBCA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DF82CA2">
            <w:pPr>
              <w:spacing w:before="85"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-41</w:t>
            </w:r>
          </w:p>
        </w:tc>
        <w:tc>
          <w:tcPr>
            <w:tcW w:w="1842" w:type="dxa"/>
            <w:vAlign w:val="top"/>
          </w:tcPr>
          <w:p w14:paraId="39495901">
            <w:pPr>
              <w:spacing w:before="85"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0.092</w:t>
            </w:r>
          </w:p>
        </w:tc>
        <w:tc>
          <w:tcPr>
            <w:tcW w:w="1840" w:type="dxa"/>
            <w:vAlign w:val="top"/>
          </w:tcPr>
          <w:p w14:paraId="023D5001">
            <w:pPr>
              <w:spacing w:before="85"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0.086</w:t>
            </w:r>
          </w:p>
        </w:tc>
        <w:tc>
          <w:tcPr>
            <w:tcW w:w="1843" w:type="dxa"/>
            <w:vAlign w:val="top"/>
          </w:tcPr>
          <w:p w14:paraId="6B1B93E2">
            <w:pPr>
              <w:spacing w:before="85" w:line="219"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0.295</w:t>
            </w:r>
          </w:p>
        </w:tc>
        <w:tc>
          <w:tcPr>
            <w:tcW w:w="1989" w:type="dxa"/>
            <w:vAlign w:val="top"/>
          </w:tcPr>
          <w:p w14:paraId="14486802">
            <w:pPr>
              <w:spacing w:before="85" w:line="219"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0.292</w:t>
            </w:r>
          </w:p>
        </w:tc>
      </w:tr>
      <w:tr w14:paraId="133E85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9C10E81">
            <w:pPr>
              <w:spacing w:before="86" w:line="219"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-40</w:t>
            </w:r>
          </w:p>
        </w:tc>
        <w:tc>
          <w:tcPr>
            <w:tcW w:w="1842" w:type="dxa"/>
            <w:vAlign w:val="top"/>
          </w:tcPr>
          <w:p w14:paraId="32A1A9BD">
            <w:pPr>
              <w:spacing w:before="86"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0.095</w:t>
            </w:r>
          </w:p>
        </w:tc>
        <w:tc>
          <w:tcPr>
            <w:tcW w:w="1840" w:type="dxa"/>
            <w:vAlign w:val="top"/>
          </w:tcPr>
          <w:p w14:paraId="221763BD">
            <w:pPr>
              <w:spacing w:before="86" w:line="219"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0.088</w:t>
            </w:r>
          </w:p>
        </w:tc>
        <w:tc>
          <w:tcPr>
            <w:tcW w:w="1843" w:type="dxa"/>
            <w:vAlign w:val="top"/>
          </w:tcPr>
          <w:p w14:paraId="3F438B83">
            <w:pPr>
              <w:spacing w:before="86" w:line="219"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0.309</w:t>
            </w:r>
          </w:p>
        </w:tc>
        <w:tc>
          <w:tcPr>
            <w:tcW w:w="1989" w:type="dxa"/>
            <w:vAlign w:val="top"/>
          </w:tcPr>
          <w:p w14:paraId="410EA2DD">
            <w:pPr>
              <w:spacing w:before="86" w:line="219"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0.305</w:t>
            </w:r>
          </w:p>
        </w:tc>
      </w:tr>
      <w:tr w14:paraId="090377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880DC29">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-39</w:t>
            </w:r>
          </w:p>
        </w:tc>
        <w:tc>
          <w:tcPr>
            <w:tcW w:w="1842" w:type="dxa"/>
            <w:vAlign w:val="top"/>
          </w:tcPr>
          <w:p w14:paraId="6C11294D">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0.098</w:t>
            </w:r>
          </w:p>
        </w:tc>
        <w:tc>
          <w:tcPr>
            <w:tcW w:w="1840" w:type="dxa"/>
            <w:vAlign w:val="top"/>
          </w:tcPr>
          <w:p w14:paraId="77B32395">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0.090</w:t>
            </w:r>
          </w:p>
        </w:tc>
        <w:tc>
          <w:tcPr>
            <w:tcW w:w="1843" w:type="dxa"/>
            <w:vAlign w:val="top"/>
          </w:tcPr>
          <w:p w14:paraId="7F69A0C8">
            <w:pPr>
              <w:spacing w:before="86"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0.323</w:t>
            </w:r>
          </w:p>
        </w:tc>
        <w:tc>
          <w:tcPr>
            <w:tcW w:w="1989" w:type="dxa"/>
            <w:vAlign w:val="top"/>
          </w:tcPr>
          <w:p w14:paraId="58DF5CA1">
            <w:pPr>
              <w:spacing w:before="86"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0.319</w:t>
            </w:r>
          </w:p>
        </w:tc>
      </w:tr>
      <w:tr w14:paraId="255E46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5BE2343">
            <w:pPr>
              <w:spacing w:before="86"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-38</w:t>
            </w:r>
          </w:p>
        </w:tc>
        <w:tc>
          <w:tcPr>
            <w:tcW w:w="1842" w:type="dxa"/>
            <w:vAlign w:val="top"/>
          </w:tcPr>
          <w:p w14:paraId="4DBDF4BF">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0.101</w:t>
            </w:r>
          </w:p>
        </w:tc>
        <w:tc>
          <w:tcPr>
            <w:tcW w:w="1840" w:type="dxa"/>
            <w:vAlign w:val="top"/>
          </w:tcPr>
          <w:p w14:paraId="503144FC">
            <w:pPr>
              <w:spacing w:before="86"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0.092</w:t>
            </w:r>
          </w:p>
        </w:tc>
        <w:tc>
          <w:tcPr>
            <w:tcW w:w="1843" w:type="dxa"/>
            <w:vAlign w:val="top"/>
          </w:tcPr>
          <w:p w14:paraId="77B5BD14">
            <w:pPr>
              <w:spacing w:before="86"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0.339</w:t>
            </w:r>
          </w:p>
        </w:tc>
        <w:tc>
          <w:tcPr>
            <w:tcW w:w="1989" w:type="dxa"/>
            <w:vAlign w:val="top"/>
          </w:tcPr>
          <w:p w14:paraId="70D9CEAD">
            <w:pPr>
              <w:spacing w:before="86"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0.334</w:t>
            </w:r>
          </w:p>
        </w:tc>
      </w:tr>
      <w:tr w14:paraId="6F7A85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5A142E49">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-37</w:t>
            </w:r>
          </w:p>
        </w:tc>
        <w:tc>
          <w:tcPr>
            <w:tcW w:w="1842" w:type="dxa"/>
            <w:vAlign w:val="top"/>
          </w:tcPr>
          <w:p w14:paraId="5A829F22">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0.104</w:t>
            </w:r>
          </w:p>
        </w:tc>
        <w:tc>
          <w:tcPr>
            <w:tcW w:w="1840" w:type="dxa"/>
            <w:vAlign w:val="top"/>
          </w:tcPr>
          <w:p w14:paraId="6A2854B3">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0.095</w:t>
            </w:r>
          </w:p>
        </w:tc>
        <w:tc>
          <w:tcPr>
            <w:tcW w:w="1843" w:type="dxa"/>
            <w:vAlign w:val="top"/>
          </w:tcPr>
          <w:p w14:paraId="340CAB1B">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0.355</w:t>
            </w:r>
          </w:p>
        </w:tc>
        <w:tc>
          <w:tcPr>
            <w:tcW w:w="1989" w:type="dxa"/>
            <w:vAlign w:val="top"/>
          </w:tcPr>
          <w:p w14:paraId="58CF8C33">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0.350</w:t>
            </w:r>
          </w:p>
        </w:tc>
      </w:tr>
      <w:tr w14:paraId="764019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58A6C15E">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-36</w:t>
            </w:r>
          </w:p>
        </w:tc>
        <w:tc>
          <w:tcPr>
            <w:tcW w:w="1842" w:type="dxa"/>
            <w:vAlign w:val="top"/>
          </w:tcPr>
          <w:p w14:paraId="290885EB">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0.107</w:t>
            </w:r>
          </w:p>
        </w:tc>
        <w:tc>
          <w:tcPr>
            <w:tcW w:w="1840" w:type="dxa"/>
            <w:vAlign w:val="top"/>
          </w:tcPr>
          <w:p w14:paraId="5403F65A">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0.097</w:t>
            </w:r>
          </w:p>
        </w:tc>
        <w:tc>
          <w:tcPr>
            <w:tcW w:w="1843" w:type="dxa"/>
            <w:vAlign w:val="top"/>
          </w:tcPr>
          <w:p w14:paraId="33066690">
            <w:pPr>
              <w:spacing w:before="90"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0.373</w:t>
            </w:r>
          </w:p>
        </w:tc>
        <w:tc>
          <w:tcPr>
            <w:tcW w:w="1989" w:type="dxa"/>
            <w:vAlign w:val="top"/>
          </w:tcPr>
          <w:p w14:paraId="6ABBB21A">
            <w:pPr>
              <w:spacing w:before="90"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0.367</w:t>
            </w:r>
          </w:p>
        </w:tc>
      </w:tr>
      <w:tr w14:paraId="76D507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60ACBA5">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-35</w:t>
            </w:r>
          </w:p>
        </w:tc>
        <w:tc>
          <w:tcPr>
            <w:tcW w:w="1842" w:type="dxa"/>
            <w:vAlign w:val="top"/>
          </w:tcPr>
          <w:p w14:paraId="6B681F95">
            <w:pPr>
              <w:spacing w:before="87" w:line="217"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0.110</w:t>
            </w:r>
          </w:p>
        </w:tc>
        <w:tc>
          <w:tcPr>
            <w:tcW w:w="1840" w:type="dxa"/>
            <w:vAlign w:val="top"/>
          </w:tcPr>
          <w:p w14:paraId="7CEB1E53">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0.099</w:t>
            </w:r>
          </w:p>
        </w:tc>
        <w:tc>
          <w:tcPr>
            <w:tcW w:w="1843" w:type="dxa"/>
            <w:vAlign w:val="top"/>
          </w:tcPr>
          <w:p w14:paraId="67F6889C">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0.392</w:t>
            </w:r>
          </w:p>
        </w:tc>
        <w:tc>
          <w:tcPr>
            <w:tcW w:w="1989" w:type="dxa"/>
            <w:vAlign w:val="top"/>
          </w:tcPr>
          <w:p w14:paraId="48D69E22">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0.386</w:t>
            </w:r>
          </w:p>
        </w:tc>
      </w:tr>
      <w:tr w14:paraId="270E3A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7813650">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-34</w:t>
            </w:r>
          </w:p>
        </w:tc>
        <w:tc>
          <w:tcPr>
            <w:tcW w:w="1842" w:type="dxa"/>
            <w:vAlign w:val="top"/>
          </w:tcPr>
          <w:p w14:paraId="78D70F65">
            <w:pPr>
              <w:spacing w:before="88" w:line="217"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0.113</w:t>
            </w:r>
          </w:p>
        </w:tc>
        <w:tc>
          <w:tcPr>
            <w:tcW w:w="1840" w:type="dxa"/>
            <w:vAlign w:val="top"/>
          </w:tcPr>
          <w:p w14:paraId="51D2B2AC">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0.101</w:t>
            </w:r>
          </w:p>
        </w:tc>
        <w:tc>
          <w:tcPr>
            <w:tcW w:w="1843" w:type="dxa"/>
            <w:vAlign w:val="top"/>
          </w:tcPr>
          <w:p w14:paraId="7EF56201">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0.413</w:t>
            </w:r>
          </w:p>
        </w:tc>
        <w:tc>
          <w:tcPr>
            <w:tcW w:w="1989" w:type="dxa"/>
            <w:vAlign w:val="top"/>
          </w:tcPr>
          <w:p w14:paraId="13EDEABF">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0.405</w:t>
            </w:r>
          </w:p>
        </w:tc>
      </w:tr>
      <w:tr w14:paraId="05238F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CA91204">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-33</w:t>
            </w:r>
          </w:p>
        </w:tc>
        <w:tc>
          <w:tcPr>
            <w:tcW w:w="1842" w:type="dxa"/>
            <w:vAlign w:val="top"/>
          </w:tcPr>
          <w:p w14:paraId="4B3D5C81">
            <w:pPr>
              <w:spacing w:before="88" w:line="217"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0.116</w:t>
            </w:r>
          </w:p>
        </w:tc>
        <w:tc>
          <w:tcPr>
            <w:tcW w:w="1840" w:type="dxa"/>
            <w:vAlign w:val="top"/>
          </w:tcPr>
          <w:p w14:paraId="33FA9E3E">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0.103</w:t>
            </w:r>
          </w:p>
        </w:tc>
        <w:tc>
          <w:tcPr>
            <w:tcW w:w="1843" w:type="dxa"/>
            <w:vAlign w:val="top"/>
          </w:tcPr>
          <w:p w14:paraId="7F8936F5">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0.435</w:t>
            </w:r>
          </w:p>
        </w:tc>
        <w:tc>
          <w:tcPr>
            <w:tcW w:w="1989" w:type="dxa"/>
            <w:vAlign w:val="top"/>
          </w:tcPr>
          <w:p w14:paraId="77368BF3">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0.427</w:t>
            </w:r>
          </w:p>
        </w:tc>
      </w:tr>
      <w:tr w14:paraId="7245F9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68F62EC">
            <w:pPr>
              <w:spacing w:before="87" w:line="218"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-32</w:t>
            </w:r>
          </w:p>
        </w:tc>
        <w:tc>
          <w:tcPr>
            <w:tcW w:w="1842" w:type="dxa"/>
            <w:vAlign w:val="top"/>
          </w:tcPr>
          <w:p w14:paraId="49387DB4">
            <w:pPr>
              <w:spacing w:before="87" w:line="218"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0.119</w:t>
            </w:r>
          </w:p>
        </w:tc>
        <w:tc>
          <w:tcPr>
            <w:tcW w:w="1840" w:type="dxa"/>
            <w:vAlign w:val="top"/>
          </w:tcPr>
          <w:p w14:paraId="7055A22A">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0.105</w:t>
            </w:r>
          </w:p>
        </w:tc>
        <w:tc>
          <w:tcPr>
            <w:tcW w:w="1843" w:type="dxa"/>
            <w:vAlign w:val="top"/>
          </w:tcPr>
          <w:p w14:paraId="3E483839">
            <w:pPr>
              <w:spacing w:before="87"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0.458</w:t>
            </w:r>
          </w:p>
        </w:tc>
        <w:tc>
          <w:tcPr>
            <w:tcW w:w="1989" w:type="dxa"/>
            <w:vAlign w:val="top"/>
          </w:tcPr>
          <w:p w14:paraId="0443EAB4">
            <w:pPr>
              <w:spacing w:before="87"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0.450</w:t>
            </w:r>
          </w:p>
        </w:tc>
      </w:tr>
      <w:tr w14:paraId="42B00A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666D4EB">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-31</w:t>
            </w:r>
          </w:p>
        </w:tc>
        <w:tc>
          <w:tcPr>
            <w:tcW w:w="1842" w:type="dxa"/>
            <w:vAlign w:val="top"/>
          </w:tcPr>
          <w:p w14:paraId="27E01697">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0.121</w:t>
            </w:r>
          </w:p>
        </w:tc>
        <w:tc>
          <w:tcPr>
            <w:tcW w:w="1840" w:type="dxa"/>
            <w:vAlign w:val="top"/>
          </w:tcPr>
          <w:p w14:paraId="5B8FD1F8">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0.106</w:t>
            </w:r>
          </w:p>
        </w:tc>
        <w:tc>
          <w:tcPr>
            <w:tcW w:w="1843" w:type="dxa"/>
            <w:vAlign w:val="top"/>
          </w:tcPr>
          <w:p w14:paraId="29F13323">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0.484</w:t>
            </w:r>
          </w:p>
        </w:tc>
        <w:tc>
          <w:tcPr>
            <w:tcW w:w="1989" w:type="dxa"/>
            <w:vAlign w:val="top"/>
          </w:tcPr>
          <w:p w14:paraId="1E23A329">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0.475</w:t>
            </w:r>
          </w:p>
        </w:tc>
      </w:tr>
      <w:tr w14:paraId="3CDAA9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7C585B19">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w:t>
            </w:r>
          </w:p>
        </w:tc>
        <w:tc>
          <w:tcPr>
            <w:tcW w:w="1842" w:type="dxa"/>
            <w:vAlign w:val="top"/>
          </w:tcPr>
          <w:p w14:paraId="74C5005B">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0.124</w:t>
            </w:r>
          </w:p>
        </w:tc>
        <w:tc>
          <w:tcPr>
            <w:tcW w:w="1840" w:type="dxa"/>
            <w:vAlign w:val="top"/>
          </w:tcPr>
          <w:p w14:paraId="7B65F77E">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0.108</w:t>
            </w:r>
          </w:p>
        </w:tc>
        <w:tc>
          <w:tcPr>
            <w:tcW w:w="1843" w:type="dxa"/>
            <w:vAlign w:val="top"/>
          </w:tcPr>
          <w:p w14:paraId="36D78F6A">
            <w:pPr>
              <w:spacing w:before="90"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0.512</w:t>
            </w:r>
          </w:p>
        </w:tc>
        <w:tc>
          <w:tcPr>
            <w:tcW w:w="1989" w:type="dxa"/>
            <w:vAlign w:val="top"/>
          </w:tcPr>
          <w:p w14:paraId="4360B396">
            <w:pPr>
              <w:spacing w:before="90"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0.501</w:t>
            </w:r>
          </w:p>
        </w:tc>
      </w:tr>
      <w:tr w14:paraId="61F2FE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2EEDBA0">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-29</w:t>
            </w:r>
          </w:p>
        </w:tc>
        <w:tc>
          <w:tcPr>
            <w:tcW w:w="1842" w:type="dxa"/>
            <w:vAlign w:val="top"/>
          </w:tcPr>
          <w:p w14:paraId="3283172C">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0.127</w:t>
            </w:r>
          </w:p>
        </w:tc>
        <w:tc>
          <w:tcPr>
            <w:tcW w:w="1840" w:type="dxa"/>
            <w:vAlign w:val="top"/>
          </w:tcPr>
          <w:p w14:paraId="3EE10CAB">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0.108</w:t>
            </w:r>
          </w:p>
        </w:tc>
        <w:tc>
          <w:tcPr>
            <w:tcW w:w="1843" w:type="dxa"/>
            <w:vAlign w:val="top"/>
          </w:tcPr>
          <w:p w14:paraId="653DADEF">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0.542</w:t>
            </w:r>
          </w:p>
        </w:tc>
        <w:tc>
          <w:tcPr>
            <w:tcW w:w="1989" w:type="dxa"/>
            <w:vAlign w:val="top"/>
          </w:tcPr>
          <w:p w14:paraId="0773A85D">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0.530</w:t>
            </w:r>
          </w:p>
        </w:tc>
      </w:tr>
      <w:tr w14:paraId="3173E0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C116A25">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-28</w:t>
            </w:r>
          </w:p>
        </w:tc>
        <w:tc>
          <w:tcPr>
            <w:tcW w:w="1842" w:type="dxa"/>
            <w:vAlign w:val="top"/>
          </w:tcPr>
          <w:p w14:paraId="01E7C84E">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0.129</w:t>
            </w:r>
          </w:p>
        </w:tc>
        <w:tc>
          <w:tcPr>
            <w:tcW w:w="1840" w:type="dxa"/>
            <w:vAlign w:val="top"/>
          </w:tcPr>
          <w:p w14:paraId="509BF6FF">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0.108</w:t>
            </w:r>
          </w:p>
        </w:tc>
        <w:tc>
          <w:tcPr>
            <w:tcW w:w="1843" w:type="dxa"/>
            <w:vAlign w:val="top"/>
          </w:tcPr>
          <w:p w14:paraId="65814FA1">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0.575</w:t>
            </w:r>
          </w:p>
        </w:tc>
        <w:tc>
          <w:tcPr>
            <w:tcW w:w="1989" w:type="dxa"/>
            <w:vAlign w:val="top"/>
          </w:tcPr>
          <w:p w14:paraId="092815A0">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0.562</w:t>
            </w:r>
          </w:p>
        </w:tc>
      </w:tr>
      <w:tr w14:paraId="34442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C17B012">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-27</w:t>
            </w:r>
          </w:p>
        </w:tc>
        <w:tc>
          <w:tcPr>
            <w:tcW w:w="1842" w:type="dxa"/>
            <w:vAlign w:val="top"/>
          </w:tcPr>
          <w:p w14:paraId="167B8009">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0.130</w:t>
            </w:r>
          </w:p>
        </w:tc>
        <w:tc>
          <w:tcPr>
            <w:tcW w:w="1840" w:type="dxa"/>
            <w:vAlign w:val="top"/>
          </w:tcPr>
          <w:p w14:paraId="4D2C0CAA">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0.108</w:t>
            </w:r>
          </w:p>
        </w:tc>
        <w:tc>
          <w:tcPr>
            <w:tcW w:w="1843" w:type="dxa"/>
            <w:vAlign w:val="top"/>
          </w:tcPr>
          <w:p w14:paraId="4577E1B8">
            <w:pPr>
              <w:spacing w:before="88" w:line="217"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0.611</w:t>
            </w:r>
          </w:p>
        </w:tc>
        <w:tc>
          <w:tcPr>
            <w:tcW w:w="1989" w:type="dxa"/>
            <w:vAlign w:val="top"/>
          </w:tcPr>
          <w:p w14:paraId="5F68C43C">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0.596</w:t>
            </w:r>
          </w:p>
        </w:tc>
      </w:tr>
      <w:tr w14:paraId="5E943F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D4F0A6F">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-26</w:t>
            </w:r>
          </w:p>
        </w:tc>
        <w:tc>
          <w:tcPr>
            <w:tcW w:w="1842" w:type="dxa"/>
            <w:vAlign w:val="top"/>
          </w:tcPr>
          <w:p w14:paraId="27A8EC64">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0.131</w:t>
            </w:r>
          </w:p>
        </w:tc>
        <w:tc>
          <w:tcPr>
            <w:tcW w:w="1840" w:type="dxa"/>
            <w:vAlign w:val="top"/>
          </w:tcPr>
          <w:p w14:paraId="482386D9">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0.107</w:t>
            </w:r>
          </w:p>
        </w:tc>
        <w:tc>
          <w:tcPr>
            <w:tcW w:w="1843" w:type="dxa"/>
            <w:vAlign w:val="top"/>
          </w:tcPr>
          <w:p w14:paraId="0CF780CE">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0.650</w:t>
            </w:r>
          </w:p>
        </w:tc>
        <w:tc>
          <w:tcPr>
            <w:tcW w:w="1989" w:type="dxa"/>
            <w:vAlign w:val="top"/>
          </w:tcPr>
          <w:p w14:paraId="3CB4FAC6">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0.633</w:t>
            </w:r>
          </w:p>
        </w:tc>
      </w:tr>
      <w:tr w14:paraId="50C7DF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799A55D">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-25</w:t>
            </w:r>
          </w:p>
        </w:tc>
        <w:tc>
          <w:tcPr>
            <w:tcW w:w="1842" w:type="dxa"/>
            <w:vAlign w:val="top"/>
          </w:tcPr>
          <w:p w14:paraId="699C7DBE">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0.131</w:t>
            </w:r>
          </w:p>
        </w:tc>
        <w:tc>
          <w:tcPr>
            <w:tcW w:w="1840" w:type="dxa"/>
            <w:vAlign w:val="top"/>
          </w:tcPr>
          <w:p w14:paraId="20F99BA0">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0.104</w:t>
            </w:r>
          </w:p>
        </w:tc>
        <w:tc>
          <w:tcPr>
            <w:tcW w:w="1843" w:type="dxa"/>
            <w:vAlign w:val="top"/>
          </w:tcPr>
          <w:p w14:paraId="4FC99BDE">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0.693</w:t>
            </w:r>
          </w:p>
        </w:tc>
        <w:tc>
          <w:tcPr>
            <w:tcW w:w="1989" w:type="dxa"/>
            <w:vAlign w:val="top"/>
          </w:tcPr>
          <w:p w14:paraId="3030001E">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0.674</w:t>
            </w:r>
          </w:p>
        </w:tc>
      </w:tr>
      <w:tr w14:paraId="6A58A6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47E176CD">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-24</w:t>
            </w:r>
          </w:p>
        </w:tc>
        <w:tc>
          <w:tcPr>
            <w:tcW w:w="1842" w:type="dxa"/>
            <w:vAlign w:val="top"/>
          </w:tcPr>
          <w:p w14:paraId="752DC085">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0.131</w:t>
            </w:r>
          </w:p>
        </w:tc>
        <w:tc>
          <w:tcPr>
            <w:tcW w:w="1840" w:type="dxa"/>
            <w:vAlign w:val="top"/>
          </w:tcPr>
          <w:p w14:paraId="6DC40170">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0.100</w:t>
            </w:r>
          </w:p>
        </w:tc>
        <w:tc>
          <w:tcPr>
            <w:tcW w:w="1843" w:type="dxa"/>
            <w:vAlign w:val="top"/>
          </w:tcPr>
          <w:p w14:paraId="53F7431C">
            <w:pPr>
              <w:spacing w:before="90"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0.740</w:t>
            </w:r>
          </w:p>
        </w:tc>
        <w:tc>
          <w:tcPr>
            <w:tcW w:w="1989" w:type="dxa"/>
            <w:vAlign w:val="top"/>
          </w:tcPr>
          <w:p w14:paraId="3A3CF7A3">
            <w:pPr>
              <w:spacing w:before="90"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0.718</w:t>
            </w:r>
          </w:p>
        </w:tc>
      </w:tr>
      <w:tr w14:paraId="6DEB3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67E8836">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-23</w:t>
            </w:r>
          </w:p>
        </w:tc>
        <w:tc>
          <w:tcPr>
            <w:tcW w:w="1842" w:type="dxa"/>
            <w:vAlign w:val="top"/>
          </w:tcPr>
          <w:p w14:paraId="07EAF1C5">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0.128</w:t>
            </w:r>
          </w:p>
        </w:tc>
        <w:tc>
          <w:tcPr>
            <w:tcW w:w="1840" w:type="dxa"/>
            <w:vAlign w:val="top"/>
          </w:tcPr>
          <w:p w14:paraId="7C257524">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0.095</w:t>
            </w:r>
          </w:p>
        </w:tc>
        <w:tc>
          <w:tcPr>
            <w:tcW w:w="1843" w:type="dxa"/>
            <w:vAlign w:val="top"/>
          </w:tcPr>
          <w:p w14:paraId="7C443C80">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0.791</w:t>
            </w:r>
          </w:p>
        </w:tc>
        <w:tc>
          <w:tcPr>
            <w:tcW w:w="1989" w:type="dxa"/>
            <w:vAlign w:val="top"/>
          </w:tcPr>
          <w:p w14:paraId="11954FB1">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0.767</w:t>
            </w:r>
          </w:p>
        </w:tc>
      </w:tr>
      <w:tr w14:paraId="4B1D58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88B374A">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-22</w:t>
            </w:r>
          </w:p>
        </w:tc>
        <w:tc>
          <w:tcPr>
            <w:tcW w:w="1842" w:type="dxa"/>
            <w:vAlign w:val="top"/>
          </w:tcPr>
          <w:p w14:paraId="186740A5">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0.124</w:t>
            </w:r>
          </w:p>
        </w:tc>
        <w:tc>
          <w:tcPr>
            <w:tcW w:w="1840" w:type="dxa"/>
            <w:vAlign w:val="top"/>
          </w:tcPr>
          <w:p w14:paraId="3499AE7F">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0.088</w:t>
            </w:r>
          </w:p>
        </w:tc>
        <w:tc>
          <w:tcPr>
            <w:tcW w:w="1843" w:type="dxa"/>
            <w:vAlign w:val="top"/>
          </w:tcPr>
          <w:p w14:paraId="7957838A">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0.848</w:t>
            </w:r>
          </w:p>
        </w:tc>
        <w:tc>
          <w:tcPr>
            <w:tcW w:w="1989" w:type="dxa"/>
            <w:vAlign w:val="top"/>
          </w:tcPr>
          <w:p w14:paraId="7E460267">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0.820</w:t>
            </w:r>
          </w:p>
        </w:tc>
      </w:tr>
      <w:tr w14:paraId="4EE77E1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BB684C1">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-21</w:t>
            </w:r>
          </w:p>
        </w:tc>
        <w:tc>
          <w:tcPr>
            <w:tcW w:w="1842" w:type="dxa"/>
            <w:vAlign w:val="top"/>
          </w:tcPr>
          <w:p w14:paraId="0781B00E">
            <w:pPr>
              <w:spacing w:before="88" w:line="217"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0.118</w:t>
            </w:r>
          </w:p>
        </w:tc>
        <w:tc>
          <w:tcPr>
            <w:tcW w:w="1840" w:type="dxa"/>
            <w:vAlign w:val="top"/>
          </w:tcPr>
          <w:p w14:paraId="6D4E2DEA">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0.078</w:t>
            </w:r>
          </w:p>
        </w:tc>
        <w:tc>
          <w:tcPr>
            <w:tcW w:w="1843" w:type="dxa"/>
            <w:vAlign w:val="top"/>
          </w:tcPr>
          <w:p w14:paraId="535A7673">
            <w:pPr>
              <w:spacing w:before="88" w:line="217" w:lineRule="auto"/>
              <w:ind w:left="69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0.911</w:t>
            </w:r>
          </w:p>
        </w:tc>
        <w:tc>
          <w:tcPr>
            <w:tcW w:w="1989" w:type="dxa"/>
            <w:vAlign w:val="top"/>
          </w:tcPr>
          <w:p w14:paraId="19D9BBC5">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0.879</w:t>
            </w:r>
          </w:p>
        </w:tc>
      </w:tr>
      <w:tr w14:paraId="59EB28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AA2958C">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-20</w:t>
            </w:r>
          </w:p>
        </w:tc>
        <w:tc>
          <w:tcPr>
            <w:tcW w:w="1842" w:type="dxa"/>
            <w:vAlign w:val="top"/>
          </w:tcPr>
          <w:p w14:paraId="3D92A76B">
            <w:pPr>
              <w:spacing w:before="88" w:line="217"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0.110</w:t>
            </w:r>
          </w:p>
        </w:tc>
        <w:tc>
          <w:tcPr>
            <w:tcW w:w="1840" w:type="dxa"/>
            <w:vAlign w:val="top"/>
          </w:tcPr>
          <w:p w14:paraId="59A35F49">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0.067</w:t>
            </w:r>
          </w:p>
        </w:tc>
        <w:tc>
          <w:tcPr>
            <w:tcW w:w="1843" w:type="dxa"/>
            <w:vAlign w:val="top"/>
          </w:tcPr>
          <w:p w14:paraId="29A807A7">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0.980</w:t>
            </w:r>
          </w:p>
        </w:tc>
        <w:tc>
          <w:tcPr>
            <w:tcW w:w="1989" w:type="dxa"/>
            <w:vAlign w:val="top"/>
          </w:tcPr>
          <w:p w14:paraId="075B6D66">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0.944</w:t>
            </w:r>
          </w:p>
        </w:tc>
      </w:tr>
      <w:tr w14:paraId="7795CC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7F01C8A">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-19</w:t>
            </w:r>
          </w:p>
        </w:tc>
        <w:tc>
          <w:tcPr>
            <w:tcW w:w="1842" w:type="dxa"/>
            <w:vAlign w:val="top"/>
          </w:tcPr>
          <w:p w14:paraId="40659272">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0.099</w:t>
            </w:r>
          </w:p>
        </w:tc>
        <w:tc>
          <w:tcPr>
            <w:tcW w:w="1840" w:type="dxa"/>
            <w:vAlign w:val="top"/>
          </w:tcPr>
          <w:p w14:paraId="52F368B8">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0.055</w:t>
            </w:r>
          </w:p>
        </w:tc>
        <w:tc>
          <w:tcPr>
            <w:tcW w:w="1843" w:type="dxa"/>
            <w:vAlign w:val="top"/>
          </w:tcPr>
          <w:p w14:paraId="1D1C388A">
            <w:pPr>
              <w:spacing w:before="88"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1.057</w:t>
            </w:r>
          </w:p>
        </w:tc>
        <w:tc>
          <w:tcPr>
            <w:tcW w:w="1989" w:type="dxa"/>
            <w:vAlign w:val="top"/>
          </w:tcPr>
          <w:p w14:paraId="6E2EB81C">
            <w:pPr>
              <w:spacing w:before="88"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1.015</w:t>
            </w:r>
          </w:p>
        </w:tc>
      </w:tr>
      <w:tr w14:paraId="32DF19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36A543E6">
            <w:pPr>
              <w:spacing w:before="90"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w:t>
            </w:r>
          </w:p>
        </w:tc>
        <w:tc>
          <w:tcPr>
            <w:tcW w:w="1842" w:type="dxa"/>
            <w:vAlign w:val="top"/>
          </w:tcPr>
          <w:p w14:paraId="6E14FF9A">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0.086</w:t>
            </w:r>
          </w:p>
        </w:tc>
        <w:tc>
          <w:tcPr>
            <w:tcW w:w="1840" w:type="dxa"/>
            <w:vAlign w:val="top"/>
          </w:tcPr>
          <w:p w14:paraId="2AD9EEFD">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0.049</w:t>
            </w:r>
          </w:p>
        </w:tc>
        <w:tc>
          <w:tcPr>
            <w:tcW w:w="1843" w:type="dxa"/>
            <w:vAlign w:val="top"/>
          </w:tcPr>
          <w:p w14:paraId="6D0C661A">
            <w:pPr>
              <w:spacing w:before="90"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1.143</w:t>
            </w:r>
          </w:p>
        </w:tc>
        <w:tc>
          <w:tcPr>
            <w:tcW w:w="1989" w:type="dxa"/>
            <w:vAlign w:val="top"/>
          </w:tcPr>
          <w:p w14:paraId="556C7AE9">
            <w:pPr>
              <w:spacing w:before="90"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1.094</w:t>
            </w:r>
          </w:p>
        </w:tc>
      </w:tr>
      <w:tr w14:paraId="6B7D20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6367468">
            <w:pPr>
              <w:spacing w:before="87"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w:t>
            </w:r>
          </w:p>
        </w:tc>
        <w:tc>
          <w:tcPr>
            <w:tcW w:w="1842" w:type="dxa"/>
            <w:vAlign w:val="top"/>
          </w:tcPr>
          <w:p w14:paraId="4A54EC0E">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0.074</w:t>
            </w:r>
          </w:p>
        </w:tc>
        <w:tc>
          <w:tcPr>
            <w:tcW w:w="1840" w:type="dxa"/>
            <w:vAlign w:val="top"/>
          </w:tcPr>
          <w:p w14:paraId="2122C9BC">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0.060</w:t>
            </w:r>
          </w:p>
        </w:tc>
        <w:tc>
          <w:tcPr>
            <w:tcW w:w="1843" w:type="dxa"/>
            <w:vAlign w:val="top"/>
          </w:tcPr>
          <w:p w14:paraId="5E72AA89">
            <w:pPr>
              <w:spacing w:before="87"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1.239</w:t>
            </w:r>
          </w:p>
        </w:tc>
        <w:tc>
          <w:tcPr>
            <w:tcW w:w="1989" w:type="dxa"/>
            <w:vAlign w:val="top"/>
          </w:tcPr>
          <w:p w14:paraId="22181C56">
            <w:pPr>
              <w:spacing w:before="87"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1.182</w:t>
            </w:r>
          </w:p>
        </w:tc>
      </w:tr>
      <w:tr w14:paraId="4E20A2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0D4415A">
            <w:pPr>
              <w:spacing w:before="88" w:line="217"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w:t>
            </w:r>
          </w:p>
        </w:tc>
        <w:tc>
          <w:tcPr>
            <w:tcW w:w="1842" w:type="dxa"/>
            <w:vAlign w:val="top"/>
          </w:tcPr>
          <w:p w14:paraId="3AECE8FE">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0.072</w:t>
            </w:r>
          </w:p>
        </w:tc>
        <w:tc>
          <w:tcPr>
            <w:tcW w:w="1840" w:type="dxa"/>
            <w:vAlign w:val="top"/>
          </w:tcPr>
          <w:p w14:paraId="23AACCBC">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0.091</w:t>
            </w:r>
          </w:p>
        </w:tc>
        <w:tc>
          <w:tcPr>
            <w:tcW w:w="1843" w:type="dxa"/>
            <w:vAlign w:val="top"/>
          </w:tcPr>
          <w:p w14:paraId="497F8FE4">
            <w:pPr>
              <w:spacing w:before="88"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1.346</w:t>
            </w:r>
          </w:p>
        </w:tc>
        <w:tc>
          <w:tcPr>
            <w:tcW w:w="1989" w:type="dxa"/>
            <w:vAlign w:val="top"/>
          </w:tcPr>
          <w:p w14:paraId="1F34613D">
            <w:pPr>
              <w:spacing w:before="88"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1.280</w:t>
            </w:r>
          </w:p>
        </w:tc>
      </w:tr>
      <w:tr w14:paraId="590A2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894CD0F">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w:t>
            </w:r>
          </w:p>
        </w:tc>
        <w:tc>
          <w:tcPr>
            <w:tcW w:w="1842" w:type="dxa"/>
            <w:vAlign w:val="top"/>
          </w:tcPr>
          <w:p w14:paraId="3CD4F669">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0.093</w:t>
            </w:r>
          </w:p>
        </w:tc>
        <w:tc>
          <w:tcPr>
            <w:tcW w:w="1840" w:type="dxa"/>
            <w:vAlign w:val="top"/>
          </w:tcPr>
          <w:p w14:paraId="369B1450">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0.139</w:t>
            </w:r>
          </w:p>
        </w:tc>
        <w:tc>
          <w:tcPr>
            <w:tcW w:w="1843" w:type="dxa"/>
            <w:vAlign w:val="top"/>
          </w:tcPr>
          <w:p w14:paraId="6CC42898">
            <w:pPr>
              <w:spacing w:before="88" w:line="216"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1.467</w:t>
            </w:r>
          </w:p>
        </w:tc>
        <w:tc>
          <w:tcPr>
            <w:tcW w:w="1989" w:type="dxa"/>
            <w:vAlign w:val="top"/>
          </w:tcPr>
          <w:p w14:paraId="3C37E9BE">
            <w:pPr>
              <w:spacing w:before="88" w:line="216"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1.389</w:t>
            </w:r>
          </w:p>
        </w:tc>
      </w:tr>
      <w:tr w14:paraId="66901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FE3051D">
            <w:pPr>
              <w:spacing w:before="88" w:line="216"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w:t>
            </w:r>
          </w:p>
        </w:tc>
        <w:tc>
          <w:tcPr>
            <w:tcW w:w="1842" w:type="dxa"/>
            <w:vAlign w:val="top"/>
          </w:tcPr>
          <w:p w14:paraId="650BDCCB">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0.141</w:t>
            </w:r>
          </w:p>
        </w:tc>
        <w:tc>
          <w:tcPr>
            <w:tcW w:w="1840" w:type="dxa"/>
            <w:vAlign w:val="top"/>
          </w:tcPr>
          <w:p w14:paraId="7520777E">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0.204</w:t>
            </w:r>
          </w:p>
        </w:tc>
        <w:tc>
          <w:tcPr>
            <w:tcW w:w="1843" w:type="dxa"/>
            <w:vAlign w:val="top"/>
          </w:tcPr>
          <w:p w14:paraId="7B8C32CD">
            <w:pPr>
              <w:spacing w:before="88" w:line="216"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1.604</w:t>
            </w:r>
          </w:p>
        </w:tc>
        <w:tc>
          <w:tcPr>
            <w:tcW w:w="1989" w:type="dxa"/>
            <w:vAlign w:val="top"/>
          </w:tcPr>
          <w:p w14:paraId="0A372072">
            <w:pPr>
              <w:spacing w:before="88" w:line="216"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1.512</w:t>
            </w:r>
          </w:p>
        </w:tc>
      </w:tr>
      <w:tr w14:paraId="31D46C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AAA9E56">
            <w:pPr>
              <w:spacing w:before="89"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-13</w:t>
            </w:r>
          </w:p>
        </w:tc>
        <w:tc>
          <w:tcPr>
            <w:tcW w:w="1842" w:type="dxa"/>
            <w:vAlign w:val="top"/>
          </w:tcPr>
          <w:p w14:paraId="48F67B05">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0.214</w:t>
            </w:r>
          </w:p>
        </w:tc>
        <w:tc>
          <w:tcPr>
            <w:tcW w:w="1840" w:type="dxa"/>
            <w:vAlign w:val="top"/>
          </w:tcPr>
          <w:p w14:paraId="678E28B2">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0.288</w:t>
            </w:r>
          </w:p>
        </w:tc>
        <w:tc>
          <w:tcPr>
            <w:tcW w:w="1843" w:type="dxa"/>
            <w:vAlign w:val="top"/>
          </w:tcPr>
          <w:p w14:paraId="55FC9682">
            <w:pPr>
              <w:spacing w:before="89"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1.759</w:t>
            </w:r>
          </w:p>
        </w:tc>
        <w:tc>
          <w:tcPr>
            <w:tcW w:w="1989" w:type="dxa"/>
            <w:vAlign w:val="top"/>
          </w:tcPr>
          <w:p w14:paraId="594C29B6">
            <w:pPr>
              <w:spacing w:before="89" w:line="215"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1.649</w:t>
            </w:r>
          </w:p>
        </w:tc>
      </w:tr>
      <w:tr w14:paraId="3B70D1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2FDDA830">
            <w:pPr>
              <w:spacing w:before="92"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w:t>
            </w:r>
          </w:p>
        </w:tc>
        <w:tc>
          <w:tcPr>
            <w:tcW w:w="1842" w:type="dxa"/>
            <w:vAlign w:val="top"/>
          </w:tcPr>
          <w:p w14:paraId="79F9879B">
            <w:pPr>
              <w:spacing w:before="92"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0.312</w:t>
            </w:r>
          </w:p>
        </w:tc>
        <w:tc>
          <w:tcPr>
            <w:tcW w:w="1840" w:type="dxa"/>
            <w:vAlign w:val="top"/>
          </w:tcPr>
          <w:p w14:paraId="630FC84C">
            <w:pPr>
              <w:spacing w:before="92"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0.394</w:t>
            </w:r>
          </w:p>
        </w:tc>
        <w:tc>
          <w:tcPr>
            <w:tcW w:w="1843" w:type="dxa"/>
            <w:vAlign w:val="top"/>
          </w:tcPr>
          <w:p w14:paraId="5DD15873">
            <w:pPr>
              <w:spacing w:before="92" w:line="215"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1.935</w:t>
            </w:r>
          </w:p>
        </w:tc>
        <w:tc>
          <w:tcPr>
            <w:tcW w:w="1989" w:type="dxa"/>
            <w:vAlign w:val="top"/>
          </w:tcPr>
          <w:p w14:paraId="73E2C255">
            <w:pPr>
              <w:spacing w:before="92" w:line="215"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1.803</w:t>
            </w:r>
          </w:p>
        </w:tc>
      </w:tr>
      <w:tr w14:paraId="4FC99D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7CF6C01">
            <w:pPr>
              <w:spacing w:before="89" w:line="215" w:lineRule="auto"/>
              <w:ind w:left="649"/>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w:t>
            </w:r>
          </w:p>
        </w:tc>
        <w:tc>
          <w:tcPr>
            <w:tcW w:w="1842" w:type="dxa"/>
            <w:vAlign w:val="top"/>
          </w:tcPr>
          <w:p w14:paraId="2D6D844D">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0.442</w:t>
            </w:r>
          </w:p>
        </w:tc>
        <w:tc>
          <w:tcPr>
            <w:tcW w:w="1840" w:type="dxa"/>
            <w:vAlign w:val="top"/>
          </w:tcPr>
          <w:p w14:paraId="2F56715B">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0.526</w:t>
            </w:r>
          </w:p>
        </w:tc>
        <w:tc>
          <w:tcPr>
            <w:tcW w:w="1843" w:type="dxa"/>
            <w:vAlign w:val="top"/>
          </w:tcPr>
          <w:p w14:paraId="4ED4F68F">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2.136</w:t>
            </w:r>
          </w:p>
        </w:tc>
        <w:tc>
          <w:tcPr>
            <w:tcW w:w="1989" w:type="dxa"/>
            <w:vAlign w:val="top"/>
          </w:tcPr>
          <w:p w14:paraId="6D190D19">
            <w:pPr>
              <w:spacing w:before="89" w:line="215"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1.978</w:t>
            </w:r>
          </w:p>
        </w:tc>
      </w:tr>
      <w:tr w14:paraId="443E89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BF01E18">
            <w:pPr>
              <w:spacing w:before="90" w:line="215" w:lineRule="auto"/>
              <w:ind w:left="64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w:t>
            </w:r>
          </w:p>
        </w:tc>
        <w:tc>
          <w:tcPr>
            <w:tcW w:w="1842" w:type="dxa"/>
            <w:vAlign w:val="top"/>
          </w:tcPr>
          <w:p w14:paraId="6F75A04F">
            <w:pPr>
              <w:spacing w:before="90"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0.609</w:t>
            </w:r>
          </w:p>
        </w:tc>
        <w:tc>
          <w:tcPr>
            <w:tcW w:w="1840" w:type="dxa"/>
            <w:vAlign w:val="top"/>
          </w:tcPr>
          <w:p w14:paraId="5B35CF0B">
            <w:pPr>
              <w:spacing w:before="90"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0.692</w:t>
            </w:r>
          </w:p>
        </w:tc>
        <w:tc>
          <w:tcPr>
            <w:tcW w:w="1843" w:type="dxa"/>
            <w:vAlign w:val="top"/>
          </w:tcPr>
          <w:p w14:paraId="0B9AFF48">
            <w:pPr>
              <w:spacing w:before="90"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2.367</w:t>
            </w:r>
          </w:p>
        </w:tc>
        <w:tc>
          <w:tcPr>
            <w:tcW w:w="1989" w:type="dxa"/>
            <w:vAlign w:val="top"/>
          </w:tcPr>
          <w:p w14:paraId="4CAACB07">
            <w:pPr>
              <w:spacing w:before="90" w:line="215"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2.174</w:t>
            </w:r>
          </w:p>
        </w:tc>
      </w:tr>
      <w:tr w14:paraId="241482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82C0A8D">
            <w:pPr>
              <w:spacing w:before="90" w:line="215"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-9</w:t>
            </w:r>
          </w:p>
        </w:tc>
        <w:tc>
          <w:tcPr>
            <w:tcW w:w="1842" w:type="dxa"/>
            <w:vAlign w:val="top"/>
          </w:tcPr>
          <w:p w14:paraId="1091B37B">
            <w:pPr>
              <w:spacing w:before="90"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0.824</w:t>
            </w:r>
          </w:p>
        </w:tc>
        <w:tc>
          <w:tcPr>
            <w:tcW w:w="1840" w:type="dxa"/>
            <w:vAlign w:val="top"/>
          </w:tcPr>
          <w:p w14:paraId="791377F5">
            <w:pPr>
              <w:spacing w:before="90"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0.896</w:t>
            </w:r>
          </w:p>
        </w:tc>
        <w:tc>
          <w:tcPr>
            <w:tcW w:w="1843" w:type="dxa"/>
            <w:vAlign w:val="top"/>
          </w:tcPr>
          <w:p w14:paraId="0B69D997">
            <w:pPr>
              <w:spacing w:before="90"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2.633</w:t>
            </w:r>
          </w:p>
        </w:tc>
        <w:tc>
          <w:tcPr>
            <w:tcW w:w="1989" w:type="dxa"/>
            <w:vAlign w:val="top"/>
          </w:tcPr>
          <w:p w14:paraId="49A95EDE">
            <w:pPr>
              <w:spacing w:before="90" w:line="215"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2.396</w:t>
            </w:r>
          </w:p>
        </w:tc>
      </w:tr>
      <w:tr w14:paraId="2C38B3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A070283">
            <w:pPr>
              <w:spacing w:before="90" w:line="214"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-8</w:t>
            </w:r>
          </w:p>
        </w:tc>
        <w:tc>
          <w:tcPr>
            <w:tcW w:w="1842" w:type="dxa"/>
            <w:vAlign w:val="top"/>
          </w:tcPr>
          <w:p w14:paraId="0BCE4944">
            <w:pPr>
              <w:spacing w:before="90" w:line="214"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1.097</w:t>
            </w:r>
          </w:p>
        </w:tc>
        <w:tc>
          <w:tcPr>
            <w:tcW w:w="1840" w:type="dxa"/>
            <w:vAlign w:val="top"/>
          </w:tcPr>
          <w:p w14:paraId="7E41D322">
            <w:pPr>
              <w:spacing w:before="90" w:line="214"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1.147</w:t>
            </w:r>
          </w:p>
        </w:tc>
        <w:tc>
          <w:tcPr>
            <w:tcW w:w="1843" w:type="dxa"/>
            <w:vAlign w:val="top"/>
          </w:tcPr>
          <w:p w14:paraId="1CC049FF">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2.941</w:t>
            </w:r>
          </w:p>
        </w:tc>
        <w:tc>
          <w:tcPr>
            <w:tcW w:w="1989" w:type="dxa"/>
            <w:vAlign w:val="top"/>
          </w:tcPr>
          <w:p w14:paraId="27125871">
            <w:pPr>
              <w:spacing w:before="90" w:line="214"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2.647</w:t>
            </w:r>
          </w:p>
        </w:tc>
      </w:tr>
      <w:tr w14:paraId="276896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5E42A35">
            <w:pPr>
              <w:spacing w:before="90" w:line="215"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-7</w:t>
            </w:r>
          </w:p>
        </w:tc>
        <w:tc>
          <w:tcPr>
            <w:tcW w:w="1842" w:type="dxa"/>
            <w:vAlign w:val="top"/>
          </w:tcPr>
          <w:p w14:paraId="6C2B8CF7">
            <w:pPr>
              <w:spacing w:before="90" w:line="215"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1.441</w:t>
            </w:r>
          </w:p>
        </w:tc>
        <w:tc>
          <w:tcPr>
            <w:tcW w:w="1840" w:type="dxa"/>
            <w:vAlign w:val="top"/>
          </w:tcPr>
          <w:p w14:paraId="3A5D38DD">
            <w:pPr>
              <w:spacing w:before="90" w:line="215"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1.450</w:t>
            </w:r>
          </w:p>
        </w:tc>
        <w:tc>
          <w:tcPr>
            <w:tcW w:w="1843" w:type="dxa"/>
            <w:vAlign w:val="top"/>
          </w:tcPr>
          <w:p w14:paraId="4A22180A">
            <w:pPr>
              <w:spacing w:before="90" w:line="215"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3.295</w:t>
            </w:r>
          </w:p>
        </w:tc>
        <w:tc>
          <w:tcPr>
            <w:tcW w:w="1989" w:type="dxa"/>
            <w:vAlign w:val="top"/>
          </w:tcPr>
          <w:p w14:paraId="737AE614">
            <w:pPr>
              <w:spacing w:before="90" w:line="215"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2.927</w:t>
            </w:r>
          </w:p>
        </w:tc>
      </w:tr>
      <w:tr w14:paraId="6B153C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5DC528D1">
            <w:pPr>
              <w:spacing w:before="92" w:line="215"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-6</w:t>
            </w:r>
          </w:p>
        </w:tc>
        <w:tc>
          <w:tcPr>
            <w:tcW w:w="1842" w:type="dxa"/>
            <w:vAlign w:val="top"/>
          </w:tcPr>
          <w:p w14:paraId="0D0F0C5F">
            <w:pPr>
              <w:spacing w:before="92" w:line="215"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1.869</w:t>
            </w:r>
          </w:p>
        </w:tc>
        <w:tc>
          <w:tcPr>
            <w:tcW w:w="1840" w:type="dxa"/>
            <w:vAlign w:val="top"/>
          </w:tcPr>
          <w:p w14:paraId="454F86DD">
            <w:pPr>
              <w:spacing w:before="92" w:line="215"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1.808</w:t>
            </w:r>
          </w:p>
        </w:tc>
        <w:tc>
          <w:tcPr>
            <w:tcW w:w="1843" w:type="dxa"/>
            <w:vAlign w:val="top"/>
          </w:tcPr>
          <w:p w14:paraId="19F9A335">
            <w:pPr>
              <w:spacing w:before="92" w:line="215"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3.703</w:t>
            </w:r>
          </w:p>
        </w:tc>
        <w:tc>
          <w:tcPr>
            <w:tcW w:w="1989" w:type="dxa"/>
            <w:vAlign w:val="top"/>
          </w:tcPr>
          <w:p w14:paraId="66F9B70F">
            <w:pPr>
              <w:spacing w:before="92" w:line="215"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3.238</w:t>
            </w:r>
          </w:p>
        </w:tc>
      </w:tr>
      <w:tr w14:paraId="50303E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62FD205">
            <w:pPr>
              <w:spacing w:before="90" w:line="214"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-5</w:t>
            </w:r>
          </w:p>
        </w:tc>
        <w:tc>
          <w:tcPr>
            <w:tcW w:w="1842" w:type="dxa"/>
            <w:vAlign w:val="top"/>
          </w:tcPr>
          <w:p w14:paraId="4480DB36">
            <w:pPr>
              <w:spacing w:before="90" w:line="214"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2.385</w:t>
            </w:r>
          </w:p>
        </w:tc>
        <w:tc>
          <w:tcPr>
            <w:tcW w:w="1840" w:type="dxa"/>
            <w:vAlign w:val="top"/>
          </w:tcPr>
          <w:p w14:paraId="56FDBE1F">
            <w:pPr>
              <w:spacing w:before="90" w:line="214"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2.218</w:t>
            </w:r>
          </w:p>
        </w:tc>
        <w:tc>
          <w:tcPr>
            <w:tcW w:w="1843" w:type="dxa"/>
            <w:vAlign w:val="top"/>
          </w:tcPr>
          <w:p w14:paraId="696D6F89">
            <w:pPr>
              <w:spacing w:before="90" w:line="214"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4.164</w:t>
            </w:r>
          </w:p>
        </w:tc>
        <w:tc>
          <w:tcPr>
            <w:tcW w:w="1989" w:type="dxa"/>
            <w:vAlign w:val="top"/>
          </w:tcPr>
          <w:p w14:paraId="749EBD50">
            <w:pPr>
              <w:spacing w:before="90" w:line="214"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3.575</w:t>
            </w:r>
          </w:p>
        </w:tc>
      </w:tr>
      <w:tr w14:paraId="4B6E49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A806B5D">
            <w:pPr>
              <w:spacing w:before="91" w:line="214"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-4</w:t>
            </w:r>
          </w:p>
        </w:tc>
        <w:tc>
          <w:tcPr>
            <w:tcW w:w="1842" w:type="dxa"/>
            <w:vAlign w:val="top"/>
          </w:tcPr>
          <w:p w14:paraId="1688B194">
            <w:pPr>
              <w:spacing w:before="91" w:line="214"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2.982</w:t>
            </w:r>
          </w:p>
        </w:tc>
        <w:tc>
          <w:tcPr>
            <w:tcW w:w="1840" w:type="dxa"/>
            <w:vAlign w:val="top"/>
          </w:tcPr>
          <w:p w14:paraId="2EAF5247">
            <w:pPr>
              <w:spacing w:before="91" w:line="214"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2.665</w:t>
            </w:r>
          </w:p>
        </w:tc>
        <w:tc>
          <w:tcPr>
            <w:tcW w:w="1843" w:type="dxa"/>
            <w:vAlign w:val="top"/>
          </w:tcPr>
          <w:p w14:paraId="6F82C188">
            <w:pPr>
              <w:spacing w:before="91" w:line="214"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4.672</w:t>
            </w:r>
          </w:p>
        </w:tc>
        <w:tc>
          <w:tcPr>
            <w:tcW w:w="1989" w:type="dxa"/>
            <w:vAlign w:val="top"/>
          </w:tcPr>
          <w:p w14:paraId="0E52FA65">
            <w:pPr>
              <w:spacing w:before="91" w:line="214"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3.926</w:t>
            </w:r>
          </w:p>
        </w:tc>
      </w:tr>
      <w:tr w14:paraId="1F3F00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8BBDDDA">
            <w:pPr>
              <w:spacing w:before="90" w:line="214"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-3</w:t>
            </w:r>
          </w:p>
        </w:tc>
        <w:tc>
          <w:tcPr>
            <w:tcW w:w="1842" w:type="dxa"/>
            <w:vAlign w:val="top"/>
          </w:tcPr>
          <w:p w14:paraId="2B87A48C">
            <w:pPr>
              <w:spacing w:before="90" w:line="214"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3.624</w:t>
            </w:r>
          </w:p>
        </w:tc>
        <w:tc>
          <w:tcPr>
            <w:tcW w:w="1840" w:type="dxa"/>
            <w:vAlign w:val="top"/>
          </w:tcPr>
          <w:p w14:paraId="41AEE0EB">
            <w:pPr>
              <w:spacing w:before="90" w:line="214"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3.115</w:t>
            </w:r>
          </w:p>
        </w:tc>
        <w:tc>
          <w:tcPr>
            <w:tcW w:w="1843" w:type="dxa"/>
            <w:vAlign w:val="top"/>
          </w:tcPr>
          <w:p w14:paraId="0E91B78E">
            <w:pPr>
              <w:spacing w:before="90" w:line="214"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5.200</w:t>
            </w:r>
          </w:p>
        </w:tc>
        <w:tc>
          <w:tcPr>
            <w:tcW w:w="1989" w:type="dxa"/>
            <w:vAlign w:val="top"/>
          </w:tcPr>
          <w:p w14:paraId="16DA3C6C">
            <w:pPr>
              <w:spacing w:before="90" w:line="214"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4.271</w:t>
            </w:r>
          </w:p>
        </w:tc>
      </w:tr>
      <w:tr w14:paraId="525D92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Align w:val="top"/>
          </w:tcPr>
          <w:p w14:paraId="33B4DF08">
            <w:pPr>
              <w:spacing w:before="91" w:line="218"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-2</w:t>
            </w:r>
          </w:p>
        </w:tc>
        <w:tc>
          <w:tcPr>
            <w:tcW w:w="1842" w:type="dxa"/>
            <w:vAlign w:val="top"/>
          </w:tcPr>
          <w:p w14:paraId="66156C8A">
            <w:pPr>
              <w:spacing w:before="91" w:line="218"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4.230</w:t>
            </w:r>
          </w:p>
        </w:tc>
        <w:tc>
          <w:tcPr>
            <w:tcW w:w="1840" w:type="dxa"/>
            <w:vAlign w:val="top"/>
          </w:tcPr>
          <w:p w14:paraId="07025BA7">
            <w:pPr>
              <w:spacing w:before="91"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3.513</w:t>
            </w:r>
          </w:p>
        </w:tc>
        <w:tc>
          <w:tcPr>
            <w:tcW w:w="1843" w:type="dxa"/>
            <w:vAlign w:val="top"/>
          </w:tcPr>
          <w:p w14:paraId="1F9862E6">
            <w:pPr>
              <w:spacing w:before="91" w:line="218"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5.691</w:t>
            </w:r>
          </w:p>
        </w:tc>
        <w:tc>
          <w:tcPr>
            <w:tcW w:w="1989" w:type="dxa"/>
            <w:vAlign w:val="top"/>
          </w:tcPr>
          <w:p w14:paraId="38D9507C">
            <w:pPr>
              <w:spacing w:before="91" w:line="218"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4.572</w:t>
            </w:r>
          </w:p>
        </w:tc>
      </w:tr>
    </w:tbl>
    <w:p w14:paraId="28241212">
      <w:pPr>
        <w:rPr>
          <w:rFonts w:ascii="Arial"/>
          <w:sz w:val="21"/>
        </w:rPr>
      </w:pPr>
    </w:p>
    <w:p w14:paraId="6F5DF3AF">
      <w:pPr>
        <w:rPr>
          <w:rFonts w:ascii="Arial" w:hAnsi="Arial" w:eastAsia="Arial" w:cs="Arial"/>
          <w:sz w:val="21"/>
          <w:szCs w:val="21"/>
        </w:rPr>
        <w:sectPr>
          <w:footerReference r:id="rId121" w:type="default"/>
          <w:pgSz w:w="11907" w:h="16841"/>
          <w:pgMar w:top="400" w:right="1411" w:bottom="1126" w:left="1416" w:header="0" w:footer="925" w:gutter="0"/>
          <w:cols w:space="720" w:num="1"/>
        </w:sectPr>
      </w:pPr>
    </w:p>
    <w:p w14:paraId="180BCE06">
      <w:pPr>
        <w:spacing w:before="2"/>
      </w:pPr>
    </w:p>
    <w:p w14:paraId="56784FF1">
      <w:pPr>
        <w:spacing w:before="2"/>
      </w:pPr>
    </w:p>
    <w:p w14:paraId="0ED1C694">
      <w:pPr>
        <w:spacing w:before="1"/>
      </w:pPr>
    </w:p>
    <w:p w14:paraId="7052BDD2">
      <w:pPr>
        <w:spacing w:before="1"/>
      </w:pPr>
    </w:p>
    <w:p w14:paraId="4B827E2B">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9"/>
        <w:gridCol w:w="1842"/>
        <w:gridCol w:w="1840"/>
        <w:gridCol w:w="1843"/>
        <w:gridCol w:w="1989"/>
      </w:tblGrid>
      <w:tr w14:paraId="5FAC2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559" w:type="dxa"/>
            <w:vAlign w:val="top"/>
          </w:tcPr>
          <w:p w14:paraId="7E34ACFB">
            <w:pPr>
              <w:spacing w:before="93" w:line="217" w:lineRule="auto"/>
              <w:ind w:left="697"/>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w:t>
            </w:r>
          </w:p>
        </w:tc>
        <w:tc>
          <w:tcPr>
            <w:tcW w:w="1842" w:type="dxa"/>
            <w:vAlign w:val="top"/>
          </w:tcPr>
          <w:p w14:paraId="4D2AF05C">
            <w:pPr>
              <w:spacing w:before="93" w:line="217"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4.677</w:t>
            </w:r>
          </w:p>
        </w:tc>
        <w:tc>
          <w:tcPr>
            <w:tcW w:w="1840" w:type="dxa"/>
            <w:vAlign w:val="top"/>
          </w:tcPr>
          <w:p w14:paraId="0AFFCAEB">
            <w:pPr>
              <w:spacing w:before="93"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3.790</w:t>
            </w:r>
          </w:p>
        </w:tc>
        <w:tc>
          <w:tcPr>
            <w:tcW w:w="1843" w:type="dxa"/>
            <w:vAlign w:val="top"/>
          </w:tcPr>
          <w:p w14:paraId="47D945DE">
            <w:pPr>
              <w:spacing w:before="93" w:line="217"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6.057</w:t>
            </w:r>
          </w:p>
        </w:tc>
        <w:tc>
          <w:tcPr>
            <w:tcW w:w="1989" w:type="dxa"/>
            <w:vAlign w:val="top"/>
          </w:tcPr>
          <w:p w14:paraId="52700ED1">
            <w:pPr>
              <w:spacing w:before="93" w:line="217"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4.785</w:t>
            </w:r>
          </w:p>
        </w:tc>
      </w:tr>
      <w:tr w14:paraId="13EAE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5E060B64">
            <w:pPr>
              <w:spacing w:before="88" w:line="219"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842" w:type="dxa"/>
            <w:vAlign w:val="top"/>
          </w:tcPr>
          <w:p w14:paraId="34ECE1A0">
            <w:pPr>
              <w:spacing w:before="88" w:line="219"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4.837</w:t>
            </w:r>
          </w:p>
        </w:tc>
        <w:tc>
          <w:tcPr>
            <w:tcW w:w="1840" w:type="dxa"/>
            <w:vAlign w:val="top"/>
          </w:tcPr>
          <w:p w14:paraId="507841F9">
            <w:pPr>
              <w:spacing w:before="88"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3.885</w:t>
            </w:r>
          </w:p>
        </w:tc>
        <w:tc>
          <w:tcPr>
            <w:tcW w:w="1843" w:type="dxa"/>
            <w:vAlign w:val="top"/>
          </w:tcPr>
          <w:p w14:paraId="5FE04118">
            <w:pPr>
              <w:spacing w:before="88" w:line="219"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6.204</w:t>
            </w:r>
          </w:p>
        </w:tc>
        <w:tc>
          <w:tcPr>
            <w:tcW w:w="1989" w:type="dxa"/>
            <w:vAlign w:val="top"/>
          </w:tcPr>
          <w:p w14:paraId="2F38AE08">
            <w:pPr>
              <w:spacing w:before="88" w:line="219"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4.869</w:t>
            </w:r>
          </w:p>
        </w:tc>
      </w:tr>
      <w:tr w14:paraId="506ACE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98C69A0">
            <w:pPr>
              <w:spacing w:before="85" w:line="219" w:lineRule="auto"/>
              <w:ind w:left="749"/>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842" w:type="dxa"/>
            <w:vAlign w:val="top"/>
          </w:tcPr>
          <w:p w14:paraId="044932CF">
            <w:pPr>
              <w:spacing w:before="85" w:line="219"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4.655</w:t>
            </w:r>
          </w:p>
        </w:tc>
        <w:tc>
          <w:tcPr>
            <w:tcW w:w="1840" w:type="dxa"/>
            <w:vAlign w:val="top"/>
          </w:tcPr>
          <w:p w14:paraId="2D4160C3">
            <w:pPr>
              <w:spacing w:before="85"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3.773</w:t>
            </w:r>
          </w:p>
        </w:tc>
        <w:tc>
          <w:tcPr>
            <w:tcW w:w="1843" w:type="dxa"/>
            <w:vAlign w:val="top"/>
          </w:tcPr>
          <w:p w14:paraId="1C9EC1EA">
            <w:pPr>
              <w:spacing w:before="85" w:line="219"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6.089</w:t>
            </w:r>
          </w:p>
        </w:tc>
        <w:tc>
          <w:tcPr>
            <w:tcW w:w="1989" w:type="dxa"/>
            <w:vAlign w:val="top"/>
          </w:tcPr>
          <w:p w14:paraId="0D7735A7">
            <w:pPr>
              <w:spacing w:before="85" w:line="219"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4.806</w:t>
            </w:r>
          </w:p>
        </w:tc>
      </w:tr>
      <w:tr w14:paraId="3486FC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2648E96">
            <w:pPr>
              <w:spacing w:before="86" w:line="219" w:lineRule="auto"/>
              <w:ind w:left="728"/>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842" w:type="dxa"/>
            <w:vAlign w:val="top"/>
          </w:tcPr>
          <w:p w14:paraId="681F51F8">
            <w:pPr>
              <w:spacing w:before="86" w:line="219" w:lineRule="auto"/>
              <w:ind w:left="6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4.190</w:t>
            </w:r>
          </w:p>
        </w:tc>
        <w:tc>
          <w:tcPr>
            <w:tcW w:w="1840" w:type="dxa"/>
            <w:vAlign w:val="top"/>
          </w:tcPr>
          <w:p w14:paraId="1C788A30">
            <w:pPr>
              <w:spacing w:before="86" w:line="219"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3.480</w:t>
            </w:r>
          </w:p>
        </w:tc>
        <w:tc>
          <w:tcPr>
            <w:tcW w:w="1843" w:type="dxa"/>
            <w:vAlign w:val="top"/>
          </w:tcPr>
          <w:p w14:paraId="7FA8F649">
            <w:pPr>
              <w:spacing w:before="86" w:line="219"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5.750</w:t>
            </w:r>
          </w:p>
        </w:tc>
        <w:tc>
          <w:tcPr>
            <w:tcW w:w="1989" w:type="dxa"/>
            <w:vAlign w:val="top"/>
          </w:tcPr>
          <w:p w14:paraId="3C924F7C">
            <w:pPr>
              <w:spacing w:before="86" w:line="219"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4.610</w:t>
            </w:r>
          </w:p>
        </w:tc>
      </w:tr>
      <w:tr w14:paraId="3B5CB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510B884">
            <w:pPr>
              <w:spacing w:before="86" w:line="218" w:lineRule="auto"/>
              <w:ind w:left="733"/>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842" w:type="dxa"/>
            <w:vAlign w:val="top"/>
          </w:tcPr>
          <w:p w14:paraId="1A0F8584">
            <w:pPr>
              <w:spacing w:before="86" w:line="218"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3.573</w:t>
            </w:r>
          </w:p>
        </w:tc>
        <w:tc>
          <w:tcPr>
            <w:tcW w:w="1840" w:type="dxa"/>
            <w:vAlign w:val="top"/>
          </w:tcPr>
          <w:p w14:paraId="3DED1D34">
            <w:pPr>
              <w:spacing w:before="86"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3.071</w:t>
            </w:r>
          </w:p>
        </w:tc>
        <w:tc>
          <w:tcPr>
            <w:tcW w:w="1843" w:type="dxa"/>
            <w:vAlign w:val="top"/>
          </w:tcPr>
          <w:p w14:paraId="3F9A5E8D">
            <w:pPr>
              <w:spacing w:before="86" w:line="218" w:lineRule="auto"/>
              <w:ind w:left="6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5.277</w:t>
            </w:r>
          </w:p>
        </w:tc>
        <w:tc>
          <w:tcPr>
            <w:tcW w:w="1989" w:type="dxa"/>
            <w:vAlign w:val="top"/>
          </w:tcPr>
          <w:p w14:paraId="0EF925E7">
            <w:pPr>
              <w:spacing w:before="86" w:line="218" w:lineRule="auto"/>
              <w:ind w:left="75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4.323</w:t>
            </w:r>
          </w:p>
        </w:tc>
      </w:tr>
      <w:tr w14:paraId="430354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C9FD497">
            <w:pPr>
              <w:spacing w:before="86" w:line="218" w:lineRule="auto"/>
              <w:ind w:left="727"/>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842" w:type="dxa"/>
            <w:vAlign w:val="top"/>
          </w:tcPr>
          <w:p w14:paraId="5E94A5B2">
            <w:pPr>
              <w:spacing w:before="86" w:line="218"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2.929</w:t>
            </w:r>
          </w:p>
        </w:tc>
        <w:tc>
          <w:tcPr>
            <w:tcW w:w="1840" w:type="dxa"/>
            <w:vAlign w:val="top"/>
          </w:tcPr>
          <w:p w14:paraId="5A6604A0">
            <w:pPr>
              <w:spacing w:before="86" w:line="218"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2.617</w:t>
            </w:r>
          </w:p>
        </w:tc>
        <w:tc>
          <w:tcPr>
            <w:tcW w:w="1843" w:type="dxa"/>
            <w:vAlign w:val="top"/>
          </w:tcPr>
          <w:p w14:paraId="76973F60">
            <w:pPr>
              <w:spacing w:before="86" w:line="218"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4.759</w:t>
            </w:r>
          </w:p>
        </w:tc>
        <w:tc>
          <w:tcPr>
            <w:tcW w:w="1989" w:type="dxa"/>
            <w:vAlign w:val="top"/>
          </w:tcPr>
          <w:p w14:paraId="53C3B785">
            <w:pPr>
              <w:spacing w:before="86" w:line="218"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3.987</w:t>
            </w:r>
          </w:p>
        </w:tc>
      </w:tr>
      <w:tr w14:paraId="59BF5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C9E00B2">
            <w:pPr>
              <w:spacing w:before="87" w:line="217" w:lineRule="auto"/>
              <w:ind w:left="734"/>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842" w:type="dxa"/>
            <w:vAlign w:val="top"/>
          </w:tcPr>
          <w:p w14:paraId="3DF0432D">
            <w:pPr>
              <w:spacing w:before="87"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2.339</w:t>
            </w:r>
          </w:p>
        </w:tc>
        <w:tc>
          <w:tcPr>
            <w:tcW w:w="1840" w:type="dxa"/>
            <w:vAlign w:val="top"/>
          </w:tcPr>
          <w:p w14:paraId="27579CBE">
            <w:pPr>
              <w:spacing w:before="87" w:line="217" w:lineRule="auto"/>
              <w:ind w:left="6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2.172</w:t>
            </w:r>
          </w:p>
        </w:tc>
        <w:tc>
          <w:tcPr>
            <w:tcW w:w="1843" w:type="dxa"/>
            <w:vAlign w:val="top"/>
          </w:tcPr>
          <w:p w14:paraId="0AEE341D">
            <w:pPr>
              <w:spacing w:before="87" w:line="217"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4.254</w:t>
            </w:r>
          </w:p>
        </w:tc>
        <w:tc>
          <w:tcPr>
            <w:tcW w:w="1989" w:type="dxa"/>
            <w:vAlign w:val="top"/>
          </w:tcPr>
          <w:p w14:paraId="6C2B8816">
            <w:pPr>
              <w:spacing w:before="87"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3.639</w:t>
            </w:r>
          </w:p>
        </w:tc>
      </w:tr>
      <w:tr w14:paraId="1DBA7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2BD3FAAC">
            <w:pPr>
              <w:spacing w:before="90" w:line="217" w:lineRule="auto"/>
              <w:ind w:left="733"/>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842" w:type="dxa"/>
            <w:vAlign w:val="top"/>
          </w:tcPr>
          <w:p w14:paraId="27AE0D4A">
            <w:pPr>
              <w:spacing w:before="90"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1.838</w:t>
            </w:r>
          </w:p>
        </w:tc>
        <w:tc>
          <w:tcPr>
            <w:tcW w:w="1840" w:type="dxa"/>
            <w:vAlign w:val="top"/>
          </w:tcPr>
          <w:p w14:paraId="0662E3EA">
            <w:pPr>
              <w:spacing w:before="90"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1.770</w:t>
            </w:r>
          </w:p>
        </w:tc>
        <w:tc>
          <w:tcPr>
            <w:tcW w:w="1843" w:type="dxa"/>
            <w:vAlign w:val="top"/>
          </w:tcPr>
          <w:p w14:paraId="2D37B18B">
            <w:pPr>
              <w:spacing w:before="90"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3.790</w:t>
            </w:r>
          </w:p>
        </w:tc>
        <w:tc>
          <w:tcPr>
            <w:tcW w:w="1989" w:type="dxa"/>
            <w:vAlign w:val="top"/>
          </w:tcPr>
          <w:p w14:paraId="57B75219">
            <w:pPr>
              <w:spacing w:before="90" w:line="217" w:lineRule="auto"/>
              <w:ind w:left="76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3.303</w:t>
            </w:r>
          </w:p>
        </w:tc>
      </w:tr>
      <w:tr w14:paraId="698E3E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25F692F">
            <w:pPr>
              <w:spacing w:before="87" w:line="217"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1842" w:type="dxa"/>
            <w:vAlign w:val="top"/>
          </w:tcPr>
          <w:p w14:paraId="3A9EC40B">
            <w:pPr>
              <w:spacing w:before="87" w:line="217" w:lineRule="auto"/>
              <w:ind w:left="70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1.432</w:t>
            </w:r>
          </w:p>
        </w:tc>
        <w:tc>
          <w:tcPr>
            <w:tcW w:w="1840" w:type="dxa"/>
            <w:vAlign w:val="top"/>
          </w:tcPr>
          <w:p w14:paraId="4F64F8A4">
            <w:pPr>
              <w:spacing w:before="87"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1.424</w:t>
            </w:r>
          </w:p>
        </w:tc>
        <w:tc>
          <w:tcPr>
            <w:tcW w:w="1843" w:type="dxa"/>
            <w:vAlign w:val="top"/>
          </w:tcPr>
          <w:p w14:paraId="1487A1E7">
            <w:pPr>
              <w:spacing w:before="87"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3.378</w:t>
            </w:r>
          </w:p>
        </w:tc>
        <w:tc>
          <w:tcPr>
            <w:tcW w:w="1989" w:type="dxa"/>
            <w:vAlign w:val="top"/>
          </w:tcPr>
          <w:p w14:paraId="5DA21FF8">
            <w:pPr>
              <w:spacing w:before="87"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2.991</w:t>
            </w:r>
          </w:p>
        </w:tc>
      </w:tr>
      <w:tr w14:paraId="57A38D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DD1B7FB">
            <w:pPr>
              <w:spacing w:before="88" w:line="217" w:lineRule="auto"/>
              <w:ind w:left="737"/>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1842" w:type="dxa"/>
            <w:vAlign w:val="top"/>
          </w:tcPr>
          <w:p w14:paraId="109C73FF">
            <w:pPr>
              <w:spacing w:before="88" w:line="217" w:lineRule="auto"/>
              <w:ind w:left="710"/>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1.113</w:t>
            </w:r>
          </w:p>
        </w:tc>
        <w:tc>
          <w:tcPr>
            <w:tcW w:w="1840" w:type="dxa"/>
            <w:vAlign w:val="top"/>
          </w:tcPr>
          <w:p w14:paraId="776EFF52">
            <w:pPr>
              <w:spacing w:before="88" w:line="217" w:lineRule="auto"/>
              <w:ind w:left="70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1.138</w:t>
            </w:r>
          </w:p>
        </w:tc>
        <w:tc>
          <w:tcPr>
            <w:tcW w:w="1843" w:type="dxa"/>
            <w:vAlign w:val="top"/>
          </w:tcPr>
          <w:p w14:paraId="71CE0C19">
            <w:pPr>
              <w:spacing w:before="88" w:line="217" w:lineRule="auto"/>
              <w:ind w:left="6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3.017</w:t>
            </w:r>
          </w:p>
        </w:tc>
        <w:tc>
          <w:tcPr>
            <w:tcW w:w="1989" w:type="dxa"/>
            <w:vAlign w:val="top"/>
          </w:tcPr>
          <w:p w14:paraId="71C3A159">
            <w:pPr>
              <w:spacing w:before="88"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2.707</w:t>
            </w:r>
          </w:p>
        </w:tc>
      </w:tr>
      <w:tr w14:paraId="2B4CE2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FB7A6AC">
            <w:pPr>
              <w:spacing w:before="88" w:line="217" w:lineRule="auto"/>
              <w:ind w:left="732"/>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1842" w:type="dxa"/>
            <w:vAlign w:val="top"/>
          </w:tcPr>
          <w:p w14:paraId="66915B43">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0.868</w:t>
            </w:r>
          </w:p>
        </w:tc>
        <w:tc>
          <w:tcPr>
            <w:tcW w:w="1840" w:type="dxa"/>
            <w:vAlign w:val="top"/>
          </w:tcPr>
          <w:p w14:paraId="3D84380A">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0.906</w:t>
            </w:r>
          </w:p>
        </w:tc>
        <w:tc>
          <w:tcPr>
            <w:tcW w:w="1843" w:type="dxa"/>
            <w:vAlign w:val="top"/>
          </w:tcPr>
          <w:p w14:paraId="5DC47A0A">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2.703</w:t>
            </w:r>
          </w:p>
        </w:tc>
        <w:tc>
          <w:tcPr>
            <w:tcW w:w="1989" w:type="dxa"/>
            <w:vAlign w:val="top"/>
          </w:tcPr>
          <w:p w14:paraId="3C08E09F">
            <w:pPr>
              <w:spacing w:before="88"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2.452</w:t>
            </w:r>
          </w:p>
        </w:tc>
      </w:tr>
      <w:tr w14:paraId="1D3F0C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8727046">
            <w:pPr>
              <w:spacing w:before="87" w:line="218"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842" w:type="dxa"/>
            <w:vAlign w:val="top"/>
          </w:tcPr>
          <w:p w14:paraId="234E50D8">
            <w:pPr>
              <w:spacing w:before="87"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0.682</w:t>
            </w:r>
          </w:p>
        </w:tc>
        <w:tc>
          <w:tcPr>
            <w:tcW w:w="1840" w:type="dxa"/>
            <w:vAlign w:val="top"/>
          </w:tcPr>
          <w:p w14:paraId="0B69EE6D">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0.721</w:t>
            </w:r>
          </w:p>
        </w:tc>
        <w:tc>
          <w:tcPr>
            <w:tcW w:w="1843" w:type="dxa"/>
            <w:vAlign w:val="top"/>
          </w:tcPr>
          <w:p w14:paraId="2E594774">
            <w:pPr>
              <w:spacing w:before="87"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2.429</w:t>
            </w:r>
          </w:p>
        </w:tc>
        <w:tc>
          <w:tcPr>
            <w:tcW w:w="1989" w:type="dxa"/>
            <w:vAlign w:val="top"/>
          </w:tcPr>
          <w:p w14:paraId="1BBB2204">
            <w:pPr>
              <w:spacing w:before="87" w:line="218"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2.225</w:t>
            </w:r>
          </w:p>
        </w:tc>
      </w:tr>
      <w:tr w14:paraId="06BE82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99F7D79">
            <w:pPr>
              <w:spacing w:before="87" w:line="217" w:lineRule="auto"/>
              <w:ind w:left="701"/>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11</w:t>
            </w:r>
          </w:p>
        </w:tc>
        <w:tc>
          <w:tcPr>
            <w:tcW w:w="1842" w:type="dxa"/>
            <w:vAlign w:val="top"/>
          </w:tcPr>
          <w:p w14:paraId="45281141">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0.544</w:t>
            </w:r>
          </w:p>
        </w:tc>
        <w:tc>
          <w:tcPr>
            <w:tcW w:w="1840" w:type="dxa"/>
            <w:vAlign w:val="top"/>
          </w:tcPr>
          <w:p w14:paraId="563FD6D1">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0.575</w:t>
            </w:r>
          </w:p>
        </w:tc>
        <w:tc>
          <w:tcPr>
            <w:tcW w:w="1843" w:type="dxa"/>
            <w:vAlign w:val="top"/>
          </w:tcPr>
          <w:p w14:paraId="4FAD81D6">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2.191</w:t>
            </w:r>
          </w:p>
        </w:tc>
        <w:tc>
          <w:tcPr>
            <w:tcW w:w="1989" w:type="dxa"/>
            <w:vAlign w:val="top"/>
          </w:tcPr>
          <w:p w14:paraId="4444B25C">
            <w:pPr>
              <w:spacing w:before="87" w:line="217" w:lineRule="auto"/>
              <w:ind w:left="7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2.024</w:t>
            </w:r>
          </w:p>
        </w:tc>
      </w:tr>
      <w:tr w14:paraId="6BB303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64C28C9D">
            <w:pPr>
              <w:spacing w:before="90"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c>
          <w:tcPr>
            <w:tcW w:w="1842" w:type="dxa"/>
            <w:vAlign w:val="top"/>
          </w:tcPr>
          <w:p w14:paraId="2850DACB">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0.442</w:t>
            </w:r>
          </w:p>
        </w:tc>
        <w:tc>
          <w:tcPr>
            <w:tcW w:w="1840" w:type="dxa"/>
            <w:vAlign w:val="top"/>
          </w:tcPr>
          <w:p w14:paraId="75F3B775">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0.463</w:t>
            </w:r>
          </w:p>
        </w:tc>
        <w:tc>
          <w:tcPr>
            <w:tcW w:w="1843" w:type="dxa"/>
            <w:vAlign w:val="top"/>
          </w:tcPr>
          <w:p w14:paraId="2DC747CC">
            <w:pPr>
              <w:spacing w:before="90"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1.984</w:t>
            </w:r>
          </w:p>
        </w:tc>
        <w:tc>
          <w:tcPr>
            <w:tcW w:w="1989" w:type="dxa"/>
            <w:vAlign w:val="top"/>
          </w:tcPr>
          <w:p w14:paraId="11A2A3F7">
            <w:pPr>
              <w:spacing w:before="90"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1.845</w:t>
            </w:r>
          </w:p>
        </w:tc>
      </w:tr>
      <w:tr w14:paraId="248571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45B74F4F">
            <w:pPr>
              <w:spacing w:before="88"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13</w:t>
            </w:r>
          </w:p>
        </w:tc>
        <w:tc>
          <w:tcPr>
            <w:tcW w:w="1842" w:type="dxa"/>
            <w:vAlign w:val="top"/>
          </w:tcPr>
          <w:p w14:paraId="4F3322FC">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0.369</w:t>
            </w:r>
          </w:p>
        </w:tc>
        <w:tc>
          <w:tcPr>
            <w:tcW w:w="1840" w:type="dxa"/>
            <w:vAlign w:val="top"/>
          </w:tcPr>
          <w:p w14:paraId="1EE166B3">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0.377</w:t>
            </w:r>
          </w:p>
        </w:tc>
        <w:tc>
          <w:tcPr>
            <w:tcW w:w="1843" w:type="dxa"/>
            <w:vAlign w:val="top"/>
          </w:tcPr>
          <w:p w14:paraId="0A7FFE60">
            <w:pPr>
              <w:spacing w:before="88"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1.802</w:t>
            </w:r>
          </w:p>
        </w:tc>
        <w:tc>
          <w:tcPr>
            <w:tcW w:w="1989" w:type="dxa"/>
            <w:vAlign w:val="top"/>
          </w:tcPr>
          <w:p w14:paraId="2E955719">
            <w:pPr>
              <w:spacing w:before="88"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1.686</w:t>
            </w:r>
          </w:p>
        </w:tc>
      </w:tr>
      <w:tr w14:paraId="6FF244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7AC0B2B">
            <w:pPr>
              <w:spacing w:before="88" w:line="216"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tc>
        <w:tc>
          <w:tcPr>
            <w:tcW w:w="1842" w:type="dxa"/>
            <w:vAlign w:val="top"/>
          </w:tcPr>
          <w:p w14:paraId="2E40E95A">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0.317</w:t>
            </w:r>
          </w:p>
        </w:tc>
        <w:tc>
          <w:tcPr>
            <w:tcW w:w="1840" w:type="dxa"/>
            <w:vAlign w:val="top"/>
          </w:tcPr>
          <w:p w14:paraId="198C5F1B">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0.313</w:t>
            </w:r>
          </w:p>
        </w:tc>
        <w:tc>
          <w:tcPr>
            <w:tcW w:w="1843" w:type="dxa"/>
            <w:vAlign w:val="top"/>
          </w:tcPr>
          <w:p w14:paraId="3887CCAB">
            <w:pPr>
              <w:spacing w:before="88" w:line="216"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1.642</w:t>
            </w:r>
          </w:p>
        </w:tc>
        <w:tc>
          <w:tcPr>
            <w:tcW w:w="1989" w:type="dxa"/>
            <w:vAlign w:val="top"/>
          </w:tcPr>
          <w:p w14:paraId="3C8C0817">
            <w:pPr>
              <w:spacing w:before="88" w:line="216"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1.545</w:t>
            </w:r>
          </w:p>
        </w:tc>
      </w:tr>
      <w:tr w14:paraId="4D89DC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723B748">
            <w:pPr>
              <w:spacing w:before="88"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842" w:type="dxa"/>
            <w:vAlign w:val="top"/>
          </w:tcPr>
          <w:p w14:paraId="03FB2FCE">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0.281</w:t>
            </w:r>
          </w:p>
        </w:tc>
        <w:tc>
          <w:tcPr>
            <w:tcW w:w="1840" w:type="dxa"/>
            <w:vAlign w:val="top"/>
          </w:tcPr>
          <w:p w14:paraId="65133D7E">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0.266</w:t>
            </w:r>
          </w:p>
        </w:tc>
        <w:tc>
          <w:tcPr>
            <w:tcW w:w="1843" w:type="dxa"/>
            <w:vAlign w:val="top"/>
          </w:tcPr>
          <w:p w14:paraId="20863997">
            <w:pPr>
              <w:spacing w:before="88"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1.501</w:t>
            </w:r>
          </w:p>
        </w:tc>
        <w:tc>
          <w:tcPr>
            <w:tcW w:w="1989" w:type="dxa"/>
            <w:vAlign w:val="top"/>
          </w:tcPr>
          <w:p w14:paraId="43FABECE">
            <w:pPr>
              <w:spacing w:before="88"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1.419</w:t>
            </w:r>
          </w:p>
        </w:tc>
      </w:tr>
      <w:tr w14:paraId="2233CF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11A5767">
            <w:pPr>
              <w:spacing w:before="88" w:line="216"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tc>
        <w:tc>
          <w:tcPr>
            <w:tcW w:w="1842" w:type="dxa"/>
            <w:vAlign w:val="top"/>
          </w:tcPr>
          <w:p w14:paraId="08B33D66">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0.257</w:t>
            </w:r>
          </w:p>
        </w:tc>
        <w:tc>
          <w:tcPr>
            <w:tcW w:w="1840" w:type="dxa"/>
            <w:vAlign w:val="top"/>
          </w:tcPr>
          <w:p w14:paraId="7E4E3791">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0.233</w:t>
            </w:r>
          </w:p>
        </w:tc>
        <w:tc>
          <w:tcPr>
            <w:tcW w:w="1843" w:type="dxa"/>
            <w:vAlign w:val="top"/>
          </w:tcPr>
          <w:p w14:paraId="44A4A307">
            <w:pPr>
              <w:spacing w:before="88" w:line="216"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1.376</w:t>
            </w:r>
          </w:p>
        </w:tc>
        <w:tc>
          <w:tcPr>
            <w:tcW w:w="1989" w:type="dxa"/>
            <w:vAlign w:val="top"/>
          </w:tcPr>
          <w:p w14:paraId="5A2FD58A">
            <w:pPr>
              <w:spacing w:before="88" w:line="216"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1.306</w:t>
            </w:r>
          </w:p>
        </w:tc>
      </w:tr>
      <w:tr w14:paraId="00A11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0B1AC643">
            <w:pPr>
              <w:spacing w:before="88"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tc>
        <w:tc>
          <w:tcPr>
            <w:tcW w:w="1842" w:type="dxa"/>
            <w:vAlign w:val="top"/>
          </w:tcPr>
          <w:p w14:paraId="42BA3FA8">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0.240</w:t>
            </w:r>
          </w:p>
        </w:tc>
        <w:tc>
          <w:tcPr>
            <w:tcW w:w="1840" w:type="dxa"/>
            <w:vAlign w:val="top"/>
          </w:tcPr>
          <w:p w14:paraId="19B999B7">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0.210</w:t>
            </w:r>
          </w:p>
        </w:tc>
        <w:tc>
          <w:tcPr>
            <w:tcW w:w="1843" w:type="dxa"/>
            <w:vAlign w:val="top"/>
          </w:tcPr>
          <w:p w14:paraId="0B3C8F12">
            <w:pPr>
              <w:spacing w:before="88"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1.265</w:t>
            </w:r>
          </w:p>
        </w:tc>
        <w:tc>
          <w:tcPr>
            <w:tcW w:w="1989" w:type="dxa"/>
            <w:vAlign w:val="top"/>
          </w:tcPr>
          <w:p w14:paraId="1143C8D5">
            <w:pPr>
              <w:spacing w:before="88"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1.205</w:t>
            </w:r>
          </w:p>
        </w:tc>
      </w:tr>
      <w:tr w14:paraId="0F3CC6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38C821FF">
            <w:pPr>
              <w:spacing w:before="90"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tc>
        <w:tc>
          <w:tcPr>
            <w:tcW w:w="1842" w:type="dxa"/>
            <w:vAlign w:val="top"/>
          </w:tcPr>
          <w:p w14:paraId="0D6F0F27">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0.228</w:t>
            </w:r>
          </w:p>
        </w:tc>
        <w:tc>
          <w:tcPr>
            <w:tcW w:w="1840" w:type="dxa"/>
            <w:vAlign w:val="top"/>
          </w:tcPr>
          <w:p w14:paraId="1838EE26">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0.195</w:t>
            </w:r>
          </w:p>
        </w:tc>
        <w:tc>
          <w:tcPr>
            <w:tcW w:w="1843" w:type="dxa"/>
            <w:vAlign w:val="top"/>
          </w:tcPr>
          <w:p w14:paraId="54989230">
            <w:pPr>
              <w:spacing w:before="90"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1.166</w:t>
            </w:r>
          </w:p>
        </w:tc>
        <w:tc>
          <w:tcPr>
            <w:tcW w:w="1989" w:type="dxa"/>
            <w:vAlign w:val="top"/>
          </w:tcPr>
          <w:p w14:paraId="46886962">
            <w:pPr>
              <w:spacing w:before="90" w:line="217" w:lineRule="auto"/>
              <w:ind w:left="78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1.115</w:t>
            </w:r>
          </w:p>
        </w:tc>
      </w:tr>
      <w:tr w14:paraId="3DB952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33095369">
            <w:pPr>
              <w:spacing w:before="88" w:line="217" w:lineRule="auto"/>
              <w:ind w:left="69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tc>
        <w:tc>
          <w:tcPr>
            <w:tcW w:w="1842" w:type="dxa"/>
            <w:vAlign w:val="top"/>
          </w:tcPr>
          <w:p w14:paraId="298ECF67">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0.218</w:t>
            </w:r>
          </w:p>
        </w:tc>
        <w:tc>
          <w:tcPr>
            <w:tcW w:w="1840" w:type="dxa"/>
            <w:vAlign w:val="top"/>
          </w:tcPr>
          <w:p w14:paraId="4E5614E4">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0.184</w:t>
            </w:r>
          </w:p>
        </w:tc>
        <w:tc>
          <w:tcPr>
            <w:tcW w:w="1843" w:type="dxa"/>
            <w:vAlign w:val="top"/>
          </w:tcPr>
          <w:p w14:paraId="583444FD">
            <w:pPr>
              <w:spacing w:before="88" w:line="217" w:lineRule="auto"/>
              <w:ind w:left="70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1.078</w:t>
            </w:r>
          </w:p>
        </w:tc>
        <w:tc>
          <w:tcPr>
            <w:tcW w:w="1989" w:type="dxa"/>
            <w:vAlign w:val="top"/>
          </w:tcPr>
          <w:p w14:paraId="6A381727">
            <w:pPr>
              <w:spacing w:before="88" w:line="217"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1.034</w:t>
            </w:r>
          </w:p>
        </w:tc>
      </w:tr>
      <w:tr w14:paraId="78DF9E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051F25A3">
            <w:pPr>
              <w:spacing w:before="88" w:line="216"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842" w:type="dxa"/>
            <w:vAlign w:val="top"/>
          </w:tcPr>
          <w:p w14:paraId="6A0EFC28">
            <w:pPr>
              <w:spacing w:before="88" w:line="216"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0.211</w:t>
            </w:r>
          </w:p>
        </w:tc>
        <w:tc>
          <w:tcPr>
            <w:tcW w:w="1840" w:type="dxa"/>
            <w:vAlign w:val="top"/>
          </w:tcPr>
          <w:p w14:paraId="7B834A77">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0.177</w:t>
            </w:r>
          </w:p>
        </w:tc>
        <w:tc>
          <w:tcPr>
            <w:tcW w:w="1843" w:type="dxa"/>
            <w:vAlign w:val="top"/>
          </w:tcPr>
          <w:p w14:paraId="3DE47F45">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0.998</w:t>
            </w:r>
          </w:p>
        </w:tc>
        <w:tc>
          <w:tcPr>
            <w:tcW w:w="1989" w:type="dxa"/>
            <w:vAlign w:val="top"/>
          </w:tcPr>
          <w:p w14:paraId="5E582D23">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0.960</w:t>
            </w:r>
          </w:p>
        </w:tc>
      </w:tr>
      <w:tr w14:paraId="4CF5BA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74CF15D">
            <w:pPr>
              <w:spacing w:before="88"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c>
          <w:tcPr>
            <w:tcW w:w="1842" w:type="dxa"/>
            <w:vAlign w:val="top"/>
          </w:tcPr>
          <w:p w14:paraId="26F514DD">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0.204</w:t>
            </w:r>
          </w:p>
        </w:tc>
        <w:tc>
          <w:tcPr>
            <w:tcW w:w="1840" w:type="dxa"/>
            <w:vAlign w:val="top"/>
          </w:tcPr>
          <w:p w14:paraId="5B6F4363">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0.172</w:t>
            </w:r>
          </w:p>
        </w:tc>
        <w:tc>
          <w:tcPr>
            <w:tcW w:w="1843" w:type="dxa"/>
            <w:vAlign w:val="top"/>
          </w:tcPr>
          <w:p w14:paraId="5FAD1748">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0.927</w:t>
            </w:r>
          </w:p>
        </w:tc>
        <w:tc>
          <w:tcPr>
            <w:tcW w:w="1989" w:type="dxa"/>
            <w:vAlign w:val="top"/>
          </w:tcPr>
          <w:p w14:paraId="4E31AD04">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0.894</w:t>
            </w:r>
          </w:p>
        </w:tc>
      </w:tr>
      <w:tr w14:paraId="331E87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6E806EF">
            <w:pPr>
              <w:spacing w:before="88"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tc>
        <w:tc>
          <w:tcPr>
            <w:tcW w:w="1842" w:type="dxa"/>
            <w:vAlign w:val="top"/>
          </w:tcPr>
          <w:p w14:paraId="1599EC71">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0.199</w:t>
            </w:r>
          </w:p>
        </w:tc>
        <w:tc>
          <w:tcPr>
            <w:tcW w:w="1840" w:type="dxa"/>
            <w:vAlign w:val="top"/>
          </w:tcPr>
          <w:p w14:paraId="0DB8348D">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0.168</w:t>
            </w:r>
          </w:p>
        </w:tc>
        <w:tc>
          <w:tcPr>
            <w:tcW w:w="1843" w:type="dxa"/>
            <w:vAlign w:val="top"/>
          </w:tcPr>
          <w:p w14:paraId="05BFCDBE">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0.863</w:t>
            </w:r>
          </w:p>
        </w:tc>
        <w:tc>
          <w:tcPr>
            <w:tcW w:w="1989" w:type="dxa"/>
            <w:vAlign w:val="top"/>
          </w:tcPr>
          <w:p w14:paraId="2BD6CD7B">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0.834</w:t>
            </w:r>
          </w:p>
        </w:tc>
      </w:tr>
      <w:tr w14:paraId="0ECF87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603319A5">
            <w:pPr>
              <w:spacing w:before="88"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tc>
        <w:tc>
          <w:tcPr>
            <w:tcW w:w="1842" w:type="dxa"/>
            <w:vAlign w:val="top"/>
          </w:tcPr>
          <w:p w14:paraId="0830884C">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0.193</w:t>
            </w:r>
          </w:p>
        </w:tc>
        <w:tc>
          <w:tcPr>
            <w:tcW w:w="1840" w:type="dxa"/>
            <w:vAlign w:val="top"/>
          </w:tcPr>
          <w:p w14:paraId="64059F39">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0.164</w:t>
            </w:r>
          </w:p>
        </w:tc>
        <w:tc>
          <w:tcPr>
            <w:tcW w:w="1843" w:type="dxa"/>
            <w:vAlign w:val="top"/>
          </w:tcPr>
          <w:p w14:paraId="6A025C43">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0.804</w:t>
            </w:r>
          </w:p>
        </w:tc>
        <w:tc>
          <w:tcPr>
            <w:tcW w:w="1989" w:type="dxa"/>
            <w:vAlign w:val="top"/>
          </w:tcPr>
          <w:p w14:paraId="64E66247">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0.779</w:t>
            </w:r>
          </w:p>
        </w:tc>
      </w:tr>
      <w:tr w14:paraId="2239ED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1E9EC41F">
            <w:pPr>
              <w:spacing w:before="90"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tc>
        <w:tc>
          <w:tcPr>
            <w:tcW w:w="1842" w:type="dxa"/>
            <w:vAlign w:val="top"/>
          </w:tcPr>
          <w:p w14:paraId="53D33D3D">
            <w:pPr>
              <w:spacing w:before="90"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0.187</w:t>
            </w:r>
          </w:p>
        </w:tc>
        <w:tc>
          <w:tcPr>
            <w:tcW w:w="1840" w:type="dxa"/>
            <w:vAlign w:val="top"/>
          </w:tcPr>
          <w:p w14:paraId="2EBA14E9">
            <w:pPr>
              <w:spacing w:before="90"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0.160</w:t>
            </w:r>
          </w:p>
        </w:tc>
        <w:tc>
          <w:tcPr>
            <w:tcW w:w="1843" w:type="dxa"/>
            <w:vAlign w:val="top"/>
          </w:tcPr>
          <w:p w14:paraId="18315C38">
            <w:pPr>
              <w:spacing w:before="90"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0.752</w:t>
            </w:r>
          </w:p>
        </w:tc>
        <w:tc>
          <w:tcPr>
            <w:tcW w:w="1989" w:type="dxa"/>
            <w:vAlign w:val="top"/>
          </w:tcPr>
          <w:p w14:paraId="73D84471">
            <w:pPr>
              <w:spacing w:before="90"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0.729</w:t>
            </w:r>
          </w:p>
        </w:tc>
      </w:tr>
      <w:tr w14:paraId="27FDA6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7B2A4154">
            <w:pPr>
              <w:spacing w:before="87"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tc>
        <w:tc>
          <w:tcPr>
            <w:tcW w:w="1842" w:type="dxa"/>
            <w:vAlign w:val="top"/>
          </w:tcPr>
          <w:p w14:paraId="6779C785">
            <w:pPr>
              <w:spacing w:before="87"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0.182</w:t>
            </w:r>
          </w:p>
        </w:tc>
        <w:tc>
          <w:tcPr>
            <w:tcW w:w="1840" w:type="dxa"/>
            <w:vAlign w:val="top"/>
          </w:tcPr>
          <w:p w14:paraId="2A1C9E95">
            <w:pPr>
              <w:spacing w:before="87"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0.157</w:t>
            </w:r>
          </w:p>
        </w:tc>
        <w:tc>
          <w:tcPr>
            <w:tcW w:w="1843" w:type="dxa"/>
            <w:vAlign w:val="top"/>
          </w:tcPr>
          <w:p w14:paraId="7B3D76F9">
            <w:pPr>
              <w:spacing w:before="87"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0.703</w:t>
            </w:r>
          </w:p>
        </w:tc>
        <w:tc>
          <w:tcPr>
            <w:tcW w:w="1989" w:type="dxa"/>
            <w:vAlign w:val="top"/>
          </w:tcPr>
          <w:p w14:paraId="254431A2">
            <w:pPr>
              <w:spacing w:before="87"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0.684</w:t>
            </w:r>
          </w:p>
        </w:tc>
      </w:tr>
      <w:tr w14:paraId="6AD487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1ACFEAC">
            <w:pPr>
              <w:spacing w:before="88" w:line="217"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tc>
        <w:tc>
          <w:tcPr>
            <w:tcW w:w="1842" w:type="dxa"/>
            <w:vAlign w:val="top"/>
          </w:tcPr>
          <w:p w14:paraId="32DAC62F">
            <w:pPr>
              <w:spacing w:before="88" w:line="217"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0.176</w:t>
            </w:r>
          </w:p>
        </w:tc>
        <w:tc>
          <w:tcPr>
            <w:tcW w:w="1840" w:type="dxa"/>
            <w:vAlign w:val="top"/>
          </w:tcPr>
          <w:p w14:paraId="7B5D357C">
            <w:pPr>
              <w:spacing w:before="88" w:line="217"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0.153</w:t>
            </w:r>
          </w:p>
        </w:tc>
        <w:tc>
          <w:tcPr>
            <w:tcW w:w="1843" w:type="dxa"/>
            <w:vAlign w:val="top"/>
          </w:tcPr>
          <w:p w14:paraId="64BD08C9">
            <w:pPr>
              <w:spacing w:before="88" w:line="217"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0.660</w:t>
            </w:r>
          </w:p>
        </w:tc>
        <w:tc>
          <w:tcPr>
            <w:tcW w:w="1989" w:type="dxa"/>
            <w:vAlign w:val="top"/>
          </w:tcPr>
          <w:p w14:paraId="6B7E584E">
            <w:pPr>
              <w:spacing w:before="88" w:line="217"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0.642</w:t>
            </w:r>
          </w:p>
        </w:tc>
      </w:tr>
      <w:tr w14:paraId="551CF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611CEF06">
            <w:pPr>
              <w:spacing w:before="88" w:line="216"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w:t>
            </w:r>
          </w:p>
        </w:tc>
        <w:tc>
          <w:tcPr>
            <w:tcW w:w="1842" w:type="dxa"/>
            <w:vAlign w:val="top"/>
          </w:tcPr>
          <w:p w14:paraId="4A50278E">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0.171</w:t>
            </w:r>
          </w:p>
        </w:tc>
        <w:tc>
          <w:tcPr>
            <w:tcW w:w="1840" w:type="dxa"/>
            <w:vAlign w:val="top"/>
          </w:tcPr>
          <w:p w14:paraId="01C85A27">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0.150</w:t>
            </w:r>
          </w:p>
        </w:tc>
        <w:tc>
          <w:tcPr>
            <w:tcW w:w="1843" w:type="dxa"/>
            <w:vAlign w:val="top"/>
          </w:tcPr>
          <w:p w14:paraId="2CA9684F">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0.620</w:t>
            </w:r>
          </w:p>
        </w:tc>
        <w:tc>
          <w:tcPr>
            <w:tcW w:w="1989" w:type="dxa"/>
            <w:vAlign w:val="top"/>
          </w:tcPr>
          <w:p w14:paraId="712E9EB8">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0.604</w:t>
            </w:r>
          </w:p>
        </w:tc>
      </w:tr>
      <w:tr w14:paraId="2F3929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20FE863D">
            <w:pPr>
              <w:spacing w:before="88" w:line="216"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w:t>
            </w:r>
          </w:p>
        </w:tc>
        <w:tc>
          <w:tcPr>
            <w:tcW w:w="1842" w:type="dxa"/>
            <w:vAlign w:val="top"/>
          </w:tcPr>
          <w:p w14:paraId="652853F3">
            <w:pPr>
              <w:spacing w:before="88" w:line="216"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0.166</w:t>
            </w:r>
          </w:p>
        </w:tc>
        <w:tc>
          <w:tcPr>
            <w:tcW w:w="1840" w:type="dxa"/>
            <w:vAlign w:val="top"/>
          </w:tcPr>
          <w:p w14:paraId="133F1166">
            <w:pPr>
              <w:spacing w:before="88" w:line="216"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0.146</w:t>
            </w:r>
          </w:p>
        </w:tc>
        <w:tc>
          <w:tcPr>
            <w:tcW w:w="1843" w:type="dxa"/>
            <w:vAlign w:val="top"/>
          </w:tcPr>
          <w:p w14:paraId="54ADE43B">
            <w:pPr>
              <w:spacing w:before="88" w:line="216"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0.583</w:t>
            </w:r>
          </w:p>
        </w:tc>
        <w:tc>
          <w:tcPr>
            <w:tcW w:w="1989" w:type="dxa"/>
            <w:vAlign w:val="top"/>
          </w:tcPr>
          <w:p w14:paraId="6031ABE7">
            <w:pPr>
              <w:spacing w:before="88" w:line="216"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0.569</w:t>
            </w:r>
          </w:p>
        </w:tc>
      </w:tr>
      <w:tr w14:paraId="429E1D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19F71E4D">
            <w:pPr>
              <w:spacing w:before="89" w:line="215" w:lineRule="auto"/>
              <w:ind w:left="6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w:t>
            </w:r>
          </w:p>
        </w:tc>
        <w:tc>
          <w:tcPr>
            <w:tcW w:w="1842" w:type="dxa"/>
            <w:vAlign w:val="top"/>
          </w:tcPr>
          <w:p w14:paraId="0FF5A350">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0.160</w:t>
            </w:r>
          </w:p>
        </w:tc>
        <w:tc>
          <w:tcPr>
            <w:tcW w:w="1840" w:type="dxa"/>
            <w:vAlign w:val="top"/>
          </w:tcPr>
          <w:p w14:paraId="0738F4B7">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0.143</w:t>
            </w:r>
          </w:p>
        </w:tc>
        <w:tc>
          <w:tcPr>
            <w:tcW w:w="1843" w:type="dxa"/>
            <w:vAlign w:val="top"/>
          </w:tcPr>
          <w:p w14:paraId="33B0E58E">
            <w:pPr>
              <w:spacing w:before="89"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0.549</w:t>
            </w:r>
          </w:p>
        </w:tc>
        <w:tc>
          <w:tcPr>
            <w:tcW w:w="1989" w:type="dxa"/>
            <w:vAlign w:val="top"/>
          </w:tcPr>
          <w:p w14:paraId="3E7CBC23">
            <w:pPr>
              <w:spacing w:before="89"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0.537</w:t>
            </w:r>
          </w:p>
        </w:tc>
      </w:tr>
      <w:tr w14:paraId="7C6FD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4D9070DF">
            <w:pPr>
              <w:spacing w:before="92"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c>
          <w:tcPr>
            <w:tcW w:w="1842" w:type="dxa"/>
            <w:vAlign w:val="top"/>
          </w:tcPr>
          <w:p w14:paraId="2E7AFEF3">
            <w:pPr>
              <w:spacing w:before="92"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0.155</w:t>
            </w:r>
          </w:p>
        </w:tc>
        <w:tc>
          <w:tcPr>
            <w:tcW w:w="1840" w:type="dxa"/>
            <w:vAlign w:val="top"/>
          </w:tcPr>
          <w:p w14:paraId="5EF525C4">
            <w:pPr>
              <w:spacing w:before="92"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0.139</w:t>
            </w:r>
          </w:p>
        </w:tc>
        <w:tc>
          <w:tcPr>
            <w:tcW w:w="1843" w:type="dxa"/>
            <w:vAlign w:val="top"/>
          </w:tcPr>
          <w:p w14:paraId="2905EBE0">
            <w:pPr>
              <w:spacing w:before="92"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0.519</w:t>
            </w:r>
          </w:p>
        </w:tc>
        <w:tc>
          <w:tcPr>
            <w:tcW w:w="1989" w:type="dxa"/>
            <w:vAlign w:val="top"/>
          </w:tcPr>
          <w:p w14:paraId="2E64DB31">
            <w:pPr>
              <w:spacing w:before="92"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0.508</w:t>
            </w:r>
          </w:p>
        </w:tc>
      </w:tr>
      <w:tr w14:paraId="738D7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704857D">
            <w:pPr>
              <w:spacing w:before="89"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31</w:t>
            </w:r>
          </w:p>
        </w:tc>
        <w:tc>
          <w:tcPr>
            <w:tcW w:w="1842" w:type="dxa"/>
            <w:vAlign w:val="top"/>
          </w:tcPr>
          <w:p w14:paraId="4F023EB1">
            <w:pPr>
              <w:spacing w:before="89"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0.150</w:t>
            </w:r>
          </w:p>
        </w:tc>
        <w:tc>
          <w:tcPr>
            <w:tcW w:w="1840" w:type="dxa"/>
            <w:vAlign w:val="top"/>
          </w:tcPr>
          <w:p w14:paraId="243A17B5">
            <w:pPr>
              <w:spacing w:before="89"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0.135</w:t>
            </w:r>
          </w:p>
        </w:tc>
        <w:tc>
          <w:tcPr>
            <w:tcW w:w="1843" w:type="dxa"/>
            <w:vAlign w:val="top"/>
          </w:tcPr>
          <w:p w14:paraId="0E7DFCD8">
            <w:pPr>
              <w:spacing w:before="89"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0.490</w:t>
            </w:r>
          </w:p>
        </w:tc>
        <w:tc>
          <w:tcPr>
            <w:tcW w:w="1989" w:type="dxa"/>
            <w:vAlign w:val="top"/>
          </w:tcPr>
          <w:p w14:paraId="78E568F3">
            <w:pPr>
              <w:spacing w:before="89"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0.480</w:t>
            </w:r>
          </w:p>
        </w:tc>
      </w:tr>
      <w:tr w14:paraId="1E1FDB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71B0B17B">
            <w:pPr>
              <w:spacing w:before="90"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32</w:t>
            </w:r>
          </w:p>
        </w:tc>
        <w:tc>
          <w:tcPr>
            <w:tcW w:w="1842" w:type="dxa"/>
            <w:vAlign w:val="top"/>
          </w:tcPr>
          <w:p w14:paraId="0A948DF2">
            <w:pPr>
              <w:spacing w:before="90"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0.145</w:t>
            </w:r>
          </w:p>
        </w:tc>
        <w:tc>
          <w:tcPr>
            <w:tcW w:w="1840" w:type="dxa"/>
            <w:vAlign w:val="top"/>
          </w:tcPr>
          <w:p w14:paraId="2913D392">
            <w:pPr>
              <w:spacing w:before="90"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0.131</w:t>
            </w:r>
          </w:p>
        </w:tc>
        <w:tc>
          <w:tcPr>
            <w:tcW w:w="1843" w:type="dxa"/>
            <w:vAlign w:val="top"/>
          </w:tcPr>
          <w:p w14:paraId="4ED93819">
            <w:pPr>
              <w:spacing w:before="90"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0.464</w:t>
            </w:r>
          </w:p>
        </w:tc>
        <w:tc>
          <w:tcPr>
            <w:tcW w:w="1989" w:type="dxa"/>
            <w:vAlign w:val="top"/>
          </w:tcPr>
          <w:p w14:paraId="5C75D0B1">
            <w:pPr>
              <w:spacing w:before="90"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0.455</w:t>
            </w:r>
          </w:p>
        </w:tc>
      </w:tr>
      <w:tr w14:paraId="3CAA1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1181FF3C">
            <w:pPr>
              <w:spacing w:before="90"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33</w:t>
            </w:r>
          </w:p>
        </w:tc>
        <w:tc>
          <w:tcPr>
            <w:tcW w:w="1842" w:type="dxa"/>
            <w:vAlign w:val="top"/>
          </w:tcPr>
          <w:p w14:paraId="0F6F78BC">
            <w:pPr>
              <w:spacing w:before="90"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0.140</w:t>
            </w:r>
          </w:p>
        </w:tc>
        <w:tc>
          <w:tcPr>
            <w:tcW w:w="1840" w:type="dxa"/>
            <w:vAlign w:val="top"/>
          </w:tcPr>
          <w:p w14:paraId="3DDDFABB">
            <w:pPr>
              <w:spacing w:before="90"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0.128</w:t>
            </w:r>
          </w:p>
        </w:tc>
        <w:tc>
          <w:tcPr>
            <w:tcW w:w="1843" w:type="dxa"/>
            <w:vAlign w:val="top"/>
          </w:tcPr>
          <w:p w14:paraId="6B21AF7E">
            <w:pPr>
              <w:spacing w:before="90"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0.439</w:t>
            </w:r>
          </w:p>
        </w:tc>
        <w:tc>
          <w:tcPr>
            <w:tcW w:w="1989" w:type="dxa"/>
            <w:vAlign w:val="top"/>
          </w:tcPr>
          <w:p w14:paraId="107387DE">
            <w:pPr>
              <w:spacing w:before="90"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0.432</w:t>
            </w:r>
          </w:p>
        </w:tc>
      </w:tr>
      <w:tr w14:paraId="630FFE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EE9D7E6">
            <w:pPr>
              <w:spacing w:before="90" w:line="214"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34</w:t>
            </w:r>
          </w:p>
        </w:tc>
        <w:tc>
          <w:tcPr>
            <w:tcW w:w="1842" w:type="dxa"/>
            <w:vAlign w:val="top"/>
          </w:tcPr>
          <w:p w14:paraId="3B8A398C">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0.136</w:t>
            </w:r>
          </w:p>
        </w:tc>
        <w:tc>
          <w:tcPr>
            <w:tcW w:w="1840" w:type="dxa"/>
            <w:vAlign w:val="top"/>
          </w:tcPr>
          <w:p w14:paraId="3B9B9542">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0.124</w:t>
            </w:r>
          </w:p>
        </w:tc>
        <w:tc>
          <w:tcPr>
            <w:tcW w:w="1843" w:type="dxa"/>
            <w:vAlign w:val="top"/>
          </w:tcPr>
          <w:p w14:paraId="1F976F29">
            <w:pPr>
              <w:spacing w:before="90"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0.417</w:t>
            </w:r>
          </w:p>
        </w:tc>
        <w:tc>
          <w:tcPr>
            <w:tcW w:w="1989" w:type="dxa"/>
            <w:vAlign w:val="top"/>
          </w:tcPr>
          <w:p w14:paraId="769AABD7">
            <w:pPr>
              <w:spacing w:before="90"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0.410</w:t>
            </w:r>
          </w:p>
        </w:tc>
      </w:tr>
      <w:tr w14:paraId="108E8F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55D99B43">
            <w:pPr>
              <w:spacing w:before="90"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w:t>
            </w:r>
          </w:p>
        </w:tc>
        <w:tc>
          <w:tcPr>
            <w:tcW w:w="1842" w:type="dxa"/>
            <w:vAlign w:val="top"/>
          </w:tcPr>
          <w:p w14:paraId="11193CD7">
            <w:pPr>
              <w:spacing w:before="90"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0.131</w:t>
            </w:r>
          </w:p>
        </w:tc>
        <w:tc>
          <w:tcPr>
            <w:tcW w:w="1840" w:type="dxa"/>
            <w:vAlign w:val="top"/>
          </w:tcPr>
          <w:p w14:paraId="3761F532">
            <w:pPr>
              <w:spacing w:before="90" w:line="215"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0.120</w:t>
            </w:r>
          </w:p>
        </w:tc>
        <w:tc>
          <w:tcPr>
            <w:tcW w:w="1843" w:type="dxa"/>
            <w:vAlign w:val="top"/>
          </w:tcPr>
          <w:p w14:paraId="5E2FEDB6">
            <w:pPr>
              <w:spacing w:before="90"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0.396</w:t>
            </w:r>
          </w:p>
        </w:tc>
        <w:tc>
          <w:tcPr>
            <w:tcW w:w="1989" w:type="dxa"/>
            <w:vAlign w:val="top"/>
          </w:tcPr>
          <w:p w14:paraId="6DAFDD73">
            <w:pPr>
              <w:spacing w:before="90"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0.390</w:t>
            </w:r>
          </w:p>
        </w:tc>
      </w:tr>
      <w:tr w14:paraId="6F11D2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559" w:type="dxa"/>
            <w:vAlign w:val="top"/>
          </w:tcPr>
          <w:p w14:paraId="35FE19E1">
            <w:pPr>
              <w:spacing w:before="92" w:line="215"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36</w:t>
            </w:r>
          </w:p>
        </w:tc>
        <w:tc>
          <w:tcPr>
            <w:tcW w:w="1842" w:type="dxa"/>
            <w:vAlign w:val="top"/>
          </w:tcPr>
          <w:p w14:paraId="5D72A004">
            <w:pPr>
              <w:spacing w:before="92" w:line="21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0.127</w:t>
            </w:r>
          </w:p>
        </w:tc>
        <w:tc>
          <w:tcPr>
            <w:tcW w:w="1840" w:type="dxa"/>
            <w:vAlign w:val="top"/>
          </w:tcPr>
          <w:p w14:paraId="6A59D103">
            <w:pPr>
              <w:spacing w:before="92" w:line="215"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0.117</w:t>
            </w:r>
          </w:p>
        </w:tc>
        <w:tc>
          <w:tcPr>
            <w:tcW w:w="1843" w:type="dxa"/>
            <w:vAlign w:val="top"/>
          </w:tcPr>
          <w:p w14:paraId="24E8ABF9">
            <w:pPr>
              <w:spacing w:before="92" w:line="215"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0.377</w:t>
            </w:r>
          </w:p>
        </w:tc>
        <w:tc>
          <w:tcPr>
            <w:tcW w:w="1989" w:type="dxa"/>
            <w:vAlign w:val="top"/>
          </w:tcPr>
          <w:p w14:paraId="2CBB348A">
            <w:pPr>
              <w:spacing w:before="92" w:line="215"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0.371</w:t>
            </w:r>
          </w:p>
        </w:tc>
      </w:tr>
      <w:tr w14:paraId="360D55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35388B9A">
            <w:pPr>
              <w:spacing w:before="90" w:line="214"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1842" w:type="dxa"/>
            <w:vAlign w:val="top"/>
          </w:tcPr>
          <w:p w14:paraId="7C7E5F75">
            <w:pPr>
              <w:spacing w:before="90" w:line="21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0.122</w:t>
            </w:r>
          </w:p>
        </w:tc>
        <w:tc>
          <w:tcPr>
            <w:tcW w:w="1840" w:type="dxa"/>
            <w:vAlign w:val="top"/>
          </w:tcPr>
          <w:p w14:paraId="34A8549D">
            <w:pPr>
              <w:spacing w:before="90" w:line="214"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0.113</w:t>
            </w:r>
          </w:p>
        </w:tc>
        <w:tc>
          <w:tcPr>
            <w:tcW w:w="1843" w:type="dxa"/>
            <w:vAlign w:val="top"/>
          </w:tcPr>
          <w:p w14:paraId="449AE373">
            <w:pPr>
              <w:spacing w:before="90"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0.359</w:t>
            </w:r>
          </w:p>
        </w:tc>
        <w:tc>
          <w:tcPr>
            <w:tcW w:w="1989" w:type="dxa"/>
            <w:vAlign w:val="top"/>
          </w:tcPr>
          <w:p w14:paraId="733B27C1">
            <w:pPr>
              <w:spacing w:before="90"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0.353</w:t>
            </w:r>
          </w:p>
        </w:tc>
      </w:tr>
      <w:tr w14:paraId="602E6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vAlign w:val="top"/>
          </w:tcPr>
          <w:p w14:paraId="2910D916">
            <w:pPr>
              <w:spacing w:before="91" w:line="214"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1842" w:type="dxa"/>
            <w:vAlign w:val="top"/>
          </w:tcPr>
          <w:p w14:paraId="58793CDD">
            <w:pPr>
              <w:spacing w:before="91" w:line="214"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0.118</w:t>
            </w:r>
          </w:p>
        </w:tc>
        <w:tc>
          <w:tcPr>
            <w:tcW w:w="1840" w:type="dxa"/>
            <w:vAlign w:val="top"/>
          </w:tcPr>
          <w:p w14:paraId="1D309148">
            <w:pPr>
              <w:spacing w:before="91" w:line="214"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0.110</w:t>
            </w:r>
          </w:p>
        </w:tc>
        <w:tc>
          <w:tcPr>
            <w:tcW w:w="1843" w:type="dxa"/>
            <w:vAlign w:val="top"/>
          </w:tcPr>
          <w:p w14:paraId="5FAD5E8E">
            <w:pPr>
              <w:spacing w:before="91"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0.342</w:t>
            </w:r>
          </w:p>
        </w:tc>
        <w:tc>
          <w:tcPr>
            <w:tcW w:w="1989" w:type="dxa"/>
            <w:vAlign w:val="top"/>
          </w:tcPr>
          <w:p w14:paraId="08AA3800">
            <w:pPr>
              <w:spacing w:before="91"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0.337</w:t>
            </w:r>
          </w:p>
        </w:tc>
      </w:tr>
      <w:tr w14:paraId="4476C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559" w:type="dxa"/>
            <w:vAlign w:val="top"/>
          </w:tcPr>
          <w:p w14:paraId="4A8F527F">
            <w:pPr>
              <w:spacing w:before="90" w:line="214" w:lineRule="auto"/>
              <w:ind w:left="68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w:t>
            </w:r>
          </w:p>
        </w:tc>
        <w:tc>
          <w:tcPr>
            <w:tcW w:w="1842" w:type="dxa"/>
            <w:vAlign w:val="top"/>
          </w:tcPr>
          <w:p w14:paraId="6C68BE52">
            <w:pPr>
              <w:spacing w:before="90" w:line="214"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0.114</w:t>
            </w:r>
          </w:p>
        </w:tc>
        <w:tc>
          <w:tcPr>
            <w:tcW w:w="1840" w:type="dxa"/>
            <w:vAlign w:val="top"/>
          </w:tcPr>
          <w:p w14:paraId="70C3F51A">
            <w:pPr>
              <w:spacing w:before="90" w:line="214"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0.106</w:t>
            </w:r>
          </w:p>
        </w:tc>
        <w:tc>
          <w:tcPr>
            <w:tcW w:w="1843" w:type="dxa"/>
            <w:vAlign w:val="top"/>
          </w:tcPr>
          <w:p w14:paraId="6B60D86D">
            <w:pPr>
              <w:spacing w:before="90" w:line="214"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0.326</w:t>
            </w:r>
          </w:p>
        </w:tc>
        <w:tc>
          <w:tcPr>
            <w:tcW w:w="1989" w:type="dxa"/>
            <w:vAlign w:val="top"/>
          </w:tcPr>
          <w:p w14:paraId="77DD3DA7">
            <w:pPr>
              <w:spacing w:before="90" w:line="214"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0.322</w:t>
            </w:r>
          </w:p>
        </w:tc>
      </w:tr>
      <w:tr w14:paraId="449078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559" w:type="dxa"/>
            <w:vAlign w:val="top"/>
          </w:tcPr>
          <w:p w14:paraId="784FDDDF">
            <w:pPr>
              <w:spacing w:before="91" w:line="218"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1842" w:type="dxa"/>
            <w:vAlign w:val="top"/>
          </w:tcPr>
          <w:p w14:paraId="206451E2">
            <w:pPr>
              <w:spacing w:before="91" w:line="218" w:lineRule="auto"/>
              <w:ind w:left="69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0.110</w:t>
            </w:r>
          </w:p>
        </w:tc>
        <w:tc>
          <w:tcPr>
            <w:tcW w:w="1840" w:type="dxa"/>
            <w:vAlign w:val="top"/>
          </w:tcPr>
          <w:p w14:paraId="116ABAF1">
            <w:pPr>
              <w:spacing w:before="91" w:line="218" w:lineRule="auto"/>
              <w:ind w:left="68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0.103</w:t>
            </w:r>
          </w:p>
        </w:tc>
        <w:tc>
          <w:tcPr>
            <w:tcW w:w="1843" w:type="dxa"/>
            <w:vAlign w:val="top"/>
          </w:tcPr>
          <w:p w14:paraId="34644559">
            <w:pPr>
              <w:spacing w:before="91" w:line="218" w:lineRule="auto"/>
              <w:ind w:left="69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0.312</w:t>
            </w:r>
          </w:p>
        </w:tc>
        <w:tc>
          <w:tcPr>
            <w:tcW w:w="1989" w:type="dxa"/>
            <w:vAlign w:val="top"/>
          </w:tcPr>
          <w:p w14:paraId="55D1FD01">
            <w:pPr>
              <w:spacing w:before="91" w:line="218" w:lineRule="auto"/>
              <w:ind w:left="7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0.307</w:t>
            </w:r>
          </w:p>
        </w:tc>
      </w:tr>
    </w:tbl>
    <w:p w14:paraId="443A9FAC">
      <w:pPr>
        <w:rPr>
          <w:rFonts w:ascii="Arial"/>
          <w:sz w:val="21"/>
        </w:rPr>
      </w:pPr>
    </w:p>
    <w:p w14:paraId="6991D0EF">
      <w:pPr>
        <w:rPr>
          <w:rFonts w:ascii="Arial" w:hAnsi="Arial" w:eastAsia="Arial" w:cs="Arial"/>
          <w:sz w:val="21"/>
          <w:szCs w:val="21"/>
        </w:rPr>
        <w:sectPr>
          <w:footerReference r:id="rId122" w:type="default"/>
          <w:pgSz w:w="11907" w:h="16841"/>
          <w:pgMar w:top="400" w:right="1411" w:bottom="1126" w:left="1416" w:header="0" w:footer="925" w:gutter="0"/>
          <w:cols w:space="720" w:num="1"/>
        </w:sectPr>
      </w:pPr>
    </w:p>
    <w:p w14:paraId="64528A9D">
      <w:pPr>
        <w:spacing w:before="2"/>
      </w:pPr>
    </w:p>
    <w:p w14:paraId="5A0A73D6">
      <w:pPr>
        <w:spacing w:before="2"/>
      </w:pPr>
    </w:p>
    <w:p w14:paraId="4DC4F9EF">
      <w:pPr>
        <w:spacing w:before="1"/>
      </w:pPr>
    </w:p>
    <w:p w14:paraId="7B6B6632">
      <w:pPr>
        <w:spacing w:before="1"/>
      </w:pPr>
    </w:p>
    <w:p w14:paraId="12965C17">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1"/>
        <w:gridCol w:w="728"/>
        <w:gridCol w:w="1843"/>
        <w:gridCol w:w="1840"/>
        <w:gridCol w:w="1843"/>
        <w:gridCol w:w="1136"/>
        <w:gridCol w:w="852"/>
      </w:tblGrid>
      <w:tr w14:paraId="1767E8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559" w:type="dxa"/>
            <w:gridSpan w:val="2"/>
            <w:vAlign w:val="top"/>
          </w:tcPr>
          <w:p w14:paraId="5BE38ADD">
            <w:pPr>
              <w:spacing w:before="93" w:line="218"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w:t>
            </w:r>
          </w:p>
        </w:tc>
        <w:tc>
          <w:tcPr>
            <w:tcW w:w="1843" w:type="dxa"/>
            <w:vAlign w:val="top"/>
          </w:tcPr>
          <w:p w14:paraId="09681BBD">
            <w:pPr>
              <w:spacing w:before="93" w:line="218"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0.107</w:t>
            </w:r>
          </w:p>
        </w:tc>
        <w:tc>
          <w:tcPr>
            <w:tcW w:w="1840" w:type="dxa"/>
            <w:vAlign w:val="top"/>
          </w:tcPr>
          <w:p w14:paraId="78C77C96">
            <w:pPr>
              <w:spacing w:before="93" w:line="218"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0.100</w:t>
            </w:r>
          </w:p>
        </w:tc>
        <w:tc>
          <w:tcPr>
            <w:tcW w:w="1843" w:type="dxa"/>
            <w:vAlign w:val="top"/>
          </w:tcPr>
          <w:p w14:paraId="784A990E">
            <w:pPr>
              <w:spacing w:before="93" w:line="218"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0.298</w:t>
            </w:r>
          </w:p>
        </w:tc>
        <w:tc>
          <w:tcPr>
            <w:tcW w:w="1988" w:type="dxa"/>
            <w:gridSpan w:val="2"/>
            <w:vAlign w:val="top"/>
          </w:tcPr>
          <w:p w14:paraId="26CAD0A4">
            <w:pPr>
              <w:spacing w:before="93" w:line="218" w:lineRule="auto"/>
              <w:ind w:left="7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0.294</w:t>
            </w:r>
          </w:p>
        </w:tc>
      </w:tr>
      <w:tr w14:paraId="234782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59" w:type="dxa"/>
            <w:gridSpan w:val="2"/>
            <w:vAlign w:val="top"/>
          </w:tcPr>
          <w:p w14:paraId="7604AC22">
            <w:pPr>
              <w:spacing w:before="87" w:line="221"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w:t>
            </w:r>
          </w:p>
        </w:tc>
        <w:tc>
          <w:tcPr>
            <w:tcW w:w="1843" w:type="dxa"/>
            <w:vAlign w:val="top"/>
          </w:tcPr>
          <w:p w14:paraId="3B8FB4F1">
            <w:pPr>
              <w:spacing w:before="87" w:line="221"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0.103</w:t>
            </w:r>
          </w:p>
        </w:tc>
        <w:tc>
          <w:tcPr>
            <w:tcW w:w="1840" w:type="dxa"/>
            <w:vAlign w:val="top"/>
          </w:tcPr>
          <w:p w14:paraId="35EB0253">
            <w:pPr>
              <w:spacing w:before="87" w:line="221"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0.097</w:t>
            </w:r>
          </w:p>
        </w:tc>
        <w:tc>
          <w:tcPr>
            <w:tcW w:w="1843" w:type="dxa"/>
            <w:vAlign w:val="top"/>
          </w:tcPr>
          <w:p w14:paraId="1A0752BD">
            <w:pPr>
              <w:spacing w:before="87" w:line="221"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0.285</w:t>
            </w:r>
          </w:p>
        </w:tc>
        <w:tc>
          <w:tcPr>
            <w:tcW w:w="1988" w:type="dxa"/>
            <w:gridSpan w:val="2"/>
            <w:vAlign w:val="top"/>
          </w:tcPr>
          <w:p w14:paraId="0F741257">
            <w:pPr>
              <w:spacing w:before="87" w:line="221" w:lineRule="auto"/>
              <w:ind w:left="7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0.282</w:t>
            </w:r>
          </w:p>
        </w:tc>
      </w:tr>
      <w:tr w14:paraId="344081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gridSpan w:val="2"/>
            <w:vAlign w:val="top"/>
          </w:tcPr>
          <w:p w14:paraId="287FAD34">
            <w:pPr>
              <w:spacing w:before="83" w:line="222"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1843" w:type="dxa"/>
            <w:vAlign w:val="top"/>
          </w:tcPr>
          <w:p w14:paraId="63DBC561">
            <w:pPr>
              <w:spacing w:before="83" w:line="222"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0.100</w:t>
            </w:r>
          </w:p>
        </w:tc>
        <w:tc>
          <w:tcPr>
            <w:tcW w:w="1840" w:type="dxa"/>
            <w:vAlign w:val="top"/>
          </w:tcPr>
          <w:p w14:paraId="1EDFE34D">
            <w:pPr>
              <w:spacing w:before="83" w:line="222"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0.094</w:t>
            </w:r>
          </w:p>
        </w:tc>
        <w:tc>
          <w:tcPr>
            <w:tcW w:w="1843" w:type="dxa"/>
            <w:vAlign w:val="top"/>
          </w:tcPr>
          <w:p w14:paraId="21ECFDFD">
            <w:pPr>
              <w:spacing w:before="83" w:line="222"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0.273</w:t>
            </w:r>
          </w:p>
        </w:tc>
        <w:tc>
          <w:tcPr>
            <w:tcW w:w="1988" w:type="dxa"/>
            <w:gridSpan w:val="2"/>
            <w:vAlign w:val="top"/>
          </w:tcPr>
          <w:p w14:paraId="0C2F3017">
            <w:pPr>
              <w:spacing w:before="83" w:line="222" w:lineRule="auto"/>
              <w:ind w:left="7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0.270</w:t>
            </w:r>
          </w:p>
        </w:tc>
      </w:tr>
      <w:tr w14:paraId="795B2A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gridSpan w:val="2"/>
            <w:vAlign w:val="top"/>
          </w:tcPr>
          <w:p w14:paraId="360538EB">
            <w:pPr>
              <w:spacing w:before="83" w:line="222"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w:t>
            </w:r>
          </w:p>
        </w:tc>
        <w:tc>
          <w:tcPr>
            <w:tcW w:w="1843" w:type="dxa"/>
            <w:vAlign w:val="top"/>
          </w:tcPr>
          <w:p w14:paraId="4AF64EDA">
            <w:pPr>
              <w:spacing w:before="83" w:line="222"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0.096</w:t>
            </w:r>
          </w:p>
        </w:tc>
        <w:tc>
          <w:tcPr>
            <w:tcW w:w="1840" w:type="dxa"/>
            <w:vAlign w:val="top"/>
          </w:tcPr>
          <w:p w14:paraId="41A975C1">
            <w:pPr>
              <w:spacing w:before="83" w:line="222"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0.091</w:t>
            </w:r>
          </w:p>
        </w:tc>
        <w:tc>
          <w:tcPr>
            <w:tcW w:w="1843" w:type="dxa"/>
            <w:vAlign w:val="top"/>
          </w:tcPr>
          <w:p w14:paraId="5361752A">
            <w:pPr>
              <w:spacing w:before="83" w:line="222"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0.262</w:t>
            </w:r>
          </w:p>
        </w:tc>
        <w:tc>
          <w:tcPr>
            <w:tcW w:w="1988" w:type="dxa"/>
            <w:gridSpan w:val="2"/>
            <w:vAlign w:val="top"/>
          </w:tcPr>
          <w:p w14:paraId="4AA48A46">
            <w:pPr>
              <w:spacing w:before="83" w:line="222" w:lineRule="auto"/>
              <w:ind w:left="7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0.259</w:t>
            </w:r>
          </w:p>
        </w:tc>
      </w:tr>
      <w:tr w14:paraId="326206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gridSpan w:val="2"/>
            <w:vAlign w:val="top"/>
          </w:tcPr>
          <w:p w14:paraId="483601E3">
            <w:pPr>
              <w:spacing w:before="83" w:line="222"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c>
          <w:tcPr>
            <w:tcW w:w="1843" w:type="dxa"/>
            <w:vAlign w:val="top"/>
          </w:tcPr>
          <w:p w14:paraId="008999C3">
            <w:pPr>
              <w:spacing w:before="83" w:line="222"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0.093</w:t>
            </w:r>
          </w:p>
        </w:tc>
        <w:tc>
          <w:tcPr>
            <w:tcW w:w="1840" w:type="dxa"/>
            <w:vAlign w:val="top"/>
          </w:tcPr>
          <w:p w14:paraId="0FE9EA08">
            <w:pPr>
              <w:spacing w:before="83" w:line="222"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0.088</w:t>
            </w:r>
          </w:p>
        </w:tc>
        <w:tc>
          <w:tcPr>
            <w:tcW w:w="1843" w:type="dxa"/>
            <w:vAlign w:val="top"/>
          </w:tcPr>
          <w:p w14:paraId="31A7CEBD">
            <w:pPr>
              <w:spacing w:before="83" w:line="222"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0.251</w:t>
            </w:r>
          </w:p>
        </w:tc>
        <w:tc>
          <w:tcPr>
            <w:tcW w:w="1988" w:type="dxa"/>
            <w:gridSpan w:val="2"/>
            <w:vAlign w:val="top"/>
          </w:tcPr>
          <w:p w14:paraId="663A2018">
            <w:pPr>
              <w:spacing w:before="83" w:line="222" w:lineRule="auto"/>
              <w:ind w:left="7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0.248</w:t>
            </w:r>
          </w:p>
        </w:tc>
      </w:tr>
      <w:tr w14:paraId="6073E7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gridSpan w:val="2"/>
            <w:vAlign w:val="top"/>
          </w:tcPr>
          <w:p w14:paraId="5B521EB1">
            <w:pPr>
              <w:spacing w:before="82" w:line="223"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w:t>
            </w:r>
          </w:p>
        </w:tc>
        <w:tc>
          <w:tcPr>
            <w:tcW w:w="1843" w:type="dxa"/>
            <w:vAlign w:val="top"/>
          </w:tcPr>
          <w:p w14:paraId="212AB531">
            <w:pPr>
              <w:spacing w:before="82" w:line="22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0.090</w:t>
            </w:r>
          </w:p>
        </w:tc>
        <w:tc>
          <w:tcPr>
            <w:tcW w:w="1840" w:type="dxa"/>
            <w:vAlign w:val="top"/>
          </w:tcPr>
          <w:p w14:paraId="670770DF">
            <w:pPr>
              <w:spacing w:before="82" w:line="223"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0.086</w:t>
            </w:r>
          </w:p>
        </w:tc>
        <w:tc>
          <w:tcPr>
            <w:tcW w:w="1843" w:type="dxa"/>
            <w:vAlign w:val="top"/>
          </w:tcPr>
          <w:p w14:paraId="77ED0A91">
            <w:pPr>
              <w:spacing w:before="82" w:line="223"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0.241</w:t>
            </w:r>
          </w:p>
        </w:tc>
        <w:tc>
          <w:tcPr>
            <w:tcW w:w="1988" w:type="dxa"/>
            <w:gridSpan w:val="2"/>
            <w:vAlign w:val="top"/>
          </w:tcPr>
          <w:p w14:paraId="688DDCAA">
            <w:pPr>
              <w:spacing w:before="82" w:line="223" w:lineRule="auto"/>
              <w:ind w:left="7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0.238</w:t>
            </w:r>
          </w:p>
        </w:tc>
      </w:tr>
      <w:tr w14:paraId="019432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gridSpan w:val="2"/>
            <w:vAlign w:val="top"/>
          </w:tcPr>
          <w:p w14:paraId="3C979571">
            <w:pPr>
              <w:spacing w:before="82" w:line="223"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w:t>
            </w:r>
          </w:p>
        </w:tc>
        <w:tc>
          <w:tcPr>
            <w:tcW w:w="1843" w:type="dxa"/>
            <w:vAlign w:val="top"/>
          </w:tcPr>
          <w:p w14:paraId="0DF141D8">
            <w:pPr>
              <w:spacing w:before="82" w:line="223"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0.087</w:t>
            </w:r>
          </w:p>
        </w:tc>
        <w:tc>
          <w:tcPr>
            <w:tcW w:w="1840" w:type="dxa"/>
            <w:vAlign w:val="top"/>
          </w:tcPr>
          <w:p w14:paraId="058D0BE3">
            <w:pPr>
              <w:spacing w:before="82" w:line="223"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0.083</w:t>
            </w:r>
          </w:p>
        </w:tc>
        <w:tc>
          <w:tcPr>
            <w:tcW w:w="1843" w:type="dxa"/>
            <w:vAlign w:val="top"/>
          </w:tcPr>
          <w:p w14:paraId="15BA9B42">
            <w:pPr>
              <w:spacing w:before="82" w:line="223"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0.231</w:t>
            </w:r>
          </w:p>
        </w:tc>
        <w:tc>
          <w:tcPr>
            <w:tcW w:w="1988" w:type="dxa"/>
            <w:gridSpan w:val="2"/>
            <w:vAlign w:val="top"/>
          </w:tcPr>
          <w:p w14:paraId="46DD5FFE">
            <w:pPr>
              <w:spacing w:before="82" w:line="223" w:lineRule="auto"/>
              <w:ind w:left="7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0.229</w:t>
            </w:r>
          </w:p>
        </w:tc>
      </w:tr>
      <w:tr w14:paraId="79DA6D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559" w:type="dxa"/>
            <w:gridSpan w:val="2"/>
            <w:vAlign w:val="top"/>
          </w:tcPr>
          <w:p w14:paraId="245E970E">
            <w:pPr>
              <w:spacing w:before="84" w:line="224"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w:t>
            </w:r>
          </w:p>
        </w:tc>
        <w:tc>
          <w:tcPr>
            <w:tcW w:w="1843" w:type="dxa"/>
            <w:vAlign w:val="top"/>
          </w:tcPr>
          <w:p w14:paraId="37958F6A">
            <w:pPr>
              <w:spacing w:before="84" w:line="224"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0.085</w:t>
            </w:r>
          </w:p>
        </w:tc>
        <w:tc>
          <w:tcPr>
            <w:tcW w:w="1840" w:type="dxa"/>
            <w:vAlign w:val="top"/>
          </w:tcPr>
          <w:p w14:paraId="583D57C1">
            <w:pPr>
              <w:spacing w:before="84" w:line="224"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0.081</w:t>
            </w:r>
          </w:p>
        </w:tc>
        <w:tc>
          <w:tcPr>
            <w:tcW w:w="1843" w:type="dxa"/>
            <w:vAlign w:val="top"/>
          </w:tcPr>
          <w:p w14:paraId="42AB9772">
            <w:pPr>
              <w:spacing w:before="84" w:line="224"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0.223</w:t>
            </w:r>
          </w:p>
        </w:tc>
        <w:tc>
          <w:tcPr>
            <w:tcW w:w="1988" w:type="dxa"/>
            <w:gridSpan w:val="2"/>
            <w:vAlign w:val="top"/>
          </w:tcPr>
          <w:p w14:paraId="6355E843">
            <w:pPr>
              <w:spacing w:before="84" w:line="224" w:lineRule="auto"/>
              <w:ind w:left="7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0.220</w:t>
            </w:r>
          </w:p>
        </w:tc>
      </w:tr>
      <w:tr w14:paraId="39A833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gridSpan w:val="2"/>
            <w:vAlign w:val="top"/>
          </w:tcPr>
          <w:p w14:paraId="0D9221A8">
            <w:pPr>
              <w:spacing w:before="80" w:line="225" w:lineRule="auto"/>
              <w:ind w:left="67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w:t>
            </w:r>
          </w:p>
        </w:tc>
        <w:tc>
          <w:tcPr>
            <w:tcW w:w="1843" w:type="dxa"/>
            <w:vAlign w:val="top"/>
          </w:tcPr>
          <w:p w14:paraId="7BE9EF2D">
            <w:pPr>
              <w:spacing w:before="80" w:line="22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0.082</w:t>
            </w:r>
          </w:p>
        </w:tc>
        <w:tc>
          <w:tcPr>
            <w:tcW w:w="1840" w:type="dxa"/>
            <w:vAlign w:val="top"/>
          </w:tcPr>
          <w:p w14:paraId="35949164">
            <w:pPr>
              <w:spacing w:before="80" w:line="225"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0.078</w:t>
            </w:r>
          </w:p>
        </w:tc>
        <w:tc>
          <w:tcPr>
            <w:tcW w:w="1843" w:type="dxa"/>
            <w:vAlign w:val="top"/>
          </w:tcPr>
          <w:p w14:paraId="6C06C6DB">
            <w:pPr>
              <w:spacing w:before="80" w:line="225"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0.214</w:t>
            </w:r>
          </w:p>
        </w:tc>
        <w:tc>
          <w:tcPr>
            <w:tcW w:w="1988" w:type="dxa"/>
            <w:gridSpan w:val="2"/>
            <w:vAlign w:val="top"/>
          </w:tcPr>
          <w:p w14:paraId="64A054CF">
            <w:pPr>
              <w:spacing w:before="80" w:line="225" w:lineRule="auto"/>
              <w:ind w:left="7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0.212</w:t>
            </w:r>
          </w:p>
        </w:tc>
      </w:tr>
      <w:tr w14:paraId="007A74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559" w:type="dxa"/>
            <w:gridSpan w:val="2"/>
            <w:vAlign w:val="top"/>
          </w:tcPr>
          <w:p w14:paraId="16586579">
            <w:pPr>
              <w:spacing w:before="80" w:line="225" w:lineRule="auto"/>
              <w:ind w:left="68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50</w:t>
            </w:r>
          </w:p>
        </w:tc>
        <w:tc>
          <w:tcPr>
            <w:tcW w:w="1843" w:type="dxa"/>
            <w:tcBorders>
              <w:bottom w:val="single" w:color="000000" w:sz="6" w:space="0"/>
            </w:tcBorders>
            <w:vAlign w:val="top"/>
          </w:tcPr>
          <w:p w14:paraId="6D7CDD14">
            <w:pPr>
              <w:spacing w:before="80" w:line="225" w:lineRule="auto"/>
              <w:ind w:left="68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0.079</w:t>
            </w:r>
          </w:p>
        </w:tc>
        <w:tc>
          <w:tcPr>
            <w:tcW w:w="1840" w:type="dxa"/>
            <w:tcBorders>
              <w:bottom w:val="single" w:color="000000" w:sz="6" w:space="0"/>
            </w:tcBorders>
            <w:vAlign w:val="top"/>
          </w:tcPr>
          <w:p w14:paraId="13EB3716">
            <w:pPr>
              <w:spacing w:before="80" w:line="225" w:lineRule="auto"/>
              <w:ind w:left="6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0.076</w:t>
            </w:r>
          </w:p>
        </w:tc>
        <w:tc>
          <w:tcPr>
            <w:tcW w:w="1843" w:type="dxa"/>
            <w:tcBorders>
              <w:bottom w:val="single" w:color="000000" w:sz="6" w:space="0"/>
            </w:tcBorders>
            <w:vAlign w:val="top"/>
          </w:tcPr>
          <w:p w14:paraId="652C4974">
            <w:pPr>
              <w:spacing w:before="80" w:line="225" w:lineRule="auto"/>
              <w:ind w:left="6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0.206</w:t>
            </w:r>
          </w:p>
        </w:tc>
        <w:tc>
          <w:tcPr>
            <w:tcW w:w="1988" w:type="dxa"/>
            <w:gridSpan w:val="2"/>
            <w:vAlign w:val="top"/>
          </w:tcPr>
          <w:p w14:paraId="124AF755">
            <w:pPr>
              <w:spacing w:before="80" w:line="225" w:lineRule="auto"/>
              <w:ind w:left="7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0.204</w:t>
            </w:r>
          </w:p>
        </w:tc>
      </w:tr>
      <w:tr w14:paraId="27991B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96" w:hRule="atLeast"/>
        </w:trPr>
        <w:tc>
          <w:tcPr>
            <w:tcW w:w="831" w:type="dxa"/>
            <w:tcBorders>
              <w:left w:val="nil"/>
              <w:bottom w:val="nil"/>
              <w:right w:val="single" w:color="000000" w:sz="6" w:space="0"/>
            </w:tcBorders>
            <w:vAlign w:val="top"/>
          </w:tcPr>
          <w:p w14:paraId="195E62E9">
            <w:pPr>
              <w:rPr>
                <w:rFonts w:ascii="Arial"/>
                <w:sz w:val="21"/>
              </w:rPr>
            </w:pPr>
          </w:p>
        </w:tc>
        <w:tc>
          <w:tcPr>
            <w:tcW w:w="7390" w:type="dxa"/>
            <w:gridSpan w:val="5"/>
            <w:tcBorders>
              <w:top w:val="single" w:color="000000" w:sz="6" w:space="0"/>
              <w:left w:val="single" w:color="000000" w:sz="6" w:space="0"/>
              <w:bottom w:val="single" w:color="000000" w:sz="6" w:space="0"/>
              <w:right w:val="single" w:color="000000" w:sz="6" w:space="0"/>
            </w:tcBorders>
            <w:vAlign w:val="top"/>
          </w:tcPr>
          <w:p w14:paraId="3EEEB903">
            <w:pPr>
              <w:pStyle w:val="6"/>
              <w:spacing w:before="218" w:line="3821" w:lineRule="exact"/>
              <w:ind w:firstLine="564"/>
            </w:pPr>
            <w:r>
              <mc:AlternateContent>
                <mc:Choice Requires="wps">
                  <w:drawing>
                    <wp:anchor distT="0" distB="0" distL="0" distR="0" simplePos="0" relativeHeight="251683840" behindDoc="0" locked="0" layoutInCell="1" allowOverlap="1">
                      <wp:simplePos x="0" y="0"/>
                      <wp:positionH relativeFrom="rightMargin">
                        <wp:posOffset>-4961890</wp:posOffset>
                      </wp:positionH>
                      <wp:positionV relativeFrom="topMargin">
                        <wp:posOffset>1191895</wp:posOffset>
                      </wp:positionV>
                      <wp:extent cx="1038860" cy="208280"/>
                      <wp:effectExtent l="0" t="0" r="0" b="0"/>
                      <wp:wrapNone/>
                      <wp:docPr id="102" name="TextBox 102"/>
                      <wp:cNvGraphicFramePr/>
                      <a:graphic xmlns:a="http://schemas.openxmlformats.org/drawingml/2006/main">
                        <a:graphicData uri="http://schemas.microsoft.com/office/word/2010/wordprocessingShape">
                          <wps:wsp>
                            <wps:cNvSpPr txBox="1"/>
                            <wps:spPr>
                              <a:xfrm rot="16200000">
                                <a:off x="-4961974" y="1192278"/>
                                <a:ext cx="1038860" cy="20827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47B54A76">
                                  <w:pPr>
                                    <w:pStyle w:val="6"/>
                                    <w:spacing w:before="56" w:line="251" w:lineRule="exact"/>
                                    <w:ind w:left="20"/>
                                    <w:rPr>
                                      <w:sz w:val="19"/>
                                      <w:szCs w:val="19"/>
                                    </w:rPr>
                                  </w:pPr>
                                  <w:r>
                                    <w:rPr>
                                      <w:color w:val="595959"/>
                                      <w:spacing w:val="4"/>
                                      <w:position w:val="1"/>
                                      <w:sz w:val="19"/>
                                      <w:szCs w:val="19"/>
                                    </w:rPr>
                                    <w:t>电场强度（</w:t>
                                  </w:r>
                                  <w:r>
                                    <w:rPr>
                                      <w:rFonts w:ascii="Times New Roman" w:hAnsi="Times New Roman" w:eastAsia="Times New Roman" w:cs="Times New Roman"/>
                                      <w:color w:val="595959"/>
                                      <w:position w:val="1"/>
                                      <w:sz w:val="19"/>
                                      <w:szCs w:val="19"/>
                                    </w:rPr>
                                    <w:t>kV</w:t>
                                  </w:r>
                                  <w:r>
                                    <w:rPr>
                                      <w:rFonts w:ascii="Times New Roman" w:hAnsi="Times New Roman" w:eastAsia="Times New Roman" w:cs="Times New Roman"/>
                                      <w:color w:val="595959"/>
                                      <w:spacing w:val="4"/>
                                      <w:position w:val="1"/>
                                      <w:sz w:val="19"/>
                                      <w:szCs w:val="19"/>
                                    </w:rPr>
                                    <w:t>/m</w:t>
                                  </w:r>
                                  <w:r>
                                    <w:rPr>
                                      <w:color w:val="595959"/>
                                      <w:spacing w:val="4"/>
                                      <w:position w:val="1"/>
                                      <w:sz w:val="19"/>
                                      <w:szCs w:val="19"/>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02" o:spid="_x0000_s1026" o:spt="202" type="#_x0000_t202" style="position:absolute;left:0pt;margin-left:-21.55pt;margin-top:94.6pt;height:16.4pt;width:81.8pt;mso-position-horizontal-relative:page;mso-position-vertical-relative:page;rotation:-5898240f;z-index:251683840;mso-width-relative:page;mso-height-relative:page;" filled="f" stroked="f" coordsize="21600,21600" o:gfxdata="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JBVKC2gAAAA0B&#10;AAAPAAAAAAAAAAEAIAAAACIAAABkcnMvZG93bnJldi54bWxQSwECFAAUAAAACACHTuJA+ix371IC&#10;AACnBAAADgAAAAAAAAABACAAAAApAQAAZHJzL2Uyb0RvYy54bWxQSwUGAAAAAAYABgBZAQAA7QUA&#10;AAAA&#10;">
                      <v:fill on="f" focussize="0,0"/>
                      <v:stroke on="f" weight="0pt" miterlimit="0" joinstyle="miter"/>
                      <v:imagedata o:title=""/>
                      <o:lock v:ext="edit" aspectratio="f"/>
                      <v:textbox inset="0mm,0mm,0mm,0mm">
                        <w:txbxContent>
                          <w:p w14:paraId="47B54A76">
                            <w:pPr>
                              <w:pStyle w:val="6"/>
                              <w:spacing w:before="56" w:line="251" w:lineRule="exact"/>
                              <w:ind w:left="20"/>
                              <w:rPr>
                                <w:sz w:val="19"/>
                                <w:szCs w:val="19"/>
                              </w:rPr>
                            </w:pPr>
                            <w:r>
                              <w:rPr>
                                <w:color w:val="595959"/>
                                <w:spacing w:val="4"/>
                                <w:position w:val="1"/>
                                <w:sz w:val="19"/>
                                <w:szCs w:val="19"/>
                              </w:rPr>
                              <w:t>电场强度（</w:t>
                            </w:r>
                            <w:r>
                              <w:rPr>
                                <w:rFonts w:ascii="Times New Roman" w:hAnsi="Times New Roman" w:eastAsia="Times New Roman" w:cs="Times New Roman"/>
                                <w:color w:val="595959"/>
                                <w:position w:val="1"/>
                                <w:sz w:val="19"/>
                                <w:szCs w:val="19"/>
                              </w:rPr>
                              <w:t>kV</w:t>
                            </w:r>
                            <w:r>
                              <w:rPr>
                                <w:rFonts w:ascii="Times New Roman" w:hAnsi="Times New Roman" w:eastAsia="Times New Roman" w:cs="Times New Roman"/>
                                <w:color w:val="595959"/>
                                <w:spacing w:val="4"/>
                                <w:position w:val="1"/>
                                <w:sz w:val="19"/>
                                <w:szCs w:val="19"/>
                              </w:rPr>
                              <w:t>/m</w:t>
                            </w:r>
                            <w:r>
                              <w:rPr>
                                <w:color w:val="595959"/>
                                <w:spacing w:val="4"/>
                                <w:position w:val="1"/>
                                <w:sz w:val="19"/>
                                <w:szCs w:val="19"/>
                              </w:rPr>
                              <w:t>）</w:t>
                            </w:r>
                          </w:p>
                        </w:txbxContent>
                      </v:textbox>
                    </v:shape>
                  </w:pict>
                </mc:Fallback>
              </mc:AlternateContent>
            </w:r>
            <w:r>
              <w:rPr>
                <w:position w:val="-76"/>
              </w:rPr>
              <w:pict>
                <v:group id="_x0000_s1299" o:spid="_x0000_s1299" o:spt="203" style="height:191.05pt;width:330.5pt;" coordsize="6610,3821">
                  <o:lock v:ext="edit"/>
                  <v:group id="_x0000_s1300" o:spid="_x0000_s1300" o:spt="203" style="position:absolute;left:412;top:52;height:3210;width:6135;" coordsize="6135,3210">
                    <o:lock v:ext="edit"/>
                    <v:shape id="_x0000_s1301" o:spid="_x0000_s1301" style="position:absolute;left:7;top:477;height:2595;width:6127;" filled="f" stroked="t" coordsize="6127,2595" path="m0,2587l6126,2587m0,2493l6126,2493m0,2402l6126,2402m0,2311l6126,2311m0,2126l6126,2126m0,2033l6126,2033m0,1941l6126,1941m0,1850l6126,1850m0,1665l6126,1665m0,1574l6126,1574m0,1481l6126,1481m0,1389l6126,1389m0,1205l6126,1205m0,1113l6126,1113m0,1020l6126,1020m0,929l6126,929m0,744l6126,744m0,653l6126,653m0,561l6126,561m0,468l6126,468m0,283l6126,283m0,192l6126,192m0,101l6126,101m0,7l6126,7e">
                      <v:fill on="f" focussize="0,0"/>
                      <v:stroke color="#F2F2F2" miterlimit="10"/>
                      <v:imagedata o:title=""/>
                      <o:lock v:ext="edit"/>
                    </v:shape>
                    <v:shape id="_x0000_s1302" o:spid="_x0000_s1302" style="position:absolute;left:7;top:386;height:2316;width:6127;" filled="f" stroked="t" coordsize="6127,2316" path="m0,2309l6126,2309m0,1848l6126,1848m0,1389l6126,1389m0,929l6126,929m0,468l6126,468m0,7l6126,7e">
                      <v:fill on="f" focussize="0,0"/>
                      <v:stroke color="#D9D9D9" miterlimit="10"/>
                      <v:imagedata o:title=""/>
                      <o:lock v:ext="edit"/>
                    </v:shape>
                    <v:shape id="_x0000_s1303" o:spid="_x0000_s1303" style="position:absolute;left:152;top:393;height:2762;width:5777;" filled="f" stroked="t" coordsize="5777,2762" path="m7,0l7,2762m309,0l309,2762m614,0l614,2762m917,0l917,2762m1219,0l1219,2762m1524,0l1524,2762m1826,0l1826,2762m2129,0l2129,2762m2433,0l2433,2762m2736,0l2736,2762m3041,0l3041,2762m3343,0l3343,2762m3645,0l3645,2762m3950,0l3950,2762m4253,0l4253,2762m4555,0l4555,2762m4860,0l4860,2762m5162,0l5162,2762m5467,0l5467,2762m5769,0l5769,2762e">
                      <v:fill on="f" focussize="0,0"/>
                      <v:stroke color="#F2F2F2" miterlimit="10"/>
                      <v:imagedata o:title=""/>
                      <o:lock v:ext="edit"/>
                    </v:shape>
                    <v:shape id="_x0000_s1304" o:spid="_x0000_s1304" style="position:absolute;left:0;top:393;height:2762;width:6080;" filled="f" stroked="t" coordsize="6080,2762" path="m7,0l7,2762m310,0l310,2762m613,0l613,2762m917,0l917,2762m1220,0l1220,2762m1525,0l1525,2762m1827,0l1827,2762m2129,0l2129,2762m2434,0l2434,2762m2737,0l2737,2762m3039,0l3039,2762m3344,0l3344,2762m3646,0l3646,2762m3951,0l3951,2762m4253,0l4253,2762m4556,0l4556,2762m4861,0l4861,2762m5163,0l5163,2762m5465,0l5465,2762m5770,0l5770,2762m6073,0l6073,2762e">
                      <v:fill on="f" focussize="0,0"/>
                      <v:stroke color="#D9D9D9" miterlimit="10"/>
                      <v:imagedata o:title=""/>
                      <o:lock v:ext="edit"/>
                    </v:shape>
                    <v:shape id="_x0000_s1305" o:spid="_x0000_s1305" style="position:absolute;left:0;top:3102;height:108;width:6135;" filled="f" stroked="t" coordsize="6135,108" path="m7,53l6134,53m7,0l7,107m310,0l310,107m613,0l613,107m917,0l917,107m1220,0l1220,107m1525,0l1525,107m1827,0l1827,107m2129,0l2129,107m2434,0l2434,107m2737,0l2737,107m3039,0l3039,107m3344,0l3344,107m3646,0l3646,107m3951,0l3951,107m4253,0l4253,107m4556,0l4556,107m4861,0l4861,107m5163,0l5163,107m5465,0l5465,107m5770,0l5770,107m6073,0l6073,107e">
                      <v:fill on="f" focussize="0,0"/>
                      <v:stroke color="#000000" miterlimit="10"/>
                      <v:imagedata o:title=""/>
                      <o:lock v:ext="edit"/>
                    </v:shape>
                    <v:shape id="_x0000_s1306" o:spid="_x0000_s1306" style="position:absolute;left:22;top:914;height:2225;width:6095;" filled="f" stroked="t" coordsize="6095,2225" path="m15,2209c35,2209,55,2208,75,2208c95,2208,116,2207,136,2207c156,2207,176,2206,196,2206c217,2206,237,2206,257,2205c277,2205,297,2204,318,2204c338,2203,358,2203,378,2203c399,2202,419,2202,439,2201c459,2201,480,2201,500,2201c520,2200,540,2200,560,2199c580,2199,601,2198,621,2198c641,2197,661,2197,682,2196c702,2196,722,2195,742,2195c762,2195,783,2194,803,2194c823,2193,843,2193,864,2192c884,2192,904,2191,924,2191c945,2190,965,2190,985,2189c1005,2189,1026,2189,1046,2188c1066,2188,1086,2187,1106,2187c1126,2186,1147,2186,1167,2186c1187,2185,1207,2185,1228,2184c1248,2184,1268,2183,1288,2183c1308,2183,1329,2182,1349,2182c1369,2182,1389,2182,1410,2182c1430,2182,1450,2181,1470,2181c1490,2181,1511,2181,1531,2181c1551,2181,1571,2181,1591,2181c1612,2181,1632,2182,1652,2183c1672,2183,1693,2184,1713,2184c1733,2185,1753,2186,1773,2187c1794,2188,1814,2189,1834,2191c1855,2192,1875,2194,1895,2196c1915,2198,1935,2200,1955,2202c1976,2204,1996,2206,2016,2207c2036,2209,2057,2210,2077,2208c2097,2207,2117,2204,2137,2199c2158,2193,2178,2186,2198,2177c2218,2167,2238,2156,2259,2143c2279,2130,2299,2115,2319,2098c2340,2080,2360,2061,2380,2038c2400,2015,2420,1990,2441,1961c2461,1932,2481,1900,2501,1862c2522,1825,2542,1784,2562,1736c2582,1689,2602,1637,2623,1578c2643,1519,2663,1453,2683,1381c2704,1309,2724,1229,2744,1143c2764,1058,2785,964,2805,869c2825,773,2845,669,2865,573c2886,477,2906,375,2926,294c2946,213,2967,135,2987,88c3006,44,3028,13,3047,15c3067,16,3088,50,3108,98c3128,148,3148,229,3169,312c3189,395,3209,500,3229,596c3249,693,3270,798,3290,893c3310,988,3330,1081,3351,1165c3371,1248,3391,1326,3411,1395c3431,1465,3452,1527,3472,1582c3492,1638,3512,1686,3533,1729c3553,1772,3573,1809,3593,1842c3613,1875,3634,1903,3654,1928c3674,1952,3694,1973,3715,1991c3735,2009,3755,2025,3775,2038c3795,2051,3816,2062,3836,2072c3856,2081,3876,2089,3897,2096c3917,2102,3937,2108,3957,2112c3977,2117,3998,2120,4018,2123c4038,2126,4058,2129,4078,2131c4099,2133,4119,2135,4139,2137c4159,2138,4180,2140,4200,2141c4220,2142,4240,2143,4260,2144c4281,2145,4301,2147,4321,2148c4341,2149,4362,2149,4382,2150c4402,2151,4422,2152,4442,2153c4463,2154,4483,2155,4503,2155c4523,2156,4543,2157,4564,2158c4584,2159,4604,2160,4625,2160c4645,2161,4665,2162,4685,2163c4705,2164,4725,2164,4746,2165c4766,2166,4786,2167,4807,2168c4827,2169,4847,2169,4867,2170c4887,2171,4907,2172,4928,2172c4948,2173,4968,2174,4988,2175c5009,2176,5029,2176,5049,2177c5069,2178,5089,2178,5110,2179c5130,2180,5150,2181,5170,2181c5191,2182,5211,2182,5231,2183c5251,2184,5271,2185,5292,2185c5312,2186,5332,2187,5352,2187c5372,2188,5393,2188,5413,2189c5433,2190,5453,2190,5474,2191c5494,2191,5514,2192,5534,2192c5555,2193,5575,2194,5595,2194c5615,2195,5635,2195,5656,2195c5676,2196,5696,2197,5716,2197c5737,2198,5757,2198,5777,2199c5797,2199,5817,2200,5838,2200c5858,2201,5878,2201,5898,2201c5918,2202,5939,2202,5959,2202c5979,2203,5999,2203,6020,2204c6040,2204,6060,2205,6080,2205e">
                      <v:fill on="f" focussize="0,0"/>
                      <v:stroke weight="1.5pt" color="#FF0000" miterlimit="10" endcap="round"/>
                      <v:imagedata o:title=""/>
                      <o:lock v:ext="edit"/>
                    </v:shape>
                    <v:shape id="_x0000_s1307" o:spid="_x0000_s1307" style="position:absolute;left:22;top:1352;height:1796;width:6095;" filled="f" stroked="t" coordsize="6095,1796" path="m15,1772c35,1772,55,1772,75,1772c95,1771,116,1771,136,1771c156,1770,176,1770,196,1770c217,1769,237,1769,257,1769c277,1768,297,1768,318,1768c338,1768,358,1767,378,1767c399,1767,419,1766,439,1766c459,1766,480,1765,500,1765c520,1765,540,1764,560,1764c580,1763,601,1763,621,1763c641,1762,661,1762,682,1762c702,1762,722,1761,742,1761c762,1761,783,1760,803,1760c823,1759,843,1759,864,1759c884,1758,904,1758,924,1758c945,1757,965,1757,985,1757c1005,1757,1026,1756,1046,1756c1066,1756,1086,1755,1106,1755c1126,1755,1147,1755,1167,1755c1187,1754,1207,1754,1228,1754c1248,1753,1268,1754,1288,1754c1308,1754,1329,1754,1349,1754c1369,1754,1389,1754,1410,1754c1430,1754,1450,1754,1470,1754c1490,1754,1511,1755,1531,1755c1551,1756,1571,1757,1591,1757c1612,1758,1632,1759,1652,1760c1672,1760,1693,1761,1713,1763c1733,1764,1753,1766,1773,1767c1794,1769,1814,1771,1834,1772c1855,1774,1875,1777,1895,1778c1915,1779,1935,1781,1955,1781c1976,1780,1996,1779,2016,1776c2036,1772,2057,1767,2077,1761c2097,1755,2117,1748,2137,1739c2158,1731,2178,1721,2198,1709c2218,1698,2238,1685,2259,1671c2279,1656,2299,1640,2319,1622c2340,1604,2360,1584,2380,1561c2400,1538,2420,1513,2441,1485c2461,1456,2481,1426,2501,1391c2522,1356,2542,1318,2562,1275c2582,1233,2602,1186,2623,1136c2643,1085,2663,1030,2683,971c2704,912,2724,848,2744,782c2764,716,2785,645,2805,576c2825,507,2845,434,2865,369c2886,304,2906,238,2926,186c2946,134,2967,87,2987,58c3007,30,3027,13,3047,15c3067,16,3088,35,3108,66c3128,97,3148,147,3169,201c3189,255,3209,323,3229,389c3249,456,3270,529,3290,598c3310,667,3330,738,3351,803c3371,868,3391,931,3411,988c3431,1046,3452,1099,3472,1148c3492,1196,3512,1240,3533,1279c3553,1319,3573,1354,3593,1386c3613,1418,3634,1446,3654,1471c3674,1497,3694,1519,3715,1539c3735,1558,3755,1575,3775,1590c3795,1605,3816,1618,3836,1630c3856,1641,3876,1651,3897,1659c3917,1668,3937,1675,3957,1681c3977,1687,3998,1692,4018,1696c4038,1700,4058,1704,4078,1707c4099,1710,4119,1712,4139,1714c4159,1716,4180,1717,4200,1719c4220,1720,4240,1721,4260,1722c4281,1723,4301,1723,4321,1724c4341,1725,4362,1725,4382,1726c4402,1727,4422,1727,4442,1728c4463,1728,4483,1729,4503,1730c4523,1730,4543,1730,4564,1731c4584,1732,4604,1732,4625,1733c4645,1733,4665,1734,4685,1734c4705,1735,4725,1736,4746,1736c4766,1737,4786,1737,4807,1737c4827,1738,4847,1739,4867,1739c4887,1740,4907,1741,4928,1741c4948,1742,4968,1742,4988,1743c5009,1744,5029,1744,5049,1744c5069,1745,5089,1746,5110,1746c5130,1747,5150,1748,5170,1748c5191,1749,5211,1749,5231,1749c5251,1750,5271,1751,5292,1751c5312,1752,5332,1752,5352,1753c5372,1753,5393,1754,5413,1755c5433,1755,5453,1755,5474,1756c5494,1756,5514,1757,5534,1757c5555,1758,5575,1758,5595,1759c5615,1759,5635,1760,5656,1760c5676,1760,5696,1761,5716,1761c5737,1762,5757,1762,5777,1763c5797,1763,5817,1763,5838,1764c5858,1764,5878,1765,5898,1765c5918,1765,5939,1766,5959,1766c5979,1766,5999,1767,6020,1767c6040,1768,6060,1768,6080,1768e">
                      <v:fill on="f" focussize="0,0"/>
                      <v:stroke weight="1.5pt" color="#00B050" miterlimit="10" endcap="round"/>
                      <v:imagedata o:title=""/>
                      <o:lock v:ext="edit"/>
                    </v:shape>
                    <v:shape id="_x0000_s1308" o:spid="_x0000_s1308" style="position:absolute;left:1858;top:0;height:30;width:414;" filled="f" stroked="t" coordsize="414,30" path="m15,15l398,15e">
                      <v:fill on="f" focussize="0,0"/>
                      <v:stroke weight="1.5pt" color="#FF0000" miterlimit="10" endcap="round"/>
                      <v:imagedata o:title=""/>
                      <o:lock v:ext="edit"/>
                    </v:shape>
                    <v:shape id="_x0000_s1309" o:spid="_x0000_s1309" style="position:absolute;left:2815;top:0;height:30;width:414;" filled="f" stroked="t" coordsize="414,30" path="m15,15l398,15e">
                      <v:fill on="f" focussize="0,0"/>
                      <v:stroke weight="1.5pt" color="#00B050" miterlimit="10" endcap="round"/>
                      <v:imagedata o:title=""/>
                      <o:lock v:ext="edit"/>
                    </v:shape>
                  </v:group>
                  <v:shape id="_x0000_s1310" o:spid="_x0000_s1310" o:spt="202" type="#_x0000_t202" style="position:absolute;left:-20;top:-20;height:2885;width:4075;" filled="f" stroked="f" coordsize="21600,21600">
                    <v:path/>
                    <v:fill on="f" focussize="0,0"/>
                    <v:stroke on="f"/>
                    <v:imagedata o:title=""/>
                    <o:lock v:ext="edit" aspectratio="f"/>
                    <v:textbox inset="0mm,0mm,0mm,0mm">
                      <w:txbxContent>
                        <w:p w14:paraId="724A7DCB">
                          <w:pPr>
                            <w:spacing w:before="19" w:line="445" w:lineRule="auto"/>
                            <w:ind w:left="24" w:right="20" w:firstLine="2713"/>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6.5m</w:t>
                          </w:r>
                          <w:r>
                            <w:rPr>
                              <w:rFonts w:ascii="Times New Roman" w:hAnsi="Times New Roman" w:eastAsia="Times New Roman" w:cs="Times New Roman"/>
                              <w:color w:val="595959"/>
                              <w:spacing w:val="1"/>
                              <w:sz w:val="18"/>
                              <w:szCs w:val="18"/>
                            </w:rPr>
                            <w:t xml:space="preserve">             </w:t>
                          </w:r>
                          <w:r>
                            <w:rPr>
                              <w:rFonts w:ascii="Times New Roman" w:hAnsi="Times New Roman" w:eastAsia="Times New Roman" w:cs="Times New Roman"/>
                              <w:color w:val="595959"/>
                              <w:spacing w:val="-2"/>
                              <w:sz w:val="18"/>
                              <w:szCs w:val="18"/>
                            </w:rPr>
                            <w:t>7.5m</w:t>
                          </w:r>
                          <w:r>
                            <w:rPr>
                              <w:rFonts w:ascii="Times New Roman" w:hAnsi="Times New Roman" w:eastAsia="Times New Roman" w:cs="Times New Roman"/>
                              <w:color w:val="595959"/>
                              <w:spacing w:val="2"/>
                              <w:sz w:val="18"/>
                              <w:szCs w:val="18"/>
                            </w:rPr>
                            <w:t xml:space="preserve"> </w:t>
                          </w:r>
                          <w:r>
                            <w:rPr>
                              <w:rFonts w:ascii="Times New Roman" w:hAnsi="Times New Roman" w:eastAsia="Times New Roman" w:cs="Times New Roman"/>
                              <w:color w:val="595959"/>
                              <w:spacing w:val="-3"/>
                              <w:sz w:val="18"/>
                              <w:szCs w:val="18"/>
                            </w:rPr>
                            <w:t>6.0</w:t>
                          </w:r>
                        </w:p>
                        <w:p w14:paraId="4EDB14D3">
                          <w:pPr>
                            <w:spacing w:before="72" w:line="232" w:lineRule="auto"/>
                            <w:ind w:left="25"/>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5.0</w:t>
                          </w:r>
                        </w:p>
                        <w:p w14:paraId="7E0E7B50">
                          <w:pPr>
                            <w:spacing w:before="260"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1"/>
                              <w:sz w:val="18"/>
                              <w:szCs w:val="18"/>
                            </w:rPr>
                            <w:t>4.0</w:t>
                          </w:r>
                        </w:p>
                        <w:p w14:paraId="0D57916C">
                          <w:pPr>
                            <w:spacing w:before="260" w:line="232" w:lineRule="auto"/>
                            <w:ind w:left="24"/>
                            <w:rPr>
                              <w:rFonts w:ascii="Times New Roman" w:hAnsi="Times New Roman" w:eastAsia="Times New Roman" w:cs="Times New Roman"/>
                              <w:sz w:val="18"/>
                              <w:szCs w:val="18"/>
                            </w:rPr>
                          </w:pPr>
                          <w:r>
                            <w:rPr>
                              <w:rFonts w:ascii="Times New Roman" w:hAnsi="Times New Roman" w:eastAsia="Times New Roman" w:cs="Times New Roman"/>
                              <w:color w:val="595959"/>
                              <w:spacing w:val="-3"/>
                              <w:sz w:val="18"/>
                              <w:szCs w:val="18"/>
                            </w:rPr>
                            <w:t>3.0</w:t>
                          </w:r>
                        </w:p>
                        <w:p w14:paraId="0CD04AEE">
                          <w:pPr>
                            <w:spacing w:before="260"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1"/>
                              <w:sz w:val="18"/>
                              <w:szCs w:val="18"/>
                            </w:rPr>
                            <w:t>2.0</w:t>
                          </w:r>
                        </w:p>
                        <w:p w14:paraId="0BDCA851">
                          <w:pPr>
                            <w:spacing w:before="260" w:line="232" w:lineRule="auto"/>
                            <w:ind w:left="38"/>
                            <w:rPr>
                              <w:rFonts w:ascii="Times New Roman" w:hAnsi="Times New Roman" w:eastAsia="Times New Roman" w:cs="Times New Roman"/>
                              <w:sz w:val="18"/>
                              <w:szCs w:val="18"/>
                            </w:rPr>
                          </w:pPr>
                          <w:r>
                            <w:rPr>
                              <w:rFonts w:ascii="Times New Roman" w:hAnsi="Times New Roman" w:eastAsia="Times New Roman" w:cs="Times New Roman"/>
                              <w:color w:val="595959"/>
                              <w:spacing w:val="-7"/>
                              <w:sz w:val="18"/>
                              <w:szCs w:val="18"/>
                            </w:rPr>
                            <w:t>1.0</w:t>
                          </w:r>
                        </w:p>
                      </w:txbxContent>
                    </v:textbox>
                  </v:shape>
                  <v:shape id="_x0000_s1311" o:spid="_x0000_s1311" o:spt="202" type="#_x0000_t202" style="position:absolute;left:-16;top:3121;height:720;width:6645;" filled="f" stroked="f" coordsize="21600,21600">
                    <v:path/>
                    <v:fill on="f" focussize="0,0"/>
                    <v:stroke on="f"/>
                    <v:imagedata o:title=""/>
                    <o:lock v:ext="edit" aspectratio="f"/>
                    <v:textbox inset="0mm,0mm,0mm,0mm">
                      <w:txbxContent>
                        <w:p w14:paraId="5A41F8D4">
                          <w:pPr>
                            <w:spacing w:before="20" w:line="232"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0.0</w:t>
                          </w:r>
                        </w:p>
                        <w:p w14:paraId="6C3731C8">
                          <w:pPr>
                            <w:spacing w:before="11" w:line="277" w:lineRule="auto"/>
                            <w:ind w:left="2534" w:right="20" w:hanging="2180"/>
                            <w:rPr>
                              <w:rFonts w:ascii="宋体" w:hAnsi="宋体" w:eastAsia="宋体" w:cs="宋体"/>
                              <w:sz w:val="19"/>
                              <w:szCs w:val="19"/>
                            </w:rPr>
                          </w:pPr>
                          <w:r>
                            <w:rPr>
                              <w:rFonts w:ascii="Times New Roman" w:hAnsi="Times New Roman" w:eastAsia="Times New Roman" w:cs="Times New Roman"/>
                              <w:color w:val="595959"/>
                              <w:spacing w:val="-2"/>
                              <w:sz w:val="18"/>
                              <w:szCs w:val="18"/>
                            </w:rPr>
                            <w:t>-50</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-45</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-40</w:t>
                          </w:r>
                          <w:r>
                            <w:rPr>
                              <w:rFonts w:ascii="Times New Roman" w:hAnsi="Times New Roman" w:eastAsia="Times New Roman" w:cs="Times New Roman"/>
                              <w:color w:val="595959"/>
                              <w:spacing w:val="26"/>
                              <w:w w:val="102"/>
                              <w:sz w:val="18"/>
                              <w:szCs w:val="18"/>
                            </w:rPr>
                            <w:t xml:space="preserve"> </w:t>
                          </w:r>
                          <w:r>
                            <w:rPr>
                              <w:rFonts w:ascii="Times New Roman" w:hAnsi="Times New Roman" w:eastAsia="Times New Roman" w:cs="Times New Roman"/>
                              <w:color w:val="595959"/>
                              <w:spacing w:val="-2"/>
                              <w:sz w:val="18"/>
                              <w:szCs w:val="18"/>
                            </w:rPr>
                            <w:t>-35</w:t>
                          </w:r>
                          <w:r>
                            <w:rPr>
                              <w:rFonts w:ascii="Times New Roman" w:hAnsi="Times New Roman" w:eastAsia="Times New Roman" w:cs="Times New Roman"/>
                              <w:color w:val="595959"/>
                              <w:spacing w:val="26"/>
                              <w:w w:val="101"/>
                              <w:sz w:val="18"/>
                              <w:szCs w:val="18"/>
                            </w:rPr>
                            <w:t xml:space="preserve"> </w:t>
                          </w:r>
                          <w:r>
                            <w:rPr>
                              <w:rFonts w:ascii="Times New Roman" w:hAnsi="Times New Roman" w:eastAsia="Times New Roman" w:cs="Times New Roman"/>
                              <w:color w:val="595959"/>
                              <w:spacing w:val="-2"/>
                              <w:sz w:val="18"/>
                              <w:szCs w:val="18"/>
                            </w:rPr>
                            <w:t>-30</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-25</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-20</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-15</w:t>
                          </w:r>
                          <w:r>
                            <w:rPr>
                              <w:rFonts w:ascii="Times New Roman" w:hAnsi="Times New Roman" w:eastAsia="Times New Roman" w:cs="Times New Roman"/>
                              <w:color w:val="595959"/>
                              <w:spacing w:val="27"/>
                              <w:sz w:val="18"/>
                              <w:szCs w:val="18"/>
                            </w:rPr>
                            <w:t xml:space="preserve"> </w:t>
                          </w:r>
                          <w:r>
                            <w:rPr>
                              <w:rFonts w:ascii="Times New Roman" w:hAnsi="Times New Roman" w:eastAsia="Times New Roman" w:cs="Times New Roman"/>
                              <w:color w:val="595959"/>
                              <w:spacing w:val="-2"/>
                              <w:sz w:val="18"/>
                              <w:szCs w:val="18"/>
                            </w:rPr>
                            <w:t>-10</w:t>
                          </w:r>
                          <w:r>
                            <w:rPr>
                              <w:rFonts w:ascii="Times New Roman" w:hAnsi="Times New Roman" w:eastAsia="Times New Roman" w:cs="Times New Roman"/>
                              <w:color w:val="595959"/>
                              <w:spacing w:val="13"/>
                              <w:w w:val="101"/>
                              <w:sz w:val="18"/>
                              <w:szCs w:val="18"/>
                            </w:rPr>
                            <w:t xml:space="preserve">  </w:t>
                          </w:r>
                          <w:r>
                            <w:rPr>
                              <w:rFonts w:ascii="Times New Roman" w:hAnsi="Times New Roman" w:eastAsia="Times New Roman" w:cs="Times New Roman"/>
                              <w:color w:val="595959"/>
                              <w:spacing w:val="-2"/>
                              <w:sz w:val="18"/>
                              <w:szCs w:val="18"/>
                            </w:rPr>
                            <w:t>-5    0     5    1</w:t>
                          </w:r>
                          <w:r>
                            <w:rPr>
                              <w:rFonts w:ascii="Times New Roman" w:hAnsi="Times New Roman" w:eastAsia="Times New Roman" w:cs="Times New Roman"/>
                              <w:color w:val="595959"/>
                              <w:spacing w:val="-3"/>
                              <w:sz w:val="18"/>
                              <w:szCs w:val="18"/>
                            </w:rPr>
                            <w:t>0</w:t>
                          </w:r>
                          <w:r>
                            <w:rPr>
                              <w:rFonts w:ascii="Times New Roman" w:hAnsi="Times New Roman" w:eastAsia="Times New Roman" w:cs="Times New Roman"/>
                              <w:color w:val="595959"/>
                              <w:spacing w:val="2"/>
                              <w:sz w:val="18"/>
                              <w:szCs w:val="18"/>
                            </w:rPr>
                            <w:t xml:space="preserve">   </w:t>
                          </w:r>
                          <w:r>
                            <w:rPr>
                              <w:rFonts w:ascii="Times New Roman" w:hAnsi="Times New Roman" w:eastAsia="Times New Roman" w:cs="Times New Roman"/>
                              <w:color w:val="595959"/>
                              <w:spacing w:val="-3"/>
                              <w:sz w:val="18"/>
                              <w:szCs w:val="18"/>
                            </w:rPr>
                            <w:t>15   20   25   30   35   40   45   50</w:t>
                          </w:r>
                          <w:r>
                            <w:rPr>
                              <w:rFonts w:ascii="宋体" w:hAnsi="宋体" w:eastAsia="宋体" w:cs="宋体"/>
                              <w:color w:val="595959"/>
                              <w:spacing w:val="7"/>
                              <w:sz w:val="19"/>
                              <w:szCs w:val="19"/>
                            </w:rPr>
                            <w:t>距线路中心距离（</w:t>
                          </w:r>
                          <w:r>
                            <w:rPr>
                              <w:rFonts w:ascii="Times New Roman" w:hAnsi="Times New Roman" w:eastAsia="Times New Roman" w:cs="Times New Roman"/>
                              <w:color w:val="595959"/>
                              <w:spacing w:val="7"/>
                              <w:sz w:val="19"/>
                              <w:szCs w:val="19"/>
                            </w:rPr>
                            <w:t>m</w:t>
                          </w:r>
                          <w:r>
                            <w:rPr>
                              <w:rFonts w:ascii="宋体" w:hAnsi="宋体" w:eastAsia="宋体" w:cs="宋体"/>
                              <w:color w:val="595959"/>
                              <w:spacing w:val="7"/>
                              <w:sz w:val="19"/>
                              <w:szCs w:val="19"/>
                            </w:rPr>
                            <w:t>）</w:t>
                          </w:r>
                        </w:p>
                      </w:txbxContent>
                    </v:textbox>
                  </v:shape>
                  <w10:wrap type="none"/>
                  <w10:anchorlock/>
                </v:group>
              </w:pict>
            </w:r>
          </w:p>
        </w:tc>
        <w:tc>
          <w:tcPr>
            <w:tcW w:w="852" w:type="dxa"/>
            <w:tcBorders>
              <w:left w:val="single" w:color="000000" w:sz="6" w:space="0"/>
              <w:bottom w:val="nil"/>
              <w:right w:val="nil"/>
            </w:tcBorders>
            <w:vAlign w:val="top"/>
          </w:tcPr>
          <w:p w14:paraId="5A309F9A">
            <w:pPr>
              <w:rPr>
                <w:rFonts w:ascii="Arial"/>
                <w:sz w:val="21"/>
              </w:rPr>
            </w:pPr>
          </w:p>
        </w:tc>
      </w:tr>
    </w:tbl>
    <w:p w14:paraId="2B62BAF0">
      <w:pPr>
        <w:spacing w:before="169" w:line="234" w:lineRule="auto"/>
        <w:ind w:left="1231"/>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43"/>
          <w:sz w:val="21"/>
          <w:szCs w:val="21"/>
        </w:rPr>
        <w:t xml:space="preserve"> </w:t>
      </w:r>
      <w:r>
        <w:rPr>
          <w:rFonts w:ascii="Times New Roman" w:hAnsi="Times New Roman" w:eastAsia="Times New Roman" w:cs="Times New Roman"/>
          <w:b/>
          <w:bCs/>
          <w:spacing w:val="-3"/>
          <w:sz w:val="21"/>
          <w:szCs w:val="21"/>
        </w:rPr>
        <w:t>4-11    DE</w:t>
      </w:r>
      <w:r>
        <w:rPr>
          <w:rFonts w:ascii="Times New Roman" w:hAnsi="Times New Roman" w:eastAsia="Times New Roman" w:cs="Times New Roman"/>
          <w:b/>
          <w:bCs/>
          <w:spacing w:val="27"/>
          <w:w w:val="101"/>
          <w:sz w:val="21"/>
          <w:szCs w:val="21"/>
        </w:rPr>
        <w:t xml:space="preserve"> </w:t>
      </w:r>
      <w:r>
        <w:rPr>
          <w:rFonts w:ascii="宋体" w:hAnsi="宋体" w:eastAsia="宋体" w:cs="宋体"/>
          <w:b/>
          <w:bCs/>
          <w:spacing w:val="-3"/>
          <w:sz w:val="21"/>
          <w:szCs w:val="21"/>
        </w:rPr>
        <w:t>回线双回垂直（单边挂线）排列最不利塔型电场强度分布图</w:t>
      </w:r>
    </w:p>
    <w:p w14:paraId="33D355A4">
      <w:pPr>
        <w:spacing w:line="104" w:lineRule="exact"/>
      </w:pPr>
    </w:p>
    <w:tbl>
      <w:tblPr>
        <w:tblStyle w:val="5"/>
        <w:tblW w:w="7394" w:type="dxa"/>
        <w:tblInd w:w="831"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fixed"/>
        <w:tblCellMar>
          <w:top w:w="0" w:type="dxa"/>
          <w:left w:w="0" w:type="dxa"/>
          <w:bottom w:w="0" w:type="dxa"/>
          <w:right w:w="0" w:type="dxa"/>
        </w:tblCellMar>
      </w:tblPr>
      <w:tblGrid>
        <w:gridCol w:w="7394"/>
      </w:tblGrid>
      <w:tr w14:paraId="723EFE30">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270" w:hRule="atLeast"/>
        </w:trPr>
        <w:tc>
          <w:tcPr>
            <w:tcW w:w="7394" w:type="dxa"/>
            <w:vAlign w:val="top"/>
          </w:tcPr>
          <w:p w14:paraId="79EF4904">
            <w:pPr>
              <w:pStyle w:val="6"/>
              <w:spacing w:before="204" w:line="3810" w:lineRule="exact"/>
              <w:ind w:firstLine="565"/>
            </w:pPr>
            <w:r>
              <mc:AlternateContent>
                <mc:Choice Requires="wps">
                  <w:drawing>
                    <wp:anchor distT="0" distB="0" distL="0" distR="0" simplePos="0" relativeHeight="251682816" behindDoc="0" locked="0" layoutInCell="1" allowOverlap="1">
                      <wp:simplePos x="0" y="0"/>
                      <wp:positionH relativeFrom="rightMargin">
                        <wp:posOffset>-4965065</wp:posOffset>
                      </wp:positionH>
                      <wp:positionV relativeFrom="topMargin">
                        <wp:posOffset>1200785</wp:posOffset>
                      </wp:positionV>
                      <wp:extent cx="1043305" cy="180340"/>
                      <wp:effectExtent l="0" t="0" r="0" b="0"/>
                      <wp:wrapNone/>
                      <wp:docPr id="104" name="TextBox 104"/>
                      <wp:cNvGraphicFramePr/>
                      <a:graphic xmlns:a="http://schemas.openxmlformats.org/drawingml/2006/main">
                        <a:graphicData uri="http://schemas.microsoft.com/office/word/2010/wordprocessingShape">
                          <wps:wsp>
                            <wps:cNvSpPr txBox="1"/>
                            <wps:spPr>
                              <a:xfrm rot="16200000">
                                <a:off x="-4965658" y="1201251"/>
                                <a:ext cx="1043305" cy="180339"/>
                              </a:xfrm>
                              <a:prstGeom prst="rect">
                                <a:avLst/>
                              </a:prstGeom>
                              <a:noFill/>
                              <a:ln w="0" cap="flat">
                                <a:noFill/>
                                <a:prstDash val="solid"/>
                                <a:miter lim="0"/>
                              </a:ln>
                            </wps:spPr>
                            <wps:style>
                              <a:lnRef idx="0">
                                <a:schemeClr val="accent1"/>
                              </a:lnRef>
                              <a:fillRef idx="0">
                                <a:schemeClr val="accent1"/>
                              </a:fillRef>
                              <a:effectRef idx="0">
                                <a:schemeClr val="accent1"/>
                              </a:effectRef>
                              <a:fontRef idx="minor">
                                <a:schemeClr val="dk1"/>
                              </a:fontRef>
                            </wps:style>
                            <wps:txbx>
                              <w:txbxContent>
                                <w:p w14:paraId="5EC8B092">
                                  <w:pPr>
                                    <w:pStyle w:val="6"/>
                                    <w:spacing w:before="34" w:line="222" w:lineRule="auto"/>
                                    <w:ind w:left="20"/>
                                    <w:rPr>
                                      <w:sz w:val="19"/>
                                      <w:szCs w:val="19"/>
                                    </w:rPr>
                                  </w:pPr>
                                  <w:r>
                                    <w:rPr>
                                      <w:color w:val="595959"/>
                                      <w:sz w:val="19"/>
                                      <w:szCs w:val="19"/>
                                    </w:rPr>
                                    <w:t>磁感应强度</w:t>
                                  </w:r>
                                  <w:r>
                                    <w:rPr>
                                      <w:color w:val="595959"/>
                                      <w:spacing w:val="21"/>
                                      <w:sz w:val="19"/>
                                      <w:szCs w:val="19"/>
                                    </w:rPr>
                                    <w:t xml:space="preserve"> </w:t>
                                  </w:r>
                                  <w:r>
                                    <w:rPr>
                                      <w:color w:val="595959"/>
                                      <w:sz w:val="19"/>
                                      <w:szCs w:val="19"/>
                                    </w:rPr>
                                    <w:t>(</w:t>
                                  </w:r>
                                  <w:r>
                                    <w:rPr>
                                      <w:color w:val="595959"/>
                                      <w:spacing w:val="-57"/>
                                      <w:sz w:val="19"/>
                                      <w:szCs w:val="19"/>
                                    </w:rPr>
                                    <w:t xml:space="preserve"> </w:t>
                                  </w:r>
                                  <w:r>
                                    <w:rPr>
                                      <w:rFonts w:ascii="Times New Roman" w:hAnsi="Times New Roman" w:eastAsia="Times New Roman" w:cs="Times New Roman"/>
                                      <w:color w:val="595959"/>
                                      <w:sz w:val="19"/>
                                      <w:szCs w:val="19"/>
                                    </w:rPr>
                                    <w:t>μT</w:t>
                                  </w:r>
                                  <w:r>
                                    <w:rPr>
                                      <w:color w:val="595959"/>
                                      <w:sz w:val="19"/>
                                      <w:szCs w:val="19"/>
                                    </w:rPr>
                                    <w:t>）</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TextBox 104" o:spid="_x0000_s1026" o:spt="202" type="#_x0000_t202" style="position:absolute;left:0pt;margin-left:-21.6pt;margin-top:95.3pt;height:14.2pt;width:82.15pt;mso-position-horizontal-relative:page;mso-position-vertical-relative:page;rotation:-5898240f;z-index:251682816;mso-width-relative:page;mso-height-relative:page;" filled="f" stroked="f" coordsize="21600,21600" o:gfxdata="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">
                      <v:fill on="f" focussize="0,0"/>
                      <v:stroke on="f" weight="0pt" miterlimit="0" joinstyle="miter"/>
                      <v:imagedata o:title=""/>
                      <o:lock v:ext="edit" aspectratio="f"/>
                      <v:textbox inset="0mm,0mm,0mm,0mm">
                        <w:txbxContent>
                          <w:p w14:paraId="5EC8B092">
                            <w:pPr>
                              <w:pStyle w:val="6"/>
                              <w:spacing w:before="34" w:line="222" w:lineRule="auto"/>
                              <w:ind w:left="20"/>
                              <w:rPr>
                                <w:sz w:val="19"/>
                                <w:szCs w:val="19"/>
                              </w:rPr>
                            </w:pPr>
                            <w:r>
                              <w:rPr>
                                <w:color w:val="595959"/>
                                <w:sz w:val="19"/>
                                <w:szCs w:val="19"/>
                              </w:rPr>
                              <w:t>磁感应强度</w:t>
                            </w:r>
                            <w:r>
                              <w:rPr>
                                <w:color w:val="595959"/>
                                <w:spacing w:val="21"/>
                                <w:sz w:val="19"/>
                                <w:szCs w:val="19"/>
                              </w:rPr>
                              <w:t xml:space="preserve"> </w:t>
                            </w:r>
                            <w:r>
                              <w:rPr>
                                <w:color w:val="595959"/>
                                <w:sz w:val="19"/>
                                <w:szCs w:val="19"/>
                              </w:rPr>
                              <w:t>(</w:t>
                            </w:r>
                            <w:r>
                              <w:rPr>
                                <w:color w:val="595959"/>
                                <w:spacing w:val="-57"/>
                                <w:sz w:val="19"/>
                                <w:szCs w:val="19"/>
                              </w:rPr>
                              <w:t xml:space="preserve"> </w:t>
                            </w:r>
                            <w:r>
                              <w:rPr>
                                <w:rFonts w:ascii="Times New Roman" w:hAnsi="Times New Roman" w:eastAsia="Times New Roman" w:cs="Times New Roman"/>
                                <w:color w:val="595959"/>
                                <w:sz w:val="19"/>
                                <w:szCs w:val="19"/>
                              </w:rPr>
                              <w:t>μT</w:t>
                            </w:r>
                            <w:r>
                              <w:rPr>
                                <w:color w:val="595959"/>
                                <w:sz w:val="19"/>
                                <w:szCs w:val="19"/>
                              </w:rPr>
                              <w:t>）</w:t>
                            </w:r>
                          </w:p>
                        </w:txbxContent>
                      </v:textbox>
                    </v:shape>
                  </w:pict>
                </mc:Fallback>
              </mc:AlternateContent>
            </w:r>
            <w:r>
              <w:rPr>
                <w:position w:val="-76"/>
              </w:rPr>
              <w:pict>
                <v:group id="_x0000_s1312" o:spid="_x0000_s1312" o:spt="203" style="height:190.55pt;width:330.45pt;" coordsize="6609,3811">
                  <o:lock v:ext="edit"/>
                  <v:shape id="_x0000_s1313" o:spid="_x0000_s1313" o:spt="202" type="#_x0000_t202" style="position:absolute;left:-20;top:-20;height:3851;width:6649;" filled="f" stroked="f" coordsize="21600,21600">
                    <v:path/>
                    <v:fill on="f" focussize="0,0"/>
                    <v:stroke on="f"/>
                    <v:imagedata o:title=""/>
                    <o:lock v:ext="edit" aspectratio="f"/>
                    <v:textbox inset="0mm,0mm,0mm,0mm">
                      <w:txbxContent>
                        <w:p w14:paraId="30E318D6">
                          <w:pPr>
                            <w:spacing w:before="20" w:line="232" w:lineRule="auto"/>
                            <w:ind w:left="2738"/>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6.5m</w:t>
                          </w:r>
                          <w:r>
                            <w:rPr>
                              <w:rFonts w:ascii="Times New Roman" w:hAnsi="Times New Roman" w:eastAsia="Times New Roman" w:cs="Times New Roman"/>
                              <w:color w:val="595959"/>
                              <w:spacing w:val="1"/>
                              <w:sz w:val="18"/>
                              <w:szCs w:val="18"/>
                            </w:rPr>
                            <w:t xml:space="preserve">             </w:t>
                          </w:r>
                          <w:r>
                            <w:rPr>
                              <w:rFonts w:ascii="Times New Roman" w:hAnsi="Times New Roman" w:eastAsia="Times New Roman" w:cs="Times New Roman"/>
                              <w:color w:val="595959"/>
                              <w:spacing w:val="-2"/>
                              <w:sz w:val="18"/>
                              <w:szCs w:val="18"/>
                            </w:rPr>
                            <w:t>7.5m</w:t>
                          </w:r>
                        </w:p>
                        <w:p w14:paraId="3E99C0B3">
                          <w:pPr>
                            <w:spacing w:before="177" w:line="233" w:lineRule="auto"/>
                            <w:ind w:left="23"/>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7</w:t>
                          </w:r>
                        </w:p>
                        <w:p w14:paraId="66897636">
                          <w:pPr>
                            <w:spacing w:before="193" w:line="232" w:lineRule="auto"/>
                            <w:ind w:left="24"/>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6</w:t>
                          </w:r>
                        </w:p>
                        <w:p w14:paraId="6BB1AE45">
                          <w:pPr>
                            <w:spacing w:before="193" w:line="232" w:lineRule="auto"/>
                            <w:ind w:left="25"/>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5</w:t>
                          </w:r>
                        </w:p>
                        <w:p w14:paraId="5DDA269D">
                          <w:pPr>
                            <w:spacing w:before="192" w:line="235"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4</w:t>
                          </w:r>
                        </w:p>
                        <w:p w14:paraId="5D29F3FB">
                          <w:pPr>
                            <w:spacing w:before="191" w:line="232" w:lineRule="auto"/>
                            <w:ind w:left="24"/>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3</w:t>
                          </w:r>
                        </w:p>
                        <w:p w14:paraId="02FD5976">
                          <w:pPr>
                            <w:spacing w:before="192" w:line="235" w:lineRule="auto"/>
                            <w:ind w:left="20"/>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2</w:t>
                          </w:r>
                        </w:p>
                        <w:p w14:paraId="75C54988">
                          <w:pPr>
                            <w:spacing w:before="191" w:line="235" w:lineRule="auto"/>
                            <w:ind w:left="38"/>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1</w:t>
                          </w:r>
                        </w:p>
                        <w:p w14:paraId="74D9DE4E">
                          <w:pPr>
                            <w:spacing w:before="191" w:line="232" w:lineRule="auto"/>
                            <w:ind w:left="23"/>
                            <w:rPr>
                              <w:rFonts w:ascii="Times New Roman" w:hAnsi="Times New Roman" w:eastAsia="Times New Roman" w:cs="Times New Roman"/>
                              <w:sz w:val="18"/>
                              <w:szCs w:val="18"/>
                            </w:rPr>
                          </w:pPr>
                          <w:r>
                            <w:rPr>
                              <w:rFonts w:ascii="Times New Roman" w:hAnsi="Times New Roman" w:eastAsia="Times New Roman" w:cs="Times New Roman"/>
                              <w:color w:val="595959"/>
                              <w:sz w:val="18"/>
                              <w:szCs w:val="18"/>
                            </w:rPr>
                            <w:t>0</w:t>
                          </w:r>
                        </w:p>
                        <w:p w14:paraId="789E6966">
                          <w:pPr>
                            <w:spacing w:before="11" w:line="232" w:lineRule="auto"/>
                            <w:ind w:right="20"/>
                            <w:jc w:val="right"/>
                            <w:rPr>
                              <w:rFonts w:ascii="Times New Roman" w:hAnsi="Times New Roman" w:eastAsia="Times New Roman" w:cs="Times New Roman"/>
                              <w:sz w:val="18"/>
                              <w:szCs w:val="18"/>
                            </w:rPr>
                          </w:pPr>
                          <w:r>
                            <w:rPr>
                              <w:rFonts w:ascii="Times New Roman" w:hAnsi="Times New Roman" w:eastAsia="Times New Roman" w:cs="Times New Roman"/>
                              <w:color w:val="595959"/>
                              <w:spacing w:val="-2"/>
                              <w:sz w:val="18"/>
                              <w:szCs w:val="18"/>
                            </w:rPr>
                            <w:t>-50</w:t>
                          </w:r>
                          <w:r>
                            <w:rPr>
                              <w:rFonts w:ascii="Times New Roman" w:hAnsi="Times New Roman" w:eastAsia="Times New Roman" w:cs="Times New Roman"/>
                              <w:color w:val="595959"/>
                              <w:spacing w:val="34"/>
                              <w:sz w:val="18"/>
                              <w:szCs w:val="18"/>
                            </w:rPr>
                            <w:t xml:space="preserve"> </w:t>
                          </w:r>
                          <w:r>
                            <w:rPr>
                              <w:rFonts w:ascii="Times New Roman" w:hAnsi="Times New Roman" w:eastAsia="Times New Roman" w:cs="Times New Roman"/>
                              <w:color w:val="595959"/>
                              <w:spacing w:val="-2"/>
                              <w:sz w:val="18"/>
                              <w:szCs w:val="18"/>
                            </w:rPr>
                            <w:t>-45</w:t>
                          </w:r>
                          <w:r>
                            <w:rPr>
                              <w:rFonts w:ascii="Times New Roman" w:hAnsi="Times New Roman" w:eastAsia="Times New Roman" w:cs="Times New Roman"/>
                              <w:color w:val="595959"/>
                              <w:spacing w:val="33"/>
                              <w:w w:val="101"/>
                              <w:sz w:val="18"/>
                              <w:szCs w:val="18"/>
                            </w:rPr>
                            <w:t xml:space="preserve"> </w:t>
                          </w:r>
                          <w:r>
                            <w:rPr>
                              <w:rFonts w:ascii="Times New Roman" w:hAnsi="Times New Roman" w:eastAsia="Times New Roman" w:cs="Times New Roman"/>
                              <w:color w:val="595959"/>
                              <w:spacing w:val="-2"/>
                              <w:sz w:val="18"/>
                              <w:szCs w:val="18"/>
                            </w:rPr>
                            <w:t>-40</w:t>
                          </w:r>
                          <w:r>
                            <w:rPr>
                              <w:rFonts w:ascii="Times New Roman" w:hAnsi="Times New Roman" w:eastAsia="Times New Roman" w:cs="Times New Roman"/>
                              <w:color w:val="595959"/>
                              <w:spacing w:val="33"/>
                              <w:w w:val="101"/>
                              <w:sz w:val="18"/>
                              <w:szCs w:val="18"/>
                            </w:rPr>
                            <w:t xml:space="preserve"> </w:t>
                          </w:r>
                          <w:r>
                            <w:rPr>
                              <w:rFonts w:ascii="Times New Roman" w:hAnsi="Times New Roman" w:eastAsia="Times New Roman" w:cs="Times New Roman"/>
                              <w:color w:val="595959"/>
                              <w:spacing w:val="-2"/>
                              <w:sz w:val="18"/>
                              <w:szCs w:val="18"/>
                            </w:rPr>
                            <w:t>-35</w:t>
                          </w:r>
                          <w:r>
                            <w:rPr>
                              <w:rFonts w:ascii="Times New Roman" w:hAnsi="Times New Roman" w:eastAsia="Times New Roman" w:cs="Times New Roman"/>
                              <w:color w:val="595959"/>
                              <w:spacing w:val="34"/>
                              <w:sz w:val="18"/>
                              <w:szCs w:val="18"/>
                            </w:rPr>
                            <w:t xml:space="preserve"> </w:t>
                          </w:r>
                          <w:r>
                            <w:rPr>
                              <w:rFonts w:ascii="Times New Roman" w:hAnsi="Times New Roman" w:eastAsia="Times New Roman" w:cs="Times New Roman"/>
                              <w:color w:val="595959"/>
                              <w:spacing w:val="-2"/>
                              <w:sz w:val="18"/>
                              <w:szCs w:val="18"/>
                            </w:rPr>
                            <w:t>-30</w:t>
                          </w:r>
                          <w:r>
                            <w:rPr>
                              <w:rFonts w:ascii="Times New Roman" w:hAnsi="Times New Roman" w:eastAsia="Times New Roman" w:cs="Times New Roman"/>
                              <w:color w:val="595959"/>
                              <w:spacing w:val="33"/>
                              <w:w w:val="101"/>
                              <w:sz w:val="18"/>
                              <w:szCs w:val="18"/>
                            </w:rPr>
                            <w:t xml:space="preserve"> </w:t>
                          </w:r>
                          <w:r>
                            <w:rPr>
                              <w:rFonts w:ascii="Times New Roman" w:hAnsi="Times New Roman" w:eastAsia="Times New Roman" w:cs="Times New Roman"/>
                              <w:color w:val="595959"/>
                              <w:spacing w:val="-2"/>
                              <w:sz w:val="18"/>
                              <w:szCs w:val="18"/>
                            </w:rPr>
                            <w:t>-25</w:t>
                          </w:r>
                          <w:r>
                            <w:rPr>
                              <w:rFonts w:ascii="Times New Roman" w:hAnsi="Times New Roman" w:eastAsia="Times New Roman" w:cs="Times New Roman"/>
                              <w:color w:val="595959"/>
                              <w:spacing w:val="33"/>
                              <w:w w:val="101"/>
                              <w:sz w:val="18"/>
                              <w:szCs w:val="18"/>
                            </w:rPr>
                            <w:t xml:space="preserve"> </w:t>
                          </w:r>
                          <w:r>
                            <w:rPr>
                              <w:rFonts w:ascii="Times New Roman" w:hAnsi="Times New Roman" w:eastAsia="Times New Roman" w:cs="Times New Roman"/>
                              <w:color w:val="595959"/>
                              <w:spacing w:val="-2"/>
                              <w:sz w:val="18"/>
                              <w:szCs w:val="18"/>
                            </w:rPr>
                            <w:t>-20</w:t>
                          </w:r>
                          <w:r>
                            <w:rPr>
                              <w:rFonts w:ascii="Times New Roman" w:hAnsi="Times New Roman" w:eastAsia="Times New Roman" w:cs="Times New Roman"/>
                              <w:color w:val="595959"/>
                              <w:spacing w:val="33"/>
                              <w:w w:val="102"/>
                              <w:sz w:val="18"/>
                              <w:szCs w:val="18"/>
                            </w:rPr>
                            <w:t xml:space="preserve"> </w:t>
                          </w:r>
                          <w:r>
                            <w:rPr>
                              <w:rFonts w:ascii="Times New Roman" w:hAnsi="Times New Roman" w:eastAsia="Times New Roman" w:cs="Times New Roman"/>
                              <w:color w:val="595959"/>
                              <w:spacing w:val="-2"/>
                              <w:sz w:val="18"/>
                              <w:szCs w:val="18"/>
                            </w:rPr>
                            <w:t>-15</w:t>
                          </w:r>
                          <w:r>
                            <w:rPr>
                              <w:rFonts w:ascii="Times New Roman" w:hAnsi="Times New Roman" w:eastAsia="Times New Roman" w:cs="Times New Roman"/>
                              <w:color w:val="595959"/>
                              <w:spacing w:val="33"/>
                              <w:w w:val="101"/>
                              <w:sz w:val="18"/>
                              <w:szCs w:val="18"/>
                            </w:rPr>
                            <w:t xml:space="preserve"> </w:t>
                          </w:r>
                          <w:r>
                            <w:rPr>
                              <w:rFonts w:ascii="Times New Roman" w:hAnsi="Times New Roman" w:eastAsia="Times New Roman" w:cs="Times New Roman"/>
                              <w:color w:val="595959"/>
                              <w:spacing w:val="-2"/>
                              <w:sz w:val="18"/>
                              <w:szCs w:val="18"/>
                            </w:rPr>
                            <w:t>-10</w:t>
                          </w:r>
                          <w:r>
                            <w:rPr>
                              <w:rFonts w:ascii="Times New Roman" w:hAnsi="Times New Roman" w:eastAsia="Times New Roman" w:cs="Times New Roman"/>
                              <w:color w:val="595959"/>
                              <w:spacing w:val="16"/>
                              <w:w w:val="101"/>
                              <w:sz w:val="18"/>
                              <w:szCs w:val="18"/>
                            </w:rPr>
                            <w:t xml:space="preserve">  </w:t>
                          </w:r>
                          <w:r>
                            <w:rPr>
                              <w:rFonts w:ascii="Times New Roman" w:hAnsi="Times New Roman" w:eastAsia="Times New Roman" w:cs="Times New Roman"/>
                              <w:color w:val="595959"/>
                              <w:spacing w:val="-2"/>
                              <w:sz w:val="18"/>
                              <w:szCs w:val="18"/>
                            </w:rPr>
                            <w:t xml:space="preserve">-5    0     5     10  </w:t>
                          </w:r>
                          <w:r>
                            <w:rPr>
                              <w:rFonts w:ascii="Times New Roman" w:hAnsi="Times New Roman" w:eastAsia="Times New Roman" w:cs="Times New Roman"/>
                              <w:color w:val="595959"/>
                              <w:spacing w:val="-3"/>
                              <w:sz w:val="18"/>
                              <w:szCs w:val="18"/>
                            </w:rPr>
                            <w:t xml:space="preserve"> 15   20</w:t>
                          </w:r>
                          <w:r>
                            <w:rPr>
                              <w:rFonts w:ascii="Times New Roman" w:hAnsi="Times New Roman" w:eastAsia="Times New Roman" w:cs="Times New Roman"/>
                              <w:color w:val="595959"/>
                              <w:spacing w:val="21"/>
                              <w:sz w:val="18"/>
                              <w:szCs w:val="18"/>
                            </w:rPr>
                            <w:t xml:space="preserve">  </w:t>
                          </w:r>
                          <w:r>
                            <w:rPr>
                              <w:rFonts w:ascii="Times New Roman" w:hAnsi="Times New Roman" w:eastAsia="Times New Roman" w:cs="Times New Roman"/>
                              <w:color w:val="595959"/>
                              <w:spacing w:val="-3"/>
                              <w:sz w:val="18"/>
                              <w:szCs w:val="18"/>
                            </w:rPr>
                            <w:t>25</w:t>
                          </w:r>
                          <w:r>
                            <w:rPr>
                              <w:rFonts w:ascii="Times New Roman" w:hAnsi="Times New Roman" w:eastAsia="Times New Roman" w:cs="Times New Roman"/>
                              <w:color w:val="595959"/>
                              <w:sz w:val="18"/>
                              <w:szCs w:val="18"/>
                            </w:rPr>
                            <w:t xml:space="preserve">   </w:t>
                          </w:r>
                          <w:r>
                            <w:rPr>
                              <w:rFonts w:ascii="Times New Roman" w:hAnsi="Times New Roman" w:eastAsia="Times New Roman" w:cs="Times New Roman"/>
                              <w:color w:val="595959"/>
                              <w:spacing w:val="-3"/>
                              <w:sz w:val="18"/>
                              <w:szCs w:val="18"/>
                            </w:rPr>
                            <w:t>30</w:t>
                          </w:r>
                          <w:r>
                            <w:rPr>
                              <w:rFonts w:ascii="Times New Roman" w:hAnsi="Times New Roman" w:eastAsia="Times New Roman" w:cs="Times New Roman"/>
                              <w:color w:val="595959"/>
                              <w:spacing w:val="1"/>
                              <w:sz w:val="18"/>
                              <w:szCs w:val="18"/>
                            </w:rPr>
                            <w:t xml:space="preserve">   </w:t>
                          </w:r>
                          <w:r>
                            <w:rPr>
                              <w:rFonts w:ascii="Times New Roman" w:hAnsi="Times New Roman" w:eastAsia="Times New Roman" w:cs="Times New Roman"/>
                              <w:color w:val="595959"/>
                              <w:spacing w:val="-3"/>
                              <w:sz w:val="18"/>
                              <w:szCs w:val="18"/>
                            </w:rPr>
                            <w:t>35   40</w:t>
                          </w:r>
                          <w:r>
                            <w:rPr>
                              <w:rFonts w:ascii="Times New Roman" w:hAnsi="Times New Roman" w:eastAsia="Times New Roman" w:cs="Times New Roman"/>
                              <w:color w:val="595959"/>
                              <w:spacing w:val="20"/>
                              <w:w w:val="101"/>
                              <w:sz w:val="18"/>
                              <w:szCs w:val="18"/>
                            </w:rPr>
                            <w:t xml:space="preserve">  </w:t>
                          </w:r>
                          <w:r>
                            <w:rPr>
                              <w:rFonts w:ascii="Times New Roman" w:hAnsi="Times New Roman" w:eastAsia="Times New Roman" w:cs="Times New Roman"/>
                              <w:color w:val="595959"/>
                              <w:spacing w:val="-3"/>
                              <w:sz w:val="18"/>
                              <w:szCs w:val="18"/>
                            </w:rPr>
                            <w:t>45</w:t>
                          </w:r>
                          <w:r>
                            <w:rPr>
                              <w:rFonts w:ascii="Times New Roman" w:hAnsi="Times New Roman" w:eastAsia="Times New Roman" w:cs="Times New Roman"/>
                              <w:color w:val="595959"/>
                              <w:spacing w:val="1"/>
                              <w:sz w:val="18"/>
                              <w:szCs w:val="18"/>
                            </w:rPr>
                            <w:t xml:space="preserve">   </w:t>
                          </w:r>
                          <w:r>
                            <w:rPr>
                              <w:rFonts w:ascii="Times New Roman" w:hAnsi="Times New Roman" w:eastAsia="Times New Roman" w:cs="Times New Roman"/>
                              <w:color w:val="595959"/>
                              <w:spacing w:val="-3"/>
                              <w:sz w:val="18"/>
                              <w:szCs w:val="18"/>
                            </w:rPr>
                            <w:t>50</w:t>
                          </w:r>
                        </w:p>
                        <w:p w14:paraId="7D356444">
                          <w:pPr>
                            <w:spacing w:before="53" w:line="251" w:lineRule="exact"/>
                            <w:ind w:left="2470"/>
                            <w:rPr>
                              <w:rFonts w:ascii="宋体" w:hAnsi="宋体" w:eastAsia="宋体" w:cs="宋体"/>
                              <w:sz w:val="19"/>
                              <w:szCs w:val="19"/>
                            </w:rPr>
                          </w:pPr>
                          <w:r>
                            <w:rPr>
                              <w:rFonts w:ascii="宋体" w:hAnsi="宋体" w:eastAsia="宋体" w:cs="宋体"/>
                              <w:color w:val="595959"/>
                              <w:spacing w:val="7"/>
                              <w:position w:val="1"/>
                              <w:sz w:val="19"/>
                              <w:szCs w:val="19"/>
                            </w:rPr>
                            <w:t>距线路中心距离（</w:t>
                          </w:r>
                          <w:r>
                            <w:rPr>
                              <w:rFonts w:ascii="Times New Roman" w:hAnsi="Times New Roman" w:eastAsia="Times New Roman" w:cs="Times New Roman"/>
                              <w:color w:val="595959"/>
                              <w:spacing w:val="7"/>
                              <w:position w:val="1"/>
                              <w:sz w:val="19"/>
                              <w:szCs w:val="19"/>
                            </w:rPr>
                            <w:t>m</w:t>
                          </w:r>
                          <w:r>
                            <w:rPr>
                              <w:rFonts w:ascii="宋体" w:hAnsi="宋体" w:eastAsia="宋体" w:cs="宋体"/>
                              <w:color w:val="595959"/>
                              <w:spacing w:val="7"/>
                              <w:position w:val="1"/>
                              <w:sz w:val="19"/>
                              <w:szCs w:val="19"/>
                            </w:rPr>
                            <w:t>）</w:t>
                          </w:r>
                        </w:p>
                      </w:txbxContent>
                    </v:textbox>
                  </v:shape>
                  <v:group id="_x0000_s1314" o:spid="_x0000_s1314" o:spt="203" style="position:absolute;left:277;top:51;height:3200;width:6270;" coordsize="6270,3200">
                    <o:lock v:ext="edit"/>
                    <v:shape id="_x0000_s1315" o:spid="_x0000_s1315" style="position:absolute;left:7;top:464;height:2610;width:6262;" filled="f" stroked="t" coordsize="6262,2610" path="m0,2601l6261,2601m0,2525l6261,2525m0,2445l6261,2445m0,2366l6261,2366m0,2210l6261,2210m0,2131l6261,2131m0,2052l6261,2052m0,1973l6261,1973m0,1817l6261,1817m0,1737l6261,1737m0,1658l6261,1658m0,1579l6261,1579m0,1423l6261,1423m0,1344l6261,1344m0,1265l6261,1265m0,1188l6261,1188m0,1029l6261,1029m0,950l6261,950m0,871l6261,871m0,794l6261,794m0,636l6261,636m0,557l6261,557m0,480l6261,480m0,401l6261,401m0,242l6261,242m0,165l6261,165m0,86l6261,86m0,7l6261,7e">
                      <v:fill on="f" focussize="0,0"/>
                      <v:stroke color="#F2F2F2" miterlimit="10"/>
                      <v:imagedata o:title=""/>
                      <o:lock v:ext="edit"/>
                    </v:shape>
                    <v:shape id="_x0000_s1316" o:spid="_x0000_s1316" style="position:absolute;left:7;top:386;height:2373;width:6262;" filled="f" stroked="t" coordsize="6262,2373" path="m0,2366l6261,2366m0,1972l6261,1972m0,1581l6261,1581m0,1187l6261,1187m0,794l6261,794m0,400l6261,400m0,7l6261,7e">
                      <v:fill on="f" focussize="0,0"/>
                      <v:stroke color="#D9D9D9" miterlimit="10"/>
                      <v:imagedata o:title=""/>
                      <o:lock v:ext="edit"/>
                    </v:shape>
                    <v:shape id="_x0000_s1317" o:spid="_x0000_s1317" style="position:absolute;left:155;top:393;height:2752;width:5905;" filled="f" stroked="t" coordsize="5905,2752" path="m7,0l7,2752m317,0l317,2752m626,0l626,2752m936,0l936,2752m1248,0l1248,2752m1557,0l1557,2752m1867,0l1867,2752m2177,0l2177,2752m2486,0l2486,2752m2796,0l2796,2752m3108,0l3108,2752m3417,0l3417,2752m3727,0l3727,2752m4037,0l4037,2752m4346,0l4346,2752m4656,0l4656,2752m4968,0l4968,2752m5277,0l5277,2752m5587,0l5587,2752m5897,0l5897,2752e">
                      <v:fill on="f" focussize="0,0"/>
                      <v:stroke color="#F2F2F2" miterlimit="10"/>
                      <v:imagedata o:title=""/>
                      <o:lock v:ext="edit"/>
                    </v:shape>
                    <v:shape id="_x0000_s1318" o:spid="_x0000_s1318" style="position:absolute;left:0;top:393;height:2752;width:6215;" filled="f" stroked="t" coordsize="6215,2752" path="m7,0l7,2752m318,0l318,2752m628,0l628,2752m937,0l937,2752m1247,0l1247,2752m1556,0l1556,2752m1866,0l1866,2752m2178,0l2178,2752m2488,0l2488,2752m2797,0l2797,2752m3107,0l3107,2752m3416,0l3416,2752m3726,0l3726,2752m4036,0l4036,2752m4348,0l4348,2752m4657,0l4657,2752m4967,0l4967,2752m5276,0l5276,2752m5586,0l5586,2752m5896,0l5896,2752m6207,0l6207,2752e">
                      <v:fill on="f" focussize="0,0"/>
                      <v:stroke color="#D9D9D9" miterlimit="10"/>
                      <v:imagedata o:title=""/>
                      <o:lock v:ext="edit"/>
                    </v:shape>
                    <v:shape id="_x0000_s1319" o:spid="_x0000_s1319" style="position:absolute;left:0;top:3092;height:108;width:6270;" filled="f" stroked="t" coordsize="6270,108" path="m7,53l6269,53m7,0l7,107m318,0l318,107m628,0l628,107m937,0l937,107m1247,0l1247,107m1556,0l1556,107m1866,0l1866,107m2178,0l2178,107m2488,0l2488,107m2797,0l2797,107m3107,0l3107,107m3416,0l3416,107m3726,0l3726,107m4036,0l4036,107m4348,0l4348,107m4657,0l4657,107m4967,0l4967,107m5276,0l5276,107m5586,0l5586,107m5896,0l5896,107m6207,0l6207,107e">
                      <v:fill on="f" focussize="0,0"/>
                      <v:stroke color="#000000" miterlimit="10"/>
                      <v:imagedata o:title=""/>
                      <o:lock v:ext="edit"/>
                    </v:shape>
                    <v:shape id="_x0000_s1320" o:spid="_x0000_s1320" style="position:absolute;left:23;top:691;height:2388;width:6230;" filled="f" stroked="t" coordsize="6230,2388" path="m15,2373c35,2372,56,2371,76,2370c97,2369,118,2368,138,2367c159,2366,180,2365,201,2364c221,2362,242,2361,262,2360c283,2359,304,2357,325,2356c345,2355,366,2354,386,2352c407,2351,428,2349,448,2348c469,2346,490,2344,511,2343c531,2341,552,2340,572,2338c593,2336,614,2334,635,2333c655,2331,676,2329,696,2327c717,2325,738,2323,758,2321c779,2319,800,2317,821,2314c841,2312,862,2310,882,2307c903,2305,924,2303,945,2300c965,2297,986,2294,1006,2292c1027,2289,1048,2286,1068,2283c1089,2280,1110,2277,1131,2274c1151,2271,1172,2267,1192,2264c1213,2260,1234,2257,1255,2253c1275,2249,1296,2245,1316,2241c1337,2237,1358,2232,1378,2228c1399,2223,1420,2219,1440,2214c1461,2209,1482,2204,1502,2198c1523,2193,1544,2187,1564,2182c1585,2176,1606,2170,1626,2163c1647,2157,1668,2150,1688,2143c1709,2136,1730,2128,1750,2121c1771,2113,1792,2105,1812,2096c1833,2087,1854,2078,1874,2069c1895,2059,1916,2049,1936,2038c1957,2028,1978,2017,1998,2005c2019,1993,2040,1980,2060,1967c2081,1954,2102,1940,2122,1925c2143,1910,2164,1894,2184,1877c2205,1860,2226,1842,2246,1823c2267,1804,2288,1784,2308,1762c2329,1741,2350,1718,2370,1693c2391,1669,2412,1642,2432,1614c2453,1586,2474,1556,2494,1523c2515,1491,2536,1456,2556,1419c2577,1381,2598,1341,2618,1298c2639,1254,2660,1208,2680,1158c2701,1109,2722,1055,2742,998c2763,941,2784,880,2804,817c2825,753,2846,685,2866,617c2887,549,2908,476,2928,409c2949,343,2970,272,2990,216c3011,160,3032,106,3052,72c3073,39,3093,17,3114,15c3135,13,3155,30,3176,60c3197,90,3217,140,3238,193c3259,246,3280,314,3300,379c3321,444,3342,516,3362,583c3383,650,3403,718,3424,781c3445,845,3465,906,3486,964c3507,1021,3527,1075,3548,1126c3569,1176,3590,1224,3610,1268c3631,1312,3652,1353,3672,1391c3693,1430,3713,1465,3734,1499c3755,1533,3775,1563,3796,1593c3817,1622,3837,1648,3858,1674c3879,1699,3900,1723,3920,1746c3941,1768,3962,1789,3982,1808c4003,1828,4023,1846,4044,1864c4065,1881,4085,1898,4106,1913c4127,1928,4147,1943,4168,1957c4189,1970,4210,1983,4230,1996c4251,2008,4272,2019,4292,2030c4313,2041,4333,2052,4354,2062c4375,2072,4395,2081,4416,2090c4437,2098,4457,2107,4478,2115c4499,2123,4520,2131,4540,2138c4561,2145,4582,2152,4602,2158c4623,2165,4643,2172,4664,2178c4685,2184,4705,2189,4726,2195c4747,2200,4767,2205,4788,2210c4809,2215,4830,2220,4850,2225c4871,2229,4892,2234,4912,2238c4933,2242,4953,2246,4974,2250c4995,2254,5015,2258,5036,2261c5057,2265,5077,2268,5098,2272c5119,2275,5140,2278,5160,2281c5181,2285,5202,2287,5222,2290c5243,2293,5263,2296,5284,2298c5305,2301,5325,2303,5346,2306c5367,2308,5387,2311,5408,2313c5429,2315,5450,2317,5470,2320c5491,2322,5511,2324,5532,2326c5553,2328,5573,2330,5594,2331c5615,2333,5635,2335,5656,2337c5677,2339,5697,2340,5718,2342c5739,2344,5759,2345,5780,2347c5801,2348,5821,2350,5842,2351c5863,2352,5883,2354,5904,2355c5925,2357,5945,2358,5966,2359c5987,2361,6007,2362,6028,2363c6049,2364,6069,2365,6090,2366c6111,2367,6131,2369,6152,2370c6173,2371,6193,2372,6214,2373e">
                      <v:fill on="f" focussize="0,0"/>
                      <v:stroke weight="1.5pt" color="#FF0000" miterlimit="10" endcap="round"/>
                      <v:imagedata o:title=""/>
                      <o:lock v:ext="edit"/>
                    </v:shape>
                    <v:shape id="_x0000_s1321" o:spid="_x0000_s1321" style="position:absolute;left:23;top:1216;height:1865;width:6230;" filled="f" stroked="t" coordsize="6230,1865" path="m15,1849c35,1848,56,1847,76,1846c97,1845,118,1844,138,1843c159,1842,180,1841,201,1840c221,1839,242,1837,262,1836c283,1835,304,1834,325,1832c345,1831,366,1829,386,1828c407,1827,428,1825,448,1824c469,1822,490,1821,511,1819c531,1818,552,1816,572,1814c593,1813,614,1811,635,1809c655,1807,676,1806,696,1804c717,1802,738,1800,758,1798c779,1796,800,1794,821,1791c841,1789,862,1787,882,1785c903,1782,924,1780,945,1777c965,1775,986,1773,1006,1770c1027,1767,1048,1764,1068,1761c1089,1758,1110,1755,1131,1752c1151,1749,1172,1746,1192,1742c1213,1739,1234,1736,1255,1732c1275,1728,1296,1725,1316,1721c1337,1717,1358,1712,1378,1708c1399,1704,1420,1699,1440,1695c1461,1690,1482,1685,1502,1680c1523,1675,1544,1670,1564,1664c1585,1658,1606,1653,1626,1647c1647,1641,1668,1634,1688,1627c1709,1621,1730,1614,1750,1607c1771,1599,1792,1592,1812,1583c1833,1575,1854,1567,1874,1558c1895,1549,1916,1540,1936,1530c1957,1520,1978,1510,1998,1499c2019,1488,2040,1476,2060,1464c2081,1452,2102,1439,2122,1426c2143,1412,2164,1398,2184,1383c2205,1368,2226,1352,2246,1335c2267,1317,2288,1300,2308,1281c2329,1262,2350,1242,2370,1220c2391,1199,2412,1176,2432,1151c2453,1127,2474,1102,2494,1074c2515,1047,2536,1018,2556,987c2577,956,2598,923,2618,888c2639,853,2660,817,2680,778c2701,739,2722,698,2742,656c2763,613,2784,568,2804,523c2825,478,2846,431,2866,385c2887,340,2908,292,2928,250c2949,207,2970,165,2990,131c3011,98,3032,67,3052,48c3073,28,3093,16,3114,15c3135,13,3155,22,3176,39c3197,56,3217,85,3238,116c3259,148,3280,188,3300,229c3321,270,3342,317,3362,361c3383,406,3403,453,3424,498c3445,543,3465,588,3486,630c3507,673,3527,714,3548,753c3569,792,3590,829,3610,865c3631,900,3652,933,3672,965c3693,997,3713,1026,3734,1054c3755,1082,3775,1108,3796,1133c3817,1158,3837,1181,3858,1204c3879,1226,3900,1246,3920,1266c3941,1286,3962,1304,3982,1322c4003,1339,4023,1355,4044,1371c4065,1387,4085,1402,4106,1416c4127,1430,4147,1443,4168,1455c4189,1468,4210,1479,4230,1491c4251,1502,4272,1512,4292,1522c4313,1533,4333,1542,4354,1552c4375,1561,4395,1569,4416,1578c4437,1586,4457,1594,4478,1601c4499,1609,4520,1616,4540,1623c4561,1630,4582,1636,4602,1642c4623,1649,4643,1654,4664,1660c4685,1666,4705,1671,4726,1677c4747,1682,4767,1687,4788,1692c4809,1696,4830,1701,4850,1705c4871,1710,4892,1714,4912,1718c4933,1722,4953,1726,4974,1729c4995,1733,5015,1737,5036,1740c5057,1744,5077,1747,5098,1750c5119,1753,5140,1756,5160,1759c5181,1762,5202,1765,5222,1768c5243,1771,5263,1773,5284,1776c5305,1778,5325,1781,5346,1783c5367,1786,5387,1788,5408,1790c5429,1792,5450,1795,5470,1797c5491,1799,5511,1800,5532,1802c5553,1804,5573,1807,5594,1808c5615,1810,5635,1812,5656,1813c5677,1815,5697,1817,5718,1818c5739,1820,5759,1821,5780,1823c5801,1824,5821,1826,5842,1827c5863,1829,5883,1830,5904,1832c5925,1833,5945,1834,5966,1835c5987,1837,6007,1838,6028,1839c6049,1840,6069,1841,6090,1843c6111,1844,6131,1845,6152,1846c6173,1847,6193,1848,6214,1849e">
                      <v:fill on="f" focussize="0,0"/>
                      <v:stroke weight="1.5pt" color="#00B050" miterlimit="10" endcap="round"/>
                      <v:imagedata o:title=""/>
                      <o:lock v:ext="edit"/>
                    </v:shape>
                    <v:shape id="_x0000_s1322" o:spid="_x0000_s1322" style="position:absolute;left:1993;top:0;height:30;width:414;" filled="f" stroked="t" coordsize="414,30" path="m15,15l398,15e">
                      <v:fill on="f" focussize="0,0"/>
                      <v:stroke weight="1.5pt" color="#FF0000" miterlimit="10" endcap="round"/>
                      <v:imagedata o:title=""/>
                      <o:lock v:ext="edit"/>
                    </v:shape>
                    <v:shape id="_x0000_s1323" o:spid="_x0000_s1323" style="position:absolute;left:2950;top:0;height:30;width:414;" filled="f" stroked="t" coordsize="414,30" path="m15,15l398,15e">
                      <v:fill on="f" focussize="0,0"/>
                      <v:stroke weight="1.5pt" color="#00B050" miterlimit="10" endcap="round"/>
                      <v:imagedata o:title=""/>
                      <o:lock v:ext="edit"/>
                    </v:shape>
                  </v:group>
                  <w10:wrap type="none"/>
                  <w10:anchorlock/>
                </v:group>
              </w:pict>
            </w:r>
          </w:p>
        </w:tc>
      </w:tr>
    </w:tbl>
    <w:p w14:paraId="598D0178">
      <w:pPr>
        <w:spacing w:before="165" w:line="234" w:lineRule="auto"/>
        <w:ind w:left="1118"/>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3"/>
          <w:sz w:val="21"/>
          <w:szCs w:val="21"/>
        </w:rPr>
        <w:t xml:space="preserve"> </w:t>
      </w:r>
      <w:r>
        <w:rPr>
          <w:rFonts w:ascii="Times New Roman" w:hAnsi="Times New Roman" w:eastAsia="Times New Roman" w:cs="Times New Roman"/>
          <w:b/>
          <w:bCs/>
          <w:spacing w:val="-3"/>
          <w:sz w:val="21"/>
          <w:szCs w:val="21"/>
        </w:rPr>
        <w:t>4-12    DE</w:t>
      </w:r>
      <w:r>
        <w:rPr>
          <w:rFonts w:ascii="Times New Roman" w:hAnsi="Times New Roman" w:eastAsia="Times New Roman" w:cs="Times New Roman"/>
          <w:b/>
          <w:bCs/>
          <w:spacing w:val="29"/>
          <w:w w:val="101"/>
          <w:sz w:val="21"/>
          <w:szCs w:val="21"/>
        </w:rPr>
        <w:t xml:space="preserve"> </w:t>
      </w:r>
      <w:r>
        <w:rPr>
          <w:rFonts w:ascii="宋体" w:hAnsi="宋体" w:eastAsia="宋体" w:cs="宋体"/>
          <w:b/>
          <w:bCs/>
          <w:spacing w:val="-3"/>
          <w:sz w:val="21"/>
          <w:szCs w:val="21"/>
        </w:rPr>
        <w:t>回线双回垂直（单边挂线）排列最不利塔型磁感应强度分布图</w:t>
      </w:r>
    </w:p>
    <w:p w14:paraId="3F5206EB">
      <w:pPr>
        <w:spacing w:before="188" w:line="219" w:lineRule="auto"/>
        <w:ind w:right="3"/>
        <w:jc w:val="right"/>
        <w:rPr>
          <w:rFonts w:ascii="宋体" w:hAnsi="宋体" w:eastAsia="宋体" w:cs="宋体"/>
          <w:sz w:val="24"/>
          <w:szCs w:val="24"/>
        </w:rPr>
      </w:pPr>
      <w:r>
        <w:rPr>
          <w:rFonts w:ascii="宋体" w:hAnsi="宋体" w:eastAsia="宋体" w:cs="宋体"/>
          <w:spacing w:val="-4"/>
          <w:sz w:val="24"/>
          <w:szCs w:val="24"/>
        </w:rPr>
        <w:t>从预测结果及曲线图可以看出，本工程</w:t>
      </w:r>
      <w:r>
        <w:rPr>
          <w:rFonts w:ascii="宋体" w:hAnsi="宋体" w:eastAsia="宋体" w:cs="宋体"/>
          <w:spacing w:val="-51"/>
          <w:sz w:val="24"/>
          <w:szCs w:val="24"/>
        </w:rPr>
        <w:t xml:space="preserve"> </w:t>
      </w:r>
      <w:r>
        <w:rPr>
          <w:rFonts w:ascii="Times New Roman" w:hAnsi="Times New Roman" w:eastAsia="Times New Roman" w:cs="Times New Roman"/>
          <w:spacing w:val="-4"/>
          <w:sz w:val="24"/>
          <w:szCs w:val="24"/>
        </w:rPr>
        <w:t>C</w:t>
      </w:r>
      <w:r>
        <w:rPr>
          <w:rFonts w:ascii="Times New Roman" w:hAnsi="Times New Roman" w:eastAsia="Times New Roman" w:cs="Times New Roman"/>
          <w:spacing w:val="34"/>
          <w:sz w:val="24"/>
          <w:szCs w:val="24"/>
        </w:rPr>
        <w:t xml:space="preserve"> </w:t>
      </w:r>
      <w:r>
        <w:rPr>
          <w:rFonts w:ascii="宋体" w:hAnsi="宋体" w:eastAsia="宋体" w:cs="宋体"/>
          <w:spacing w:val="-4"/>
          <w:sz w:val="24"/>
          <w:szCs w:val="24"/>
        </w:rPr>
        <w:t>回线路为双分裂导线，单回三角排列段采</w:t>
      </w:r>
    </w:p>
    <w:p w14:paraId="515FD8AD">
      <w:pPr>
        <w:spacing w:line="219" w:lineRule="auto"/>
        <w:rPr>
          <w:rFonts w:ascii="宋体" w:hAnsi="宋体" w:eastAsia="宋体" w:cs="宋体"/>
          <w:sz w:val="24"/>
          <w:szCs w:val="24"/>
        </w:rPr>
        <w:sectPr>
          <w:footerReference r:id="rId123" w:type="default"/>
          <w:pgSz w:w="11907" w:h="16841"/>
          <w:pgMar w:top="400" w:right="1411" w:bottom="1126" w:left="1416" w:header="0" w:footer="925" w:gutter="0"/>
          <w:cols w:space="720" w:num="1"/>
        </w:sectPr>
      </w:pPr>
    </w:p>
    <w:p w14:paraId="3BCEEB66">
      <w:pPr>
        <w:spacing w:line="248" w:lineRule="auto"/>
        <w:rPr>
          <w:rFonts w:ascii="Arial"/>
          <w:sz w:val="21"/>
        </w:rPr>
      </w:pPr>
    </w:p>
    <w:p w14:paraId="0A8D7516">
      <w:pPr>
        <w:spacing w:line="248" w:lineRule="auto"/>
        <w:rPr>
          <w:rFonts w:ascii="Arial"/>
          <w:sz w:val="21"/>
        </w:rPr>
      </w:pPr>
    </w:p>
    <w:p w14:paraId="00E65A96">
      <w:pPr>
        <w:spacing w:line="248" w:lineRule="auto"/>
        <w:rPr>
          <w:rFonts w:ascii="Arial"/>
          <w:sz w:val="21"/>
        </w:rPr>
      </w:pPr>
    </w:p>
    <w:p w14:paraId="050F7FFE">
      <w:pPr>
        <w:spacing w:line="248" w:lineRule="auto"/>
        <w:rPr>
          <w:rFonts w:ascii="Arial"/>
          <w:sz w:val="21"/>
        </w:rPr>
      </w:pPr>
    </w:p>
    <w:p w14:paraId="18BCFAD3">
      <w:pPr>
        <w:spacing w:line="248" w:lineRule="auto"/>
        <w:rPr>
          <w:rFonts w:ascii="Arial"/>
          <w:sz w:val="21"/>
        </w:rPr>
      </w:pPr>
    </w:p>
    <w:p w14:paraId="78AF9AEE">
      <w:pPr>
        <w:spacing w:before="78" w:line="359" w:lineRule="auto"/>
        <w:ind w:left="5" w:firstLine="2"/>
        <w:jc w:val="both"/>
        <w:rPr>
          <w:rFonts w:ascii="宋体" w:hAnsi="宋体" w:eastAsia="宋体" w:cs="宋体"/>
          <w:sz w:val="24"/>
          <w:szCs w:val="24"/>
        </w:rPr>
      </w:pPr>
      <w:r>
        <w:rPr>
          <w:rFonts w:ascii="宋体" w:hAnsi="宋体" w:eastAsia="宋体" w:cs="宋体"/>
          <w:spacing w:val="-1"/>
          <w:sz w:val="24"/>
          <w:szCs w:val="24"/>
        </w:rPr>
        <w:t>取最不利塔型</w:t>
      </w:r>
      <w:r>
        <w:rPr>
          <w:rFonts w:ascii="宋体" w:hAnsi="宋体" w:eastAsia="宋体" w:cs="宋体"/>
          <w:spacing w:val="-53"/>
          <w:sz w:val="24"/>
          <w:szCs w:val="24"/>
        </w:rPr>
        <w:t xml:space="preserve"> </w:t>
      </w:r>
      <w:r>
        <w:rPr>
          <w:rFonts w:ascii="Times New Roman" w:hAnsi="Times New Roman" w:eastAsia="Times New Roman" w:cs="Times New Roman"/>
          <w:spacing w:val="-1"/>
          <w:sz w:val="24"/>
          <w:szCs w:val="24"/>
        </w:rPr>
        <w:t xml:space="preserve">V3-2D1Y7-J4 </w:t>
      </w:r>
      <w:r>
        <w:rPr>
          <w:rFonts w:ascii="宋体" w:hAnsi="宋体" w:eastAsia="宋体" w:cs="宋体"/>
          <w:spacing w:val="-1"/>
          <w:sz w:val="24"/>
          <w:szCs w:val="24"/>
        </w:rPr>
        <w:t>进行预测，经过非居民区导线最低对地高度</w:t>
      </w:r>
      <w:r>
        <w:rPr>
          <w:rFonts w:ascii="宋体" w:hAnsi="宋体" w:eastAsia="宋体" w:cs="宋体"/>
          <w:spacing w:val="-46"/>
          <w:sz w:val="24"/>
          <w:szCs w:val="24"/>
        </w:rPr>
        <w:t xml:space="preserve"> </w:t>
      </w:r>
      <w:r>
        <w:rPr>
          <w:rFonts w:ascii="Times New Roman" w:hAnsi="Times New Roman" w:eastAsia="Times New Roman" w:cs="Times New Roman"/>
          <w:spacing w:val="-1"/>
          <w:sz w:val="24"/>
          <w:szCs w:val="24"/>
        </w:rPr>
        <w:t>6.5m</w:t>
      </w:r>
      <w:r>
        <w:rPr>
          <w:rFonts w:ascii="Times New Roman" w:hAnsi="Times New Roman" w:eastAsia="Times New Roman" w:cs="Times New Roman"/>
          <w:spacing w:val="24"/>
          <w:sz w:val="24"/>
          <w:szCs w:val="24"/>
        </w:rPr>
        <w:t xml:space="preserve"> </w:t>
      </w:r>
      <w:r>
        <w:rPr>
          <w:rFonts w:ascii="宋体" w:hAnsi="宋体" w:eastAsia="宋体" w:cs="宋体"/>
          <w:spacing w:val="-1"/>
          <w:sz w:val="24"/>
          <w:szCs w:val="24"/>
        </w:rPr>
        <w:t>时，地面</w:t>
      </w:r>
      <w:r>
        <w:rPr>
          <w:rFonts w:ascii="宋体" w:hAnsi="宋体" w:eastAsia="宋体" w:cs="宋体"/>
          <w:spacing w:val="-3"/>
          <w:sz w:val="24"/>
          <w:szCs w:val="24"/>
        </w:rPr>
        <w:t>上</w:t>
      </w:r>
      <w:r>
        <w:rPr>
          <w:rFonts w:ascii="宋体" w:hAnsi="宋体" w:eastAsia="宋体" w:cs="宋体"/>
          <w:spacing w:val="-15"/>
          <w:sz w:val="24"/>
          <w:szCs w:val="24"/>
        </w:rPr>
        <w:t xml:space="preserve"> </w:t>
      </w:r>
      <w:r>
        <w:rPr>
          <w:rFonts w:ascii="Times New Roman" w:hAnsi="Times New Roman" w:eastAsia="Times New Roman" w:cs="Times New Roman"/>
          <w:spacing w:val="-3"/>
          <w:sz w:val="24"/>
          <w:szCs w:val="24"/>
        </w:rPr>
        <w:t>1.5m</w:t>
      </w:r>
      <w:r>
        <w:rPr>
          <w:rFonts w:ascii="Times New Roman" w:hAnsi="Times New Roman" w:eastAsia="Times New Roman" w:cs="Times New Roman"/>
          <w:spacing w:val="15"/>
          <w:sz w:val="24"/>
          <w:szCs w:val="24"/>
        </w:rPr>
        <w:t xml:space="preserve"> </w:t>
      </w:r>
      <w:r>
        <w:rPr>
          <w:rFonts w:ascii="宋体" w:hAnsi="宋体" w:eastAsia="宋体" w:cs="宋体"/>
          <w:spacing w:val="-3"/>
          <w:sz w:val="24"/>
          <w:szCs w:val="24"/>
        </w:rPr>
        <w:t>处的工频电场强度最大值为</w:t>
      </w:r>
      <w:r>
        <w:rPr>
          <w:rFonts w:ascii="宋体" w:hAnsi="宋体" w:eastAsia="宋体" w:cs="宋体"/>
          <w:spacing w:val="-51"/>
          <w:sz w:val="24"/>
          <w:szCs w:val="24"/>
        </w:rPr>
        <w:t xml:space="preserve"> </w:t>
      </w:r>
      <w:r>
        <w:rPr>
          <w:rFonts w:ascii="Times New Roman" w:hAnsi="Times New Roman" w:eastAsia="Times New Roman" w:cs="Times New Roman"/>
          <w:spacing w:val="-3"/>
          <w:sz w:val="24"/>
          <w:szCs w:val="24"/>
        </w:rPr>
        <w:t>7.</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3"/>
          <w:sz w:val="24"/>
          <w:szCs w:val="24"/>
        </w:rPr>
        <w:t>157kV/m</w:t>
      </w:r>
      <w:r>
        <w:rPr>
          <w:rFonts w:ascii="宋体" w:hAnsi="宋体" w:eastAsia="宋体" w:cs="宋体"/>
          <w:spacing w:val="-3"/>
          <w:sz w:val="24"/>
          <w:szCs w:val="24"/>
        </w:rPr>
        <w:t>（距线路中心地面垂直投影水平距离</w:t>
      </w:r>
      <w:r>
        <w:rPr>
          <w:rFonts w:ascii="Times New Roman" w:hAnsi="Times New Roman" w:eastAsia="Times New Roman" w:cs="Times New Roman"/>
          <w:spacing w:val="-3"/>
          <w:sz w:val="24"/>
          <w:szCs w:val="24"/>
        </w:rPr>
        <w:t>-7m</w:t>
      </w:r>
      <w:r>
        <w:rPr>
          <w:rFonts w:ascii="宋体" w:hAnsi="宋体" w:eastAsia="宋体" w:cs="宋体"/>
          <w:spacing w:val="-4"/>
          <w:sz w:val="24"/>
          <w:szCs w:val="24"/>
        </w:rPr>
        <w:t>处</w:t>
      </w:r>
      <w:r>
        <w:rPr>
          <w:rFonts w:ascii="宋体" w:hAnsi="宋体" w:eastAsia="宋体" w:cs="宋体"/>
          <w:spacing w:val="-47"/>
          <w:sz w:val="24"/>
          <w:szCs w:val="24"/>
        </w:rPr>
        <w:t>），</w:t>
      </w:r>
      <w:r>
        <w:rPr>
          <w:rFonts w:ascii="宋体" w:hAnsi="宋体" w:eastAsia="宋体" w:cs="宋体"/>
          <w:spacing w:val="-4"/>
          <w:sz w:val="24"/>
          <w:szCs w:val="24"/>
        </w:rPr>
        <w:t xml:space="preserve">工频磁感应强度最大值为 </w:t>
      </w:r>
      <w:r>
        <w:rPr>
          <w:rFonts w:ascii="Times New Roman" w:hAnsi="Times New Roman" w:eastAsia="Times New Roman" w:cs="Times New Roman"/>
          <w:spacing w:val="-4"/>
          <w:sz w:val="24"/>
          <w:szCs w:val="24"/>
        </w:rPr>
        <w:t>87.924µT</w:t>
      </w:r>
      <w:r>
        <w:rPr>
          <w:rFonts w:ascii="宋体" w:hAnsi="宋体" w:eastAsia="宋体" w:cs="宋体"/>
          <w:spacing w:val="-4"/>
          <w:sz w:val="24"/>
          <w:szCs w:val="24"/>
        </w:rPr>
        <w:t>（距线路中心地面垂直投影水平距离</w:t>
      </w:r>
      <w:r>
        <w:rPr>
          <w:rFonts w:ascii="Times New Roman" w:hAnsi="Times New Roman" w:eastAsia="Times New Roman" w:cs="Times New Roman"/>
          <w:spacing w:val="-4"/>
          <w:sz w:val="24"/>
          <w:szCs w:val="24"/>
        </w:rPr>
        <w:t>-5m</w:t>
      </w:r>
      <w:r>
        <w:rPr>
          <w:rFonts w:ascii="Times New Roman" w:hAnsi="Times New Roman" w:eastAsia="Times New Roman" w:cs="Times New Roman"/>
          <w:spacing w:val="45"/>
          <w:sz w:val="24"/>
          <w:szCs w:val="24"/>
        </w:rPr>
        <w:t xml:space="preserve"> </w:t>
      </w:r>
      <w:r>
        <w:rPr>
          <w:rFonts w:ascii="宋体" w:hAnsi="宋体" w:eastAsia="宋体" w:cs="宋体"/>
          <w:spacing w:val="-4"/>
          <w:sz w:val="24"/>
          <w:szCs w:val="24"/>
        </w:rPr>
        <w:t>处</w:t>
      </w:r>
      <w:r>
        <w:rPr>
          <w:rFonts w:ascii="宋体" w:hAnsi="宋体" w:eastAsia="宋体" w:cs="宋体"/>
          <w:spacing w:val="-47"/>
          <w:sz w:val="24"/>
          <w:szCs w:val="24"/>
        </w:rPr>
        <w:t>）；</w:t>
      </w:r>
      <w:r>
        <w:rPr>
          <w:rFonts w:ascii="宋体" w:hAnsi="宋体" w:eastAsia="宋体" w:cs="宋体"/>
          <w:spacing w:val="8"/>
          <w:sz w:val="24"/>
          <w:szCs w:val="24"/>
        </w:rPr>
        <w:t xml:space="preserve">经过居民区导线最低对地高度 </w:t>
      </w:r>
      <w:r>
        <w:rPr>
          <w:rFonts w:ascii="Times New Roman" w:hAnsi="Times New Roman" w:eastAsia="Times New Roman" w:cs="Times New Roman"/>
          <w:spacing w:val="8"/>
          <w:sz w:val="24"/>
          <w:szCs w:val="24"/>
        </w:rPr>
        <w:t xml:space="preserve">9.5m  </w:t>
      </w:r>
      <w:r>
        <w:rPr>
          <w:rFonts w:ascii="宋体" w:hAnsi="宋体" w:eastAsia="宋体" w:cs="宋体"/>
          <w:spacing w:val="8"/>
          <w:sz w:val="24"/>
          <w:szCs w:val="24"/>
        </w:rPr>
        <w:t>时，地面上</w:t>
      </w:r>
      <w:r>
        <w:rPr>
          <w:rFonts w:ascii="宋体" w:hAnsi="宋体" w:eastAsia="宋体" w:cs="宋体"/>
          <w:spacing w:val="53"/>
          <w:sz w:val="24"/>
          <w:szCs w:val="24"/>
        </w:rPr>
        <w:t xml:space="preserve"> </w:t>
      </w:r>
      <w:r>
        <w:rPr>
          <w:rFonts w:ascii="Times New Roman" w:hAnsi="Times New Roman" w:eastAsia="Times New Roman" w:cs="Times New Roman"/>
          <w:spacing w:val="8"/>
          <w:sz w:val="24"/>
          <w:szCs w:val="24"/>
        </w:rPr>
        <w:t>1.5m</w:t>
      </w:r>
      <w:r>
        <w:rPr>
          <w:rFonts w:ascii="Times New Roman" w:hAnsi="Times New Roman" w:eastAsia="Times New Roman" w:cs="Times New Roman"/>
          <w:spacing w:val="12"/>
          <w:sz w:val="24"/>
          <w:szCs w:val="24"/>
        </w:rPr>
        <w:t xml:space="preserve">  </w:t>
      </w:r>
      <w:r>
        <w:rPr>
          <w:rFonts w:ascii="宋体" w:hAnsi="宋体" w:eastAsia="宋体" w:cs="宋体"/>
          <w:spacing w:val="8"/>
          <w:sz w:val="24"/>
          <w:szCs w:val="24"/>
        </w:rPr>
        <w:t>处的工频电场强度最大值为</w:t>
      </w:r>
      <w:r>
        <w:rPr>
          <w:rFonts w:ascii="Times New Roman" w:hAnsi="Times New Roman" w:eastAsia="Times New Roman" w:cs="Times New Roman"/>
          <w:spacing w:val="8"/>
          <w:sz w:val="24"/>
          <w:szCs w:val="24"/>
        </w:rPr>
        <w:t>3.841</w:t>
      </w:r>
      <w:r>
        <w:rPr>
          <w:rFonts w:ascii="Times New Roman" w:hAnsi="Times New Roman" w:eastAsia="Times New Roman" w:cs="Times New Roman"/>
          <w:sz w:val="24"/>
          <w:szCs w:val="24"/>
        </w:rPr>
        <w:t>kV</w:t>
      </w:r>
      <w:r>
        <w:rPr>
          <w:rFonts w:ascii="Times New Roman" w:hAnsi="Times New Roman" w:eastAsia="Times New Roman" w:cs="Times New Roman"/>
          <w:spacing w:val="8"/>
          <w:sz w:val="24"/>
          <w:szCs w:val="24"/>
        </w:rPr>
        <w:t>/m</w:t>
      </w:r>
      <w:r>
        <w:rPr>
          <w:rFonts w:ascii="宋体" w:hAnsi="宋体" w:eastAsia="宋体" w:cs="宋体"/>
          <w:spacing w:val="8"/>
          <w:sz w:val="24"/>
          <w:szCs w:val="24"/>
        </w:rPr>
        <w:t>（距线路中心地面垂直投影水平距离</w:t>
      </w:r>
      <w:r>
        <w:rPr>
          <w:rFonts w:ascii="Times New Roman" w:hAnsi="Times New Roman" w:eastAsia="Times New Roman" w:cs="Times New Roman"/>
          <w:spacing w:val="8"/>
          <w:sz w:val="24"/>
          <w:szCs w:val="24"/>
        </w:rPr>
        <w:t xml:space="preserve">-8m  </w:t>
      </w:r>
      <w:r>
        <w:rPr>
          <w:rFonts w:ascii="宋体" w:hAnsi="宋体" w:eastAsia="宋体" w:cs="宋体"/>
          <w:spacing w:val="8"/>
          <w:sz w:val="24"/>
          <w:szCs w:val="24"/>
        </w:rPr>
        <w:t>处</w:t>
      </w:r>
      <w:r>
        <w:rPr>
          <w:rFonts w:ascii="宋体" w:hAnsi="宋体" w:eastAsia="宋体" w:cs="宋体"/>
          <w:spacing w:val="-55"/>
          <w:sz w:val="24"/>
          <w:szCs w:val="24"/>
        </w:rPr>
        <w:t>），</w:t>
      </w:r>
      <w:r>
        <w:rPr>
          <w:rFonts w:ascii="宋体" w:hAnsi="宋体" w:eastAsia="宋体" w:cs="宋体"/>
          <w:spacing w:val="-67"/>
          <w:sz w:val="24"/>
          <w:szCs w:val="24"/>
        </w:rPr>
        <w:t xml:space="preserve"> </w:t>
      </w:r>
      <w:r>
        <w:rPr>
          <w:rFonts w:ascii="宋体" w:hAnsi="宋体" w:eastAsia="宋体" w:cs="宋体"/>
          <w:spacing w:val="8"/>
          <w:sz w:val="24"/>
          <w:szCs w:val="24"/>
        </w:rPr>
        <w:t>工频磁感应强度最大值为</w:t>
      </w:r>
      <w:r>
        <w:rPr>
          <w:rFonts w:ascii="Times New Roman" w:hAnsi="Times New Roman" w:eastAsia="Times New Roman" w:cs="Times New Roman"/>
          <w:spacing w:val="-6"/>
          <w:sz w:val="24"/>
          <w:szCs w:val="24"/>
        </w:rPr>
        <w:t>52.214µT</w:t>
      </w:r>
      <w:r>
        <w:rPr>
          <w:rFonts w:ascii="宋体" w:hAnsi="宋体" w:eastAsia="宋体" w:cs="宋体"/>
          <w:spacing w:val="-6"/>
          <w:sz w:val="24"/>
          <w:szCs w:val="24"/>
        </w:rPr>
        <w:t>（距线路中心地面垂直投影水平距离</w:t>
      </w:r>
      <w:r>
        <w:rPr>
          <w:rFonts w:ascii="Times New Roman" w:hAnsi="Times New Roman" w:eastAsia="Times New Roman" w:cs="Times New Roman"/>
          <w:spacing w:val="-6"/>
          <w:sz w:val="24"/>
          <w:szCs w:val="24"/>
        </w:rPr>
        <w:t>-1m</w:t>
      </w:r>
      <w:r>
        <w:rPr>
          <w:rFonts w:ascii="Times New Roman" w:hAnsi="Times New Roman" w:eastAsia="Times New Roman" w:cs="Times New Roman"/>
          <w:spacing w:val="14"/>
          <w:sz w:val="24"/>
          <w:szCs w:val="24"/>
        </w:rPr>
        <w:t xml:space="preserve"> </w:t>
      </w:r>
      <w:r>
        <w:rPr>
          <w:rFonts w:ascii="宋体" w:hAnsi="宋体" w:eastAsia="宋体" w:cs="宋体"/>
          <w:spacing w:val="-6"/>
          <w:sz w:val="24"/>
          <w:szCs w:val="24"/>
        </w:rPr>
        <w:t>处）。双回垂直（单边挂线）排</w:t>
      </w:r>
      <w:r>
        <w:rPr>
          <w:rFonts w:ascii="宋体" w:hAnsi="宋体" w:eastAsia="宋体" w:cs="宋体"/>
          <w:spacing w:val="-7"/>
          <w:sz w:val="24"/>
          <w:szCs w:val="24"/>
        </w:rPr>
        <w:t>列段位</w:t>
      </w:r>
      <w:r>
        <w:rPr>
          <w:rFonts w:ascii="宋体" w:hAnsi="宋体" w:eastAsia="宋体" w:cs="宋体"/>
          <w:sz w:val="24"/>
          <w:szCs w:val="24"/>
        </w:rPr>
        <w:t>于线路终端不经过居民区，采取最不利塔型</w:t>
      </w:r>
      <w:r>
        <w:rPr>
          <w:rFonts w:ascii="宋体" w:hAnsi="宋体" w:eastAsia="宋体" w:cs="宋体"/>
          <w:spacing w:val="-51"/>
          <w:sz w:val="24"/>
          <w:szCs w:val="24"/>
        </w:rPr>
        <w:t xml:space="preserve"> </w:t>
      </w:r>
      <w:r>
        <w:rPr>
          <w:rFonts w:ascii="Times New Roman" w:hAnsi="Times New Roman" w:eastAsia="Times New Roman" w:cs="Times New Roman"/>
          <w:sz w:val="24"/>
          <w:szCs w:val="24"/>
        </w:rPr>
        <w:t xml:space="preserve">2D2Z5-JD </w:t>
      </w:r>
      <w:r>
        <w:rPr>
          <w:rFonts w:ascii="宋体" w:hAnsi="宋体" w:eastAsia="宋体" w:cs="宋体"/>
          <w:spacing w:val="-1"/>
          <w:sz w:val="24"/>
          <w:szCs w:val="24"/>
        </w:rPr>
        <w:t>进行预测，在导线最低对地高度</w:t>
      </w:r>
      <w:r>
        <w:rPr>
          <w:rFonts w:ascii="Times New Roman" w:hAnsi="Times New Roman" w:eastAsia="Times New Roman" w:cs="Times New Roman"/>
          <w:spacing w:val="-2"/>
          <w:sz w:val="24"/>
          <w:szCs w:val="24"/>
        </w:rPr>
        <w:t>6.5m</w:t>
      </w:r>
      <w:r>
        <w:rPr>
          <w:rFonts w:ascii="Times New Roman" w:hAnsi="Times New Roman" w:eastAsia="Times New Roman" w:cs="Times New Roman"/>
          <w:spacing w:val="33"/>
          <w:w w:val="101"/>
          <w:sz w:val="24"/>
          <w:szCs w:val="24"/>
        </w:rPr>
        <w:t xml:space="preserve"> </w:t>
      </w:r>
      <w:r>
        <w:rPr>
          <w:rFonts w:ascii="宋体" w:hAnsi="宋体" w:eastAsia="宋体" w:cs="宋体"/>
          <w:spacing w:val="-2"/>
          <w:sz w:val="24"/>
          <w:szCs w:val="24"/>
        </w:rPr>
        <w:t xml:space="preserve">时，距地面 </w:t>
      </w:r>
      <w:r>
        <w:rPr>
          <w:rFonts w:ascii="Times New Roman" w:hAnsi="Times New Roman" w:eastAsia="Times New Roman" w:cs="Times New Roman"/>
          <w:spacing w:val="-2"/>
          <w:sz w:val="24"/>
          <w:szCs w:val="24"/>
        </w:rPr>
        <w:t>1.5m</w:t>
      </w:r>
      <w:r>
        <w:rPr>
          <w:rFonts w:ascii="Times New Roman" w:hAnsi="Times New Roman" w:eastAsia="Times New Roman" w:cs="Times New Roman"/>
          <w:spacing w:val="31"/>
          <w:sz w:val="24"/>
          <w:szCs w:val="24"/>
        </w:rPr>
        <w:t xml:space="preserve"> </w:t>
      </w:r>
      <w:r>
        <w:rPr>
          <w:rFonts w:ascii="宋体" w:hAnsi="宋体" w:eastAsia="宋体" w:cs="宋体"/>
          <w:spacing w:val="-2"/>
          <w:sz w:val="24"/>
          <w:szCs w:val="24"/>
        </w:rPr>
        <w:t>高处的工频电场强</w:t>
      </w:r>
      <w:r>
        <w:rPr>
          <w:rFonts w:ascii="宋体" w:hAnsi="宋体" w:eastAsia="宋体" w:cs="宋体"/>
          <w:spacing w:val="-3"/>
          <w:sz w:val="24"/>
          <w:szCs w:val="24"/>
        </w:rPr>
        <w:t>度最大值为</w:t>
      </w:r>
      <w:r>
        <w:rPr>
          <w:rFonts w:ascii="宋体" w:hAnsi="宋体" w:eastAsia="宋体" w:cs="宋体"/>
          <w:spacing w:val="-38"/>
          <w:sz w:val="24"/>
          <w:szCs w:val="24"/>
        </w:rPr>
        <w:t xml:space="preserve"> </w:t>
      </w:r>
      <w:r>
        <w:rPr>
          <w:rFonts w:ascii="Times New Roman" w:hAnsi="Times New Roman" w:eastAsia="Times New Roman" w:cs="Times New Roman"/>
          <w:spacing w:val="-3"/>
          <w:sz w:val="24"/>
          <w:szCs w:val="24"/>
        </w:rPr>
        <w:t>6.871kV/m</w:t>
      </w:r>
      <w:r>
        <w:rPr>
          <w:rFonts w:ascii="宋体" w:hAnsi="宋体" w:eastAsia="宋体" w:cs="宋体"/>
          <w:spacing w:val="-3"/>
          <w:sz w:val="24"/>
          <w:szCs w:val="24"/>
        </w:rPr>
        <w:t>（距线路中心地面垂直投影水平距离</w:t>
      </w:r>
      <w:r>
        <w:rPr>
          <w:rFonts w:ascii="宋体" w:hAnsi="宋体" w:eastAsia="宋体" w:cs="宋体"/>
          <w:spacing w:val="-25"/>
          <w:sz w:val="24"/>
          <w:szCs w:val="24"/>
        </w:rPr>
        <w:t xml:space="preserve"> </w:t>
      </w:r>
      <w:r>
        <w:rPr>
          <w:rFonts w:ascii="Times New Roman" w:hAnsi="Times New Roman" w:eastAsia="Times New Roman" w:cs="Times New Roman"/>
          <w:spacing w:val="-3"/>
          <w:sz w:val="24"/>
          <w:szCs w:val="24"/>
        </w:rPr>
        <w:t>0m</w:t>
      </w:r>
      <w:r>
        <w:rPr>
          <w:rFonts w:ascii="Times New Roman" w:hAnsi="Times New Roman" w:eastAsia="Times New Roman" w:cs="Times New Roman"/>
          <w:spacing w:val="42"/>
          <w:sz w:val="24"/>
          <w:szCs w:val="24"/>
        </w:rPr>
        <w:t xml:space="preserve"> </w:t>
      </w:r>
      <w:r>
        <w:rPr>
          <w:rFonts w:ascii="宋体" w:hAnsi="宋体" w:eastAsia="宋体" w:cs="宋体"/>
          <w:spacing w:val="-3"/>
          <w:sz w:val="24"/>
          <w:szCs w:val="24"/>
        </w:rPr>
        <w:t>处</w:t>
      </w:r>
      <w:r>
        <w:rPr>
          <w:rFonts w:ascii="宋体" w:hAnsi="宋体" w:eastAsia="宋体" w:cs="宋体"/>
          <w:spacing w:val="-37"/>
          <w:sz w:val="24"/>
          <w:szCs w:val="24"/>
        </w:rPr>
        <w:t>），</w:t>
      </w:r>
      <w:r>
        <w:rPr>
          <w:rFonts w:ascii="宋体" w:hAnsi="宋体" w:eastAsia="宋体" w:cs="宋体"/>
          <w:spacing w:val="-3"/>
          <w:sz w:val="24"/>
          <w:szCs w:val="24"/>
        </w:rPr>
        <w:t xml:space="preserve">工频磁感应强度最大值为 </w:t>
      </w:r>
      <w:r>
        <w:rPr>
          <w:rFonts w:ascii="Times New Roman" w:hAnsi="Times New Roman" w:eastAsia="Times New Roman" w:cs="Times New Roman"/>
          <w:spacing w:val="-3"/>
          <w:sz w:val="24"/>
          <w:szCs w:val="24"/>
        </w:rPr>
        <w:t>65.718µT</w:t>
      </w:r>
      <w:r>
        <w:rPr>
          <w:rFonts w:ascii="宋体" w:hAnsi="宋体" w:eastAsia="宋体" w:cs="宋体"/>
          <w:spacing w:val="-3"/>
          <w:sz w:val="24"/>
          <w:szCs w:val="24"/>
        </w:rPr>
        <w:t>（距线路中心地面垂直投影</w:t>
      </w:r>
      <w:r>
        <w:rPr>
          <w:rFonts w:ascii="宋体" w:hAnsi="宋体" w:eastAsia="宋体" w:cs="宋体"/>
          <w:spacing w:val="-7"/>
          <w:sz w:val="24"/>
          <w:szCs w:val="24"/>
        </w:rPr>
        <w:t>水平距离</w:t>
      </w:r>
      <w:r>
        <w:rPr>
          <w:rFonts w:ascii="宋体" w:hAnsi="宋体" w:eastAsia="宋体" w:cs="宋体"/>
          <w:spacing w:val="-48"/>
          <w:sz w:val="24"/>
          <w:szCs w:val="24"/>
        </w:rPr>
        <w:t xml:space="preserve"> </w:t>
      </w:r>
      <w:r>
        <w:rPr>
          <w:rFonts w:ascii="Times New Roman" w:hAnsi="Times New Roman" w:eastAsia="Times New Roman" w:cs="Times New Roman"/>
          <w:spacing w:val="-7"/>
          <w:sz w:val="24"/>
          <w:szCs w:val="24"/>
        </w:rPr>
        <w:t>0m</w:t>
      </w:r>
      <w:r>
        <w:rPr>
          <w:rFonts w:ascii="Times New Roman" w:hAnsi="Times New Roman" w:eastAsia="Times New Roman" w:cs="Times New Roman"/>
          <w:spacing w:val="15"/>
          <w:sz w:val="24"/>
          <w:szCs w:val="24"/>
        </w:rPr>
        <w:t xml:space="preserve"> </w:t>
      </w:r>
      <w:r>
        <w:rPr>
          <w:rFonts w:ascii="宋体" w:hAnsi="宋体" w:eastAsia="宋体" w:cs="宋体"/>
          <w:spacing w:val="-7"/>
          <w:sz w:val="24"/>
          <w:szCs w:val="24"/>
        </w:rPr>
        <w:t>处）。双回垂直（双边挂线）排列段为沿用原有铁塔，位于线路终端不经过</w:t>
      </w:r>
      <w:r>
        <w:rPr>
          <w:rFonts w:ascii="宋体" w:hAnsi="宋体" w:eastAsia="宋体" w:cs="宋体"/>
          <w:spacing w:val="-5"/>
          <w:sz w:val="24"/>
          <w:szCs w:val="24"/>
        </w:rPr>
        <w:t>居民区，采取最不利塔型</w:t>
      </w:r>
      <w:r>
        <w:rPr>
          <w:rFonts w:ascii="宋体" w:hAnsi="宋体" w:eastAsia="宋体" w:cs="宋体"/>
          <w:spacing w:val="-46"/>
          <w:sz w:val="24"/>
          <w:szCs w:val="24"/>
        </w:rPr>
        <w:t xml:space="preserve"> </w:t>
      </w:r>
      <w:r>
        <w:rPr>
          <w:rFonts w:ascii="Times New Roman" w:hAnsi="Times New Roman" w:eastAsia="Times New Roman" w:cs="Times New Roman"/>
          <w:spacing w:val="-5"/>
          <w:sz w:val="24"/>
          <w:szCs w:val="24"/>
        </w:rPr>
        <w:t xml:space="preserve">2D2Z5-JD </w:t>
      </w:r>
      <w:r>
        <w:rPr>
          <w:rFonts w:ascii="宋体" w:hAnsi="宋体" w:eastAsia="宋体" w:cs="宋体"/>
          <w:spacing w:val="-5"/>
          <w:sz w:val="24"/>
          <w:szCs w:val="24"/>
        </w:rPr>
        <w:t>进行预测，导线实际对地高度</w:t>
      </w:r>
      <w:r>
        <w:rPr>
          <w:rFonts w:ascii="宋体" w:hAnsi="宋体" w:eastAsia="宋体" w:cs="宋体"/>
          <w:spacing w:val="-31"/>
          <w:sz w:val="24"/>
          <w:szCs w:val="24"/>
        </w:rPr>
        <w:t xml:space="preserve"> </w:t>
      </w:r>
      <w:r>
        <w:rPr>
          <w:rFonts w:ascii="Times New Roman" w:hAnsi="Times New Roman" w:eastAsia="Times New Roman" w:cs="Times New Roman"/>
          <w:spacing w:val="-5"/>
          <w:sz w:val="24"/>
          <w:szCs w:val="24"/>
        </w:rPr>
        <w:t>15m</w:t>
      </w:r>
      <w:r>
        <w:rPr>
          <w:rFonts w:ascii="宋体" w:hAnsi="宋体" w:eastAsia="宋体" w:cs="宋体"/>
          <w:spacing w:val="-5"/>
          <w:sz w:val="24"/>
          <w:szCs w:val="24"/>
        </w:rPr>
        <w:t>，距地面</w:t>
      </w:r>
      <w:r>
        <w:rPr>
          <w:rFonts w:ascii="宋体" w:hAnsi="宋体" w:eastAsia="宋体" w:cs="宋体"/>
          <w:spacing w:val="-32"/>
          <w:sz w:val="24"/>
          <w:szCs w:val="24"/>
        </w:rPr>
        <w:t xml:space="preserve"> </w:t>
      </w:r>
      <w:r>
        <w:rPr>
          <w:rFonts w:ascii="Times New Roman" w:hAnsi="Times New Roman" w:eastAsia="Times New Roman" w:cs="Times New Roman"/>
          <w:spacing w:val="-5"/>
          <w:sz w:val="24"/>
          <w:szCs w:val="24"/>
        </w:rPr>
        <w:t>1.5m</w:t>
      </w:r>
      <w:r>
        <w:rPr>
          <w:rFonts w:ascii="Times New Roman" w:hAnsi="Times New Roman" w:eastAsia="Times New Roman" w:cs="Times New Roman"/>
          <w:spacing w:val="17"/>
          <w:sz w:val="24"/>
          <w:szCs w:val="24"/>
        </w:rPr>
        <w:t xml:space="preserve"> </w:t>
      </w:r>
      <w:r>
        <w:rPr>
          <w:rFonts w:ascii="宋体" w:hAnsi="宋体" w:eastAsia="宋体" w:cs="宋体"/>
          <w:spacing w:val="-5"/>
          <w:sz w:val="24"/>
          <w:szCs w:val="24"/>
        </w:rPr>
        <w:t>高</w:t>
      </w:r>
      <w:r>
        <w:rPr>
          <w:rFonts w:ascii="宋体" w:hAnsi="宋体" w:eastAsia="宋体" w:cs="宋体"/>
          <w:spacing w:val="-4"/>
          <w:sz w:val="24"/>
          <w:szCs w:val="24"/>
        </w:rPr>
        <w:t>处的工频电场强度最大值为</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1.612kV/m</w:t>
      </w:r>
      <w:r>
        <w:rPr>
          <w:rFonts w:ascii="宋体" w:hAnsi="宋体" w:eastAsia="宋体" w:cs="宋体"/>
          <w:spacing w:val="-4"/>
          <w:sz w:val="24"/>
          <w:szCs w:val="24"/>
        </w:rPr>
        <w:t>（距线路中心地面垂直投影水平距离</w:t>
      </w:r>
      <w:r>
        <w:rPr>
          <w:rFonts w:ascii="Times New Roman" w:hAnsi="Times New Roman" w:eastAsia="Times New Roman" w:cs="Times New Roman"/>
          <w:spacing w:val="-4"/>
          <w:sz w:val="24"/>
          <w:szCs w:val="24"/>
        </w:rPr>
        <w:t>-6m</w:t>
      </w:r>
      <w:r>
        <w:rPr>
          <w:rFonts w:ascii="Times New Roman" w:hAnsi="Times New Roman" w:eastAsia="Times New Roman" w:cs="Times New Roman"/>
          <w:spacing w:val="15"/>
          <w:sz w:val="24"/>
          <w:szCs w:val="24"/>
        </w:rPr>
        <w:t xml:space="preserve"> </w:t>
      </w:r>
      <w:r>
        <w:rPr>
          <w:rFonts w:ascii="宋体" w:hAnsi="宋体" w:eastAsia="宋体" w:cs="宋体"/>
          <w:spacing w:val="-4"/>
          <w:sz w:val="24"/>
          <w:szCs w:val="24"/>
        </w:rPr>
        <w:t>处</w:t>
      </w:r>
      <w:r>
        <w:rPr>
          <w:rFonts w:ascii="宋体" w:hAnsi="宋体" w:eastAsia="宋体" w:cs="宋体"/>
          <w:spacing w:val="-43"/>
          <w:sz w:val="24"/>
          <w:szCs w:val="24"/>
        </w:rPr>
        <w:t>），</w:t>
      </w:r>
      <w:r>
        <w:rPr>
          <w:rFonts w:ascii="宋体" w:hAnsi="宋体" w:eastAsia="宋体" w:cs="宋体"/>
          <w:spacing w:val="-4"/>
          <w:sz w:val="24"/>
          <w:szCs w:val="24"/>
        </w:rPr>
        <w:t>工</w:t>
      </w:r>
      <w:r>
        <w:rPr>
          <w:rFonts w:ascii="宋体" w:hAnsi="宋体" w:eastAsia="宋体" w:cs="宋体"/>
          <w:spacing w:val="-5"/>
          <w:sz w:val="24"/>
          <w:szCs w:val="24"/>
        </w:rPr>
        <w:t>频磁感应强度最大值为</w:t>
      </w:r>
      <w:r>
        <w:rPr>
          <w:rFonts w:ascii="宋体" w:hAnsi="宋体" w:eastAsia="宋体" w:cs="宋体"/>
          <w:spacing w:val="-20"/>
          <w:sz w:val="24"/>
          <w:szCs w:val="24"/>
        </w:rPr>
        <w:t xml:space="preserve"> </w:t>
      </w:r>
      <w:r>
        <w:rPr>
          <w:rFonts w:ascii="Times New Roman" w:hAnsi="Times New Roman" w:eastAsia="Times New Roman" w:cs="Times New Roman"/>
          <w:spacing w:val="-5"/>
          <w:sz w:val="24"/>
          <w:szCs w:val="24"/>
        </w:rPr>
        <w:t>18.924µT</w:t>
      </w:r>
      <w:r>
        <w:rPr>
          <w:rFonts w:ascii="宋体" w:hAnsi="宋体" w:eastAsia="宋体" w:cs="宋体"/>
          <w:spacing w:val="-5"/>
          <w:sz w:val="24"/>
          <w:szCs w:val="24"/>
        </w:rPr>
        <w:t>（距线路中心地面垂直投影水平距离</w:t>
      </w:r>
      <w:r>
        <w:rPr>
          <w:rFonts w:ascii="Times New Roman" w:hAnsi="Times New Roman" w:eastAsia="Times New Roman" w:cs="Times New Roman"/>
          <w:spacing w:val="-5"/>
          <w:sz w:val="24"/>
          <w:szCs w:val="24"/>
        </w:rPr>
        <w:t>-1m</w:t>
      </w:r>
      <w:r>
        <w:rPr>
          <w:rFonts w:ascii="Times New Roman" w:hAnsi="Times New Roman" w:eastAsia="Times New Roman" w:cs="Times New Roman"/>
          <w:spacing w:val="15"/>
          <w:sz w:val="24"/>
          <w:szCs w:val="24"/>
        </w:rPr>
        <w:t xml:space="preserve"> </w:t>
      </w:r>
      <w:r>
        <w:rPr>
          <w:rFonts w:ascii="宋体" w:hAnsi="宋体" w:eastAsia="宋体" w:cs="宋体"/>
          <w:spacing w:val="-5"/>
          <w:sz w:val="24"/>
          <w:szCs w:val="24"/>
        </w:rPr>
        <w:t>处）。</w:t>
      </w:r>
    </w:p>
    <w:p w14:paraId="6EECF2C4">
      <w:pPr>
        <w:spacing w:before="26" w:line="360" w:lineRule="auto"/>
        <w:ind w:right="59" w:firstLine="480"/>
        <w:jc w:val="both"/>
        <w:rPr>
          <w:rFonts w:ascii="宋体" w:hAnsi="宋体" w:eastAsia="宋体" w:cs="宋体"/>
          <w:sz w:val="24"/>
          <w:szCs w:val="24"/>
        </w:rPr>
      </w:pPr>
      <w:r>
        <w:rPr>
          <w:rFonts w:ascii="Times New Roman" w:hAnsi="Times New Roman" w:eastAsia="Times New Roman" w:cs="Times New Roman"/>
          <w:spacing w:val="-3"/>
          <w:sz w:val="24"/>
          <w:szCs w:val="24"/>
        </w:rPr>
        <w:t>DE</w:t>
      </w:r>
      <w:r>
        <w:rPr>
          <w:rFonts w:ascii="Times New Roman" w:hAnsi="Times New Roman" w:eastAsia="Times New Roman" w:cs="Times New Roman"/>
          <w:spacing w:val="32"/>
          <w:w w:val="101"/>
          <w:sz w:val="24"/>
          <w:szCs w:val="24"/>
        </w:rPr>
        <w:t xml:space="preserve"> </w:t>
      </w:r>
      <w:r>
        <w:rPr>
          <w:rFonts w:ascii="宋体" w:hAnsi="宋体" w:eastAsia="宋体" w:cs="宋体"/>
          <w:spacing w:val="-3"/>
          <w:sz w:val="24"/>
          <w:szCs w:val="24"/>
        </w:rPr>
        <w:t>回线路为单分裂导线，单回三角排列段采取最不利</w:t>
      </w:r>
      <w:r>
        <w:rPr>
          <w:rFonts w:ascii="宋体" w:hAnsi="宋体" w:eastAsia="宋体" w:cs="宋体"/>
          <w:spacing w:val="-4"/>
          <w:sz w:val="24"/>
          <w:szCs w:val="24"/>
        </w:rPr>
        <w:t>塔型</w:t>
      </w:r>
      <w:r>
        <w:rPr>
          <w:rFonts w:ascii="宋体" w:hAnsi="宋体" w:eastAsia="宋体" w:cs="宋体"/>
          <w:spacing w:val="-54"/>
          <w:sz w:val="24"/>
          <w:szCs w:val="24"/>
        </w:rPr>
        <w:t xml:space="preserve"> </w:t>
      </w:r>
      <w:r>
        <w:rPr>
          <w:rFonts w:ascii="Times New Roman" w:hAnsi="Times New Roman" w:eastAsia="Times New Roman" w:cs="Times New Roman"/>
          <w:spacing w:val="-4"/>
          <w:sz w:val="24"/>
          <w:szCs w:val="24"/>
        </w:rPr>
        <w:t xml:space="preserve">2D1R7-J3 </w:t>
      </w:r>
      <w:r>
        <w:rPr>
          <w:rFonts w:ascii="宋体" w:hAnsi="宋体" w:eastAsia="宋体" w:cs="宋体"/>
          <w:spacing w:val="-4"/>
          <w:sz w:val="24"/>
          <w:szCs w:val="24"/>
        </w:rPr>
        <w:t>进行预测，经</w:t>
      </w:r>
      <w:r>
        <w:rPr>
          <w:rFonts w:ascii="宋体" w:hAnsi="宋体" w:eastAsia="宋体" w:cs="宋体"/>
          <w:spacing w:val="9"/>
          <w:sz w:val="24"/>
          <w:szCs w:val="24"/>
        </w:rPr>
        <w:t xml:space="preserve">过非居民区导线最低对地高度 </w:t>
      </w:r>
      <w:r>
        <w:rPr>
          <w:rFonts w:ascii="Times New Roman" w:hAnsi="Times New Roman" w:eastAsia="Times New Roman" w:cs="Times New Roman"/>
          <w:spacing w:val="9"/>
          <w:sz w:val="24"/>
          <w:szCs w:val="24"/>
        </w:rPr>
        <w:t xml:space="preserve">6.5m  </w:t>
      </w:r>
      <w:r>
        <w:rPr>
          <w:rFonts w:ascii="宋体" w:hAnsi="宋体" w:eastAsia="宋体" w:cs="宋体"/>
          <w:spacing w:val="9"/>
          <w:sz w:val="24"/>
          <w:szCs w:val="24"/>
        </w:rPr>
        <w:t>时</w:t>
      </w:r>
      <w:r>
        <w:rPr>
          <w:rFonts w:ascii="宋体" w:hAnsi="宋体" w:eastAsia="宋体" w:cs="宋体"/>
          <w:spacing w:val="8"/>
          <w:sz w:val="24"/>
          <w:szCs w:val="24"/>
        </w:rPr>
        <w:t>，地面上</w:t>
      </w:r>
      <w:r>
        <w:rPr>
          <w:rFonts w:ascii="宋体" w:hAnsi="宋体" w:eastAsia="宋体" w:cs="宋体"/>
          <w:spacing w:val="38"/>
          <w:sz w:val="24"/>
          <w:szCs w:val="24"/>
        </w:rPr>
        <w:t xml:space="preserve"> </w:t>
      </w:r>
      <w:r>
        <w:rPr>
          <w:rFonts w:ascii="Times New Roman" w:hAnsi="Times New Roman" w:eastAsia="Times New Roman" w:cs="Times New Roman"/>
          <w:spacing w:val="8"/>
          <w:sz w:val="24"/>
          <w:szCs w:val="24"/>
        </w:rPr>
        <w:t>1.5m</w:t>
      </w:r>
      <w:r>
        <w:rPr>
          <w:rFonts w:ascii="Times New Roman" w:hAnsi="Times New Roman" w:eastAsia="Times New Roman" w:cs="Times New Roman"/>
          <w:spacing w:val="12"/>
          <w:sz w:val="24"/>
          <w:szCs w:val="24"/>
        </w:rPr>
        <w:t xml:space="preserve">  </w:t>
      </w:r>
      <w:r>
        <w:rPr>
          <w:rFonts w:ascii="宋体" w:hAnsi="宋体" w:eastAsia="宋体" w:cs="宋体"/>
          <w:spacing w:val="8"/>
          <w:sz w:val="24"/>
          <w:szCs w:val="24"/>
        </w:rPr>
        <w:t>处的工频电场强度最大值为</w:t>
      </w:r>
      <w:r>
        <w:rPr>
          <w:rFonts w:ascii="Times New Roman" w:hAnsi="Times New Roman" w:eastAsia="Times New Roman" w:cs="Times New Roman"/>
          <w:spacing w:val="9"/>
          <w:sz w:val="24"/>
          <w:szCs w:val="24"/>
        </w:rPr>
        <w:t>5.207</w:t>
      </w:r>
      <w:r>
        <w:rPr>
          <w:rFonts w:ascii="Times New Roman" w:hAnsi="Times New Roman" w:eastAsia="Times New Roman" w:cs="Times New Roman"/>
          <w:sz w:val="24"/>
          <w:szCs w:val="24"/>
        </w:rPr>
        <w:t>kV</w:t>
      </w:r>
      <w:r>
        <w:rPr>
          <w:rFonts w:ascii="Times New Roman" w:hAnsi="Times New Roman" w:eastAsia="Times New Roman" w:cs="Times New Roman"/>
          <w:spacing w:val="9"/>
          <w:sz w:val="24"/>
          <w:szCs w:val="24"/>
        </w:rPr>
        <w:t>/m</w:t>
      </w:r>
      <w:r>
        <w:rPr>
          <w:rFonts w:ascii="宋体" w:hAnsi="宋体" w:eastAsia="宋体" w:cs="宋体"/>
          <w:spacing w:val="9"/>
          <w:sz w:val="24"/>
          <w:szCs w:val="24"/>
        </w:rPr>
        <w:t>（距线路中心地面垂直投影</w:t>
      </w:r>
      <w:r>
        <w:rPr>
          <w:rFonts w:ascii="宋体" w:hAnsi="宋体" w:eastAsia="宋体" w:cs="宋体"/>
          <w:spacing w:val="8"/>
          <w:sz w:val="24"/>
          <w:szCs w:val="24"/>
        </w:rPr>
        <w:t>水平距离</w:t>
      </w:r>
      <w:r>
        <w:rPr>
          <w:rFonts w:ascii="Times New Roman" w:hAnsi="Times New Roman" w:eastAsia="Times New Roman" w:cs="Times New Roman"/>
          <w:spacing w:val="8"/>
          <w:sz w:val="24"/>
          <w:szCs w:val="24"/>
        </w:rPr>
        <w:t xml:space="preserve">-8m  </w:t>
      </w:r>
      <w:r>
        <w:rPr>
          <w:rFonts w:ascii="宋体" w:hAnsi="宋体" w:eastAsia="宋体" w:cs="宋体"/>
          <w:spacing w:val="8"/>
          <w:sz w:val="24"/>
          <w:szCs w:val="24"/>
        </w:rPr>
        <w:t>处</w:t>
      </w:r>
      <w:r>
        <w:rPr>
          <w:rFonts w:ascii="宋体" w:hAnsi="宋体" w:eastAsia="宋体" w:cs="宋体"/>
          <w:spacing w:val="-61"/>
          <w:sz w:val="24"/>
          <w:szCs w:val="24"/>
        </w:rPr>
        <w:t>），</w:t>
      </w:r>
      <w:r>
        <w:rPr>
          <w:rFonts w:ascii="宋体" w:hAnsi="宋体" w:eastAsia="宋体" w:cs="宋体"/>
          <w:spacing w:val="-68"/>
          <w:sz w:val="24"/>
          <w:szCs w:val="24"/>
        </w:rPr>
        <w:t xml:space="preserve"> </w:t>
      </w:r>
      <w:r>
        <w:rPr>
          <w:rFonts w:ascii="宋体" w:hAnsi="宋体" w:eastAsia="宋体" w:cs="宋体"/>
          <w:spacing w:val="8"/>
          <w:sz w:val="24"/>
          <w:szCs w:val="24"/>
        </w:rPr>
        <w:t>工频磁感应强度最大值为</w:t>
      </w:r>
      <w:r>
        <w:rPr>
          <w:rFonts w:ascii="Times New Roman" w:hAnsi="Times New Roman" w:eastAsia="Times New Roman" w:cs="Times New Roman"/>
          <w:spacing w:val="-4"/>
          <w:sz w:val="24"/>
          <w:szCs w:val="24"/>
        </w:rPr>
        <w:t>8.366µT</w:t>
      </w:r>
      <w:r>
        <w:rPr>
          <w:rFonts w:ascii="宋体" w:hAnsi="宋体" w:eastAsia="宋体" w:cs="宋体"/>
          <w:spacing w:val="-4"/>
          <w:sz w:val="24"/>
          <w:szCs w:val="24"/>
        </w:rPr>
        <w:t>（距线路中心地面垂直投影水平距离</w:t>
      </w:r>
      <w:r>
        <w:rPr>
          <w:rFonts w:ascii="Times New Roman" w:hAnsi="Times New Roman" w:eastAsia="Times New Roman" w:cs="Times New Roman"/>
          <w:spacing w:val="-4"/>
          <w:sz w:val="24"/>
          <w:szCs w:val="24"/>
        </w:rPr>
        <w:t>-6m</w:t>
      </w:r>
      <w:r>
        <w:rPr>
          <w:rFonts w:ascii="Times New Roman" w:hAnsi="Times New Roman" w:eastAsia="Times New Roman" w:cs="Times New Roman"/>
          <w:spacing w:val="16"/>
          <w:sz w:val="24"/>
          <w:szCs w:val="24"/>
        </w:rPr>
        <w:t xml:space="preserve"> </w:t>
      </w:r>
      <w:r>
        <w:rPr>
          <w:rFonts w:ascii="宋体" w:hAnsi="宋体" w:eastAsia="宋体" w:cs="宋体"/>
          <w:spacing w:val="-4"/>
          <w:sz w:val="24"/>
          <w:szCs w:val="24"/>
        </w:rPr>
        <w:t>处</w:t>
      </w:r>
      <w:r>
        <w:rPr>
          <w:rFonts w:ascii="宋体" w:hAnsi="宋体" w:eastAsia="宋体" w:cs="宋体"/>
          <w:spacing w:val="-56"/>
          <w:sz w:val="24"/>
          <w:szCs w:val="24"/>
        </w:rPr>
        <w:t>）；</w:t>
      </w:r>
      <w:r>
        <w:rPr>
          <w:rFonts w:ascii="宋体" w:hAnsi="宋体" w:eastAsia="宋体" w:cs="宋体"/>
          <w:spacing w:val="-4"/>
          <w:sz w:val="24"/>
          <w:szCs w:val="24"/>
        </w:rPr>
        <w:t>经过居民区导线最低对地</w:t>
      </w:r>
      <w:r>
        <w:rPr>
          <w:rFonts w:ascii="宋体" w:hAnsi="宋体" w:eastAsia="宋体" w:cs="宋体"/>
          <w:spacing w:val="-5"/>
          <w:sz w:val="24"/>
          <w:szCs w:val="24"/>
        </w:rPr>
        <w:t>高度</w:t>
      </w:r>
      <w:r>
        <w:rPr>
          <w:rFonts w:ascii="宋体" w:hAnsi="宋体" w:eastAsia="宋体" w:cs="宋体"/>
          <w:spacing w:val="-44"/>
          <w:sz w:val="24"/>
          <w:szCs w:val="24"/>
        </w:rPr>
        <w:t xml:space="preserve"> </w:t>
      </w:r>
      <w:r>
        <w:rPr>
          <w:rFonts w:ascii="Times New Roman" w:hAnsi="Times New Roman" w:eastAsia="Times New Roman" w:cs="Times New Roman"/>
          <w:spacing w:val="-5"/>
          <w:sz w:val="24"/>
          <w:szCs w:val="24"/>
        </w:rPr>
        <w:t>8m</w:t>
      </w:r>
      <w:r>
        <w:rPr>
          <w:rFonts w:ascii="宋体" w:hAnsi="宋体" w:eastAsia="宋体" w:cs="宋体"/>
          <w:spacing w:val="-4"/>
          <w:sz w:val="24"/>
          <w:szCs w:val="24"/>
        </w:rPr>
        <w:t>时，地面上</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1.5m</w:t>
      </w:r>
      <w:r>
        <w:rPr>
          <w:rFonts w:ascii="Times New Roman" w:hAnsi="Times New Roman" w:eastAsia="Times New Roman" w:cs="Times New Roman"/>
          <w:spacing w:val="15"/>
          <w:sz w:val="24"/>
          <w:szCs w:val="24"/>
        </w:rPr>
        <w:t xml:space="preserve"> </w:t>
      </w:r>
      <w:r>
        <w:rPr>
          <w:rFonts w:ascii="宋体" w:hAnsi="宋体" w:eastAsia="宋体" w:cs="宋体"/>
          <w:spacing w:val="-4"/>
          <w:sz w:val="24"/>
          <w:szCs w:val="24"/>
        </w:rPr>
        <w:t>处的工频电场强度最大值为</w:t>
      </w:r>
      <w:r>
        <w:rPr>
          <w:rFonts w:ascii="宋体" w:hAnsi="宋体" w:eastAsia="宋体" w:cs="宋体"/>
          <w:spacing w:val="-49"/>
          <w:sz w:val="24"/>
          <w:szCs w:val="24"/>
        </w:rPr>
        <w:t xml:space="preserve"> </w:t>
      </w:r>
      <w:r>
        <w:rPr>
          <w:rFonts w:ascii="Times New Roman" w:hAnsi="Times New Roman" w:eastAsia="Times New Roman" w:cs="Times New Roman"/>
          <w:spacing w:val="-4"/>
          <w:sz w:val="24"/>
          <w:szCs w:val="24"/>
        </w:rPr>
        <w:t>3.756kV/m</w:t>
      </w:r>
      <w:r>
        <w:rPr>
          <w:rFonts w:ascii="宋体" w:hAnsi="宋体" w:eastAsia="宋体" w:cs="宋体"/>
          <w:spacing w:val="-4"/>
          <w:sz w:val="24"/>
          <w:szCs w:val="24"/>
        </w:rPr>
        <w:t>（距线路中心地面</w:t>
      </w:r>
      <w:r>
        <w:rPr>
          <w:rFonts w:ascii="宋体" w:hAnsi="宋体" w:eastAsia="宋体" w:cs="宋体"/>
          <w:spacing w:val="-5"/>
          <w:sz w:val="24"/>
          <w:szCs w:val="24"/>
        </w:rPr>
        <w:t>垂直投影水平</w:t>
      </w:r>
      <w:r>
        <w:rPr>
          <w:rFonts w:ascii="宋体" w:hAnsi="宋体" w:eastAsia="宋体" w:cs="宋体"/>
          <w:spacing w:val="-1"/>
          <w:sz w:val="24"/>
          <w:szCs w:val="24"/>
        </w:rPr>
        <w:t>距离</w:t>
      </w:r>
      <w:r>
        <w:rPr>
          <w:rFonts w:ascii="Times New Roman" w:hAnsi="Times New Roman" w:eastAsia="Times New Roman" w:cs="Times New Roman"/>
          <w:spacing w:val="-1"/>
          <w:sz w:val="24"/>
          <w:szCs w:val="24"/>
        </w:rPr>
        <w:t xml:space="preserve">-8m  </w:t>
      </w:r>
      <w:r>
        <w:rPr>
          <w:rFonts w:ascii="宋体" w:hAnsi="宋体" w:eastAsia="宋体" w:cs="宋体"/>
          <w:spacing w:val="-1"/>
          <w:sz w:val="24"/>
          <w:szCs w:val="24"/>
        </w:rPr>
        <w:t>处</w:t>
      </w:r>
      <w:r>
        <w:rPr>
          <w:rFonts w:ascii="宋体" w:hAnsi="宋体" w:eastAsia="宋体" w:cs="宋体"/>
          <w:spacing w:val="-38"/>
          <w:sz w:val="24"/>
          <w:szCs w:val="24"/>
        </w:rPr>
        <w:t>），</w:t>
      </w:r>
      <w:r>
        <w:rPr>
          <w:rFonts w:ascii="宋体" w:hAnsi="宋体" w:eastAsia="宋体" w:cs="宋体"/>
          <w:spacing w:val="-1"/>
          <w:sz w:val="24"/>
          <w:szCs w:val="24"/>
        </w:rPr>
        <w:t xml:space="preserve">工频磁感应强度最大值为 </w:t>
      </w:r>
      <w:r>
        <w:rPr>
          <w:rFonts w:ascii="Times New Roman" w:hAnsi="Times New Roman" w:eastAsia="Times New Roman" w:cs="Times New Roman"/>
          <w:spacing w:val="-1"/>
          <w:sz w:val="24"/>
          <w:szCs w:val="24"/>
        </w:rPr>
        <w:t>6</w:t>
      </w:r>
      <w:r>
        <w:rPr>
          <w:rFonts w:ascii="Times New Roman" w:hAnsi="Times New Roman" w:eastAsia="Times New Roman" w:cs="Times New Roman"/>
          <w:spacing w:val="-2"/>
          <w:sz w:val="24"/>
          <w:szCs w:val="24"/>
        </w:rPr>
        <w:t>.307µT</w:t>
      </w:r>
      <w:r>
        <w:rPr>
          <w:rFonts w:ascii="宋体" w:hAnsi="宋体" w:eastAsia="宋体" w:cs="宋体"/>
          <w:spacing w:val="-2"/>
          <w:sz w:val="24"/>
          <w:szCs w:val="24"/>
        </w:rPr>
        <w:t>（距线路中心地面垂直投影水平距离</w:t>
      </w:r>
      <w:r>
        <w:rPr>
          <w:rFonts w:ascii="Times New Roman" w:hAnsi="Times New Roman" w:eastAsia="Times New Roman" w:cs="Times New Roman"/>
          <w:spacing w:val="-2"/>
          <w:sz w:val="24"/>
          <w:szCs w:val="24"/>
        </w:rPr>
        <w:t>-</w:t>
      </w:r>
      <w:r>
        <w:rPr>
          <w:rFonts w:ascii="Times New Roman" w:hAnsi="Times New Roman" w:eastAsia="Times New Roman" w:cs="Times New Roman"/>
          <w:spacing w:val="1"/>
          <w:sz w:val="24"/>
          <w:szCs w:val="24"/>
        </w:rPr>
        <w:t xml:space="preserve"> </w:t>
      </w:r>
      <w:r>
        <w:rPr>
          <w:rFonts w:ascii="Times New Roman" w:hAnsi="Times New Roman" w:eastAsia="Times New Roman" w:cs="Times New Roman"/>
          <w:spacing w:val="-4"/>
          <w:sz w:val="24"/>
          <w:szCs w:val="24"/>
        </w:rPr>
        <w:t>4m</w:t>
      </w:r>
      <w:r>
        <w:rPr>
          <w:rFonts w:ascii="Times New Roman" w:hAnsi="Times New Roman" w:eastAsia="Times New Roman" w:cs="Times New Roman"/>
          <w:spacing w:val="27"/>
          <w:sz w:val="24"/>
          <w:szCs w:val="24"/>
        </w:rPr>
        <w:t xml:space="preserve"> </w:t>
      </w:r>
      <w:r>
        <w:rPr>
          <w:rFonts w:ascii="宋体" w:hAnsi="宋体" w:eastAsia="宋体" w:cs="宋体"/>
          <w:spacing w:val="-4"/>
          <w:sz w:val="24"/>
          <w:szCs w:val="24"/>
        </w:rPr>
        <w:t>处）。单回水平排列段采取最不利塔型</w:t>
      </w:r>
      <w:r>
        <w:rPr>
          <w:rFonts w:ascii="宋体" w:hAnsi="宋体" w:eastAsia="宋体" w:cs="宋体"/>
          <w:spacing w:val="-54"/>
          <w:sz w:val="24"/>
          <w:szCs w:val="24"/>
        </w:rPr>
        <w:t xml:space="preserve"> </w:t>
      </w:r>
      <w:r>
        <w:rPr>
          <w:rFonts w:ascii="Times New Roman" w:hAnsi="Times New Roman" w:eastAsia="Times New Roman" w:cs="Times New Roman"/>
          <w:spacing w:val="-4"/>
          <w:sz w:val="24"/>
          <w:szCs w:val="24"/>
        </w:rPr>
        <w:t xml:space="preserve">2D1R7-Z2 </w:t>
      </w:r>
      <w:r>
        <w:rPr>
          <w:rFonts w:ascii="宋体" w:hAnsi="宋体" w:eastAsia="宋体" w:cs="宋体"/>
          <w:spacing w:val="-4"/>
          <w:sz w:val="24"/>
          <w:szCs w:val="24"/>
        </w:rPr>
        <w:t>进行预测，经过非居民区导线最低</w:t>
      </w:r>
      <w:r>
        <w:rPr>
          <w:rFonts w:ascii="宋体" w:hAnsi="宋体" w:eastAsia="宋体" w:cs="宋体"/>
          <w:spacing w:val="-3"/>
          <w:sz w:val="24"/>
          <w:szCs w:val="24"/>
        </w:rPr>
        <w:t>对地高度</w:t>
      </w:r>
      <w:r>
        <w:rPr>
          <w:rFonts w:ascii="宋体" w:hAnsi="宋体" w:eastAsia="宋体" w:cs="宋体"/>
          <w:spacing w:val="-31"/>
          <w:sz w:val="24"/>
          <w:szCs w:val="24"/>
        </w:rPr>
        <w:t xml:space="preserve"> </w:t>
      </w:r>
      <w:r>
        <w:rPr>
          <w:rFonts w:ascii="Times New Roman" w:hAnsi="Times New Roman" w:eastAsia="Times New Roman" w:cs="Times New Roman"/>
          <w:spacing w:val="-3"/>
          <w:sz w:val="24"/>
          <w:szCs w:val="24"/>
        </w:rPr>
        <w:t>6.5m</w:t>
      </w:r>
      <w:r>
        <w:rPr>
          <w:rFonts w:ascii="Times New Roman" w:hAnsi="Times New Roman" w:eastAsia="Times New Roman" w:cs="Times New Roman"/>
          <w:spacing w:val="21"/>
          <w:sz w:val="24"/>
          <w:szCs w:val="24"/>
        </w:rPr>
        <w:t xml:space="preserve"> </w:t>
      </w:r>
      <w:r>
        <w:rPr>
          <w:rFonts w:ascii="宋体" w:hAnsi="宋体" w:eastAsia="宋体" w:cs="宋体"/>
          <w:spacing w:val="-3"/>
          <w:sz w:val="24"/>
          <w:szCs w:val="24"/>
        </w:rPr>
        <w:t>时，距地面</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1.5m</w:t>
      </w:r>
      <w:r>
        <w:rPr>
          <w:rFonts w:ascii="Times New Roman" w:hAnsi="Times New Roman" w:eastAsia="Times New Roman" w:cs="Times New Roman"/>
          <w:spacing w:val="17"/>
          <w:sz w:val="24"/>
          <w:szCs w:val="24"/>
        </w:rPr>
        <w:t xml:space="preserve"> </w:t>
      </w:r>
      <w:r>
        <w:rPr>
          <w:rFonts w:ascii="宋体" w:hAnsi="宋体" w:eastAsia="宋体" w:cs="宋体"/>
          <w:spacing w:val="-3"/>
          <w:sz w:val="24"/>
          <w:szCs w:val="24"/>
        </w:rPr>
        <w:t>高处的工频电场强度最大值为</w:t>
      </w:r>
      <w:r>
        <w:rPr>
          <w:rFonts w:ascii="宋体" w:hAnsi="宋体" w:eastAsia="宋体" w:cs="宋体"/>
          <w:spacing w:val="-48"/>
          <w:sz w:val="24"/>
          <w:szCs w:val="24"/>
        </w:rPr>
        <w:t xml:space="preserve"> </w:t>
      </w:r>
      <w:r>
        <w:rPr>
          <w:rFonts w:ascii="Times New Roman" w:hAnsi="Times New Roman" w:eastAsia="Times New Roman" w:cs="Times New Roman"/>
          <w:spacing w:val="-3"/>
          <w:sz w:val="24"/>
          <w:szCs w:val="24"/>
        </w:rPr>
        <w:t>5.324kV/m</w:t>
      </w:r>
      <w:r>
        <w:rPr>
          <w:rFonts w:ascii="宋体" w:hAnsi="宋体" w:eastAsia="宋体" w:cs="宋体"/>
          <w:spacing w:val="-3"/>
          <w:sz w:val="24"/>
          <w:szCs w:val="24"/>
        </w:rPr>
        <w:t>（距线路中心地面垂直投影水平距离</w:t>
      </w:r>
      <w:r>
        <w:rPr>
          <w:rFonts w:ascii="Times New Roman" w:hAnsi="Times New Roman" w:eastAsia="Times New Roman" w:cs="Times New Roman"/>
          <w:spacing w:val="-3"/>
          <w:sz w:val="24"/>
          <w:szCs w:val="24"/>
        </w:rPr>
        <w:t>-9m</w:t>
      </w:r>
      <w:r>
        <w:rPr>
          <w:rFonts w:ascii="Times New Roman" w:hAnsi="Times New Roman" w:eastAsia="Times New Roman" w:cs="Times New Roman"/>
          <w:spacing w:val="14"/>
          <w:sz w:val="24"/>
          <w:szCs w:val="24"/>
        </w:rPr>
        <w:t xml:space="preserve"> </w:t>
      </w:r>
      <w:r>
        <w:rPr>
          <w:rFonts w:ascii="宋体" w:hAnsi="宋体" w:eastAsia="宋体" w:cs="宋体"/>
          <w:spacing w:val="-3"/>
          <w:sz w:val="24"/>
          <w:szCs w:val="24"/>
        </w:rPr>
        <w:t>处</w:t>
      </w:r>
      <w:r>
        <w:rPr>
          <w:rFonts w:ascii="宋体" w:hAnsi="宋体" w:eastAsia="宋体" w:cs="宋体"/>
          <w:spacing w:val="-39"/>
          <w:sz w:val="24"/>
          <w:szCs w:val="24"/>
        </w:rPr>
        <w:t>），</w:t>
      </w:r>
      <w:r>
        <w:rPr>
          <w:rFonts w:ascii="宋体" w:hAnsi="宋体" w:eastAsia="宋体" w:cs="宋体"/>
          <w:spacing w:val="-3"/>
          <w:sz w:val="24"/>
          <w:szCs w:val="24"/>
        </w:rPr>
        <w:t>工频磁感应强度</w:t>
      </w:r>
      <w:r>
        <w:rPr>
          <w:rFonts w:ascii="宋体" w:hAnsi="宋体" w:eastAsia="宋体" w:cs="宋体"/>
          <w:spacing w:val="-4"/>
          <w:sz w:val="24"/>
          <w:szCs w:val="24"/>
        </w:rPr>
        <w:t>最大值为</w:t>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9.906µT</w:t>
      </w:r>
      <w:r>
        <w:rPr>
          <w:rFonts w:ascii="宋体" w:hAnsi="宋体" w:eastAsia="宋体" w:cs="宋体"/>
          <w:spacing w:val="-4"/>
          <w:sz w:val="24"/>
          <w:szCs w:val="24"/>
        </w:rPr>
        <w:t>（距线路中心地面垂</w:t>
      </w:r>
      <w:r>
        <w:rPr>
          <w:rFonts w:ascii="宋体" w:hAnsi="宋体" w:eastAsia="宋体" w:cs="宋体"/>
          <w:spacing w:val="-7"/>
          <w:sz w:val="24"/>
          <w:szCs w:val="24"/>
        </w:rPr>
        <w:t>直投影水平距离</w:t>
      </w:r>
      <w:r>
        <w:rPr>
          <w:rFonts w:ascii="宋体" w:hAnsi="宋体" w:eastAsia="宋体" w:cs="宋体"/>
          <w:spacing w:val="-38"/>
          <w:sz w:val="24"/>
          <w:szCs w:val="24"/>
        </w:rPr>
        <w:t xml:space="preserve"> </w:t>
      </w:r>
      <w:r>
        <w:rPr>
          <w:rFonts w:ascii="Times New Roman" w:hAnsi="Times New Roman" w:eastAsia="Times New Roman" w:cs="Times New Roman"/>
          <w:spacing w:val="-7"/>
          <w:sz w:val="24"/>
          <w:szCs w:val="24"/>
        </w:rPr>
        <w:t>0m</w:t>
      </w:r>
      <w:r>
        <w:rPr>
          <w:rFonts w:ascii="Times New Roman" w:hAnsi="Times New Roman" w:eastAsia="Times New Roman" w:cs="Times New Roman"/>
          <w:spacing w:val="25"/>
          <w:w w:val="101"/>
          <w:sz w:val="24"/>
          <w:szCs w:val="24"/>
        </w:rPr>
        <w:t xml:space="preserve"> </w:t>
      </w:r>
      <w:r>
        <w:rPr>
          <w:rFonts w:ascii="宋体" w:hAnsi="宋体" w:eastAsia="宋体" w:cs="宋体"/>
          <w:spacing w:val="-7"/>
          <w:sz w:val="24"/>
          <w:szCs w:val="24"/>
        </w:rPr>
        <w:t xml:space="preserve">处）。经过居民区导线最低对地高度 </w:t>
      </w:r>
      <w:r>
        <w:rPr>
          <w:rFonts w:ascii="Times New Roman" w:hAnsi="Times New Roman" w:eastAsia="Times New Roman" w:cs="Times New Roman"/>
          <w:spacing w:val="-7"/>
          <w:sz w:val="24"/>
          <w:szCs w:val="24"/>
        </w:rPr>
        <w:t>8m</w:t>
      </w:r>
      <w:r>
        <w:rPr>
          <w:rFonts w:ascii="Times New Roman" w:hAnsi="Times New Roman" w:eastAsia="Times New Roman" w:cs="Times New Roman"/>
          <w:spacing w:val="31"/>
          <w:sz w:val="24"/>
          <w:szCs w:val="24"/>
        </w:rPr>
        <w:t xml:space="preserve"> </w:t>
      </w:r>
      <w:r>
        <w:rPr>
          <w:rFonts w:ascii="宋体" w:hAnsi="宋体" w:eastAsia="宋体" w:cs="宋体"/>
          <w:spacing w:val="-7"/>
          <w:sz w:val="24"/>
          <w:szCs w:val="24"/>
        </w:rPr>
        <w:t xml:space="preserve">时，距地面 </w:t>
      </w:r>
      <w:r>
        <w:rPr>
          <w:rFonts w:ascii="Times New Roman" w:hAnsi="Times New Roman" w:eastAsia="Times New Roman" w:cs="Times New Roman"/>
          <w:spacing w:val="-7"/>
          <w:sz w:val="24"/>
          <w:szCs w:val="24"/>
        </w:rPr>
        <w:t>1.5m</w:t>
      </w:r>
      <w:r>
        <w:rPr>
          <w:rFonts w:ascii="Times New Roman" w:hAnsi="Times New Roman" w:eastAsia="Times New Roman" w:cs="Times New Roman"/>
          <w:spacing w:val="26"/>
          <w:sz w:val="24"/>
          <w:szCs w:val="24"/>
        </w:rPr>
        <w:t xml:space="preserve"> </w:t>
      </w:r>
      <w:r>
        <w:rPr>
          <w:rFonts w:ascii="宋体" w:hAnsi="宋体" w:eastAsia="宋体" w:cs="宋体"/>
          <w:spacing w:val="-7"/>
          <w:sz w:val="24"/>
          <w:szCs w:val="24"/>
        </w:rPr>
        <w:t>高处的工</w:t>
      </w:r>
      <w:r>
        <w:rPr>
          <w:rFonts w:ascii="宋体" w:hAnsi="宋体" w:eastAsia="宋体" w:cs="宋体"/>
          <w:spacing w:val="-2"/>
          <w:sz w:val="24"/>
          <w:szCs w:val="24"/>
        </w:rPr>
        <w:t>频电场强度最大值为</w:t>
      </w:r>
      <w:r>
        <w:rPr>
          <w:rFonts w:ascii="宋体" w:hAnsi="宋体" w:eastAsia="宋体" w:cs="宋体"/>
          <w:spacing w:val="-31"/>
          <w:sz w:val="24"/>
          <w:szCs w:val="24"/>
        </w:rPr>
        <w:t xml:space="preserve"> </w:t>
      </w:r>
      <w:r>
        <w:rPr>
          <w:rFonts w:ascii="Times New Roman" w:hAnsi="Times New Roman" w:eastAsia="Times New Roman" w:cs="Times New Roman"/>
          <w:spacing w:val="-2"/>
          <w:sz w:val="24"/>
          <w:szCs w:val="24"/>
        </w:rPr>
        <w:t>3.872kV/m</w:t>
      </w:r>
      <w:r>
        <w:rPr>
          <w:rFonts w:ascii="宋体" w:hAnsi="宋体" w:eastAsia="宋体" w:cs="宋体"/>
          <w:spacing w:val="-2"/>
          <w:sz w:val="24"/>
          <w:szCs w:val="24"/>
        </w:rPr>
        <w:t>（距线路中心地面垂直投影水平距离</w:t>
      </w:r>
      <w:r>
        <w:rPr>
          <w:rFonts w:ascii="Times New Roman" w:hAnsi="Times New Roman" w:eastAsia="Times New Roman" w:cs="Times New Roman"/>
          <w:spacing w:val="-2"/>
          <w:sz w:val="24"/>
          <w:szCs w:val="24"/>
        </w:rPr>
        <w:t>-10m</w:t>
      </w:r>
      <w:r>
        <w:rPr>
          <w:rFonts w:ascii="Times New Roman" w:hAnsi="Times New Roman" w:eastAsia="Times New Roman" w:cs="Times New Roman"/>
          <w:spacing w:val="34"/>
          <w:sz w:val="24"/>
          <w:szCs w:val="24"/>
        </w:rPr>
        <w:t xml:space="preserve"> </w:t>
      </w:r>
      <w:r>
        <w:rPr>
          <w:rFonts w:ascii="宋体" w:hAnsi="宋体" w:eastAsia="宋体" w:cs="宋体"/>
          <w:spacing w:val="-2"/>
          <w:sz w:val="24"/>
          <w:szCs w:val="24"/>
        </w:rPr>
        <w:t>处</w:t>
      </w:r>
      <w:r>
        <w:rPr>
          <w:rFonts w:ascii="宋体" w:hAnsi="宋体" w:eastAsia="宋体" w:cs="宋体"/>
          <w:spacing w:val="-37"/>
          <w:sz w:val="24"/>
          <w:szCs w:val="24"/>
        </w:rPr>
        <w:t>），</w:t>
      </w:r>
      <w:r>
        <w:rPr>
          <w:rFonts w:ascii="宋体" w:hAnsi="宋体" w:eastAsia="宋体" w:cs="宋体"/>
          <w:spacing w:val="-2"/>
          <w:sz w:val="24"/>
          <w:szCs w:val="24"/>
        </w:rPr>
        <w:t>工频磁</w:t>
      </w:r>
      <w:r>
        <w:rPr>
          <w:rFonts w:ascii="宋体" w:hAnsi="宋体" w:eastAsia="宋体" w:cs="宋体"/>
          <w:spacing w:val="-5"/>
          <w:sz w:val="24"/>
          <w:szCs w:val="24"/>
        </w:rPr>
        <w:t>感应强度最大值为</w:t>
      </w:r>
      <w:r>
        <w:rPr>
          <w:rFonts w:ascii="宋体" w:hAnsi="宋体" w:eastAsia="宋体" w:cs="宋体"/>
          <w:spacing w:val="-51"/>
          <w:sz w:val="24"/>
          <w:szCs w:val="24"/>
        </w:rPr>
        <w:t xml:space="preserve"> </w:t>
      </w:r>
      <w:r>
        <w:rPr>
          <w:rFonts w:ascii="Times New Roman" w:hAnsi="Times New Roman" w:eastAsia="Times New Roman" w:cs="Times New Roman"/>
          <w:spacing w:val="-5"/>
          <w:sz w:val="24"/>
          <w:szCs w:val="24"/>
        </w:rPr>
        <w:t>7.570µT</w:t>
      </w:r>
      <w:r>
        <w:rPr>
          <w:rFonts w:ascii="宋体" w:hAnsi="宋体" w:eastAsia="宋体" w:cs="宋体"/>
          <w:spacing w:val="-5"/>
          <w:sz w:val="24"/>
          <w:szCs w:val="24"/>
        </w:rPr>
        <w:t>（距线路中心地面垂直投影水</w:t>
      </w:r>
      <w:r>
        <w:rPr>
          <w:rFonts w:ascii="宋体" w:hAnsi="宋体" w:eastAsia="宋体" w:cs="宋体"/>
          <w:spacing w:val="-6"/>
          <w:sz w:val="24"/>
          <w:szCs w:val="24"/>
        </w:rPr>
        <w:t>平距离</w:t>
      </w:r>
      <w:r>
        <w:rPr>
          <w:rFonts w:ascii="宋体" w:hAnsi="宋体" w:eastAsia="宋体" w:cs="宋体"/>
          <w:spacing w:val="-36"/>
          <w:sz w:val="24"/>
          <w:szCs w:val="24"/>
        </w:rPr>
        <w:t xml:space="preserve"> </w:t>
      </w:r>
      <w:r>
        <w:rPr>
          <w:rFonts w:ascii="Times New Roman" w:hAnsi="Times New Roman" w:eastAsia="Times New Roman" w:cs="Times New Roman"/>
          <w:spacing w:val="-6"/>
          <w:sz w:val="24"/>
          <w:szCs w:val="24"/>
        </w:rPr>
        <w:t>0m</w:t>
      </w:r>
      <w:r>
        <w:rPr>
          <w:rFonts w:ascii="Times New Roman" w:hAnsi="Times New Roman" w:eastAsia="Times New Roman" w:cs="Times New Roman"/>
          <w:spacing w:val="15"/>
          <w:sz w:val="24"/>
          <w:szCs w:val="24"/>
        </w:rPr>
        <w:t xml:space="preserve"> </w:t>
      </w:r>
      <w:r>
        <w:rPr>
          <w:rFonts w:ascii="宋体" w:hAnsi="宋体" w:eastAsia="宋体" w:cs="宋体"/>
          <w:spacing w:val="-6"/>
          <w:sz w:val="24"/>
          <w:szCs w:val="24"/>
        </w:rPr>
        <w:t>处）。双回垂直（单</w:t>
      </w:r>
      <w:r>
        <w:rPr>
          <w:rFonts w:ascii="宋体" w:hAnsi="宋体" w:eastAsia="宋体" w:cs="宋体"/>
          <w:sz w:val="24"/>
          <w:szCs w:val="24"/>
        </w:rPr>
        <w:t>边挂线）排列段采取最不利塔型</w:t>
      </w:r>
      <w:r>
        <w:rPr>
          <w:rFonts w:ascii="宋体" w:hAnsi="宋体" w:eastAsia="宋体" w:cs="宋体"/>
          <w:spacing w:val="-52"/>
          <w:sz w:val="24"/>
          <w:szCs w:val="24"/>
        </w:rPr>
        <w:t xml:space="preserve"> </w:t>
      </w:r>
      <w:r>
        <w:rPr>
          <w:rFonts w:ascii="Times New Roman" w:hAnsi="Times New Roman" w:eastAsia="Times New Roman" w:cs="Times New Roman"/>
          <w:sz w:val="24"/>
          <w:szCs w:val="24"/>
        </w:rPr>
        <w:t xml:space="preserve">2D2Z5-JD </w:t>
      </w:r>
      <w:r>
        <w:rPr>
          <w:rFonts w:ascii="宋体" w:hAnsi="宋体" w:eastAsia="宋体" w:cs="宋体"/>
          <w:sz w:val="24"/>
          <w:szCs w:val="24"/>
        </w:rPr>
        <w:t>进行预测，经过非居民区导</w:t>
      </w:r>
      <w:r>
        <w:rPr>
          <w:rFonts w:ascii="宋体" w:hAnsi="宋体" w:eastAsia="宋体" w:cs="宋体"/>
          <w:spacing w:val="-1"/>
          <w:sz w:val="24"/>
          <w:szCs w:val="24"/>
        </w:rPr>
        <w:t>线最低对地高度</w:t>
      </w:r>
      <w:r>
        <w:rPr>
          <w:rFonts w:ascii="Times New Roman" w:hAnsi="Times New Roman" w:eastAsia="Times New Roman" w:cs="Times New Roman"/>
          <w:spacing w:val="-2"/>
          <w:sz w:val="24"/>
          <w:szCs w:val="24"/>
        </w:rPr>
        <w:t>6.5m</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 xml:space="preserve">时，距地面 </w:t>
      </w:r>
      <w:r>
        <w:rPr>
          <w:rFonts w:ascii="Times New Roman" w:hAnsi="Times New Roman" w:eastAsia="Times New Roman" w:cs="Times New Roman"/>
          <w:spacing w:val="-2"/>
          <w:sz w:val="24"/>
          <w:szCs w:val="24"/>
        </w:rPr>
        <w:t>1.5m</w:t>
      </w:r>
      <w:r>
        <w:rPr>
          <w:rFonts w:ascii="Times New Roman" w:hAnsi="Times New Roman" w:eastAsia="Times New Roman" w:cs="Times New Roman"/>
          <w:spacing w:val="31"/>
          <w:sz w:val="24"/>
          <w:szCs w:val="24"/>
        </w:rPr>
        <w:t xml:space="preserve"> </w:t>
      </w:r>
      <w:r>
        <w:rPr>
          <w:rFonts w:ascii="宋体" w:hAnsi="宋体" w:eastAsia="宋体" w:cs="宋体"/>
          <w:spacing w:val="-2"/>
          <w:sz w:val="24"/>
          <w:szCs w:val="24"/>
        </w:rPr>
        <w:t>高处的工频电场强度最大值为</w:t>
      </w:r>
      <w:r>
        <w:rPr>
          <w:rFonts w:ascii="宋体" w:hAnsi="宋体" w:eastAsia="宋体" w:cs="宋体"/>
          <w:spacing w:val="-44"/>
          <w:sz w:val="24"/>
          <w:szCs w:val="24"/>
        </w:rPr>
        <w:t xml:space="preserve"> </w:t>
      </w:r>
      <w:r>
        <w:rPr>
          <w:rFonts w:ascii="Times New Roman" w:hAnsi="Times New Roman" w:eastAsia="Times New Roman" w:cs="Times New Roman"/>
          <w:spacing w:val="-2"/>
          <w:sz w:val="24"/>
          <w:szCs w:val="24"/>
        </w:rPr>
        <w:t>4.837kV/</w:t>
      </w:r>
      <w:r>
        <w:rPr>
          <w:rFonts w:ascii="Times New Roman" w:hAnsi="Times New Roman" w:eastAsia="Times New Roman" w:cs="Times New Roman"/>
          <w:spacing w:val="-3"/>
          <w:sz w:val="24"/>
          <w:szCs w:val="24"/>
        </w:rPr>
        <w:t>m</w:t>
      </w:r>
      <w:r>
        <w:rPr>
          <w:rFonts w:ascii="宋体" w:hAnsi="宋体" w:eastAsia="宋体" w:cs="宋体"/>
          <w:spacing w:val="-3"/>
          <w:sz w:val="24"/>
          <w:szCs w:val="24"/>
        </w:rPr>
        <w:t>（距线路中心地面垂直投影水平距离</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0m</w:t>
      </w:r>
      <w:r>
        <w:rPr>
          <w:rFonts w:ascii="Times New Roman" w:hAnsi="Times New Roman" w:eastAsia="Times New Roman" w:cs="Times New Roman"/>
          <w:spacing w:val="15"/>
          <w:sz w:val="24"/>
          <w:szCs w:val="24"/>
        </w:rPr>
        <w:t xml:space="preserve"> </w:t>
      </w:r>
      <w:r>
        <w:rPr>
          <w:rFonts w:ascii="宋体" w:hAnsi="宋体" w:eastAsia="宋体" w:cs="宋体"/>
          <w:spacing w:val="-3"/>
          <w:sz w:val="24"/>
          <w:szCs w:val="24"/>
        </w:rPr>
        <w:t>处</w:t>
      </w:r>
      <w:r>
        <w:rPr>
          <w:rFonts w:ascii="宋体" w:hAnsi="宋体" w:eastAsia="宋体" w:cs="宋体"/>
          <w:spacing w:val="-35"/>
          <w:sz w:val="24"/>
          <w:szCs w:val="24"/>
        </w:rPr>
        <w:t>），</w:t>
      </w:r>
      <w:r>
        <w:rPr>
          <w:rFonts w:ascii="宋体" w:hAnsi="宋体" w:eastAsia="宋体" w:cs="宋体"/>
          <w:spacing w:val="-3"/>
          <w:sz w:val="24"/>
          <w:szCs w:val="24"/>
        </w:rPr>
        <w:t>工频磁感应强度最大值为</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6.204µT</w:t>
      </w:r>
      <w:r>
        <w:rPr>
          <w:rFonts w:ascii="宋体" w:hAnsi="宋体" w:eastAsia="宋体" w:cs="宋体"/>
          <w:spacing w:val="-3"/>
          <w:sz w:val="24"/>
          <w:szCs w:val="24"/>
        </w:rPr>
        <w:t>（</w:t>
      </w:r>
      <w:r>
        <w:rPr>
          <w:rFonts w:ascii="宋体" w:hAnsi="宋体" w:eastAsia="宋体" w:cs="宋体"/>
          <w:spacing w:val="-4"/>
          <w:sz w:val="24"/>
          <w:szCs w:val="24"/>
        </w:rPr>
        <w:t>距线路中心地面垂直投影水</w:t>
      </w:r>
      <w:r>
        <w:rPr>
          <w:rFonts w:ascii="宋体" w:hAnsi="宋体" w:eastAsia="宋体" w:cs="宋体"/>
          <w:spacing w:val="-6"/>
          <w:sz w:val="24"/>
          <w:szCs w:val="24"/>
        </w:rPr>
        <w:t>平距离</w:t>
      </w:r>
      <w:r>
        <w:rPr>
          <w:rFonts w:ascii="宋体" w:hAnsi="宋体" w:eastAsia="宋体" w:cs="宋体"/>
          <w:spacing w:val="-16"/>
          <w:sz w:val="24"/>
          <w:szCs w:val="24"/>
        </w:rPr>
        <w:t xml:space="preserve"> </w:t>
      </w:r>
      <w:r>
        <w:rPr>
          <w:rFonts w:ascii="Times New Roman" w:hAnsi="Times New Roman" w:eastAsia="Times New Roman" w:cs="Times New Roman"/>
          <w:spacing w:val="-6"/>
          <w:sz w:val="24"/>
          <w:szCs w:val="24"/>
        </w:rPr>
        <w:t>0m</w:t>
      </w:r>
      <w:r>
        <w:rPr>
          <w:rFonts w:ascii="Times New Roman" w:hAnsi="Times New Roman" w:eastAsia="Times New Roman" w:cs="Times New Roman"/>
          <w:spacing w:val="33"/>
          <w:w w:val="101"/>
          <w:sz w:val="24"/>
          <w:szCs w:val="24"/>
        </w:rPr>
        <w:t xml:space="preserve"> </w:t>
      </w:r>
      <w:r>
        <w:rPr>
          <w:rFonts w:ascii="宋体" w:hAnsi="宋体" w:eastAsia="宋体" w:cs="宋体"/>
          <w:spacing w:val="-6"/>
          <w:sz w:val="24"/>
          <w:szCs w:val="24"/>
        </w:rPr>
        <w:t>处）。经过居民区导线最低对地高度</w:t>
      </w:r>
      <w:r>
        <w:rPr>
          <w:rFonts w:ascii="宋体" w:hAnsi="宋体" w:eastAsia="宋体" w:cs="宋体"/>
          <w:spacing w:val="-31"/>
          <w:sz w:val="24"/>
          <w:szCs w:val="24"/>
        </w:rPr>
        <w:t xml:space="preserve"> </w:t>
      </w:r>
      <w:r>
        <w:rPr>
          <w:rFonts w:ascii="Times New Roman" w:hAnsi="Times New Roman" w:eastAsia="Times New Roman" w:cs="Times New Roman"/>
          <w:spacing w:val="-6"/>
          <w:sz w:val="24"/>
          <w:szCs w:val="24"/>
        </w:rPr>
        <w:t>7.5m</w:t>
      </w:r>
      <w:r>
        <w:rPr>
          <w:rFonts w:ascii="Times New Roman" w:hAnsi="Times New Roman" w:eastAsia="Times New Roman" w:cs="Times New Roman"/>
          <w:spacing w:val="40"/>
          <w:w w:val="101"/>
          <w:sz w:val="24"/>
          <w:szCs w:val="24"/>
        </w:rPr>
        <w:t xml:space="preserve"> </w:t>
      </w:r>
      <w:r>
        <w:rPr>
          <w:rFonts w:ascii="宋体" w:hAnsi="宋体" w:eastAsia="宋体" w:cs="宋体"/>
          <w:spacing w:val="-6"/>
          <w:sz w:val="24"/>
          <w:szCs w:val="24"/>
        </w:rPr>
        <w:t xml:space="preserve">时，距地面 </w:t>
      </w:r>
      <w:r>
        <w:rPr>
          <w:rFonts w:ascii="Times New Roman" w:hAnsi="Times New Roman" w:eastAsia="Times New Roman" w:cs="Times New Roman"/>
          <w:spacing w:val="-6"/>
          <w:sz w:val="24"/>
          <w:szCs w:val="24"/>
        </w:rPr>
        <w:t>1.5m</w:t>
      </w:r>
      <w:r>
        <w:rPr>
          <w:rFonts w:ascii="Times New Roman" w:hAnsi="Times New Roman" w:eastAsia="Times New Roman" w:cs="Times New Roman"/>
          <w:spacing w:val="35"/>
          <w:w w:val="101"/>
          <w:sz w:val="24"/>
          <w:szCs w:val="24"/>
        </w:rPr>
        <w:t xml:space="preserve"> </w:t>
      </w:r>
      <w:r>
        <w:rPr>
          <w:rFonts w:ascii="宋体" w:hAnsi="宋体" w:eastAsia="宋体" w:cs="宋体"/>
          <w:spacing w:val="-6"/>
          <w:sz w:val="24"/>
          <w:szCs w:val="24"/>
        </w:rPr>
        <w:t>高处的工频电场</w:t>
      </w:r>
    </w:p>
    <w:p w14:paraId="1445E9BF">
      <w:pPr>
        <w:spacing w:line="360" w:lineRule="auto"/>
        <w:rPr>
          <w:rFonts w:ascii="宋体" w:hAnsi="宋体" w:eastAsia="宋体" w:cs="宋体"/>
          <w:sz w:val="24"/>
          <w:szCs w:val="24"/>
        </w:rPr>
        <w:sectPr>
          <w:footerReference r:id="rId124" w:type="default"/>
          <w:pgSz w:w="11907" w:h="16841"/>
          <w:pgMar w:top="400" w:right="1352" w:bottom="1126" w:left="1422" w:header="0" w:footer="925" w:gutter="0"/>
          <w:cols w:space="720" w:num="1"/>
        </w:sectPr>
      </w:pPr>
    </w:p>
    <w:p w14:paraId="03449A4A">
      <w:pPr>
        <w:spacing w:line="249" w:lineRule="auto"/>
        <w:rPr>
          <w:rFonts w:ascii="Arial"/>
          <w:sz w:val="21"/>
        </w:rPr>
      </w:pPr>
    </w:p>
    <w:p w14:paraId="5E45A04B">
      <w:pPr>
        <w:spacing w:line="249" w:lineRule="auto"/>
        <w:rPr>
          <w:rFonts w:ascii="Arial"/>
          <w:sz w:val="21"/>
        </w:rPr>
      </w:pPr>
    </w:p>
    <w:p w14:paraId="73036F76">
      <w:pPr>
        <w:spacing w:line="249" w:lineRule="auto"/>
        <w:rPr>
          <w:rFonts w:ascii="Arial"/>
          <w:sz w:val="21"/>
        </w:rPr>
      </w:pPr>
    </w:p>
    <w:p w14:paraId="350D61BB">
      <w:pPr>
        <w:spacing w:line="249" w:lineRule="auto"/>
        <w:rPr>
          <w:rFonts w:ascii="Arial"/>
          <w:sz w:val="21"/>
        </w:rPr>
      </w:pPr>
    </w:p>
    <w:p w14:paraId="26A521A7">
      <w:pPr>
        <w:spacing w:line="250" w:lineRule="auto"/>
        <w:rPr>
          <w:rFonts w:ascii="Arial"/>
          <w:sz w:val="21"/>
        </w:rPr>
      </w:pPr>
    </w:p>
    <w:p w14:paraId="5BAC701B">
      <w:pPr>
        <w:spacing w:before="78" w:line="350" w:lineRule="auto"/>
        <w:ind w:left="13" w:firstLine="2"/>
        <w:rPr>
          <w:rFonts w:ascii="宋体" w:hAnsi="宋体" w:eastAsia="宋体" w:cs="宋体"/>
          <w:sz w:val="24"/>
          <w:szCs w:val="24"/>
        </w:rPr>
      </w:pPr>
      <w:r>
        <w:rPr>
          <w:rFonts w:ascii="宋体" w:hAnsi="宋体" w:eastAsia="宋体" w:cs="宋体"/>
          <w:spacing w:val="-4"/>
          <w:sz w:val="24"/>
          <w:szCs w:val="24"/>
        </w:rPr>
        <w:t>强度最大值为</w:t>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3.885kV/m</w:t>
      </w:r>
      <w:r>
        <w:rPr>
          <w:rFonts w:ascii="宋体" w:hAnsi="宋体" w:eastAsia="宋体" w:cs="宋体"/>
          <w:spacing w:val="-4"/>
          <w:sz w:val="24"/>
          <w:szCs w:val="24"/>
        </w:rPr>
        <w:t>（距线路中心地面垂直投影水平距离</w:t>
      </w:r>
      <w:r>
        <w:rPr>
          <w:rFonts w:ascii="宋体" w:hAnsi="宋体" w:eastAsia="宋体" w:cs="宋体"/>
          <w:spacing w:val="-36"/>
          <w:sz w:val="24"/>
          <w:szCs w:val="24"/>
        </w:rPr>
        <w:t xml:space="preserve"> </w:t>
      </w:r>
      <w:r>
        <w:rPr>
          <w:rFonts w:ascii="Times New Roman" w:hAnsi="Times New Roman" w:eastAsia="Times New Roman" w:cs="Times New Roman"/>
          <w:spacing w:val="-4"/>
          <w:sz w:val="24"/>
          <w:szCs w:val="24"/>
        </w:rPr>
        <w:t>0m</w:t>
      </w:r>
      <w:r>
        <w:rPr>
          <w:rFonts w:ascii="Times New Roman" w:hAnsi="Times New Roman" w:eastAsia="Times New Roman" w:cs="Times New Roman"/>
          <w:spacing w:val="15"/>
          <w:sz w:val="24"/>
          <w:szCs w:val="24"/>
        </w:rPr>
        <w:t xml:space="preserve"> </w:t>
      </w:r>
      <w:r>
        <w:rPr>
          <w:rFonts w:ascii="宋体" w:hAnsi="宋体" w:eastAsia="宋体" w:cs="宋体"/>
          <w:spacing w:val="-4"/>
          <w:sz w:val="24"/>
          <w:szCs w:val="24"/>
        </w:rPr>
        <w:t>处</w:t>
      </w:r>
      <w:r>
        <w:rPr>
          <w:rFonts w:ascii="宋体" w:hAnsi="宋体" w:eastAsia="宋体" w:cs="宋体"/>
          <w:spacing w:val="-39"/>
          <w:sz w:val="24"/>
          <w:szCs w:val="24"/>
        </w:rPr>
        <w:t>），</w:t>
      </w:r>
      <w:r>
        <w:rPr>
          <w:rFonts w:ascii="宋体" w:hAnsi="宋体" w:eastAsia="宋体" w:cs="宋体"/>
          <w:spacing w:val="-4"/>
          <w:sz w:val="24"/>
          <w:szCs w:val="24"/>
        </w:rPr>
        <w:t>工频磁感</w:t>
      </w:r>
      <w:r>
        <w:rPr>
          <w:rFonts w:ascii="宋体" w:hAnsi="宋体" w:eastAsia="宋体" w:cs="宋体"/>
          <w:spacing w:val="-5"/>
          <w:sz w:val="24"/>
          <w:szCs w:val="24"/>
        </w:rPr>
        <w:t>应强度</w:t>
      </w:r>
      <w:r>
        <w:rPr>
          <w:rFonts w:ascii="宋体" w:hAnsi="宋体" w:eastAsia="宋体" w:cs="宋体"/>
          <w:spacing w:val="-6"/>
          <w:sz w:val="24"/>
          <w:szCs w:val="24"/>
        </w:rPr>
        <w:t>最大值为</w:t>
      </w:r>
      <w:r>
        <w:rPr>
          <w:rFonts w:ascii="宋体" w:hAnsi="宋体" w:eastAsia="宋体" w:cs="宋体"/>
          <w:spacing w:val="-53"/>
          <w:sz w:val="24"/>
          <w:szCs w:val="24"/>
        </w:rPr>
        <w:t xml:space="preserve"> </w:t>
      </w:r>
      <w:r>
        <w:rPr>
          <w:rFonts w:ascii="Times New Roman" w:hAnsi="Times New Roman" w:eastAsia="Times New Roman" w:cs="Times New Roman"/>
          <w:spacing w:val="-6"/>
          <w:sz w:val="24"/>
          <w:szCs w:val="24"/>
        </w:rPr>
        <w:t>4.869µT</w:t>
      </w:r>
      <w:r>
        <w:rPr>
          <w:rFonts w:ascii="宋体" w:hAnsi="宋体" w:eastAsia="宋体" w:cs="宋体"/>
          <w:spacing w:val="-6"/>
          <w:sz w:val="24"/>
          <w:szCs w:val="24"/>
        </w:rPr>
        <w:t>（距线路中心地面垂直投影水平距离</w:t>
      </w:r>
      <w:r>
        <w:rPr>
          <w:rFonts w:ascii="宋体" w:hAnsi="宋体" w:eastAsia="宋体" w:cs="宋体"/>
          <w:spacing w:val="-37"/>
          <w:sz w:val="24"/>
          <w:szCs w:val="24"/>
        </w:rPr>
        <w:t xml:space="preserve"> </w:t>
      </w:r>
      <w:r>
        <w:rPr>
          <w:rFonts w:ascii="Times New Roman" w:hAnsi="Times New Roman" w:eastAsia="Times New Roman" w:cs="Times New Roman"/>
          <w:spacing w:val="-6"/>
          <w:sz w:val="24"/>
          <w:szCs w:val="24"/>
        </w:rPr>
        <w:t>0m</w:t>
      </w:r>
      <w:r>
        <w:rPr>
          <w:rFonts w:ascii="Times New Roman" w:hAnsi="Times New Roman" w:eastAsia="Times New Roman" w:cs="Times New Roman"/>
          <w:spacing w:val="15"/>
          <w:sz w:val="24"/>
          <w:szCs w:val="24"/>
        </w:rPr>
        <w:t xml:space="preserve"> </w:t>
      </w:r>
      <w:r>
        <w:rPr>
          <w:rFonts w:ascii="宋体" w:hAnsi="宋体" w:eastAsia="宋体" w:cs="宋体"/>
          <w:spacing w:val="-6"/>
          <w:sz w:val="24"/>
          <w:szCs w:val="24"/>
        </w:rPr>
        <w:t>处）。</w:t>
      </w:r>
    </w:p>
    <w:p w14:paraId="34B7D8C2">
      <w:pPr>
        <w:spacing w:before="22" w:line="356" w:lineRule="auto"/>
        <w:ind w:left="10" w:firstLine="483"/>
        <w:rPr>
          <w:rFonts w:ascii="宋体" w:hAnsi="宋体" w:eastAsia="宋体" w:cs="宋体"/>
          <w:sz w:val="24"/>
          <w:szCs w:val="24"/>
        </w:rPr>
      </w:pPr>
      <w:r>
        <w:rPr>
          <w:rFonts w:ascii="宋体" w:hAnsi="宋体" w:eastAsia="宋体" w:cs="宋体"/>
          <w:spacing w:val="-5"/>
          <w:sz w:val="24"/>
          <w:szCs w:val="24"/>
        </w:rPr>
        <w:t>项目全线均能满足《电磁环境控制限值》（</w:t>
      </w:r>
      <w:r>
        <w:rPr>
          <w:rFonts w:ascii="Times New Roman" w:hAnsi="Times New Roman" w:eastAsia="Times New Roman" w:cs="Times New Roman"/>
          <w:spacing w:val="-5"/>
          <w:sz w:val="24"/>
          <w:szCs w:val="24"/>
        </w:rPr>
        <w:t>GB8702-201</w:t>
      </w:r>
      <w:r>
        <w:rPr>
          <w:rFonts w:ascii="Times New Roman" w:hAnsi="Times New Roman" w:eastAsia="Times New Roman" w:cs="Times New Roman"/>
          <w:spacing w:val="-6"/>
          <w:sz w:val="24"/>
          <w:szCs w:val="24"/>
        </w:rPr>
        <w:t>4</w:t>
      </w:r>
      <w:r>
        <w:rPr>
          <w:rFonts w:ascii="宋体" w:hAnsi="宋体" w:eastAsia="宋体" w:cs="宋体"/>
          <w:spacing w:val="-6"/>
          <w:sz w:val="24"/>
          <w:szCs w:val="24"/>
        </w:rPr>
        <w:t>）中电场强度≤</w:t>
      </w:r>
      <w:r>
        <w:rPr>
          <w:rFonts w:ascii="Times New Roman" w:hAnsi="Times New Roman" w:eastAsia="Times New Roman" w:cs="Times New Roman"/>
          <w:spacing w:val="-6"/>
          <w:sz w:val="24"/>
          <w:szCs w:val="24"/>
        </w:rPr>
        <w:t xml:space="preserve">4kV/m </w:t>
      </w:r>
      <w:r>
        <w:rPr>
          <w:rFonts w:ascii="宋体" w:hAnsi="宋体" w:eastAsia="宋体" w:cs="宋体"/>
          <w:spacing w:val="-6"/>
          <w:sz w:val="24"/>
          <w:szCs w:val="24"/>
        </w:rPr>
        <w:t>和磁</w:t>
      </w:r>
      <w:r>
        <w:rPr>
          <w:rFonts w:ascii="宋体" w:hAnsi="宋体" w:eastAsia="宋体" w:cs="宋体"/>
          <w:spacing w:val="-8"/>
          <w:sz w:val="24"/>
          <w:szCs w:val="24"/>
        </w:rPr>
        <w:t>感应强度≤</w:t>
      </w:r>
      <w:r>
        <w:rPr>
          <w:rFonts w:ascii="Times New Roman" w:hAnsi="Times New Roman" w:eastAsia="Times New Roman" w:cs="Times New Roman"/>
          <w:spacing w:val="-8"/>
          <w:sz w:val="24"/>
          <w:szCs w:val="24"/>
        </w:rPr>
        <w:t>100μT</w:t>
      </w:r>
      <w:r>
        <w:rPr>
          <w:rFonts w:ascii="Times New Roman" w:hAnsi="Times New Roman" w:eastAsia="Times New Roman" w:cs="Times New Roman"/>
          <w:spacing w:val="29"/>
          <w:w w:val="101"/>
          <w:sz w:val="24"/>
          <w:szCs w:val="24"/>
        </w:rPr>
        <w:t xml:space="preserve"> </w:t>
      </w:r>
      <w:r>
        <w:rPr>
          <w:rFonts w:ascii="宋体" w:hAnsi="宋体" w:eastAsia="宋体" w:cs="宋体"/>
          <w:spacing w:val="-8"/>
          <w:sz w:val="24"/>
          <w:szCs w:val="24"/>
        </w:rPr>
        <w:t>的公众曝露控制限值要求，同时满足架空线</w:t>
      </w:r>
      <w:r>
        <w:rPr>
          <w:rFonts w:ascii="宋体" w:hAnsi="宋体" w:eastAsia="宋体" w:cs="宋体"/>
          <w:spacing w:val="-9"/>
          <w:sz w:val="24"/>
          <w:szCs w:val="24"/>
        </w:rPr>
        <w:t>路下耕地、园地、牧草地、</w:t>
      </w:r>
      <w:r>
        <w:rPr>
          <w:rFonts w:ascii="宋体" w:hAnsi="宋体" w:eastAsia="宋体" w:cs="宋体"/>
          <w:spacing w:val="-1"/>
          <w:sz w:val="24"/>
          <w:szCs w:val="24"/>
        </w:rPr>
        <w:t>畜禽饲养地、养殖水面、道路等场所处电场强度≤</w:t>
      </w:r>
      <w:r>
        <w:rPr>
          <w:rFonts w:ascii="Times New Roman" w:hAnsi="Times New Roman" w:eastAsia="Times New Roman" w:cs="Times New Roman"/>
          <w:spacing w:val="-1"/>
          <w:sz w:val="24"/>
          <w:szCs w:val="24"/>
        </w:rPr>
        <w:t>10kV/m</w:t>
      </w:r>
      <w:r>
        <w:rPr>
          <w:rFonts w:ascii="Times New Roman" w:hAnsi="Times New Roman" w:eastAsia="Times New Roman" w:cs="Times New Roman"/>
          <w:spacing w:val="65"/>
          <w:w w:val="101"/>
          <w:sz w:val="24"/>
          <w:szCs w:val="24"/>
        </w:rPr>
        <w:t xml:space="preserve"> </w:t>
      </w:r>
      <w:r>
        <w:rPr>
          <w:rFonts w:ascii="宋体" w:hAnsi="宋体" w:eastAsia="宋体" w:cs="宋体"/>
          <w:spacing w:val="-1"/>
          <w:sz w:val="24"/>
          <w:szCs w:val="24"/>
        </w:rPr>
        <w:t>和磁感应强度≤</w:t>
      </w:r>
      <w:r>
        <w:rPr>
          <w:rFonts w:ascii="Times New Roman" w:hAnsi="Times New Roman" w:eastAsia="Times New Roman" w:cs="Times New Roman"/>
          <w:spacing w:val="-1"/>
          <w:sz w:val="24"/>
          <w:szCs w:val="24"/>
        </w:rPr>
        <w:t xml:space="preserve">100μT  </w:t>
      </w:r>
      <w:r>
        <w:rPr>
          <w:rFonts w:ascii="宋体" w:hAnsi="宋体" w:eastAsia="宋体" w:cs="宋体"/>
          <w:spacing w:val="-1"/>
          <w:sz w:val="24"/>
          <w:szCs w:val="24"/>
        </w:rPr>
        <w:t>的限</w:t>
      </w:r>
      <w:r>
        <w:rPr>
          <w:rFonts w:ascii="宋体" w:hAnsi="宋体" w:eastAsia="宋体" w:cs="宋体"/>
          <w:spacing w:val="-9"/>
          <w:sz w:val="24"/>
          <w:szCs w:val="24"/>
        </w:rPr>
        <w:t>值要求。</w:t>
      </w:r>
    </w:p>
    <w:p w14:paraId="03CBC0E8">
      <w:pPr>
        <w:spacing w:before="23" w:line="234" w:lineRule="auto"/>
        <w:ind w:left="499"/>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4</w:t>
      </w:r>
      <w:r>
        <w:rPr>
          <w:rFonts w:ascii="宋体" w:hAnsi="宋体" w:eastAsia="宋体" w:cs="宋体"/>
          <w:b/>
          <w:bCs/>
          <w:spacing w:val="-4"/>
          <w:sz w:val="24"/>
          <w:szCs w:val="24"/>
        </w:rPr>
        <w:t>）工频电磁场云图</w:t>
      </w:r>
    </w:p>
    <w:p w14:paraId="31282C6B">
      <w:pPr>
        <w:spacing w:before="163" w:line="219" w:lineRule="auto"/>
        <w:ind w:left="494"/>
        <w:rPr>
          <w:rFonts w:ascii="宋体" w:hAnsi="宋体" w:eastAsia="宋体" w:cs="宋体"/>
          <w:sz w:val="24"/>
          <w:szCs w:val="24"/>
        </w:rPr>
      </w:pPr>
      <w:r>
        <w:rPr>
          <w:rFonts w:ascii="宋体" w:hAnsi="宋体" w:eastAsia="宋体" w:cs="宋体"/>
          <w:spacing w:val="-2"/>
          <w:sz w:val="24"/>
          <w:szCs w:val="24"/>
        </w:rPr>
        <w:t>项目导线工频电磁场在空间中的分布如下图</w:t>
      </w:r>
      <w:r>
        <w:rPr>
          <w:rFonts w:ascii="宋体" w:hAnsi="宋体" w:eastAsia="宋体" w:cs="宋体"/>
          <w:spacing w:val="-3"/>
          <w:sz w:val="24"/>
          <w:szCs w:val="24"/>
        </w:rPr>
        <w:t>所示。</w:t>
      </w:r>
    </w:p>
    <w:p w14:paraId="4AE75C7F">
      <w:pPr>
        <w:spacing w:before="98" w:line="5556" w:lineRule="exact"/>
      </w:pPr>
      <w:r>
        <w:rPr>
          <w:position w:val="-111"/>
        </w:rPr>
        <w:drawing>
          <wp:inline distT="0" distB="0" distL="0" distR="0">
            <wp:extent cx="5760085" cy="3528060"/>
            <wp:effectExtent l="0" t="0" r="0" b="0"/>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237"/>
                    <a:stretch>
                      <a:fillRect/>
                    </a:stretch>
                  </pic:blipFill>
                  <pic:spPr>
                    <a:xfrm>
                      <a:off x="0" y="0"/>
                      <a:ext cx="5760085" cy="3528060"/>
                    </a:xfrm>
                    <a:prstGeom prst="rect">
                      <a:avLst/>
                    </a:prstGeom>
                  </pic:spPr>
                </pic:pic>
              </a:graphicData>
            </a:graphic>
          </wp:inline>
        </w:drawing>
      </w:r>
    </w:p>
    <w:p w14:paraId="749F81B2">
      <w:pPr>
        <w:spacing w:before="158" w:line="234" w:lineRule="auto"/>
        <w:ind w:left="1503"/>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40"/>
          <w:sz w:val="21"/>
          <w:szCs w:val="21"/>
        </w:rPr>
        <w:t xml:space="preserve"> </w:t>
      </w:r>
      <w:r>
        <w:rPr>
          <w:rFonts w:ascii="Times New Roman" w:hAnsi="Times New Roman" w:eastAsia="Times New Roman" w:cs="Times New Roman"/>
          <w:b/>
          <w:bCs/>
          <w:spacing w:val="-3"/>
          <w:sz w:val="21"/>
          <w:szCs w:val="21"/>
        </w:rPr>
        <w:t>4-13    C</w:t>
      </w:r>
      <w:r>
        <w:rPr>
          <w:rFonts w:ascii="Times New Roman" w:hAnsi="Times New Roman" w:eastAsia="Times New Roman" w:cs="Times New Roman"/>
          <w:b/>
          <w:bCs/>
          <w:spacing w:val="28"/>
          <w:sz w:val="21"/>
          <w:szCs w:val="21"/>
        </w:rPr>
        <w:t xml:space="preserve"> </w:t>
      </w:r>
      <w:r>
        <w:rPr>
          <w:rFonts w:ascii="宋体" w:hAnsi="宋体" w:eastAsia="宋体" w:cs="宋体"/>
          <w:b/>
          <w:bCs/>
          <w:spacing w:val="-3"/>
          <w:sz w:val="21"/>
          <w:szCs w:val="21"/>
        </w:rPr>
        <w:t>回：单回三角排列最不利塔型工频电场强度空间分布图</w:t>
      </w:r>
    </w:p>
    <w:p w14:paraId="73741A83">
      <w:pPr>
        <w:spacing w:line="234" w:lineRule="auto"/>
        <w:rPr>
          <w:rFonts w:ascii="宋体" w:hAnsi="宋体" w:eastAsia="宋体" w:cs="宋体"/>
          <w:sz w:val="21"/>
          <w:szCs w:val="21"/>
        </w:rPr>
        <w:sectPr>
          <w:footerReference r:id="rId125" w:type="default"/>
          <w:pgSz w:w="11907" w:h="16841"/>
          <w:pgMar w:top="400" w:right="1413" w:bottom="1126" w:left="1418" w:header="0" w:footer="925" w:gutter="0"/>
          <w:cols w:space="720" w:num="1"/>
        </w:sectPr>
      </w:pPr>
    </w:p>
    <w:p w14:paraId="3C3CE210">
      <w:pPr>
        <w:spacing w:line="247" w:lineRule="auto"/>
        <w:rPr>
          <w:rFonts w:ascii="Arial"/>
          <w:sz w:val="21"/>
        </w:rPr>
      </w:pPr>
    </w:p>
    <w:p w14:paraId="4985C26F">
      <w:pPr>
        <w:spacing w:line="247" w:lineRule="auto"/>
        <w:rPr>
          <w:rFonts w:ascii="Arial"/>
          <w:sz w:val="21"/>
        </w:rPr>
      </w:pPr>
    </w:p>
    <w:p w14:paraId="21505BAD">
      <w:pPr>
        <w:spacing w:line="248" w:lineRule="auto"/>
        <w:rPr>
          <w:rFonts w:ascii="Arial"/>
          <w:sz w:val="21"/>
        </w:rPr>
      </w:pPr>
    </w:p>
    <w:p w14:paraId="1F7BA315">
      <w:pPr>
        <w:spacing w:line="248" w:lineRule="auto"/>
        <w:rPr>
          <w:rFonts w:ascii="Arial"/>
          <w:sz w:val="21"/>
        </w:rPr>
      </w:pPr>
    </w:p>
    <w:p w14:paraId="645E3465">
      <w:pPr>
        <w:spacing w:line="248" w:lineRule="auto"/>
        <w:rPr>
          <w:rFonts w:ascii="Arial"/>
          <w:sz w:val="21"/>
        </w:rPr>
      </w:pPr>
    </w:p>
    <w:p w14:paraId="0FEC7DB9">
      <w:pPr>
        <w:spacing w:line="5556" w:lineRule="exact"/>
      </w:pPr>
      <w:r>
        <w:rPr>
          <w:position w:val="-111"/>
        </w:rPr>
        <w:drawing>
          <wp:inline distT="0" distB="0" distL="0" distR="0">
            <wp:extent cx="5760085" cy="3527425"/>
            <wp:effectExtent l="0" t="0" r="0" b="0"/>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238"/>
                    <a:stretch>
                      <a:fillRect/>
                    </a:stretch>
                  </pic:blipFill>
                  <pic:spPr>
                    <a:xfrm>
                      <a:off x="0" y="0"/>
                      <a:ext cx="5760085" cy="3528059"/>
                    </a:xfrm>
                    <a:prstGeom prst="rect">
                      <a:avLst/>
                    </a:prstGeom>
                  </pic:spPr>
                </pic:pic>
              </a:graphicData>
            </a:graphic>
          </wp:inline>
        </w:drawing>
      </w:r>
    </w:p>
    <w:p w14:paraId="592A2CF0">
      <w:pPr>
        <w:spacing w:before="158" w:line="234" w:lineRule="auto"/>
        <w:ind w:left="1397"/>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9"/>
          <w:sz w:val="21"/>
          <w:szCs w:val="21"/>
        </w:rPr>
        <w:t xml:space="preserve"> </w:t>
      </w:r>
      <w:r>
        <w:rPr>
          <w:rFonts w:ascii="Times New Roman" w:hAnsi="Times New Roman" w:eastAsia="Times New Roman" w:cs="Times New Roman"/>
          <w:b/>
          <w:bCs/>
          <w:spacing w:val="-3"/>
          <w:sz w:val="21"/>
          <w:szCs w:val="21"/>
        </w:rPr>
        <w:t>4-14    C</w:t>
      </w:r>
      <w:r>
        <w:rPr>
          <w:rFonts w:ascii="Times New Roman" w:hAnsi="Times New Roman" w:eastAsia="Times New Roman" w:cs="Times New Roman"/>
          <w:b/>
          <w:bCs/>
          <w:spacing w:val="29"/>
          <w:sz w:val="21"/>
          <w:szCs w:val="21"/>
        </w:rPr>
        <w:t xml:space="preserve"> </w:t>
      </w:r>
      <w:r>
        <w:rPr>
          <w:rFonts w:ascii="宋体" w:hAnsi="宋体" w:eastAsia="宋体" w:cs="宋体"/>
          <w:b/>
          <w:bCs/>
          <w:spacing w:val="-3"/>
          <w:sz w:val="21"/>
          <w:szCs w:val="21"/>
        </w:rPr>
        <w:t>回：单回三角排列最不利塔型工频磁感应强度空间分布图</w:t>
      </w:r>
    </w:p>
    <w:p w14:paraId="2B629292">
      <w:pPr>
        <w:spacing w:before="103" w:line="5556" w:lineRule="exact"/>
      </w:pPr>
      <w:r>
        <w:rPr>
          <w:position w:val="-111"/>
        </w:rPr>
        <w:drawing>
          <wp:inline distT="0" distB="0" distL="0" distR="0">
            <wp:extent cx="5760085" cy="3527425"/>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239"/>
                    <a:stretch>
                      <a:fillRect/>
                    </a:stretch>
                  </pic:blipFill>
                  <pic:spPr>
                    <a:xfrm>
                      <a:off x="0" y="0"/>
                      <a:ext cx="5760085" cy="3528059"/>
                    </a:xfrm>
                    <a:prstGeom prst="rect">
                      <a:avLst/>
                    </a:prstGeom>
                  </pic:spPr>
                </pic:pic>
              </a:graphicData>
            </a:graphic>
          </wp:inline>
        </w:drawing>
      </w:r>
    </w:p>
    <w:p w14:paraId="77847638">
      <w:pPr>
        <w:spacing w:before="159" w:line="234" w:lineRule="auto"/>
        <w:ind w:left="872"/>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4"/>
          <w:sz w:val="21"/>
          <w:szCs w:val="21"/>
        </w:rPr>
        <w:t xml:space="preserve"> </w:t>
      </w:r>
      <w:r>
        <w:rPr>
          <w:rFonts w:ascii="Times New Roman" w:hAnsi="Times New Roman" w:eastAsia="Times New Roman" w:cs="Times New Roman"/>
          <w:b/>
          <w:bCs/>
          <w:spacing w:val="-3"/>
          <w:sz w:val="21"/>
          <w:szCs w:val="21"/>
        </w:rPr>
        <w:t>4-15    C</w:t>
      </w:r>
      <w:r>
        <w:rPr>
          <w:rFonts w:ascii="Times New Roman" w:hAnsi="Times New Roman" w:eastAsia="Times New Roman" w:cs="Times New Roman"/>
          <w:b/>
          <w:bCs/>
          <w:spacing w:val="29"/>
          <w:w w:val="101"/>
          <w:sz w:val="21"/>
          <w:szCs w:val="21"/>
        </w:rPr>
        <w:t xml:space="preserve"> </w:t>
      </w:r>
      <w:r>
        <w:rPr>
          <w:rFonts w:ascii="宋体" w:hAnsi="宋体" w:eastAsia="宋体" w:cs="宋体"/>
          <w:b/>
          <w:bCs/>
          <w:spacing w:val="-3"/>
          <w:sz w:val="21"/>
          <w:szCs w:val="21"/>
        </w:rPr>
        <w:t>回：双回垂直排列（单边挂线）最不利塔型工频电场强度空间分布图</w:t>
      </w:r>
    </w:p>
    <w:p w14:paraId="784182F3">
      <w:pPr>
        <w:spacing w:line="234" w:lineRule="auto"/>
        <w:rPr>
          <w:rFonts w:ascii="宋体" w:hAnsi="宋体" w:eastAsia="宋体" w:cs="宋体"/>
          <w:sz w:val="21"/>
          <w:szCs w:val="21"/>
        </w:rPr>
        <w:sectPr>
          <w:footerReference r:id="rId126" w:type="default"/>
          <w:pgSz w:w="11907" w:h="16841"/>
          <w:pgMar w:top="400" w:right="1417" w:bottom="1126" w:left="1418" w:header="0" w:footer="925" w:gutter="0"/>
          <w:cols w:space="720" w:num="1"/>
        </w:sectPr>
      </w:pPr>
    </w:p>
    <w:p w14:paraId="78BEEBFF">
      <w:pPr>
        <w:spacing w:line="247" w:lineRule="auto"/>
        <w:rPr>
          <w:rFonts w:ascii="Arial"/>
          <w:sz w:val="21"/>
        </w:rPr>
      </w:pPr>
    </w:p>
    <w:p w14:paraId="3F2EF528">
      <w:pPr>
        <w:spacing w:line="247" w:lineRule="auto"/>
        <w:rPr>
          <w:rFonts w:ascii="Arial"/>
          <w:sz w:val="21"/>
        </w:rPr>
      </w:pPr>
    </w:p>
    <w:p w14:paraId="3C0B24AF">
      <w:pPr>
        <w:spacing w:line="248" w:lineRule="auto"/>
        <w:rPr>
          <w:rFonts w:ascii="Arial"/>
          <w:sz w:val="21"/>
        </w:rPr>
      </w:pPr>
    </w:p>
    <w:p w14:paraId="63D2F173">
      <w:pPr>
        <w:spacing w:line="248" w:lineRule="auto"/>
        <w:rPr>
          <w:rFonts w:ascii="Arial"/>
          <w:sz w:val="21"/>
        </w:rPr>
      </w:pPr>
    </w:p>
    <w:p w14:paraId="1467B16D">
      <w:pPr>
        <w:spacing w:line="248" w:lineRule="auto"/>
        <w:rPr>
          <w:rFonts w:ascii="Arial"/>
          <w:sz w:val="21"/>
        </w:rPr>
      </w:pPr>
    </w:p>
    <w:p w14:paraId="412B5C97">
      <w:pPr>
        <w:spacing w:line="5556" w:lineRule="exact"/>
      </w:pPr>
      <w:r>
        <w:rPr>
          <w:position w:val="-111"/>
        </w:rPr>
        <w:drawing>
          <wp:inline distT="0" distB="0" distL="0" distR="0">
            <wp:extent cx="5760085" cy="3527425"/>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240"/>
                    <a:stretch>
                      <a:fillRect/>
                    </a:stretch>
                  </pic:blipFill>
                  <pic:spPr>
                    <a:xfrm>
                      <a:off x="0" y="0"/>
                      <a:ext cx="5760085" cy="3528059"/>
                    </a:xfrm>
                    <a:prstGeom prst="rect">
                      <a:avLst/>
                    </a:prstGeom>
                  </pic:spPr>
                </pic:pic>
              </a:graphicData>
            </a:graphic>
          </wp:inline>
        </w:drawing>
      </w:r>
    </w:p>
    <w:p w14:paraId="71291341">
      <w:pPr>
        <w:spacing w:before="158" w:line="234" w:lineRule="auto"/>
        <w:ind w:left="766"/>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2"/>
          <w:sz w:val="21"/>
          <w:szCs w:val="21"/>
        </w:rPr>
        <w:t xml:space="preserve"> </w:t>
      </w:r>
      <w:r>
        <w:rPr>
          <w:rFonts w:ascii="Times New Roman" w:hAnsi="Times New Roman" w:eastAsia="Times New Roman" w:cs="Times New Roman"/>
          <w:b/>
          <w:bCs/>
          <w:spacing w:val="-3"/>
          <w:sz w:val="21"/>
          <w:szCs w:val="21"/>
        </w:rPr>
        <w:t>4-16    C</w:t>
      </w:r>
      <w:r>
        <w:rPr>
          <w:rFonts w:ascii="Times New Roman" w:hAnsi="Times New Roman" w:eastAsia="Times New Roman" w:cs="Times New Roman"/>
          <w:b/>
          <w:bCs/>
          <w:spacing w:val="29"/>
          <w:sz w:val="21"/>
          <w:szCs w:val="21"/>
        </w:rPr>
        <w:t xml:space="preserve"> </w:t>
      </w:r>
      <w:r>
        <w:rPr>
          <w:rFonts w:ascii="宋体" w:hAnsi="宋体" w:eastAsia="宋体" w:cs="宋体"/>
          <w:b/>
          <w:bCs/>
          <w:spacing w:val="-3"/>
          <w:sz w:val="21"/>
          <w:szCs w:val="21"/>
        </w:rPr>
        <w:t>回：双回垂直排列（单边挂线）最不利塔型工频磁感应强度空间分布图</w:t>
      </w:r>
    </w:p>
    <w:p w14:paraId="50342453">
      <w:pPr>
        <w:spacing w:before="103" w:line="5556" w:lineRule="exact"/>
      </w:pPr>
      <w:r>
        <w:rPr>
          <w:position w:val="-111"/>
        </w:rPr>
        <w:drawing>
          <wp:inline distT="0" distB="0" distL="0" distR="0">
            <wp:extent cx="5760085" cy="3527425"/>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241"/>
                    <a:stretch>
                      <a:fillRect/>
                    </a:stretch>
                  </pic:blipFill>
                  <pic:spPr>
                    <a:xfrm>
                      <a:off x="0" y="0"/>
                      <a:ext cx="5760085" cy="3528059"/>
                    </a:xfrm>
                    <a:prstGeom prst="rect">
                      <a:avLst/>
                    </a:prstGeom>
                  </pic:spPr>
                </pic:pic>
              </a:graphicData>
            </a:graphic>
          </wp:inline>
        </w:drawing>
      </w:r>
    </w:p>
    <w:p w14:paraId="7FD27F4C">
      <w:pPr>
        <w:spacing w:before="159" w:line="234" w:lineRule="auto"/>
        <w:ind w:left="872"/>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4"/>
          <w:sz w:val="21"/>
          <w:szCs w:val="21"/>
        </w:rPr>
        <w:t xml:space="preserve"> </w:t>
      </w:r>
      <w:r>
        <w:rPr>
          <w:rFonts w:ascii="Times New Roman" w:hAnsi="Times New Roman" w:eastAsia="Times New Roman" w:cs="Times New Roman"/>
          <w:b/>
          <w:bCs/>
          <w:spacing w:val="-3"/>
          <w:sz w:val="21"/>
          <w:szCs w:val="21"/>
        </w:rPr>
        <w:t>4-17    C</w:t>
      </w:r>
      <w:r>
        <w:rPr>
          <w:rFonts w:ascii="Times New Roman" w:hAnsi="Times New Roman" w:eastAsia="Times New Roman" w:cs="Times New Roman"/>
          <w:b/>
          <w:bCs/>
          <w:spacing w:val="29"/>
          <w:w w:val="101"/>
          <w:sz w:val="21"/>
          <w:szCs w:val="21"/>
        </w:rPr>
        <w:t xml:space="preserve"> </w:t>
      </w:r>
      <w:r>
        <w:rPr>
          <w:rFonts w:ascii="宋体" w:hAnsi="宋体" w:eastAsia="宋体" w:cs="宋体"/>
          <w:b/>
          <w:bCs/>
          <w:spacing w:val="-3"/>
          <w:sz w:val="21"/>
          <w:szCs w:val="21"/>
        </w:rPr>
        <w:t>回：双回垂直排列（双边挂线）最不利塔型工频电场强度空间分布图</w:t>
      </w:r>
    </w:p>
    <w:p w14:paraId="782F147F">
      <w:pPr>
        <w:spacing w:line="234" w:lineRule="auto"/>
        <w:rPr>
          <w:rFonts w:ascii="宋体" w:hAnsi="宋体" w:eastAsia="宋体" w:cs="宋体"/>
          <w:sz w:val="21"/>
          <w:szCs w:val="21"/>
        </w:rPr>
        <w:sectPr>
          <w:footerReference r:id="rId127" w:type="default"/>
          <w:pgSz w:w="11907" w:h="16841"/>
          <w:pgMar w:top="400" w:right="1417" w:bottom="1126" w:left="1418" w:header="0" w:footer="923" w:gutter="0"/>
          <w:cols w:space="720" w:num="1"/>
        </w:sectPr>
      </w:pPr>
    </w:p>
    <w:p w14:paraId="13CEB271">
      <w:pPr>
        <w:spacing w:line="247" w:lineRule="auto"/>
        <w:rPr>
          <w:rFonts w:ascii="Arial"/>
          <w:sz w:val="21"/>
        </w:rPr>
      </w:pPr>
    </w:p>
    <w:p w14:paraId="73A37228">
      <w:pPr>
        <w:spacing w:line="247" w:lineRule="auto"/>
        <w:rPr>
          <w:rFonts w:ascii="Arial"/>
          <w:sz w:val="21"/>
        </w:rPr>
      </w:pPr>
    </w:p>
    <w:p w14:paraId="0B0DA334">
      <w:pPr>
        <w:spacing w:line="248" w:lineRule="auto"/>
        <w:rPr>
          <w:rFonts w:ascii="Arial"/>
          <w:sz w:val="21"/>
        </w:rPr>
      </w:pPr>
    </w:p>
    <w:p w14:paraId="0D32E309">
      <w:pPr>
        <w:spacing w:line="248" w:lineRule="auto"/>
        <w:rPr>
          <w:rFonts w:ascii="Arial"/>
          <w:sz w:val="21"/>
        </w:rPr>
      </w:pPr>
    </w:p>
    <w:p w14:paraId="48730A3C">
      <w:pPr>
        <w:spacing w:line="248" w:lineRule="auto"/>
        <w:rPr>
          <w:rFonts w:ascii="Arial"/>
          <w:sz w:val="21"/>
        </w:rPr>
      </w:pPr>
    </w:p>
    <w:p w14:paraId="1B1D0479">
      <w:pPr>
        <w:spacing w:line="5556" w:lineRule="exact"/>
      </w:pPr>
      <w:r>
        <w:rPr>
          <w:position w:val="-111"/>
        </w:rPr>
        <w:drawing>
          <wp:inline distT="0" distB="0" distL="0" distR="0">
            <wp:extent cx="5760085" cy="3527425"/>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242"/>
                    <a:stretch>
                      <a:fillRect/>
                    </a:stretch>
                  </pic:blipFill>
                  <pic:spPr>
                    <a:xfrm>
                      <a:off x="0" y="0"/>
                      <a:ext cx="5760085" cy="3528059"/>
                    </a:xfrm>
                    <a:prstGeom prst="rect">
                      <a:avLst/>
                    </a:prstGeom>
                  </pic:spPr>
                </pic:pic>
              </a:graphicData>
            </a:graphic>
          </wp:inline>
        </w:drawing>
      </w:r>
    </w:p>
    <w:p w14:paraId="2AC94528">
      <w:pPr>
        <w:spacing w:before="158" w:line="234" w:lineRule="auto"/>
        <w:ind w:left="766"/>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2"/>
          <w:sz w:val="21"/>
          <w:szCs w:val="21"/>
        </w:rPr>
        <w:t xml:space="preserve"> </w:t>
      </w:r>
      <w:r>
        <w:rPr>
          <w:rFonts w:ascii="Times New Roman" w:hAnsi="Times New Roman" w:eastAsia="Times New Roman" w:cs="Times New Roman"/>
          <w:b/>
          <w:bCs/>
          <w:spacing w:val="-3"/>
          <w:sz w:val="21"/>
          <w:szCs w:val="21"/>
        </w:rPr>
        <w:t>4-18    C</w:t>
      </w:r>
      <w:r>
        <w:rPr>
          <w:rFonts w:ascii="Times New Roman" w:hAnsi="Times New Roman" w:eastAsia="Times New Roman" w:cs="Times New Roman"/>
          <w:b/>
          <w:bCs/>
          <w:spacing w:val="29"/>
          <w:sz w:val="21"/>
          <w:szCs w:val="21"/>
        </w:rPr>
        <w:t xml:space="preserve"> </w:t>
      </w:r>
      <w:r>
        <w:rPr>
          <w:rFonts w:ascii="宋体" w:hAnsi="宋体" w:eastAsia="宋体" w:cs="宋体"/>
          <w:b/>
          <w:bCs/>
          <w:spacing w:val="-3"/>
          <w:sz w:val="21"/>
          <w:szCs w:val="21"/>
        </w:rPr>
        <w:t>回：双回垂直排列（双边挂线）最不利塔型工频磁感应强度空间分布图</w:t>
      </w:r>
    </w:p>
    <w:p w14:paraId="0CDD55A3">
      <w:pPr>
        <w:spacing w:before="134" w:line="5494" w:lineRule="exact"/>
      </w:pPr>
      <w:r>
        <w:rPr>
          <w:position w:val="-109"/>
        </w:rPr>
        <w:drawing>
          <wp:inline distT="0" distB="0" distL="0" distR="0">
            <wp:extent cx="5760085" cy="3488690"/>
            <wp:effectExtent l="0" t="0" r="0" b="0"/>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243"/>
                    <a:stretch>
                      <a:fillRect/>
                    </a:stretch>
                  </pic:blipFill>
                  <pic:spPr>
                    <a:xfrm>
                      <a:off x="0" y="0"/>
                      <a:ext cx="5760085" cy="3488690"/>
                    </a:xfrm>
                    <a:prstGeom prst="rect">
                      <a:avLst/>
                    </a:prstGeom>
                  </pic:spPr>
                </pic:pic>
              </a:graphicData>
            </a:graphic>
          </wp:inline>
        </w:drawing>
      </w:r>
    </w:p>
    <w:p w14:paraId="6603C363">
      <w:pPr>
        <w:spacing w:before="190" w:line="234" w:lineRule="auto"/>
        <w:ind w:left="1433"/>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6"/>
          <w:sz w:val="21"/>
          <w:szCs w:val="21"/>
        </w:rPr>
        <w:t xml:space="preserve"> </w:t>
      </w:r>
      <w:r>
        <w:rPr>
          <w:rFonts w:ascii="Times New Roman" w:hAnsi="Times New Roman" w:eastAsia="Times New Roman" w:cs="Times New Roman"/>
          <w:b/>
          <w:bCs/>
          <w:spacing w:val="-3"/>
          <w:sz w:val="21"/>
          <w:szCs w:val="21"/>
        </w:rPr>
        <w:t>4-19    DE</w:t>
      </w:r>
      <w:r>
        <w:rPr>
          <w:rFonts w:ascii="Times New Roman" w:hAnsi="Times New Roman" w:eastAsia="Times New Roman" w:cs="Times New Roman"/>
          <w:b/>
          <w:bCs/>
          <w:spacing w:val="29"/>
          <w:sz w:val="21"/>
          <w:szCs w:val="21"/>
        </w:rPr>
        <w:t xml:space="preserve"> </w:t>
      </w:r>
      <w:r>
        <w:rPr>
          <w:rFonts w:ascii="宋体" w:hAnsi="宋体" w:eastAsia="宋体" w:cs="宋体"/>
          <w:b/>
          <w:bCs/>
          <w:spacing w:val="-3"/>
          <w:sz w:val="21"/>
          <w:szCs w:val="21"/>
        </w:rPr>
        <w:t>回：单回三角排列最不利塔型工频电场强度空间分布图</w:t>
      </w:r>
    </w:p>
    <w:p w14:paraId="2E91D7D4">
      <w:pPr>
        <w:spacing w:line="234" w:lineRule="auto"/>
        <w:rPr>
          <w:rFonts w:ascii="宋体" w:hAnsi="宋体" w:eastAsia="宋体" w:cs="宋体"/>
          <w:sz w:val="21"/>
          <w:szCs w:val="21"/>
        </w:rPr>
        <w:sectPr>
          <w:footerReference r:id="rId128" w:type="default"/>
          <w:pgSz w:w="11907" w:h="16841"/>
          <w:pgMar w:top="400" w:right="1417" w:bottom="1126" w:left="1418" w:header="0" w:footer="923" w:gutter="0"/>
          <w:cols w:space="720" w:num="1"/>
        </w:sectPr>
      </w:pPr>
    </w:p>
    <w:p w14:paraId="64CE0DC4">
      <w:pPr>
        <w:spacing w:line="247" w:lineRule="auto"/>
        <w:rPr>
          <w:rFonts w:ascii="Arial"/>
          <w:sz w:val="21"/>
        </w:rPr>
      </w:pPr>
    </w:p>
    <w:p w14:paraId="7B35664C">
      <w:pPr>
        <w:spacing w:line="247" w:lineRule="auto"/>
        <w:rPr>
          <w:rFonts w:ascii="Arial"/>
          <w:sz w:val="21"/>
        </w:rPr>
      </w:pPr>
    </w:p>
    <w:p w14:paraId="3BC4A597">
      <w:pPr>
        <w:spacing w:line="248" w:lineRule="auto"/>
        <w:rPr>
          <w:rFonts w:ascii="Arial"/>
          <w:sz w:val="21"/>
        </w:rPr>
      </w:pPr>
    </w:p>
    <w:p w14:paraId="6B778455">
      <w:pPr>
        <w:spacing w:line="248" w:lineRule="auto"/>
        <w:rPr>
          <w:rFonts w:ascii="Arial"/>
          <w:sz w:val="21"/>
        </w:rPr>
      </w:pPr>
    </w:p>
    <w:p w14:paraId="637B9C6D">
      <w:pPr>
        <w:spacing w:line="248" w:lineRule="auto"/>
        <w:rPr>
          <w:rFonts w:ascii="Arial"/>
          <w:sz w:val="21"/>
        </w:rPr>
      </w:pPr>
    </w:p>
    <w:p w14:paraId="59DB6A24">
      <w:pPr>
        <w:spacing w:line="5556" w:lineRule="exact"/>
      </w:pPr>
      <w:r>
        <w:rPr>
          <w:position w:val="-111"/>
        </w:rPr>
        <w:drawing>
          <wp:inline distT="0" distB="0" distL="0" distR="0">
            <wp:extent cx="5760085" cy="3527425"/>
            <wp:effectExtent l="0" t="0" r="0" b="0"/>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244"/>
                    <a:stretch>
                      <a:fillRect/>
                    </a:stretch>
                  </pic:blipFill>
                  <pic:spPr>
                    <a:xfrm>
                      <a:off x="0" y="0"/>
                      <a:ext cx="5760085" cy="3528059"/>
                    </a:xfrm>
                    <a:prstGeom prst="rect">
                      <a:avLst/>
                    </a:prstGeom>
                  </pic:spPr>
                </pic:pic>
              </a:graphicData>
            </a:graphic>
          </wp:inline>
        </w:drawing>
      </w:r>
    </w:p>
    <w:p w14:paraId="3D9D18B9">
      <w:pPr>
        <w:spacing w:before="158" w:line="234" w:lineRule="auto"/>
        <w:ind w:left="1328"/>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4"/>
          <w:sz w:val="21"/>
          <w:szCs w:val="21"/>
        </w:rPr>
        <w:t xml:space="preserve"> </w:t>
      </w:r>
      <w:r>
        <w:rPr>
          <w:rFonts w:ascii="Times New Roman" w:hAnsi="Times New Roman" w:eastAsia="Times New Roman" w:cs="Times New Roman"/>
          <w:b/>
          <w:bCs/>
          <w:spacing w:val="-3"/>
          <w:sz w:val="21"/>
          <w:szCs w:val="21"/>
        </w:rPr>
        <w:t>4-20    DE</w:t>
      </w:r>
      <w:r>
        <w:rPr>
          <w:rFonts w:ascii="Times New Roman" w:hAnsi="Times New Roman" w:eastAsia="Times New Roman" w:cs="Times New Roman"/>
          <w:b/>
          <w:bCs/>
          <w:spacing w:val="29"/>
          <w:sz w:val="21"/>
          <w:szCs w:val="21"/>
        </w:rPr>
        <w:t xml:space="preserve"> </w:t>
      </w:r>
      <w:r>
        <w:rPr>
          <w:rFonts w:ascii="宋体" w:hAnsi="宋体" w:eastAsia="宋体" w:cs="宋体"/>
          <w:b/>
          <w:bCs/>
          <w:spacing w:val="-3"/>
          <w:sz w:val="21"/>
          <w:szCs w:val="21"/>
        </w:rPr>
        <w:t>回：单回三角排列最不利塔型工频磁感应强度空间分布图</w:t>
      </w:r>
    </w:p>
    <w:p w14:paraId="529545A6">
      <w:pPr>
        <w:spacing w:before="103" w:line="5556" w:lineRule="exact"/>
      </w:pPr>
      <w:r>
        <w:rPr>
          <w:position w:val="-111"/>
        </w:rPr>
        <w:drawing>
          <wp:inline distT="0" distB="0" distL="0" distR="0">
            <wp:extent cx="5760085" cy="3527425"/>
            <wp:effectExtent l="0" t="0" r="0" b="0"/>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245"/>
                    <a:stretch>
                      <a:fillRect/>
                    </a:stretch>
                  </pic:blipFill>
                  <pic:spPr>
                    <a:xfrm>
                      <a:off x="0" y="0"/>
                      <a:ext cx="5760085" cy="3528059"/>
                    </a:xfrm>
                    <a:prstGeom prst="rect">
                      <a:avLst/>
                    </a:prstGeom>
                  </pic:spPr>
                </pic:pic>
              </a:graphicData>
            </a:graphic>
          </wp:inline>
        </w:drawing>
      </w:r>
    </w:p>
    <w:p w14:paraId="7B7A3566">
      <w:pPr>
        <w:spacing w:before="159" w:line="234" w:lineRule="auto"/>
        <w:ind w:left="1433"/>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6"/>
          <w:sz w:val="21"/>
          <w:szCs w:val="21"/>
        </w:rPr>
        <w:t xml:space="preserve"> </w:t>
      </w:r>
      <w:r>
        <w:rPr>
          <w:rFonts w:ascii="Times New Roman" w:hAnsi="Times New Roman" w:eastAsia="Times New Roman" w:cs="Times New Roman"/>
          <w:b/>
          <w:bCs/>
          <w:spacing w:val="-3"/>
          <w:sz w:val="21"/>
          <w:szCs w:val="21"/>
        </w:rPr>
        <w:t>4-21    DE</w:t>
      </w:r>
      <w:r>
        <w:rPr>
          <w:rFonts w:ascii="Times New Roman" w:hAnsi="Times New Roman" w:eastAsia="Times New Roman" w:cs="Times New Roman"/>
          <w:b/>
          <w:bCs/>
          <w:spacing w:val="29"/>
          <w:sz w:val="21"/>
          <w:szCs w:val="21"/>
        </w:rPr>
        <w:t xml:space="preserve"> </w:t>
      </w:r>
      <w:r>
        <w:rPr>
          <w:rFonts w:ascii="宋体" w:hAnsi="宋体" w:eastAsia="宋体" w:cs="宋体"/>
          <w:b/>
          <w:bCs/>
          <w:spacing w:val="-3"/>
          <w:sz w:val="21"/>
          <w:szCs w:val="21"/>
        </w:rPr>
        <w:t>回：单回水平排列最不利塔型工频电场强度空间分布图</w:t>
      </w:r>
    </w:p>
    <w:p w14:paraId="368F2222">
      <w:pPr>
        <w:spacing w:line="234" w:lineRule="auto"/>
        <w:rPr>
          <w:rFonts w:ascii="宋体" w:hAnsi="宋体" w:eastAsia="宋体" w:cs="宋体"/>
          <w:sz w:val="21"/>
          <w:szCs w:val="21"/>
        </w:rPr>
        <w:sectPr>
          <w:footerReference r:id="rId129" w:type="default"/>
          <w:pgSz w:w="11907" w:h="16841"/>
          <w:pgMar w:top="400" w:right="1417" w:bottom="1126" w:left="1418" w:header="0" w:footer="925" w:gutter="0"/>
          <w:cols w:space="720" w:num="1"/>
        </w:sectPr>
      </w:pPr>
    </w:p>
    <w:p w14:paraId="1909A2FE">
      <w:pPr>
        <w:spacing w:line="247" w:lineRule="auto"/>
        <w:rPr>
          <w:rFonts w:ascii="Arial"/>
          <w:sz w:val="21"/>
        </w:rPr>
      </w:pPr>
    </w:p>
    <w:p w14:paraId="79649E6A">
      <w:pPr>
        <w:spacing w:line="247" w:lineRule="auto"/>
        <w:rPr>
          <w:rFonts w:ascii="Arial"/>
          <w:sz w:val="21"/>
        </w:rPr>
      </w:pPr>
    </w:p>
    <w:p w14:paraId="376099AD">
      <w:pPr>
        <w:spacing w:line="248" w:lineRule="auto"/>
        <w:rPr>
          <w:rFonts w:ascii="Arial"/>
          <w:sz w:val="21"/>
        </w:rPr>
      </w:pPr>
    </w:p>
    <w:p w14:paraId="76DEECFC">
      <w:pPr>
        <w:spacing w:line="248" w:lineRule="auto"/>
        <w:rPr>
          <w:rFonts w:ascii="Arial"/>
          <w:sz w:val="21"/>
        </w:rPr>
      </w:pPr>
    </w:p>
    <w:p w14:paraId="575DC442">
      <w:pPr>
        <w:spacing w:line="248" w:lineRule="auto"/>
        <w:rPr>
          <w:rFonts w:ascii="Arial"/>
          <w:sz w:val="21"/>
        </w:rPr>
      </w:pPr>
    </w:p>
    <w:p w14:paraId="379F83FA">
      <w:pPr>
        <w:spacing w:line="5556" w:lineRule="exact"/>
      </w:pPr>
      <w:r>
        <w:rPr>
          <w:position w:val="-111"/>
        </w:rPr>
        <w:drawing>
          <wp:inline distT="0" distB="0" distL="0" distR="0">
            <wp:extent cx="5760085" cy="3527425"/>
            <wp:effectExtent l="0" t="0" r="0" b="0"/>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246"/>
                    <a:stretch>
                      <a:fillRect/>
                    </a:stretch>
                  </pic:blipFill>
                  <pic:spPr>
                    <a:xfrm>
                      <a:off x="0" y="0"/>
                      <a:ext cx="5760085" cy="3528059"/>
                    </a:xfrm>
                    <a:prstGeom prst="rect">
                      <a:avLst/>
                    </a:prstGeom>
                  </pic:spPr>
                </pic:pic>
              </a:graphicData>
            </a:graphic>
          </wp:inline>
        </w:drawing>
      </w:r>
    </w:p>
    <w:p w14:paraId="2930D6B6">
      <w:pPr>
        <w:spacing w:before="158" w:line="234" w:lineRule="auto"/>
        <w:ind w:left="1328"/>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4"/>
          <w:sz w:val="21"/>
          <w:szCs w:val="21"/>
        </w:rPr>
        <w:t xml:space="preserve"> </w:t>
      </w:r>
      <w:r>
        <w:rPr>
          <w:rFonts w:ascii="Times New Roman" w:hAnsi="Times New Roman" w:eastAsia="Times New Roman" w:cs="Times New Roman"/>
          <w:b/>
          <w:bCs/>
          <w:spacing w:val="-3"/>
          <w:sz w:val="21"/>
          <w:szCs w:val="21"/>
        </w:rPr>
        <w:t>4-22    DE</w:t>
      </w:r>
      <w:r>
        <w:rPr>
          <w:rFonts w:ascii="Times New Roman" w:hAnsi="Times New Roman" w:eastAsia="Times New Roman" w:cs="Times New Roman"/>
          <w:b/>
          <w:bCs/>
          <w:spacing w:val="29"/>
          <w:sz w:val="21"/>
          <w:szCs w:val="21"/>
        </w:rPr>
        <w:t xml:space="preserve"> </w:t>
      </w:r>
      <w:r>
        <w:rPr>
          <w:rFonts w:ascii="宋体" w:hAnsi="宋体" w:eastAsia="宋体" w:cs="宋体"/>
          <w:b/>
          <w:bCs/>
          <w:spacing w:val="-3"/>
          <w:sz w:val="21"/>
          <w:szCs w:val="21"/>
        </w:rPr>
        <w:t>回：单回水平排列最不利塔型工频磁感应强度空间分布图</w:t>
      </w:r>
    </w:p>
    <w:p w14:paraId="17D6D063">
      <w:pPr>
        <w:spacing w:before="103" w:line="5556" w:lineRule="exact"/>
      </w:pPr>
      <w:r>
        <w:rPr>
          <w:position w:val="-111"/>
        </w:rPr>
        <w:drawing>
          <wp:inline distT="0" distB="0" distL="0" distR="0">
            <wp:extent cx="5760085" cy="3527425"/>
            <wp:effectExtent l="0" t="0" r="0" b="0"/>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247"/>
                    <a:stretch>
                      <a:fillRect/>
                    </a:stretch>
                  </pic:blipFill>
                  <pic:spPr>
                    <a:xfrm>
                      <a:off x="0" y="0"/>
                      <a:ext cx="5760085" cy="3528059"/>
                    </a:xfrm>
                    <a:prstGeom prst="rect">
                      <a:avLst/>
                    </a:prstGeom>
                  </pic:spPr>
                </pic:pic>
              </a:graphicData>
            </a:graphic>
          </wp:inline>
        </w:drawing>
      </w:r>
    </w:p>
    <w:p w14:paraId="4639F03D">
      <w:pPr>
        <w:spacing w:before="159" w:line="234" w:lineRule="auto"/>
        <w:ind w:left="800"/>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29"/>
          <w:sz w:val="21"/>
          <w:szCs w:val="21"/>
        </w:rPr>
        <w:t xml:space="preserve"> </w:t>
      </w:r>
      <w:r>
        <w:rPr>
          <w:rFonts w:ascii="Times New Roman" w:hAnsi="Times New Roman" w:eastAsia="Times New Roman" w:cs="Times New Roman"/>
          <w:b/>
          <w:bCs/>
          <w:spacing w:val="-3"/>
          <w:sz w:val="21"/>
          <w:szCs w:val="21"/>
        </w:rPr>
        <w:t>4-23    DE</w:t>
      </w:r>
      <w:r>
        <w:rPr>
          <w:rFonts w:ascii="Times New Roman" w:hAnsi="Times New Roman" w:eastAsia="Times New Roman" w:cs="Times New Roman"/>
          <w:b/>
          <w:bCs/>
          <w:spacing w:val="29"/>
          <w:sz w:val="21"/>
          <w:szCs w:val="21"/>
        </w:rPr>
        <w:t xml:space="preserve"> </w:t>
      </w:r>
      <w:r>
        <w:rPr>
          <w:rFonts w:ascii="宋体" w:hAnsi="宋体" w:eastAsia="宋体" w:cs="宋体"/>
          <w:b/>
          <w:bCs/>
          <w:spacing w:val="-3"/>
          <w:sz w:val="21"/>
          <w:szCs w:val="21"/>
        </w:rPr>
        <w:t>回：双回垂直排列（单边挂线）最不利塔型工频电场强度空间分布图</w:t>
      </w:r>
    </w:p>
    <w:p w14:paraId="3BD981E1">
      <w:pPr>
        <w:spacing w:line="234" w:lineRule="auto"/>
        <w:rPr>
          <w:rFonts w:ascii="宋体" w:hAnsi="宋体" w:eastAsia="宋体" w:cs="宋体"/>
          <w:sz w:val="21"/>
          <w:szCs w:val="21"/>
        </w:rPr>
        <w:sectPr>
          <w:footerReference r:id="rId130" w:type="default"/>
          <w:pgSz w:w="11907" w:h="16841"/>
          <w:pgMar w:top="400" w:right="1417" w:bottom="1126" w:left="1418" w:header="0" w:footer="923" w:gutter="0"/>
          <w:cols w:space="720" w:num="1"/>
        </w:sectPr>
      </w:pPr>
    </w:p>
    <w:p w14:paraId="3CA91E87">
      <w:pPr>
        <w:spacing w:line="247" w:lineRule="auto"/>
        <w:rPr>
          <w:rFonts w:ascii="Arial"/>
          <w:sz w:val="21"/>
        </w:rPr>
      </w:pPr>
    </w:p>
    <w:p w14:paraId="1D69235F">
      <w:pPr>
        <w:spacing w:line="247" w:lineRule="auto"/>
        <w:rPr>
          <w:rFonts w:ascii="Arial"/>
          <w:sz w:val="21"/>
        </w:rPr>
      </w:pPr>
    </w:p>
    <w:p w14:paraId="42801368">
      <w:pPr>
        <w:spacing w:line="248" w:lineRule="auto"/>
        <w:rPr>
          <w:rFonts w:ascii="Arial"/>
          <w:sz w:val="21"/>
        </w:rPr>
      </w:pPr>
    </w:p>
    <w:p w14:paraId="59191341">
      <w:pPr>
        <w:spacing w:line="248" w:lineRule="auto"/>
        <w:rPr>
          <w:rFonts w:ascii="Arial"/>
          <w:sz w:val="21"/>
        </w:rPr>
      </w:pPr>
    </w:p>
    <w:p w14:paraId="3B4BC3A2">
      <w:pPr>
        <w:spacing w:line="248" w:lineRule="auto"/>
        <w:rPr>
          <w:rFonts w:ascii="Arial"/>
          <w:sz w:val="21"/>
        </w:rPr>
      </w:pPr>
    </w:p>
    <w:p w14:paraId="0BDA8FBC">
      <w:pPr>
        <w:spacing w:line="5556" w:lineRule="exact"/>
      </w:pPr>
      <w:r>
        <w:rPr>
          <w:position w:val="-111"/>
        </w:rPr>
        <w:drawing>
          <wp:inline distT="0" distB="0" distL="0" distR="0">
            <wp:extent cx="5760085" cy="3527425"/>
            <wp:effectExtent l="0" t="0" r="0" b="0"/>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248"/>
                    <a:stretch>
                      <a:fillRect/>
                    </a:stretch>
                  </pic:blipFill>
                  <pic:spPr>
                    <a:xfrm>
                      <a:off x="0" y="0"/>
                      <a:ext cx="5760085" cy="3528059"/>
                    </a:xfrm>
                    <a:prstGeom prst="rect">
                      <a:avLst/>
                    </a:prstGeom>
                  </pic:spPr>
                </pic:pic>
              </a:graphicData>
            </a:graphic>
          </wp:inline>
        </w:drawing>
      </w:r>
    </w:p>
    <w:p w14:paraId="265EA28C">
      <w:pPr>
        <w:spacing w:before="158" w:line="234" w:lineRule="auto"/>
        <w:ind w:left="800"/>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29"/>
          <w:sz w:val="21"/>
          <w:szCs w:val="21"/>
        </w:rPr>
        <w:t xml:space="preserve"> </w:t>
      </w:r>
      <w:r>
        <w:rPr>
          <w:rFonts w:ascii="Times New Roman" w:hAnsi="Times New Roman" w:eastAsia="Times New Roman" w:cs="Times New Roman"/>
          <w:b/>
          <w:bCs/>
          <w:spacing w:val="-3"/>
          <w:sz w:val="21"/>
          <w:szCs w:val="21"/>
        </w:rPr>
        <w:t>4-24    DE</w:t>
      </w:r>
      <w:r>
        <w:rPr>
          <w:rFonts w:ascii="Times New Roman" w:hAnsi="Times New Roman" w:eastAsia="Times New Roman" w:cs="Times New Roman"/>
          <w:b/>
          <w:bCs/>
          <w:spacing w:val="29"/>
          <w:sz w:val="21"/>
          <w:szCs w:val="21"/>
        </w:rPr>
        <w:t xml:space="preserve"> </w:t>
      </w:r>
      <w:r>
        <w:rPr>
          <w:rFonts w:ascii="宋体" w:hAnsi="宋体" w:eastAsia="宋体" w:cs="宋体"/>
          <w:b/>
          <w:bCs/>
          <w:spacing w:val="-3"/>
          <w:sz w:val="21"/>
          <w:szCs w:val="21"/>
        </w:rPr>
        <w:t>回：双回垂直排列（单边挂线）最不利塔型工频电场强度空间分布图</w:t>
      </w:r>
    </w:p>
    <w:p w14:paraId="19C591B2">
      <w:pPr>
        <w:spacing w:before="246" w:line="232" w:lineRule="auto"/>
        <w:ind w:left="7"/>
        <w:rPr>
          <w:rFonts w:ascii="宋体" w:hAnsi="宋体" w:eastAsia="宋体" w:cs="宋体"/>
          <w:sz w:val="28"/>
          <w:szCs w:val="28"/>
        </w:rPr>
      </w:pPr>
      <w:bookmarkStart w:id="24" w:name="bookmark31"/>
      <w:bookmarkEnd w:id="24"/>
      <w:r>
        <w:rPr>
          <w:rFonts w:ascii="Times New Roman" w:hAnsi="Times New Roman" w:eastAsia="Times New Roman" w:cs="Times New Roman"/>
          <w:b/>
          <w:bCs/>
          <w:spacing w:val="-2"/>
          <w:sz w:val="28"/>
          <w:szCs w:val="28"/>
        </w:rPr>
        <w:t xml:space="preserve">4.2 </w:t>
      </w:r>
      <w:r>
        <w:rPr>
          <w:rFonts w:ascii="宋体" w:hAnsi="宋体" w:eastAsia="宋体" w:cs="宋体"/>
          <w:b/>
          <w:bCs/>
          <w:spacing w:val="-2"/>
          <w:sz w:val="28"/>
          <w:szCs w:val="28"/>
        </w:rPr>
        <w:t>变电站扩建间隔工程电磁环境影响预测与评价</w:t>
      </w:r>
    </w:p>
    <w:p w14:paraId="161B9B21">
      <w:pPr>
        <w:spacing w:before="215" w:line="352" w:lineRule="auto"/>
        <w:ind w:left="11" w:right="185" w:firstLine="481"/>
        <w:jc w:val="both"/>
        <w:rPr>
          <w:rFonts w:ascii="宋体" w:hAnsi="宋体" w:eastAsia="宋体" w:cs="宋体"/>
          <w:sz w:val="24"/>
          <w:szCs w:val="24"/>
        </w:rPr>
      </w:pPr>
      <w:r>
        <w:rPr>
          <w:rFonts w:ascii="Times New Roman" w:hAnsi="Times New Roman" w:eastAsia="Times New Roman" w:cs="Times New Roman"/>
          <w:spacing w:val="-4"/>
          <w:sz w:val="24"/>
          <w:szCs w:val="24"/>
        </w:rPr>
        <w:t>500kV</w:t>
      </w:r>
      <w:r>
        <w:rPr>
          <w:rFonts w:ascii="Times New Roman" w:hAnsi="Times New Roman" w:eastAsia="Times New Roman" w:cs="Times New Roman"/>
          <w:spacing w:val="17"/>
          <w:sz w:val="24"/>
          <w:szCs w:val="24"/>
        </w:rPr>
        <w:t xml:space="preserve"> </w:t>
      </w:r>
      <w:r>
        <w:rPr>
          <w:rFonts w:ascii="宋体" w:hAnsi="宋体" w:eastAsia="宋体" w:cs="宋体"/>
          <w:spacing w:val="-4"/>
          <w:sz w:val="24"/>
          <w:szCs w:val="24"/>
        </w:rPr>
        <w:t>乐业变、</w:t>
      </w:r>
      <w:r>
        <w:rPr>
          <w:rFonts w:ascii="Times New Roman" w:hAnsi="Times New Roman" w:eastAsia="Times New Roman" w:cs="Times New Roman"/>
          <w:spacing w:val="-4"/>
          <w:sz w:val="24"/>
          <w:szCs w:val="24"/>
        </w:rPr>
        <w:t xml:space="preserve">220kV </w:t>
      </w:r>
      <w:r>
        <w:rPr>
          <w:rFonts w:ascii="宋体" w:hAnsi="宋体" w:eastAsia="宋体" w:cs="宋体"/>
          <w:spacing w:val="-4"/>
          <w:sz w:val="24"/>
          <w:szCs w:val="24"/>
        </w:rPr>
        <w:t>迤车变电站同步扩建</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个</w:t>
      </w:r>
      <w:r>
        <w:rPr>
          <w:rFonts w:ascii="宋体" w:hAnsi="宋体" w:eastAsia="宋体" w:cs="宋体"/>
          <w:spacing w:val="-55"/>
          <w:sz w:val="24"/>
          <w:szCs w:val="24"/>
        </w:rPr>
        <w:t xml:space="preserve"> </w:t>
      </w:r>
      <w:r>
        <w:rPr>
          <w:rFonts w:ascii="Times New Roman" w:hAnsi="Times New Roman" w:eastAsia="Times New Roman" w:cs="Times New Roman"/>
          <w:spacing w:val="-4"/>
          <w:sz w:val="24"/>
          <w:szCs w:val="24"/>
        </w:rPr>
        <w:t>220kV</w:t>
      </w:r>
      <w:r>
        <w:rPr>
          <w:rFonts w:ascii="Times New Roman" w:hAnsi="Times New Roman" w:eastAsia="Times New Roman" w:cs="Times New Roman"/>
          <w:spacing w:val="30"/>
          <w:w w:val="101"/>
          <w:sz w:val="24"/>
          <w:szCs w:val="24"/>
        </w:rPr>
        <w:t xml:space="preserve"> </w:t>
      </w:r>
      <w:r>
        <w:rPr>
          <w:rFonts w:ascii="宋体" w:hAnsi="宋体" w:eastAsia="宋体" w:cs="宋体"/>
          <w:spacing w:val="-4"/>
          <w:sz w:val="24"/>
          <w:szCs w:val="24"/>
        </w:rPr>
        <w:t>出线间隔，扩建工</w:t>
      </w:r>
      <w:r>
        <w:rPr>
          <w:rFonts w:ascii="宋体" w:hAnsi="宋体" w:eastAsia="宋体" w:cs="宋体"/>
          <w:spacing w:val="-5"/>
          <w:sz w:val="24"/>
          <w:szCs w:val="24"/>
        </w:rPr>
        <w:t>程仅新增</w:t>
      </w:r>
      <w:r>
        <w:rPr>
          <w:rFonts w:ascii="宋体" w:hAnsi="宋体" w:eastAsia="宋体" w:cs="宋体"/>
          <w:spacing w:val="-10"/>
          <w:sz w:val="24"/>
          <w:szCs w:val="24"/>
        </w:rPr>
        <w:t>支架、基础、断路器、电容器等，</w:t>
      </w:r>
      <w:r>
        <w:rPr>
          <w:rFonts w:ascii="宋体" w:hAnsi="宋体" w:eastAsia="宋体" w:cs="宋体"/>
          <w:spacing w:val="-67"/>
          <w:sz w:val="24"/>
          <w:szCs w:val="24"/>
        </w:rPr>
        <w:t xml:space="preserve"> </w:t>
      </w:r>
      <w:r>
        <w:rPr>
          <w:rFonts w:ascii="宋体" w:hAnsi="宋体" w:eastAsia="宋体" w:cs="宋体"/>
          <w:spacing w:val="-10"/>
          <w:sz w:val="24"/>
          <w:szCs w:val="24"/>
        </w:rPr>
        <w:t>不新增主变压器、</w:t>
      </w:r>
      <w:r>
        <w:rPr>
          <w:rFonts w:ascii="宋体" w:hAnsi="宋体" w:eastAsia="宋体" w:cs="宋体"/>
          <w:spacing w:val="-11"/>
          <w:sz w:val="24"/>
          <w:szCs w:val="24"/>
        </w:rPr>
        <w:t>高压电抗器等主要电磁环境污染源，</w:t>
      </w:r>
    </w:p>
    <w:p w14:paraId="71665B41">
      <w:pPr>
        <w:spacing w:before="20" w:line="360" w:lineRule="auto"/>
        <w:ind w:left="9" w:firstLine="4"/>
        <w:jc w:val="both"/>
        <w:rPr>
          <w:rFonts w:ascii="宋体" w:hAnsi="宋体" w:eastAsia="宋体" w:cs="宋体"/>
          <w:sz w:val="24"/>
          <w:szCs w:val="24"/>
        </w:rPr>
      </w:pPr>
      <w:r>
        <w:rPr>
          <w:rFonts w:ascii="宋体" w:hAnsi="宋体" w:eastAsia="宋体" w:cs="宋体"/>
          <w:spacing w:val="-4"/>
          <w:sz w:val="24"/>
          <w:szCs w:val="24"/>
        </w:rPr>
        <w:t>不改变站内布置与规划，并保持规划电气主接线不变，不</w:t>
      </w:r>
      <w:r>
        <w:rPr>
          <w:rFonts w:ascii="宋体" w:hAnsi="宋体" w:eastAsia="宋体" w:cs="宋体"/>
          <w:spacing w:val="-5"/>
          <w:sz w:val="24"/>
          <w:szCs w:val="24"/>
        </w:rPr>
        <w:t>涉及原变电站主体工程的改建、</w:t>
      </w:r>
      <w:r>
        <w:rPr>
          <w:rFonts w:ascii="宋体" w:hAnsi="宋体" w:eastAsia="宋体" w:cs="宋体"/>
          <w:spacing w:val="-6"/>
          <w:sz w:val="24"/>
          <w:szCs w:val="24"/>
        </w:rPr>
        <w:t>扩建。新增的融冰隔离开关、断路器、互感器对站内的电磁影响基本没有影</w:t>
      </w:r>
      <w:r>
        <w:rPr>
          <w:rFonts w:ascii="宋体" w:hAnsi="宋体" w:eastAsia="宋体" w:cs="宋体"/>
          <w:spacing w:val="-7"/>
          <w:sz w:val="24"/>
          <w:szCs w:val="24"/>
        </w:rPr>
        <w:t>响，</w:t>
      </w:r>
      <w:r>
        <w:rPr>
          <w:rFonts w:ascii="宋体" w:hAnsi="宋体" w:eastAsia="宋体" w:cs="宋体"/>
          <w:spacing w:val="55"/>
          <w:sz w:val="24"/>
          <w:szCs w:val="24"/>
        </w:rPr>
        <w:t xml:space="preserve"> </w:t>
      </w:r>
      <w:r>
        <w:rPr>
          <w:rFonts w:ascii="宋体" w:hAnsi="宋体" w:eastAsia="宋体" w:cs="宋体"/>
          <w:spacing w:val="-7"/>
          <w:sz w:val="24"/>
          <w:szCs w:val="24"/>
        </w:rPr>
        <w:t>故其扩</w:t>
      </w:r>
      <w:r>
        <w:rPr>
          <w:rFonts w:ascii="宋体" w:hAnsi="宋体" w:eastAsia="宋体" w:cs="宋体"/>
          <w:spacing w:val="-2"/>
          <w:sz w:val="24"/>
          <w:szCs w:val="24"/>
        </w:rPr>
        <w:t>建后对环境的影响与变电站原影响基本一致，不会增加新的影响，扩建工程完成后变电</w:t>
      </w:r>
      <w:r>
        <w:rPr>
          <w:rFonts w:ascii="宋体" w:hAnsi="宋体" w:eastAsia="宋体" w:cs="宋体"/>
          <w:spacing w:val="-3"/>
          <w:sz w:val="24"/>
          <w:szCs w:val="24"/>
        </w:rPr>
        <w:t>站区域电磁环境水平与变电站前期工程建成后的电磁环境水平相当。现状监测结果表明，</w:t>
      </w:r>
      <w:r>
        <w:rPr>
          <w:rFonts w:ascii="宋体" w:hAnsi="宋体" w:eastAsia="宋体" w:cs="宋体"/>
          <w:spacing w:val="-5"/>
          <w:sz w:val="24"/>
          <w:szCs w:val="24"/>
        </w:rPr>
        <w:t>变电站厂界区域的电磁环境水平均能够满足《电磁环境控制限值》（</w:t>
      </w:r>
      <w:r>
        <w:rPr>
          <w:rFonts w:ascii="Times New Roman" w:hAnsi="Times New Roman" w:eastAsia="Times New Roman" w:cs="Times New Roman"/>
          <w:spacing w:val="-5"/>
          <w:sz w:val="24"/>
          <w:szCs w:val="24"/>
        </w:rPr>
        <w:t>GB87</w:t>
      </w:r>
      <w:r>
        <w:rPr>
          <w:rFonts w:ascii="Times New Roman" w:hAnsi="Times New Roman" w:eastAsia="Times New Roman" w:cs="Times New Roman"/>
          <w:spacing w:val="-6"/>
          <w:sz w:val="24"/>
          <w:szCs w:val="24"/>
        </w:rPr>
        <w:t>02-2014</w:t>
      </w:r>
      <w:r>
        <w:rPr>
          <w:rFonts w:ascii="宋体" w:hAnsi="宋体" w:eastAsia="宋体" w:cs="宋体"/>
          <w:spacing w:val="-6"/>
          <w:sz w:val="24"/>
          <w:szCs w:val="24"/>
        </w:rPr>
        <w:t>）中电</w:t>
      </w:r>
      <w:r>
        <w:rPr>
          <w:rFonts w:ascii="宋体" w:hAnsi="宋体" w:eastAsia="宋体" w:cs="宋体"/>
          <w:spacing w:val="-2"/>
          <w:sz w:val="24"/>
          <w:szCs w:val="24"/>
        </w:rPr>
        <w:t>场强度≤</w:t>
      </w:r>
      <w:r>
        <w:rPr>
          <w:rFonts w:ascii="Times New Roman" w:hAnsi="Times New Roman" w:eastAsia="Times New Roman" w:cs="Times New Roman"/>
          <w:spacing w:val="-2"/>
          <w:sz w:val="24"/>
          <w:szCs w:val="24"/>
        </w:rPr>
        <w:t>4kVm</w:t>
      </w:r>
      <w:r>
        <w:rPr>
          <w:rFonts w:ascii="宋体" w:hAnsi="宋体" w:eastAsia="宋体" w:cs="宋体"/>
          <w:spacing w:val="-2"/>
          <w:sz w:val="24"/>
          <w:szCs w:val="24"/>
        </w:rPr>
        <w:t>、磁感应强度≤</w:t>
      </w:r>
      <w:r>
        <w:rPr>
          <w:rFonts w:ascii="Times New Roman" w:hAnsi="Times New Roman" w:eastAsia="Times New Roman" w:cs="Times New Roman"/>
          <w:spacing w:val="-2"/>
          <w:sz w:val="24"/>
          <w:szCs w:val="24"/>
        </w:rPr>
        <w:t>100μT</w:t>
      </w:r>
      <w:r>
        <w:rPr>
          <w:rFonts w:ascii="Times New Roman" w:hAnsi="Times New Roman" w:eastAsia="Times New Roman" w:cs="Times New Roman"/>
          <w:spacing w:val="29"/>
          <w:sz w:val="24"/>
          <w:szCs w:val="24"/>
        </w:rPr>
        <w:t xml:space="preserve"> </w:t>
      </w:r>
      <w:r>
        <w:rPr>
          <w:rFonts w:ascii="宋体" w:hAnsi="宋体" w:eastAsia="宋体" w:cs="宋体"/>
          <w:spacing w:val="-3"/>
          <w:sz w:val="24"/>
          <w:szCs w:val="24"/>
        </w:rPr>
        <w:t>的标准限值要求。</w:t>
      </w:r>
    </w:p>
    <w:p w14:paraId="1C0A7DF7">
      <w:pPr>
        <w:spacing w:line="358" w:lineRule="auto"/>
        <w:ind w:left="10" w:right="184" w:firstLine="498"/>
        <w:jc w:val="both"/>
        <w:rPr>
          <w:rFonts w:ascii="宋体" w:hAnsi="宋体" w:eastAsia="宋体" w:cs="宋体"/>
          <w:sz w:val="24"/>
          <w:szCs w:val="24"/>
        </w:rPr>
      </w:pPr>
      <w:r>
        <w:rPr>
          <w:rFonts w:ascii="宋体" w:hAnsi="宋体" w:eastAsia="宋体" w:cs="宋体"/>
          <w:spacing w:val="-9"/>
          <w:sz w:val="24"/>
          <w:szCs w:val="24"/>
        </w:rPr>
        <w:t>因此可以预测，本期间隔扩建完成后，变电站区域电磁环境影响水平均能够满足《电</w:t>
      </w:r>
      <w:r>
        <w:rPr>
          <w:rFonts w:ascii="宋体" w:hAnsi="宋体" w:eastAsia="宋体" w:cs="宋体"/>
          <w:spacing w:val="-3"/>
          <w:sz w:val="24"/>
          <w:szCs w:val="24"/>
        </w:rPr>
        <w:t>磁环境控制限值》（</w:t>
      </w:r>
      <w:r>
        <w:rPr>
          <w:rFonts w:ascii="Times New Roman" w:hAnsi="Times New Roman" w:eastAsia="Times New Roman" w:cs="Times New Roman"/>
          <w:spacing w:val="-3"/>
          <w:sz w:val="24"/>
          <w:szCs w:val="24"/>
        </w:rPr>
        <w:t>GB8702-2014</w:t>
      </w:r>
      <w:r>
        <w:rPr>
          <w:rFonts w:ascii="宋体" w:hAnsi="宋体" w:eastAsia="宋体" w:cs="宋体"/>
          <w:spacing w:val="-3"/>
          <w:sz w:val="24"/>
          <w:szCs w:val="24"/>
        </w:rPr>
        <w:t>）中电场强度≤</w:t>
      </w:r>
      <w:r>
        <w:rPr>
          <w:rFonts w:ascii="Times New Roman" w:hAnsi="Times New Roman" w:eastAsia="Times New Roman" w:cs="Times New Roman"/>
          <w:spacing w:val="-3"/>
          <w:sz w:val="24"/>
          <w:szCs w:val="24"/>
        </w:rPr>
        <w:t>4kVm</w:t>
      </w:r>
      <w:r>
        <w:rPr>
          <w:rFonts w:ascii="宋体" w:hAnsi="宋体" w:eastAsia="宋体" w:cs="宋体"/>
          <w:spacing w:val="-3"/>
          <w:sz w:val="24"/>
          <w:szCs w:val="24"/>
        </w:rPr>
        <w:t>、磁感应强度≤</w:t>
      </w:r>
      <w:r>
        <w:rPr>
          <w:rFonts w:ascii="Times New Roman" w:hAnsi="Times New Roman" w:eastAsia="Times New Roman" w:cs="Times New Roman"/>
          <w:spacing w:val="-3"/>
          <w:sz w:val="24"/>
          <w:szCs w:val="24"/>
        </w:rPr>
        <w:t xml:space="preserve">100μT  </w:t>
      </w:r>
      <w:r>
        <w:rPr>
          <w:rFonts w:ascii="宋体" w:hAnsi="宋体" w:eastAsia="宋体" w:cs="宋体"/>
          <w:spacing w:val="-3"/>
          <w:sz w:val="24"/>
          <w:szCs w:val="24"/>
        </w:rPr>
        <w:t>的限值要</w:t>
      </w:r>
      <w:r>
        <w:rPr>
          <w:rFonts w:ascii="宋体" w:hAnsi="宋体" w:eastAsia="宋体" w:cs="宋体"/>
          <w:spacing w:val="-12"/>
          <w:sz w:val="24"/>
          <w:szCs w:val="24"/>
        </w:rPr>
        <w:t>求。</w:t>
      </w:r>
    </w:p>
    <w:p w14:paraId="262356CD">
      <w:pPr>
        <w:spacing w:before="65" w:line="232" w:lineRule="auto"/>
        <w:ind w:left="7"/>
        <w:rPr>
          <w:rFonts w:ascii="宋体" w:hAnsi="宋体" w:eastAsia="宋体" w:cs="宋体"/>
          <w:sz w:val="28"/>
          <w:szCs w:val="28"/>
        </w:rPr>
      </w:pPr>
      <w:bookmarkStart w:id="25" w:name="bookmark32"/>
      <w:bookmarkEnd w:id="25"/>
      <w:r>
        <w:rPr>
          <w:rFonts w:ascii="Times New Roman" w:hAnsi="Times New Roman" w:eastAsia="Times New Roman" w:cs="Times New Roman"/>
          <w:b/>
          <w:bCs/>
          <w:spacing w:val="-2"/>
          <w:sz w:val="28"/>
          <w:szCs w:val="28"/>
        </w:rPr>
        <w:t xml:space="preserve">4.3 </w:t>
      </w:r>
      <w:r>
        <w:rPr>
          <w:rFonts w:ascii="宋体" w:hAnsi="宋体" w:eastAsia="宋体" w:cs="宋体"/>
          <w:b/>
          <w:bCs/>
          <w:spacing w:val="-2"/>
          <w:sz w:val="28"/>
          <w:szCs w:val="28"/>
        </w:rPr>
        <w:t>环境敏感点电磁环境预测与评价</w:t>
      </w:r>
    </w:p>
    <w:p w14:paraId="71E2D4F3">
      <w:pPr>
        <w:spacing w:before="215" w:line="362" w:lineRule="auto"/>
        <w:ind w:left="21" w:right="186" w:firstLine="497"/>
        <w:rPr>
          <w:rFonts w:ascii="宋体" w:hAnsi="宋体" w:eastAsia="宋体" w:cs="宋体"/>
          <w:sz w:val="24"/>
          <w:szCs w:val="24"/>
        </w:rPr>
      </w:pPr>
      <w:r>
        <w:rPr>
          <w:rFonts w:ascii="宋体" w:hAnsi="宋体" w:eastAsia="宋体" w:cs="宋体"/>
          <w:spacing w:val="-7"/>
          <w:sz w:val="24"/>
          <w:szCs w:val="24"/>
        </w:rPr>
        <w:t>由于工频电场强度、工频磁感应强度均为矢量，</w:t>
      </w:r>
      <w:r>
        <w:rPr>
          <w:rFonts w:ascii="宋体" w:hAnsi="宋体" w:eastAsia="宋体" w:cs="宋体"/>
          <w:spacing w:val="52"/>
          <w:sz w:val="24"/>
          <w:szCs w:val="24"/>
        </w:rPr>
        <w:t xml:space="preserve"> </w:t>
      </w:r>
      <w:r>
        <w:rPr>
          <w:rFonts w:ascii="宋体" w:hAnsi="宋体" w:eastAsia="宋体" w:cs="宋体"/>
          <w:spacing w:val="-7"/>
          <w:sz w:val="24"/>
          <w:szCs w:val="24"/>
        </w:rPr>
        <w:t>在空间中，有合</w:t>
      </w:r>
      <w:r>
        <w:rPr>
          <w:rFonts w:ascii="宋体" w:hAnsi="宋体" w:eastAsia="宋体" w:cs="宋体"/>
          <w:spacing w:val="-8"/>
          <w:sz w:val="24"/>
          <w:szCs w:val="24"/>
        </w:rPr>
        <w:t>成、叠加、分解等</w:t>
      </w:r>
      <w:r>
        <w:rPr>
          <w:rFonts w:ascii="宋体" w:hAnsi="宋体" w:eastAsia="宋体" w:cs="宋体"/>
          <w:spacing w:val="-2"/>
          <w:sz w:val="24"/>
          <w:szCs w:val="24"/>
        </w:rPr>
        <w:t>多种情况，遵循平行四边形定则，而在现实情况中往往更加复杂，输电线路电磁场强度</w:t>
      </w:r>
    </w:p>
    <w:p w14:paraId="2989CDB3">
      <w:pPr>
        <w:spacing w:line="362" w:lineRule="auto"/>
        <w:rPr>
          <w:rFonts w:ascii="宋体" w:hAnsi="宋体" w:eastAsia="宋体" w:cs="宋体"/>
          <w:sz w:val="24"/>
          <w:szCs w:val="24"/>
        </w:rPr>
        <w:sectPr>
          <w:footerReference r:id="rId131" w:type="default"/>
          <w:pgSz w:w="11907" w:h="16841"/>
          <w:pgMar w:top="400" w:right="1229" w:bottom="1126" w:left="1418" w:header="0" w:footer="925" w:gutter="0"/>
          <w:cols w:space="720" w:num="1"/>
        </w:sectPr>
      </w:pPr>
    </w:p>
    <w:p w14:paraId="50259029">
      <w:pPr>
        <w:spacing w:line="249" w:lineRule="auto"/>
        <w:rPr>
          <w:rFonts w:ascii="Arial"/>
          <w:sz w:val="21"/>
        </w:rPr>
      </w:pPr>
    </w:p>
    <w:p w14:paraId="533BBF9C">
      <w:pPr>
        <w:spacing w:line="249" w:lineRule="auto"/>
        <w:rPr>
          <w:rFonts w:ascii="Arial"/>
          <w:sz w:val="21"/>
        </w:rPr>
      </w:pPr>
    </w:p>
    <w:p w14:paraId="54EB8EB1">
      <w:pPr>
        <w:spacing w:line="249" w:lineRule="auto"/>
        <w:rPr>
          <w:rFonts w:ascii="Arial"/>
          <w:sz w:val="21"/>
        </w:rPr>
      </w:pPr>
    </w:p>
    <w:p w14:paraId="61D6D82F">
      <w:pPr>
        <w:spacing w:line="249" w:lineRule="auto"/>
        <w:rPr>
          <w:rFonts w:ascii="Arial"/>
          <w:sz w:val="21"/>
        </w:rPr>
      </w:pPr>
    </w:p>
    <w:p w14:paraId="5895533A">
      <w:pPr>
        <w:spacing w:line="249" w:lineRule="auto"/>
        <w:rPr>
          <w:rFonts w:ascii="Arial"/>
          <w:sz w:val="21"/>
        </w:rPr>
      </w:pPr>
    </w:p>
    <w:p w14:paraId="39FB3999">
      <w:pPr>
        <w:spacing w:before="78" w:line="360" w:lineRule="auto"/>
        <w:ind w:left="8" w:right="1" w:firstLine="3"/>
        <w:rPr>
          <w:rFonts w:ascii="宋体" w:hAnsi="宋体" w:eastAsia="宋体" w:cs="宋体"/>
          <w:sz w:val="24"/>
          <w:szCs w:val="24"/>
        </w:rPr>
      </w:pPr>
      <w:r>
        <w:rPr>
          <w:rFonts w:ascii="宋体" w:hAnsi="宋体" w:eastAsia="宋体" w:cs="宋体"/>
          <w:spacing w:val="-2"/>
          <w:sz w:val="24"/>
          <w:szCs w:val="24"/>
        </w:rPr>
        <w:t>最大值一般出现在边导线下方，向两侧呈下降趋势，故本次选用每处敏感点距拟建线路</w:t>
      </w:r>
      <w:r>
        <w:rPr>
          <w:rFonts w:ascii="宋体" w:hAnsi="宋体" w:eastAsia="宋体" w:cs="宋体"/>
          <w:spacing w:val="-3"/>
          <w:sz w:val="24"/>
          <w:szCs w:val="24"/>
        </w:rPr>
        <w:t>边导线最近的一处保护目标进行预测。</w:t>
      </w:r>
    </w:p>
    <w:p w14:paraId="3B219003">
      <w:pPr>
        <w:spacing w:before="2" w:line="343" w:lineRule="auto"/>
        <w:ind w:left="14" w:right="1" w:firstLine="476"/>
        <w:jc w:val="both"/>
        <w:rPr>
          <w:rFonts w:ascii="宋体" w:hAnsi="宋体" w:eastAsia="宋体" w:cs="宋体"/>
          <w:sz w:val="24"/>
          <w:szCs w:val="24"/>
        </w:rPr>
      </w:pPr>
      <w:r>
        <w:rPr>
          <w:rFonts w:ascii="宋体" w:hAnsi="宋体" w:eastAsia="宋体" w:cs="宋体"/>
          <w:spacing w:val="-2"/>
          <w:sz w:val="24"/>
          <w:szCs w:val="24"/>
        </w:rPr>
        <w:t>本项目经过居民点时采用了单回三角排列，双回垂直（单边挂线）排列，电磁保护</w:t>
      </w:r>
      <w:r>
        <w:rPr>
          <w:rFonts w:ascii="宋体" w:hAnsi="宋体" w:eastAsia="宋体" w:cs="宋体"/>
          <w:spacing w:val="-3"/>
          <w:sz w:val="24"/>
          <w:szCs w:val="24"/>
        </w:rPr>
        <w:t>目标距线路边导线的水平距离在</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 xml:space="preserve">3~7m </w:t>
      </w:r>
      <w:r>
        <w:rPr>
          <w:rFonts w:ascii="宋体" w:hAnsi="宋体" w:eastAsia="宋体" w:cs="宋体"/>
          <w:spacing w:val="-3"/>
          <w:sz w:val="24"/>
          <w:szCs w:val="24"/>
        </w:rPr>
        <w:t>之间，建筑</w:t>
      </w:r>
      <w:r>
        <w:rPr>
          <w:rFonts w:ascii="宋体" w:hAnsi="宋体" w:eastAsia="宋体" w:cs="宋体"/>
          <w:spacing w:val="-4"/>
          <w:sz w:val="24"/>
          <w:szCs w:val="24"/>
        </w:rPr>
        <w:t>楼层为</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 xml:space="preserve">1~2 </w:t>
      </w:r>
      <w:r>
        <w:rPr>
          <w:rFonts w:ascii="宋体" w:hAnsi="宋体" w:eastAsia="宋体" w:cs="宋体"/>
          <w:spacing w:val="-4"/>
          <w:sz w:val="24"/>
          <w:szCs w:val="24"/>
        </w:rPr>
        <w:t>层，高度</w:t>
      </w:r>
      <w:r>
        <w:rPr>
          <w:rFonts w:ascii="宋体" w:hAnsi="宋体" w:eastAsia="宋体" w:cs="宋体"/>
          <w:spacing w:val="-50"/>
          <w:sz w:val="24"/>
          <w:szCs w:val="24"/>
        </w:rPr>
        <w:t xml:space="preserve"> </w:t>
      </w:r>
      <w:r>
        <w:rPr>
          <w:rFonts w:ascii="Times New Roman" w:hAnsi="Times New Roman" w:eastAsia="Times New Roman" w:cs="Times New Roman"/>
          <w:spacing w:val="-4"/>
          <w:sz w:val="24"/>
          <w:szCs w:val="24"/>
        </w:rPr>
        <w:t>3.5~7m</w:t>
      </w:r>
      <w:r>
        <w:rPr>
          <w:rFonts w:ascii="宋体" w:hAnsi="宋体" w:eastAsia="宋体" w:cs="宋体"/>
          <w:spacing w:val="-4"/>
          <w:sz w:val="24"/>
          <w:szCs w:val="24"/>
        </w:rPr>
        <w:t>，预测结</w:t>
      </w:r>
      <w:r>
        <w:rPr>
          <w:rFonts w:ascii="宋体" w:hAnsi="宋体" w:eastAsia="宋体" w:cs="宋体"/>
          <w:spacing w:val="-10"/>
          <w:sz w:val="24"/>
          <w:szCs w:val="24"/>
        </w:rPr>
        <w:t>果如下。</w:t>
      </w:r>
    </w:p>
    <w:p w14:paraId="2F20FF50">
      <w:pPr>
        <w:spacing w:line="229" w:lineRule="auto"/>
        <w:ind w:left="1903"/>
        <w:rPr>
          <w:rFonts w:ascii="宋体" w:hAnsi="宋体" w:eastAsia="宋体" w:cs="宋体"/>
          <w:sz w:val="21"/>
          <w:szCs w:val="21"/>
        </w:rPr>
      </w:pPr>
      <w:r>
        <w:rPr>
          <w:rFonts w:ascii="宋体" w:hAnsi="宋体" w:eastAsia="宋体" w:cs="宋体"/>
          <w:b/>
          <w:bCs/>
          <w:spacing w:val="-3"/>
          <w:sz w:val="21"/>
          <w:szCs w:val="21"/>
        </w:rPr>
        <w:t>表</w:t>
      </w:r>
      <w:r>
        <w:rPr>
          <w:rFonts w:ascii="宋体" w:hAnsi="宋体" w:eastAsia="宋体" w:cs="宋体"/>
          <w:spacing w:val="-27"/>
          <w:sz w:val="21"/>
          <w:szCs w:val="21"/>
        </w:rPr>
        <w:t xml:space="preserve"> </w:t>
      </w:r>
      <w:r>
        <w:rPr>
          <w:rFonts w:ascii="Times New Roman" w:hAnsi="Times New Roman" w:eastAsia="Times New Roman" w:cs="Times New Roman"/>
          <w:b/>
          <w:bCs/>
          <w:spacing w:val="-3"/>
          <w:sz w:val="21"/>
          <w:szCs w:val="21"/>
        </w:rPr>
        <w:t>4-10    C</w:t>
      </w:r>
      <w:r>
        <w:rPr>
          <w:rFonts w:ascii="Times New Roman" w:hAnsi="Times New Roman" w:eastAsia="Times New Roman" w:cs="Times New Roman"/>
          <w:b/>
          <w:bCs/>
          <w:spacing w:val="28"/>
          <w:sz w:val="21"/>
          <w:szCs w:val="21"/>
        </w:rPr>
        <w:t xml:space="preserve"> </w:t>
      </w:r>
      <w:r>
        <w:rPr>
          <w:rFonts w:ascii="宋体" w:hAnsi="宋体" w:eastAsia="宋体" w:cs="宋体"/>
          <w:b/>
          <w:bCs/>
          <w:spacing w:val="-3"/>
          <w:sz w:val="21"/>
          <w:szCs w:val="21"/>
        </w:rPr>
        <w:t>回线路单回三角排列经过居民区电磁预测结果</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5"/>
        <w:gridCol w:w="996"/>
        <w:gridCol w:w="1410"/>
        <w:gridCol w:w="1135"/>
        <w:gridCol w:w="1135"/>
        <w:gridCol w:w="1135"/>
        <w:gridCol w:w="1132"/>
        <w:gridCol w:w="1130"/>
      </w:tblGrid>
      <w:tr w14:paraId="669D05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95" w:type="dxa"/>
            <w:vMerge w:val="restart"/>
            <w:tcBorders>
              <w:bottom w:val="nil"/>
            </w:tcBorders>
            <w:vAlign w:val="top"/>
          </w:tcPr>
          <w:p w14:paraId="6A1ED33A">
            <w:pPr>
              <w:pStyle w:val="6"/>
              <w:spacing w:before="63" w:line="251" w:lineRule="auto"/>
              <w:ind w:left="131" w:right="73" w:hanging="52"/>
              <w:rPr>
                <w:rFonts w:ascii="Times New Roman" w:hAnsi="Times New Roman" w:eastAsia="Times New Roman" w:cs="Times New Roman"/>
              </w:rPr>
            </w:pPr>
            <w:r>
              <w:rPr>
                <w:b/>
                <w:bCs/>
                <w:spacing w:val="-3"/>
              </w:rPr>
              <w:t>距中心线</w:t>
            </w:r>
            <w:r>
              <w:rPr>
                <w:b/>
                <w:bCs/>
                <w:spacing w:val="-2"/>
              </w:rPr>
              <w:t>距离</w:t>
            </w:r>
            <w:r>
              <w:rPr>
                <w:rFonts w:ascii="Times New Roman" w:hAnsi="Times New Roman" w:eastAsia="Times New Roman" w:cs="Times New Roman"/>
                <w:b/>
                <w:bCs/>
                <w:spacing w:val="-2"/>
              </w:rPr>
              <w:t>(m)</w:t>
            </w:r>
          </w:p>
        </w:tc>
        <w:tc>
          <w:tcPr>
            <w:tcW w:w="996" w:type="dxa"/>
            <w:vMerge w:val="restart"/>
            <w:tcBorders>
              <w:bottom w:val="nil"/>
            </w:tcBorders>
            <w:vAlign w:val="top"/>
          </w:tcPr>
          <w:p w14:paraId="16298675">
            <w:pPr>
              <w:pStyle w:val="6"/>
              <w:spacing w:before="63" w:line="251" w:lineRule="auto"/>
              <w:ind w:left="129" w:right="75" w:hanging="52"/>
              <w:rPr>
                <w:rFonts w:ascii="Times New Roman" w:hAnsi="Times New Roman" w:eastAsia="Times New Roman" w:cs="Times New Roman"/>
              </w:rPr>
            </w:pPr>
            <w:r>
              <w:rPr>
                <w:b/>
                <w:bCs/>
                <w:spacing w:val="-3"/>
              </w:rPr>
              <w:t>距边导线</w:t>
            </w:r>
            <w:r>
              <w:rPr>
                <w:b/>
                <w:bCs/>
                <w:spacing w:val="-2"/>
              </w:rPr>
              <w:t>距离</w:t>
            </w:r>
            <w:r>
              <w:rPr>
                <w:rFonts w:ascii="Times New Roman" w:hAnsi="Times New Roman" w:eastAsia="Times New Roman" w:cs="Times New Roman"/>
                <w:b/>
                <w:bCs/>
                <w:spacing w:val="-2"/>
              </w:rPr>
              <w:t>(m)</w:t>
            </w:r>
          </w:p>
        </w:tc>
        <w:tc>
          <w:tcPr>
            <w:tcW w:w="3680" w:type="dxa"/>
            <w:gridSpan w:val="3"/>
            <w:vAlign w:val="top"/>
          </w:tcPr>
          <w:p w14:paraId="14458D28">
            <w:pPr>
              <w:pStyle w:val="6"/>
              <w:spacing w:before="56" w:line="221" w:lineRule="auto"/>
              <w:ind w:left="964"/>
            </w:pPr>
            <w:r>
              <w:rPr>
                <w:b/>
                <w:bCs/>
                <w:spacing w:val="-2"/>
              </w:rPr>
              <w:t>工频电场（</w:t>
            </w:r>
            <w:r>
              <w:rPr>
                <w:rFonts w:ascii="Times New Roman" w:hAnsi="Times New Roman" w:eastAsia="Times New Roman" w:cs="Times New Roman"/>
                <w:b/>
                <w:bCs/>
                <w:spacing w:val="-2"/>
              </w:rPr>
              <w:t>kV/m</w:t>
            </w:r>
            <w:r>
              <w:rPr>
                <w:b/>
                <w:bCs/>
                <w:spacing w:val="-2"/>
              </w:rPr>
              <w:t>）</w:t>
            </w:r>
          </w:p>
        </w:tc>
        <w:tc>
          <w:tcPr>
            <w:tcW w:w="3397" w:type="dxa"/>
            <w:gridSpan w:val="3"/>
            <w:vAlign w:val="top"/>
          </w:tcPr>
          <w:p w14:paraId="0C843A2A">
            <w:pPr>
              <w:pStyle w:val="6"/>
              <w:spacing w:before="56" w:line="213" w:lineRule="auto"/>
              <w:ind w:left="941"/>
            </w:pPr>
            <w:r>
              <w:rPr>
                <w:b/>
                <w:bCs/>
                <w:spacing w:val="10"/>
              </w:rPr>
              <w:t>工频磁场(</w:t>
            </w:r>
            <w:r>
              <w:rPr>
                <w:rFonts w:ascii="Times New Roman" w:hAnsi="Times New Roman" w:eastAsia="Times New Roman" w:cs="Times New Roman"/>
                <w:b/>
                <w:bCs/>
                <w:spacing w:val="10"/>
              </w:rPr>
              <w:t>µT</w:t>
            </w:r>
            <w:r>
              <w:rPr>
                <w:b/>
                <w:bCs/>
                <w:spacing w:val="10"/>
              </w:rPr>
              <w:t>）</w:t>
            </w:r>
          </w:p>
        </w:tc>
      </w:tr>
      <w:tr w14:paraId="5A90C1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95" w:type="dxa"/>
            <w:vMerge w:val="continue"/>
            <w:tcBorders>
              <w:top w:val="nil"/>
            </w:tcBorders>
            <w:vAlign w:val="top"/>
          </w:tcPr>
          <w:p w14:paraId="32E3E8A4">
            <w:pPr>
              <w:rPr>
                <w:rFonts w:ascii="Arial"/>
                <w:sz w:val="21"/>
              </w:rPr>
            </w:pPr>
          </w:p>
        </w:tc>
        <w:tc>
          <w:tcPr>
            <w:tcW w:w="996" w:type="dxa"/>
            <w:vMerge w:val="continue"/>
            <w:tcBorders>
              <w:top w:val="nil"/>
            </w:tcBorders>
            <w:vAlign w:val="top"/>
          </w:tcPr>
          <w:p w14:paraId="1BF5294A">
            <w:pPr>
              <w:rPr>
                <w:rFonts w:ascii="Arial"/>
                <w:sz w:val="21"/>
              </w:rPr>
            </w:pPr>
          </w:p>
        </w:tc>
        <w:tc>
          <w:tcPr>
            <w:tcW w:w="1410" w:type="dxa"/>
            <w:vAlign w:val="top"/>
          </w:tcPr>
          <w:p w14:paraId="6ED84409">
            <w:pPr>
              <w:pStyle w:val="6"/>
              <w:spacing w:before="54" w:line="224" w:lineRule="auto"/>
              <w:ind w:left="251"/>
              <w:rPr>
                <w:rFonts w:ascii="Times New Roman" w:hAnsi="Times New Roman" w:eastAsia="Times New Roman" w:cs="Times New Roman"/>
              </w:rPr>
            </w:pPr>
            <w:r>
              <w:rPr>
                <w:b/>
                <w:bCs/>
                <w:spacing w:val="-4"/>
              </w:rPr>
              <w:t>地上</w:t>
            </w:r>
            <w:r>
              <w:rPr>
                <w:spacing w:val="-37"/>
              </w:rPr>
              <w:t xml:space="preserve"> </w:t>
            </w:r>
            <w:r>
              <w:rPr>
                <w:rFonts w:ascii="Times New Roman" w:hAnsi="Times New Roman" w:eastAsia="Times New Roman" w:cs="Times New Roman"/>
                <w:b/>
                <w:bCs/>
                <w:spacing w:val="-4"/>
              </w:rPr>
              <w:t>1.5m</w:t>
            </w:r>
          </w:p>
        </w:tc>
        <w:tc>
          <w:tcPr>
            <w:tcW w:w="1135" w:type="dxa"/>
            <w:vAlign w:val="top"/>
          </w:tcPr>
          <w:p w14:paraId="19F6247F">
            <w:pPr>
              <w:pStyle w:val="6"/>
              <w:spacing w:before="54" w:line="224" w:lineRule="auto"/>
              <w:ind w:left="113"/>
              <w:rPr>
                <w:rFonts w:ascii="Times New Roman" w:hAnsi="Times New Roman" w:eastAsia="Times New Roman" w:cs="Times New Roman"/>
              </w:rPr>
            </w:pPr>
            <w:r>
              <w:rPr>
                <w:b/>
                <w:bCs/>
                <w:spacing w:val="-3"/>
              </w:rPr>
              <w:t>地上</w:t>
            </w:r>
            <w:r>
              <w:rPr>
                <w:spacing w:val="-43"/>
              </w:rPr>
              <w:t xml:space="preserve"> </w:t>
            </w:r>
            <w:r>
              <w:rPr>
                <w:rFonts w:ascii="Times New Roman" w:hAnsi="Times New Roman" w:eastAsia="Times New Roman" w:cs="Times New Roman"/>
                <w:b/>
                <w:bCs/>
                <w:spacing w:val="-3"/>
              </w:rPr>
              <w:t>4.5m</w:t>
            </w:r>
          </w:p>
        </w:tc>
        <w:tc>
          <w:tcPr>
            <w:tcW w:w="1135" w:type="dxa"/>
            <w:vAlign w:val="top"/>
          </w:tcPr>
          <w:p w14:paraId="566236B7">
            <w:pPr>
              <w:pStyle w:val="6"/>
              <w:spacing w:before="54" w:line="224" w:lineRule="auto"/>
              <w:ind w:left="116"/>
              <w:rPr>
                <w:rFonts w:ascii="Times New Roman" w:hAnsi="Times New Roman" w:eastAsia="Times New Roman" w:cs="Times New Roman"/>
              </w:rPr>
            </w:pPr>
            <w:r>
              <w:rPr>
                <w:b/>
                <w:bCs/>
                <w:spacing w:val="-3"/>
              </w:rPr>
              <w:t>地上</w:t>
            </w:r>
            <w:r>
              <w:rPr>
                <w:spacing w:val="-43"/>
              </w:rPr>
              <w:t xml:space="preserve"> </w:t>
            </w:r>
            <w:r>
              <w:rPr>
                <w:rFonts w:ascii="Times New Roman" w:hAnsi="Times New Roman" w:eastAsia="Times New Roman" w:cs="Times New Roman"/>
                <w:b/>
                <w:bCs/>
                <w:spacing w:val="-3"/>
              </w:rPr>
              <w:t>7.5m</w:t>
            </w:r>
          </w:p>
        </w:tc>
        <w:tc>
          <w:tcPr>
            <w:tcW w:w="1135" w:type="dxa"/>
            <w:vAlign w:val="top"/>
          </w:tcPr>
          <w:p w14:paraId="2BD46219">
            <w:pPr>
              <w:pStyle w:val="6"/>
              <w:spacing w:before="54" w:line="224" w:lineRule="auto"/>
              <w:ind w:left="117"/>
              <w:rPr>
                <w:rFonts w:ascii="Times New Roman" w:hAnsi="Times New Roman" w:eastAsia="Times New Roman" w:cs="Times New Roman"/>
              </w:rPr>
            </w:pPr>
            <w:r>
              <w:rPr>
                <w:b/>
                <w:bCs/>
                <w:spacing w:val="-4"/>
              </w:rPr>
              <w:t>地上</w:t>
            </w:r>
            <w:r>
              <w:rPr>
                <w:spacing w:val="-37"/>
              </w:rPr>
              <w:t xml:space="preserve"> </w:t>
            </w:r>
            <w:r>
              <w:rPr>
                <w:rFonts w:ascii="Times New Roman" w:hAnsi="Times New Roman" w:eastAsia="Times New Roman" w:cs="Times New Roman"/>
                <w:b/>
                <w:bCs/>
                <w:spacing w:val="-4"/>
              </w:rPr>
              <w:t>1.5m</w:t>
            </w:r>
          </w:p>
        </w:tc>
        <w:tc>
          <w:tcPr>
            <w:tcW w:w="1132" w:type="dxa"/>
            <w:vAlign w:val="top"/>
          </w:tcPr>
          <w:p w14:paraId="65C85931">
            <w:pPr>
              <w:pStyle w:val="6"/>
              <w:spacing w:before="54" w:line="224" w:lineRule="auto"/>
              <w:ind w:left="117"/>
              <w:rPr>
                <w:rFonts w:ascii="Times New Roman" w:hAnsi="Times New Roman" w:eastAsia="Times New Roman" w:cs="Times New Roman"/>
              </w:rPr>
            </w:pPr>
            <w:r>
              <w:rPr>
                <w:b/>
                <w:bCs/>
                <w:spacing w:val="-3"/>
              </w:rPr>
              <w:t>地上</w:t>
            </w:r>
            <w:r>
              <w:rPr>
                <w:spacing w:val="-43"/>
              </w:rPr>
              <w:t xml:space="preserve"> </w:t>
            </w:r>
            <w:r>
              <w:rPr>
                <w:rFonts w:ascii="Times New Roman" w:hAnsi="Times New Roman" w:eastAsia="Times New Roman" w:cs="Times New Roman"/>
                <w:b/>
                <w:bCs/>
                <w:spacing w:val="-3"/>
              </w:rPr>
              <w:t>4.5m</w:t>
            </w:r>
          </w:p>
        </w:tc>
        <w:tc>
          <w:tcPr>
            <w:tcW w:w="1130" w:type="dxa"/>
            <w:vAlign w:val="top"/>
          </w:tcPr>
          <w:p w14:paraId="2484DDCF">
            <w:pPr>
              <w:pStyle w:val="6"/>
              <w:spacing w:before="54" w:line="224" w:lineRule="auto"/>
              <w:ind w:left="113"/>
              <w:rPr>
                <w:rFonts w:ascii="Times New Roman" w:hAnsi="Times New Roman" w:eastAsia="Times New Roman" w:cs="Times New Roman"/>
              </w:rPr>
            </w:pPr>
            <w:r>
              <w:rPr>
                <w:b/>
                <w:bCs/>
                <w:spacing w:val="-3"/>
              </w:rPr>
              <w:t>地上</w:t>
            </w:r>
            <w:r>
              <w:rPr>
                <w:spacing w:val="-43"/>
              </w:rPr>
              <w:t xml:space="preserve"> </w:t>
            </w:r>
            <w:r>
              <w:rPr>
                <w:rFonts w:ascii="Times New Roman" w:hAnsi="Times New Roman" w:eastAsia="Times New Roman" w:cs="Times New Roman"/>
                <w:b/>
                <w:bCs/>
                <w:spacing w:val="-3"/>
              </w:rPr>
              <w:t>7.5m</w:t>
            </w:r>
          </w:p>
        </w:tc>
      </w:tr>
      <w:tr w14:paraId="097E2E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069E4C42">
            <w:pPr>
              <w:spacing w:before="86" w:line="218"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-44</w:t>
            </w:r>
          </w:p>
        </w:tc>
        <w:tc>
          <w:tcPr>
            <w:tcW w:w="996" w:type="dxa"/>
            <w:vAlign w:val="top"/>
          </w:tcPr>
          <w:p w14:paraId="675CB632">
            <w:pPr>
              <w:spacing w:before="86" w:line="218"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-37</w:t>
            </w:r>
          </w:p>
        </w:tc>
        <w:tc>
          <w:tcPr>
            <w:tcW w:w="1410" w:type="dxa"/>
            <w:vAlign w:val="top"/>
          </w:tcPr>
          <w:p w14:paraId="7B434AEB">
            <w:pPr>
              <w:spacing w:before="86" w:line="218"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0.128</w:t>
            </w:r>
          </w:p>
        </w:tc>
        <w:tc>
          <w:tcPr>
            <w:tcW w:w="1135" w:type="dxa"/>
            <w:vAlign w:val="top"/>
          </w:tcPr>
          <w:p w14:paraId="618152E0">
            <w:pPr>
              <w:spacing w:before="86" w:line="218"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0.126</w:t>
            </w:r>
          </w:p>
        </w:tc>
        <w:tc>
          <w:tcPr>
            <w:tcW w:w="1135" w:type="dxa"/>
            <w:vAlign w:val="top"/>
          </w:tcPr>
          <w:p w14:paraId="39F0841A">
            <w:pPr>
              <w:spacing w:before="86" w:line="218"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0.124</w:t>
            </w:r>
          </w:p>
        </w:tc>
        <w:tc>
          <w:tcPr>
            <w:tcW w:w="1135" w:type="dxa"/>
            <w:vAlign w:val="top"/>
          </w:tcPr>
          <w:p w14:paraId="0A5CD662">
            <w:pPr>
              <w:spacing w:before="86" w:line="218"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3.109</w:t>
            </w:r>
          </w:p>
        </w:tc>
        <w:tc>
          <w:tcPr>
            <w:tcW w:w="1132" w:type="dxa"/>
            <w:vAlign w:val="top"/>
          </w:tcPr>
          <w:p w14:paraId="5DD1EF0A">
            <w:pPr>
              <w:spacing w:before="86" w:line="218"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3.185</w:t>
            </w:r>
          </w:p>
        </w:tc>
        <w:tc>
          <w:tcPr>
            <w:tcW w:w="1130" w:type="dxa"/>
            <w:vAlign w:val="top"/>
          </w:tcPr>
          <w:p w14:paraId="5A584CA1">
            <w:pPr>
              <w:spacing w:before="86" w:line="218"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3.234</w:t>
            </w:r>
          </w:p>
        </w:tc>
      </w:tr>
      <w:tr w14:paraId="1673E0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5" w:type="dxa"/>
            <w:vAlign w:val="top"/>
          </w:tcPr>
          <w:p w14:paraId="5E735666">
            <w:pPr>
              <w:spacing w:before="87" w:line="218"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-43</w:t>
            </w:r>
          </w:p>
        </w:tc>
        <w:tc>
          <w:tcPr>
            <w:tcW w:w="996" w:type="dxa"/>
            <w:vAlign w:val="top"/>
          </w:tcPr>
          <w:p w14:paraId="29F86811">
            <w:pPr>
              <w:spacing w:before="87" w:line="218"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-36</w:t>
            </w:r>
          </w:p>
        </w:tc>
        <w:tc>
          <w:tcPr>
            <w:tcW w:w="1410" w:type="dxa"/>
            <w:vAlign w:val="top"/>
          </w:tcPr>
          <w:p w14:paraId="5662440B">
            <w:pPr>
              <w:spacing w:before="87" w:line="218"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0.136</w:t>
            </w:r>
          </w:p>
        </w:tc>
        <w:tc>
          <w:tcPr>
            <w:tcW w:w="1135" w:type="dxa"/>
            <w:vAlign w:val="top"/>
          </w:tcPr>
          <w:p w14:paraId="4EB78E4C">
            <w:pPr>
              <w:spacing w:before="87" w:line="218"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0.135</w:t>
            </w:r>
          </w:p>
        </w:tc>
        <w:tc>
          <w:tcPr>
            <w:tcW w:w="1135" w:type="dxa"/>
            <w:vAlign w:val="top"/>
          </w:tcPr>
          <w:p w14:paraId="63ECC763">
            <w:pPr>
              <w:spacing w:before="87" w:line="218"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0.132</w:t>
            </w:r>
          </w:p>
        </w:tc>
        <w:tc>
          <w:tcPr>
            <w:tcW w:w="1135" w:type="dxa"/>
            <w:vAlign w:val="top"/>
          </w:tcPr>
          <w:p w14:paraId="10BD8693">
            <w:pPr>
              <w:spacing w:before="87" w:line="218"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3.253</w:t>
            </w:r>
          </w:p>
        </w:tc>
        <w:tc>
          <w:tcPr>
            <w:tcW w:w="1132" w:type="dxa"/>
            <w:vAlign w:val="top"/>
          </w:tcPr>
          <w:p w14:paraId="72086394">
            <w:pPr>
              <w:spacing w:before="87" w:line="218"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3.337</w:t>
            </w:r>
          </w:p>
        </w:tc>
        <w:tc>
          <w:tcPr>
            <w:tcW w:w="1130" w:type="dxa"/>
            <w:vAlign w:val="top"/>
          </w:tcPr>
          <w:p w14:paraId="1CB68DE8">
            <w:pPr>
              <w:spacing w:before="87" w:line="218"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3.390</w:t>
            </w:r>
          </w:p>
        </w:tc>
      </w:tr>
      <w:tr w14:paraId="04143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1285FF51">
            <w:pPr>
              <w:spacing w:before="87"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-42</w:t>
            </w:r>
          </w:p>
        </w:tc>
        <w:tc>
          <w:tcPr>
            <w:tcW w:w="996" w:type="dxa"/>
            <w:vAlign w:val="top"/>
          </w:tcPr>
          <w:p w14:paraId="6DD278F0">
            <w:pPr>
              <w:spacing w:before="87"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-35</w:t>
            </w:r>
          </w:p>
        </w:tc>
        <w:tc>
          <w:tcPr>
            <w:tcW w:w="1410" w:type="dxa"/>
            <w:vAlign w:val="top"/>
          </w:tcPr>
          <w:p w14:paraId="5EE402B1">
            <w:pPr>
              <w:spacing w:before="87"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0.146</w:t>
            </w:r>
          </w:p>
        </w:tc>
        <w:tc>
          <w:tcPr>
            <w:tcW w:w="1135" w:type="dxa"/>
            <w:vAlign w:val="top"/>
          </w:tcPr>
          <w:p w14:paraId="4C97A247">
            <w:pPr>
              <w:spacing w:before="87"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0.144</w:t>
            </w:r>
          </w:p>
        </w:tc>
        <w:tc>
          <w:tcPr>
            <w:tcW w:w="1135" w:type="dxa"/>
            <w:vAlign w:val="top"/>
          </w:tcPr>
          <w:p w14:paraId="1DDF731C">
            <w:pPr>
              <w:spacing w:before="87"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0.141</w:t>
            </w:r>
          </w:p>
        </w:tc>
        <w:tc>
          <w:tcPr>
            <w:tcW w:w="1135" w:type="dxa"/>
            <w:vAlign w:val="top"/>
          </w:tcPr>
          <w:p w14:paraId="454AAB95">
            <w:pPr>
              <w:spacing w:before="87" w:line="217"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3.408</w:t>
            </w:r>
          </w:p>
        </w:tc>
        <w:tc>
          <w:tcPr>
            <w:tcW w:w="1132" w:type="dxa"/>
            <w:vAlign w:val="top"/>
          </w:tcPr>
          <w:p w14:paraId="2565F785">
            <w:pPr>
              <w:spacing w:before="87" w:line="217"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3.500</w:t>
            </w:r>
          </w:p>
        </w:tc>
        <w:tc>
          <w:tcPr>
            <w:tcW w:w="1130" w:type="dxa"/>
            <w:vAlign w:val="top"/>
          </w:tcPr>
          <w:p w14:paraId="540F205E">
            <w:pPr>
              <w:spacing w:before="87" w:line="217"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3.558</w:t>
            </w:r>
          </w:p>
        </w:tc>
      </w:tr>
      <w:tr w14:paraId="16E75A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5" w:type="dxa"/>
            <w:vAlign w:val="top"/>
          </w:tcPr>
          <w:p w14:paraId="538598EA">
            <w:pPr>
              <w:spacing w:before="87" w:line="218"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-41</w:t>
            </w:r>
          </w:p>
        </w:tc>
        <w:tc>
          <w:tcPr>
            <w:tcW w:w="996" w:type="dxa"/>
            <w:vAlign w:val="top"/>
          </w:tcPr>
          <w:p w14:paraId="5B391F45">
            <w:pPr>
              <w:spacing w:before="87" w:line="218"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-34</w:t>
            </w:r>
          </w:p>
        </w:tc>
        <w:tc>
          <w:tcPr>
            <w:tcW w:w="1410" w:type="dxa"/>
            <w:vAlign w:val="top"/>
          </w:tcPr>
          <w:p w14:paraId="668E87A9">
            <w:pPr>
              <w:spacing w:before="87" w:line="218"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0.156</w:t>
            </w:r>
          </w:p>
        </w:tc>
        <w:tc>
          <w:tcPr>
            <w:tcW w:w="1135" w:type="dxa"/>
            <w:vAlign w:val="top"/>
          </w:tcPr>
          <w:p w14:paraId="38F24BC7">
            <w:pPr>
              <w:spacing w:before="87" w:line="218"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0.154</w:t>
            </w:r>
          </w:p>
        </w:tc>
        <w:tc>
          <w:tcPr>
            <w:tcW w:w="1135" w:type="dxa"/>
            <w:vAlign w:val="top"/>
          </w:tcPr>
          <w:p w14:paraId="29BEAB67">
            <w:pPr>
              <w:spacing w:before="87" w:line="218"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0.151</w:t>
            </w:r>
          </w:p>
        </w:tc>
        <w:tc>
          <w:tcPr>
            <w:tcW w:w="1135" w:type="dxa"/>
            <w:vAlign w:val="top"/>
          </w:tcPr>
          <w:p w14:paraId="668271F7">
            <w:pPr>
              <w:spacing w:before="87" w:line="218"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3.573</w:t>
            </w:r>
          </w:p>
        </w:tc>
        <w:tc>
          <w:tcPr>
            <w:tcW w:w="1132" w:type="dxa"/>
            <w:vAlign w:val="top"/>
          </w:tcPr>
          <w:p w14:paraId="1219FCF5">
            <w:pPr>
              <w:spacing w:before="87" w:line="218"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3.675</w:t>
            </w:r>
          </w:p>
        </w:tc>
        <w:tc>
          <w:tcPr>
            <w:tcW w:w="1130" w:type="dxa"/>
            <w:vAlign w:val="top"/>
          </w:tcPr>
          <w:p w14:paraId="1C5C8E85">
            <w:pPr>
              <w:spacing w:before="87" w:line="218"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3.740</w:t>
            </w:r>
          </w:p>
        </w:tc>
      </w:tr>
      <w:tr w14:paraId="4167A0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03436BF0">
            <w:pPr>
              <w:spacing w:before="87"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-40</w:t>
            </w:r>
          </w:p>
        </w:tc>
        <w:tc>
          <w:tcPr>
            <w:tcW w:w="996" w:type="dxa"/>
            <w:vAlign w:val="top"/>
          </w:tcPr>
          <w:p w14:paraId="400936B5">
            <w:pPr>
              <w:spacing w:before="87"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-33</w:t>
            </w:r>
          </w:p>
        </w:tc>
        <w:tc>
          <w:tcPr>
            <w:tcW w:w="1410" w:type="dxa"/>
            <w:vAlign w:val="top"/>
          </w:tcPr>
          <w:p w14:paraId="2B208FF3">
            <w:pPr>
              <w:spacing w:before="87"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0.168</w:t>
            </w:r>
          </w:p>
        </w:tc>
        <w:tc>
          <w:tcPr>
            <w:tcW w:w="1135" w:type="dxa"/>
            <w:vAlign w:val="top"/>
          </w:tcPr>
          <w:p w14:paraId="16456836">
            <w:pPr>
              <w:spacing w:before="87"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0.166</w:t>
            </w:r>
          </w:p>
        </w:tc>
        <w:tc>
          <w:tcPr>
            <w:tcW w:w="1135" w:type="dxa"/>
            <w:vAlign w:val="top"/>
          </w:tcPr>
          <w:p w14:paraId="75ECD9EB">
            <w:pPr>
              <w:spacing w:before="87"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0.161</w:t>
            </w:r>
          </w:p>
        </w:tc>
        <w:tc>
          <w:tcPr>
            <w:tcW w:w="1135" w:type="dxa"/>
            <w:vAlign w:val="top"/>
          </w:tcPr>
          <w:p w14:paraId="3ECF6EA6">
            <w:pPr>
              <w:spacing w:before="87" w:line="217"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3.751</w:t>
            </w:r>
          </w:p>
        </w:tc>
        <w:tc>
          <w:tcPr>
            <w:tcW w:w="1132" w:type="dxa"/>
            <w:vAlign w:val="top"/>
          </w:tcPr>
          <w:p w14:paraId="4A6F1A34">
            <w:pPr>
              <w:spacing w:before="87" w:line="217"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3.864</w:t>
            </w:r>
          </w:p>
        </w:tc>
        <w:tc>
          <w:tcPr>
            <w:tcW w:w="1130" w:type="dxa"/>
            <w:vAlign w:val="top"/>
          </w:tcPr>
          <w:p w14:paraId="604BFB17">
            <w:pPr>
              <w:spacing w:before="87" w:line="217"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3.935</w:t>
            </w:r>
          </w:p>
        </w:tc>
      </w:tr>
      <w:tr w14:paraId="238BA0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95" w:type="dxa"/>
            <w:vAlign w:val="top"/>
          </w:tcPr>
          <w:p w14:paraId="0AA87A73">
            <w:pPr>
              <w:spacing w:before="90"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-39</w:t>
            </w:r>
          </w:p>
        </w:tc>
        <w:tc>
          <w:tcPr>
            <w:tcW w:w="996" w:type="dxa"/>
            <w:vAlign w:val="top"/>
          </w:tcPr>
          <w:p w14:paraId="136ABA13">
            <w:pPr>
              <w:spacing w:before="90"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-32</w:t>
            </w:r>
          </w:p>
        </w:tc>
        <w:tc>
          <w:tcPr>
            <w:tcW w:w="1410" w:type="dxa"/>
            <w:vAlign w:val="top"/>
          </w:tcPr>
          <w:p w14:paraId="62547BE1">
            <w:pPr>
              <w:spacing w:before="90"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0.180</w:t>
            </w:r>
          </w:p>
        </w:tc>
        <w:tc>
          <w:tcPr>
            <w:tcW w:w="1135" w:type="dxa"/>
            <w:vAlign w:val="top"/>
          </w:tcPr>
          <w:p w14:paraId="3A247AD3">
            <w:pPr>
              <w:spacing w:before="90"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0.178</w:t>
            </w:r>
          </w:p>
        </w:tc>
        <w:tc>
          <w:tcPr>
            <w:tcW w:w="1135" w:type="dxa"/>
            <w:vAlign w:val="top"/>
          </w:tcPr>
          <w:p w14:paraId="1F652113">
            <w:pPr>
              <w:spacing w:before="90"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0.173</w:t>
            </w:r>
          </w:p>
        </w:tc>
        <w:tc>
          <w:tcPr>
            <w:tcW w:w="1135" w:type="dxa"/>
            <w:vAlign w:val="top"/>
          </w:tcPr>
          <w:p w14:paraId="5EC98B93">
            <w:pPr>
              <w:spacing w:before="90" w:line="217"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3.943</w:t>
            </w:r>
          </w:p>
        </w:tc>
        <w:tc>
          <w:tcPr>
            <w:tcW w:w="1132" w:type="dxa"/>
            <w:vAlign w:val="top"/>
          </w:tcPr>
          <w:p w14:paraId="1B9D518F">
            <w:pPr>
              <w:spacing w:before="90" w:line="217"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4.068</w:t>
            </w:r>
          </w:p>
        </w:tc>
        <w:tc>
          <w:tcPr>
            <w:tcW w:w="1130" w:type="dxa"/>
            <w:vAlign w:val="top"/>
          </w:tcPr>
          <w:p w14:paraId="485B4531">
            <w:pPr>
              <w:spacing w:before="90" w:line="217" w:lineRule="auto"/>
              <w:ind w:left="32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4.147</w:t>
            </w:r>
          </w:p>
        </w:tc>
      </w:tr>
      <w:tr w14:paraId="62CE51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5" w:type="dxa"/>
            <w:vAlign w:val="top"/>
          </w:tcPr>
          <w:p w14:paraId="2213D99B">
            <w:pPr>
              <w:spacing w:before="88"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-38</w:t>
            </w:r>
          </w:p>
        </w:tc>
        <w:tc>
          <w:tcPr>
            <w:tcW w:w="996" w:type="dxa"/>
            <w:vAlign w:val="top"/>
          </w:tcPr>
          <w:p w14:paraId="48386E6D">
            <w:pPr>
              <w:spacing w:before="88"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-31</w:t>
            </w:r>
          </w:p>
        </w:tc>
        <w:tc>
          <w:tcPr>
            <w:tcW w:w="1410" w:type="dxa"/>
            <w:vAlign w:val="top"/>
          </w:tcPr>
          <w:p w14:paraId="1AA992BA">
            <w:pPr>
              <w:spacing w:before="88"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0.194</w:t>
            </w:r>
          </w:p>
        </w:tc>
        <w:tc>
          <w:tcPr>
            <w:tcW w:w="1135" w:type="dxa"/>
            <w:vAlign w:val="top"/>
          </w:tcPr>
          <w:p w14:paraId="7E390552">
            <w:pPr>
              <w:spacing w:before="88"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0.192</w:t>
            </w:r>
          </w:p>
        </w:tc>
        <w:tc>
          <w:tcPr>
            <w:tcW w:w="1135" w:type="dxa"/>
            <w:vAlign w:val="top"/>
          </w:tcPr>
          <w:p w14:paraId="5C125D97">
            <w:pPr>
              <w:spacing w:before="88"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0.186</w:t>
            </w:r>
          </w:p>
        </w:tc>
        <w:tc>
          <w:tcPr>
            <w:tcW w:w="1135" w:type="dxa"/>
            <w:vAlign w:val="top"/>
          </w:tcPr>
          <w:p w14:paraId="1C5B9A0F">
            <w:pPr>
              <w:spacing w:before="88" w:line="217"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4.149</w:t>
            </w:r>
          </w:p>
        </w:tc>
        <w:tc>
          <w:tcPr>
            <w:tcW w:w="1132" w:type="dxa"/>
            <w:vAlign w:val="top"/>
          </w:tcPr>
          <w:p w14:paraId="4ABD10C4">
            <w:pPr>
              <w:spacing w:before="88" w:line="217"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4.288</w:t>
            </w:r>
          </w:p>
        </w:tc>
        <w:tc>
          <w:tcPr>
            <w:tcW w:w="1130" w:type="dxa"/>
            <w:vAlign w:val="top"/>
          </w:tcPr>
          <w:p w14:paraId="1EC5AF7B">
            <w:pPr>
              <w:spacing w:before="88" w:line="217" w:lineRule="auto"/>
              <w:ind w:left="32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4.376</w:t>
            </w:r>
          </w:p>
        </w:tc>
      </w:tr>
      <w:tr w14:paraId="18025A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485D82A3">
            <w:pPr>
              <w:spacing w:before="87"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-37</w:t>
            </w:r>
          </w:p>
        </w:tc>
        <w:tc>
          <w:tcPr>
            <w:tcW w:w="996" w:type="dxa"/>
            <w:vAlign w:val="top"/>
          </w:tcPr>
          <w:p w14:paraId="64E2DCB8">
            <w:pPr>
              <w:spacing w:before="87"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w:t>
            </w:r>
          </w:p>
        </w:tc>
        <w:tc>
          <w:tcPr>
            <w:tcW w:w="1410" w:type="dxa"/>
            <w:vAlign w:val="top"/>
          </w:tcPr>
          <w:p w14:paraId="0B545EBA">
            <w:pPr>
              <w:spacing w:before="87"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0.210</w:t>
            </w:r>
          </w:p>
        </w:tc>
        <w:tc>
          <w:tcPr>
            <w:tcW w:w="1135" w:type="dxa"/>
            <w:vAlign w:val="top"/>
          </w:tcPr>
          <w:p w14:paraId="385EBBB0">
            <w:pPr>
              <w:spacing w:before="87"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0.207</w:t>
            </w:r>
          </w:p>
        </w:tc>
        <w:tc>
          <w:tcPr>
            <w:tcW w:w="1135" w:type="dxa"/>
            <w:vAlign w:val="top"/>
          </w:tcPr>
          <w:p w14:paraId="15C69E2D">
            <w:pPr>
              <w:spacing w:before="87"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0.201</w:t>
            </w:r>
          </w:p>
        </w:tc>
        <w:tc>
          <w:tcPr>
            <w:tcW w:w="1135" w:type="dxa"/>
            <w:vAlign w:val="top"/>
          </w:tcPr>
          <w:p w14:paraId="015EEC48">
            <w:pPr>
              <w:spacing w:before="87" w:line="217"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4.372</w:t>
            </w:r>
          </w:p>
        </w:tc>
        <w:tc>
          <w:tcPr>
            <w:tcW w:w="1132" w:type="dxa"/>
            <w:vAlign w:val="top"/>
          </w:tcPr>
          <w:p w14:paraId="6939CA4B">
            <w:pPr>
              <w:spacing w:before="87" w:line="217"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4.526</w:t>
            </w:r>
          </w:p>
        </w:tc>
        <w:tc>
          <w:tcPr>
            <w:tcW w:w="1130" w:type="dxa"/>
            <w:vAlign w:val="top"/>
          </w:tcPr>
          <w:p w14:paraId="29C12350">
            <w:pPr>
              <w:spacing w:before="87" w:line="217" w:lineRule="auto"/>
              <w:ind w:left="32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4.625</w:t>
            </w:r>
          </w:p>
        </w:tc>
      </w:tr>
      <w:tr w14:paraId="58E6BE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5" w:type="dxa"/>
            <w:vAlign w:val="top"/>
          </w:tcPr>
          <w:p w14:paraId="16F8A373">
            <w:pPr>
              <w:spacing w:before="88"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-36</w:t>
            </w:r>
          </w:p>
        </w:tc>
        <w:tc>
          <w:tcPr>
            <w:tcW w:w="996" w:type="dxa"/>
            <w:vAlign w:val="top"/>
          </w:tcPr>
          <w:p w14:paraId="2030C9D0">
            <w:pPr>
              <w:spacing w:before="88"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-29</w:t>
            </w:r>
          </w:p>
        </w:tc>
        <w:tc>
          <w:tcPr>
            <w:tcW w:w="1410" w:type="dxa"/>
            <w:vAlign w:val="top"/>
          </w:tcPr>
          <w:p w14:paraId="5554D7C7">
            <w:pPr>
              <w:spacing w:before="88"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0.227</w:t>
            </w:r>
          </w:p>
        </w:tc>
        <w:tc>
          <w:tcPr>
            <w:tcW w:w="1135" w:type="dxa"/>
            <w:vAlign w:val="top"/>
          </w:tcPr>
          <w:p w14:paraId="10302465">
            <w:pPr>
              <w:spacing w:before="88"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0.224</w:t>
            </w:r>
          </w:p>
        </w:tc>
        <w:tc>
          <w:tcPr>
            <w:tcW w:w="1135" w:type="dxa"/>
            <w:vAlign w:val="top"/>
          </w:tcPr>
          <w:p w14:paraId="459873AB">
            <w:pPr>
              <w:spacing w:before="88"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0.217</w:t>
            </w:r>
          </w:p>
        </w:tc>
        <w:tc>
          <w:tcPr>
            <w:tcW w:w="1135" w:type="dxa"/>
            <w:vAlign w:val="top"/>
          </w:tcPr>
          <w:p w14:paraId="5AF418C3">
            <w:pPr>
              <w:spacing w:before="88" w:line="217"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4.612</w:t>
            </w:r>
          </w:p>
        </w:tc>
        <w:tc>
          <w:tcPr>
            <w:tcW w:w="1132" w:type="dxa"/>
            <w:vAlign w:val="top"/>
          </w:tcPr>
          <w:p w14:paraId="26AAFA89">
            <w:pPr>
              <w:spacing w:before="88" w:line="217"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4.786</w:t>
            </w:r>
          </w:p>
        </w:tc>
        <w:tc>
          <w:tcPr>
            <w:tcW w:w="1130" w:type="dxa"/>
            <w:vAlign w:val="top"/>
          </w:tcPr>
          <w:p w14:paraId="1259D11D">
            <w:pPr>
              <w:spacing w:before="88" w:line="217" w:lineRule="auto"/>
              <w:ind w:left="32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4.896</w:t>
            </w:r>
          </w:p>
        </w:tc>
      </w:tr>
      <w:tr w14:paraId="0B4FF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2BF7B1E2">
            <w:pPr>
              <w:spacing w:before="87"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-35</w:t>
            </w:r>
          </w:p>
        </w:tc>
        <w:tc>
          <w:tcPr>
            <w:tcW w:w="996" w:type="dxa"/>
            <w:vAlign w:val="top"/>
          </w:tcPr>
          <w:p w14:paraId="7003EAE3">
            <w:pPr>
              <w:spacing w:before="87"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-28</w:t>
            </w:r>
          </w:p>
        </w:tc>
        <w:tc>
          <w:tcPr>
            <w:tcW w:w="1410" w:type="dxa"/>
            <w:vAlign w:val="top"/>
          </w:tcPr>
          <w:p w14:paraId="74D61DCB">
            <w:pPr>
              <w:spacing w:before="87"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0.246</w:t>
            </w:r>
          </w:p>
        </w:tc>
        <w:tc>
          <w:tcPr>
            <w:tcW w:w="1135" w:type="dxa"/>
            <w:vAlign w:val="top"/>
          </w:tcPr>
          <w:p w14:paraId="32F7DA50">
            <w:pPr>
              <w:spacing w:before="87"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0.242</w:t>
            </w:r>
          </w:p>
        </w:tc>
        <w:tc>
          <w:tcPr>
            <w:tcW w:w="1135" w:type="dxa"/>
            <w:vAlign w:val="top"/>
          </w:tcPr>
          <w:p w14:paraId="3C433E94">
            <w:pPr>
              <w:spacing w:before="87"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0.235</w:t>
            </w:r>
          </w:p>
        </w:tc>
        <w:tc>
          <w:tcPr>
            <w:tcW w:w="1135" w:type="dxa"/>
            <w:vAlign w:val="top"/>
          </w:tcPr>
          <w:p w14:paraId="34C03407">
            <w:pPr>
              <w:spacing w:before="87" w:line="217"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4.873</w:t>
            </w:r>
          </w:p>
        </w:tc>
        <w:tc>
          <w:tcPr>
            <w:tcW w:w="1132" w:type="dxa"/>
            <w:vAlign w:val="top"/>
          </w:tcPr>
          <w:p w14:paraId="652B3EC9">
            <w:pPr>
              <w:spacing w:before="87" w:line="217" w:lineRule="auto"/>
              <w:ind w:left="33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5.067</w:t>
            </w:r>
          </w:p>
        </w:tc>
        <w:tc>
          <w:tcPr>
            <w:tcW w:w="1130" w:type="dxa"/>
            <w:vAlign w:val="top"/>
          </w:tcPr>
          <w:p w14:paraId="77ADA945">
            <w:pPr>
              <w:spacing w:before="87"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5.192</w:t>
            </w:r>
          </w:p>
        </w:tc>
      </w:tr>
      <w:tr w14:paraId="1C23FA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5" w:type="dxa"/>
            <w:vAlign w:val="top"/>
          </w:tcPr>
          <w:p w14:paraId="23C30A36">
            <w:pPr>
              <w:spacing w:before="88"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-34</w:t>
            </w:r>
          </w:p>
        </w:tc>
        <w:tc>
          <w:tcPr>
            <w:tcW w:w="996" w:type="dxa"/>
            <w:vAlign w:val="top"/>
          </w:tcPr>
          <w:p w14:paraId="0C5E267B">
            <w:pPr>
              <w:spacing w:before="88"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-27</w:t>
            </w:r>
          </w:p>
        </w:tc>
        <w:tc>
          <w:tcPr>
            <w:tcW w:w="1410" w:type="dxa"/>
            <w:vAlign w:val="top"/>
          </w:tcPr>
          <w:p w14:paraId="6293E7F0">
            <w:pPr>
              <w:spacing w:before="88"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0.267</w:t>
            </w:r>
          </w:p>
        </w:tc>
        <w:tc>
          <w:tcPr>
            <w:tcW w:w="1135" w:type="dxa"/>
            <w:vAlign w:val="top"/>
          </w:tcPr>
          <w:p w14:paraId="65438629">
            <w:pPr>
              <w:spacing w:before="88"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0.263</w:t>
            </w:r>
          </w:p>
        </w:tc>
        <w:tc>
          <w:tcPr>
            <w:tcW w:w="1135" w:type="dxa"/>
            <w:vAlign w:val="top"/>
          </w:tcPr>
          <w:p w14:paraId="1FADE3C4">
            <w:pPr>
              <w:spacing w:before="88"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0.255</w:t>
            </w:r>
          </w:p>
        </w:tc>
        <w:tc>
          <w:tcPr>
            <w:tcW w:w="1135" w:type="dxa"/>
            <w:vAlign w:val="top"/>
          </w:tcPr>
          <w:p w14:paraId="4E12F57D">
            <w:pPr>
              <w:spacing w:before="88"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5.157</w:t>
            </w:r>
          </w:p>
        </w:tc>
        <w:tc>
          <w:tcPr>
            <w:tcW w:w="1132" w:type="dxa"/>
            <w:vAlign w:val="top"/>
          </w:tcPr>
          <w:p w14:paraId="5F57F8CB">
            <w:pPr>
              <w:spacing w:before="88" w:line="217" w:lineRule="auto"/>
              <w:ind w:left="33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5.375</w:t>
            </w:r>
          </w:p>
        </w:tc>
        <w:tc>
          <w:tcPr>
            <w:tcW w:w="1130" w:type="dxa"/>
            <w:vAlign w:val="top"/>
          </w:tcPr>
          <w:p w14:paraId="1860A2B4">
            <w:pPr>
              <w:spacing w:before="88"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5.515</w:t>
            </w:r>
          </w:p>
        </w:tc>
      </w:tr>
      <w:tr w14:paraId="48856A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95" w:type="dxa"/>
            <w:vAlign w:val="top"/>
          </w:tcPr>
          <w:p w14:paraId="57D6EB3B">
            <w:pPr>
              <w:spacing w:before="90"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-33</w:t>
            </w:r>
          </w:p>
        </w:tc>
        <w:tc>
          <w:tcPr>
            <w:tcW w:w="996" w:type="dxa"/>
            <w:vAlign w:val="top"/>
          </w:tcPr>
          <w:p w14:paraId="539C4D5C">
            <w:pPr>
              <w:spacing w:before="90"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-26</w:t>
            </w:r>
          </w:p>
        </w:tc>
        <w:tc>
          <w:tcPr>
            <w:tcW w:w="1410" w:type="dxa"/>
            <w:vAlign w:val="top"/>
          </w:tcPr>
          <w:p w14:paraId="5EEFED5D">
            <w:pPr>
              <w:spacing w:before="90"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0.291</w:t>
            </w:r>
          </w:p>
        </w:tc>
        <w:tc>
          <w:tcPr>
            <w:tcW w:w="1135" w:type="dxa"/>
            <w:vAlign w:val="top"/>
          </w:tcPr>
          <w:p w14:paraId="7443DE3C">
            <w:pPr>
              <w:spacing w:before="90"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0.286</w:t>
            </w:r>
          </w:p>
        </w:tc>
        <w:tc>
          <w:tcPr>
            <w:tcW w:w="1135" w:type="dxa"/>
            <w:vAlign w:val="top"/>
          </w:tcPr>
          <w:p w14:paraId="0418E33E">
            <w:pPr>
              <w:spacing w:before="90"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0.277</w:t>
            </w:r>
          </w:p>
        </w:tc>
        <w:tc>
          <w:tcPr>
            <w:tcW w:w="1135" w:type="dxa"/>
            <w:vAlign w:val="top"/>
          </w:tcPr>
          <w:p w14:paraId="0BFF443B">
            <w:pPr>
              <w:spacing w:before="90"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5.465</w:t>
            </w:r>
          </w:p>
        </w:tc>
        <w:tc>
          <w:tcPr>
            <w:tcW w:w="1132" w:type="dxa"/>
            <w:vAlign w:val="top"/>
          </w:tcPr>
          <w:p w14:paraId="0F157BF7">
            <w:pPr>
              <w:spacing w:before="90" w:line="217" w:lineRule="auto"/>
              <w:ind w:left="33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5.712</w:t>
            </w:r>
          </w:p>
        </w:tc>
        <w:tc>
          <w:tcPr>
            <w:tcW w:w="1130" w:type="dxa"/>
            <w:vAlign w:val="top"/>
          </w:tcPr>
          <w:p w14:paraId="767AE48D">
            <w:pPr>
              <w:spacing w:before="90"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5.870</w:t>
            </w:r>
          </w:p>
        </w:tc>
      </w:tr>
      <w:tr w14:paraId="246AD8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5" w:type="dxa"/>
            <w:vAlign w:val="top"/>
          </w:tcPr>
          <w:p w14:paraId="29D5EE42">
            <w:pPr>
              <w:spacing w:before="88"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-32</w:t>
            </w:r>
          </w:p>
        </w:tc>
        <w:tc>
          <w:tcPr>
            <w:tcW w:w="996" w:type="dxa"/>
            <w:vAlign w:val="top"/>
          </w:tcPr>
          <w:p w14:paraId="09C0F78B">
            <w:pPr>
              <w:spacing w:before="88"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-25</w:t>
            </w:r>
          </w:p>
        </w:tc>
        <w:tc>
          <w:tcPr>
            <w:tcW w:w="1410" w:type="dxa"/>
            <w:vAlign w:val="top"/>
          </w:tcPr>
          <w:p w14:paraId="719E2CCB">
            <w:pPr>
              <w:spacing w:before="88"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0.318</w:t>
            </w:r>
          </w:p>
        </w:tc>
        <w:tc>
          <w:tcPr>
            <w:tcW w:w="1135" w:type="dxa"/>
            <w:vAlign w:val="top"/>
          </w:tcPr>
          <w:p w14:paraId="33A65530">
            <w:pPr>
              <w:spacing w:before="88"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0.313</w:t>
            </w:r>
          </w:p>
        </w:tc>
        <w:tc>
          <w:tcPr>
            <w:tcW w:w="1135" w:type="dxa"/>
            <w:vAlign w:val="top"/>
          </w:tcPr>
          <w:p w14:paraId="5B18A548">
            <w:pPr>
              <w:spacing w:before="88"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0.301</w:t>
            </w:r>
          </w:p>
        </w:tc>
        <w:tc>
          <w:tcPr>
            <w:tcW w:w="1135" w:type="dxa"/>
            <w:vAlign w:val="top"/>
          </w:tcPr>
          <w:p w14:paraId="3A15CDE1">
            <w:pPr>
              <w:spacing w:before="88"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5.801</w:t>
            </w:r>
          </w:p>
        </w:tc>
        <w:tc>
          <w:tcPr>
            <w:tcW w:w="1132" w:type="dxa"/>
            <w:vAlign w:val="top"/>
          </w:tcPr>
          <w:p w14:paraId="0A5B146D">
            <w:pPr>
              <w:spacing w:before="88"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6.081</w:t>
            </w:r>
          </w:p>
        </w:tc>
        <w:tc>
          <w:tcPr>
            <w:tcW w:w="1130" w:type="dxa"/>
            <w:vAlign w:val="top"/>
          </w:tcPr>
          <w:p w14:paraId="4FB52C1F">
            <w:pPr>
              <w:spacing w:before="88" w:line="217" w:lineRule="auto"/>
              <w:ind w:left="3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6.261</w:t>
            </w:r>
          </w:p>
        </w:tc>
      </w:tr>
      <w:tr w14:paraId="4404D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5" w:type="dxa"/>
            <w:vAlign w:val="top"/>
          </w:tcPr>
          <w:p w14:paraId="5A44747B">
            <w:pPr>
              <w:spacing w:before="88"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-31</w:t>
            </w:r>
          </w:p>
        </w:tc>
        <w:tc>
          <w:tcPr>
            <w:tcW w:w="996" w:type="dxa"/>
            <w:vAlign w:val="top"/>
          </w:tcPr>
          <w:p w14:paraId="1EFAC7A0">
            <w:pPr>
              <w:spacing w:before="88"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-24</w:t>
            </w:r>
          </w:p>
        </w:tc>
        <w:tc>
          <w:tcPr>
            <w:tcW w:w="1410" w:type="dxa"/>
            <w:vAlign w:val="top"/>
          </w:tcPr>
          <w:p w14:paraId="30094E27">
            <w:pPr>
              <w:spacing w:before="88"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0.348</w:t>
            </w:r>
          </w:p>
        </w:tc>
        <w:tc>
          <w:tcPr>
            <w:tcW w:w="1135" w:type="dxa"/>
            <w:vAlign w:val="top"/>
          </w:tcPr>
          <w:p w14:paraId="50DA99E3">
            <w:pPr>
              <w:spacing w:before="88"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0.342</w:t>
            </w:r>
          </w:p>
        </w:tc>
        <w:tc>
          <w:tcPr>
            <w:tcW w:w="1135" w:type="dxa"/>
            <w:vAlign w:val="top"/>
          </w:tcPr>
          <w:p w14:paraId="029945BC">
            <w:pPr>
              <w:spacing w:before="88"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0.329</w:t>
            </w:r>
          </w:p>
        </w:tc>
        <w:tc>
          <w:tcPr>
            <w:tcW w:w="1135" w:type="dxa"/>
            <w:vAlign w:val="top"/>
          </w:tcPr>
          <w:p w14:paraId="29A2C151">
            <w:pPr>
              <w:spacing w:before="88" w:line="217"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6.169</w:t>
            </w:r>
          </w:p>
        </w:tc>
        <w:tc>
          <w:tcPr>
            <w:tcW w:w="1132" w:type="dxa"/>
            <w:vAlign w:val="top"/>
          </w:tcPr>
          <w:p w14:paraId="32595BFB">
            <w:pPr>
              <w:spacing w:before="88"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6.487</w:t>
            </w:r>
          </w:p>
        </w:tc>
        <w:tc>
          <w:tcPr>
            <w:tcW w:w="1130" w:type="dxa"/>
            <w:vAlign w:val="top"/>
          </w:tcPr>
          <w:p w14:paraId="418B7375">
            <w:pPr>
              <w:spacing w:before="88" w:line="217" w:lineRule="auto"/>
              <w:ind w:left="3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6.694</w:t>
            </w:r>
          </w:p>
        </w:tc>
      </w:tr>
      <w:tr w14:paraId="15287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7AB6A1BC">
            <w:pPr>
              <w:spacing w:before="87"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-30</w:t>
            </w:r>
          </w:p>
        </w:tc>
        <w:tc>
          <w:tcPr>
            <w:tcW w:w="996" w:type="dxa"/>
            <w:vAlign w:val="top"/>
          </w:tcPr>
          <w:p w14:paraId="24E63FCA">
            <w:pPr>
              <w:spacing w:before="87"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-23</w:t>
            </w:r>
          </w:p>
        </w:tc>
        <w:tc>
          <w:tcPr>
            <w:tcW w:w="1410" w:type="dxa"/>
            <w:vAlign w:val="top"/>
          </w:tcPr>
          <w:p w14:paraId="0CC14C99">
            <w:pPr>
              <w:spacing w:before="87"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0.383</w:t>
            </w:r>
          </w:p>
        </w:tc>
        <w:tc>
          <w:tcPr>
            <w:tcW w:w="1135" w:type="dxa"/>
            <w:vAlign w:val="top"/>
          </w:tcPr>
          <w:p w14:paraId="120736C0">
            <w:pPr>
              <w:spacing w:before="87"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0.375</w:t>
            </w:r>
          </w:p>
        </w:tc>
        <w:tc>
          <w:tcPr>
            <w:tcW w:w="1135" w:type="dxa"/>
            <w:vAlign w:val="top"/>
          </w:tcPr>
          <w:p w14:paraId="04EDD1AA">
            <w:pPr>
              <w:spacing w:before="87"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0.361</w:t>
            </w:r>
          </w:p>
        </w:tc>
        <w:tc>
          <w:tcPr>
            <w:tcW w:w="1135" w:type="dxa"/>
            <w:vAlign w:val="top"/>
          </w:tcPr>
          <w:p w14:paraId="6B82A933">
            <w:pPr>
              <w:spacing w:before="87" w:line="217"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6.571</w:t>
            </w:r>
          </w:p>
        </w:tc>
        <w:tc>
          <w:tcPr>
            <w:tcW w:w="1132" w:type="dxa"/>
            <w:vAlign w:val="top"/>
          </w:tcPr>
          <w:p w14:paraId="53C1730B">
            <w:pPr>
              <w:spacing w:before="87"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6.935</w:t>
            </w:r>
          </w:p>
        </w:tc>
        <w:tc>
          <w:tcPr>
            <w:tcW w:w="1130" w:type="dxa"/>
            <w:vAlign w:val="top"/>
          </w:tcPr>
          <w:p w14:paraId="091B20FE">
            <w:pPr>
              <w:spacing w:before="87" w:line="217"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7.172</w:t>
            </w:r>
          </w:p>
        </w:tc>
      </w:tr>
      <w:tr w14:paraId="049B1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5" w:type="dxa"/>
            <w:vAlign w:val="top"/>
          </w:tcPr>
          <w:p w14:paraId="32BEA3CC">
            <w:pPr>
              <w:spacing w:before="88"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-29</w:t>
            </w:r>
          </w:p>
        </w:tc>
        <w:tc>
          <w:tcPr>
            <w:tcW w:w="996" w:type="dxa"/>
            <w:vAlign w:val="top"/>
          </w:tcPr>
          <w:p w14:paraId="32DA3743">
            <w:pPr>
              <w:spacing w:before="88"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-22</w:t>
            </w:r>
          </w:p>
        </w:tc>
        <w:tc>
          <w:tcPr>
            <w:tcW w:w="1410" w:type="dxa"/>
            <w:vAlign w:val="top"/>
          </w:tcPr>
          <w:p w14:paraId="41B580E5">
            <w:pPr>
              <w:spacing w:before="88"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0.421</w:t>
            </w:r>
          </w:p>
        </w:tc>
        <w:tc>
          <w:tcPr>
            <w:tcW w:w="1135" w:type="dxa"/>
            <w:vAlign w:val="top"/>
          </w:tcPr>
          <w:p w14:paraId="5F5CBDE5">
            <w:pPr>
              <w:spacing w:before="88"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0.413</w:t>
            </w:r>
          </w:p>
        </w:tc>
        <w:tc>
          <w:tcPr>
            <w:tcW w:w="1135" w:type="dxa"/>
            <w:vAlign w:val="top"/>
          </w:tcPr>
          <w:p w14:paraId="4E40144B">
            <w:pPr>
              <w:spacing w:before="88"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0.396</w:t>
            </w:r>
          </w:p>
        </w:tc>
        <w:tc>
          <w:tcPr>
            <w:tcW w:w="1135" w:type="dxa"/>
            <w:vAlign w:val="top"/>
          </w:tcPr>
          <w:p w14:paraId="37CA4EC9">
            <w:pPr>
              <w:spacing w:before="88" w:line="217"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7.014</w:t>
            </w:r>
          </w:p>
        </w:tc>
        <w:tc>
          <w:tcPr>
            <w:tcW w:w="1132" w:type="dxa"/>
            <w:vAlign w:val="top"/>
          </w:tcPr>
          <w:p w14:paraId="5219D65C">
            <w:pPr>
              <w:spacing w:before="88" w:line="217"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7.431</w:t>
            </w:r>
          </w:p>
        </w:tc>
        <w:tc>
          <w:tcPr>
            <w:tcW w:w="1130" w:type="dxa"/>
            <w:vAlign w:val="top"/>
          </w:tcPr>
          <w:p w14:paraId="4B16A86A">
            <w:pPr>
              <w:spacing w:before="88" w:line="217"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7.706</w:t>
            </w:r>
          </w:p>
        </w:tc>
      </w:tr>
      <w:tr w14:paraId="665D36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5" w:type="dxa"/>
            <w:vAlign w:val="top"/>
          </w:tcPr>
          <w:p w14:paraId="6BBB04EC">
            <w:pPr>
              <w:spacing w:before="87" w:line="218"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-28</w:t>
            </w:r>
          </w:p>
        </w:tc>
        <w:tc>
          <w:tcPr>
            <w:tcW w:w="996" w:type="dxa"/>
            <w:vAlign w:val="top"/>
          </w:tcPr>
          <w:p w14:paraId="5F3AF3F0">
            <w:pPr>
              <w:spacing w:before="87" w:line="218"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-21</w:t>
            </w:r>
          </w:p>
        </w:tc>
        <w:tc>
          <w:tcPr>
            <w:tcW w:w="1410" w:type="dxa"/>
            <w:vAlign w:val="top"/>
          </w:tcPr>
          <w:p w14:paraId="289D5267">
            <w:pPr>
              <w:spacing w:before="87" w:line="218"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0.465</w:t>
            </w:r>
          </w:p>
        </w:tc>
        <w:tc>
          <w:tcPr>
            <w:tcW w:w="1135" w:type="dxa"/>
            <w:vAlign w:val="top"/>
          </w:tcPr>
          <w:p w14:paraId="027B87A8">
            <w:pPr>
              <w:spacing w:before="87" w:line="218"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0.455</w:t>
            </w:r>
          </w:p>
        </w:tc>
        <w:tc>
          <w:tcPr>
            <w:tcW w:w="1135" w:type="dxa"/>
            <w:vAlign w:val="top"/>
          </w:tcPr>
          <w:p w14:paraId="597EA666">
            <w:pPr>
              <w:spacing w:before="87" w:line="218"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0.436</w:t>
            </w:r>
          </w:p>
        </w:tc>
        <w:tc>
          <w:tcPr>
            <w:tcW w:w="1135" w:type="dxa"/>
            <w:vAlign w:val="top"/>
          </w:tcPr>
          <w:p w14:paraId="2255D36A">
            <w:pPr>
              <w:spacing w:before="87" w:line="218"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7.501</w:t>
            </w:r>
          </w:p>
        </w:tc>
        <w:tc>
          <w:tcPr>
            <w:tcW w:w="1132" w:type="dxa"/>
            <w:vAlign w:val="top"/>
          </w:tcPr>
          <w:p w14:paraId="2E7E4C80">
            <w:pPr>
              <w:spacing w:before="87" w:line="218"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7.983</w:t>
            </w:r>
          </w:p>
        </w:tc>
        <w:tc>
          <w:tcPr>
            <w:tcW w:w="1130" w:type="dxa"/>
            <w:vAlign w:val="top"/>
          </w:tcPr>
          <w:p w14:paraId="3A82EA64">
            <w:pPr>
              <w:spacing w:before="87" w:line="218"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8.301</w:t>
            </w:r>
          </w:p>
        </w:tc>
      </w:tr>
      <w:tr w14:paraId="075E69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95" w:type="dxa"/>
            <w:vAlign w:val="top"/>
          </w:tcPr>
          <w:p w14:paraId="0A6C091E">
            <w:pPr>
              <w:spacing w:before="89" w:line="218"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-27</w:t>
            </w:r>
          </w:p>
        </w:tc>
        <w:tc>
          <w:tcPr>
            <w:tcW w:w="996" w:type="dxa"/>
            <w:vAlign w:val="top"/>
          </w:tcPr>
          <w:p w14:paraId="14762F8F">
            <w:pPr>
              <w:spacing w:before="89" w:line="218"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-20</w:t>
            </w:r>
          </w:p>
        </w:tc>
        <w:tc>
          <w:tcPr>
            <w:tcW w:w="1410" w:type="dxa"/>
            <w:vAlign w:val="top"/>
          </w:tcPr>
          <w:p w14:paraId="3EF697A3">
            <w:pPr>
              <w:spacing w:before="89" w:line="218"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0.515</w:t>
            </w:r>
          </w:p>
        </w:tc>
        <w:tc>
          <w:tcPr>
            <w:tcW w:w="1135" w:type="dxa"/>
            <w:vAlign w:val="top"/>
          </w:tcPr>
          <w:p w14:paraId="749D1808">
            <w:pPr>
              <w:spacing w:before="89" w:line="218"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0.504</w:t>
            </w:r>
          </w:p>
        </w:tc>
        <w:tc>
          <w:tcPr>
            <w:tcW w:w="1135" w:type="dxa"/>
            <w:vAlign w:val="top"/>
          </w:tcPr>
          <w:p w14:paraId="773D59D7">
            <w:pPr>
              <w:spacing w:before="89" w:line="218"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0.482</w:t>
            </w:r>
          </w:p>
        </w:tc>
        <w:tc>
          <w:tcPr>
            <w:tcW w:w="1135" w:type="dxa"/>
            <w:vAlign w:val="top"/>
          </w:tcPr>
          <w:p w14:paraId="2CFF3BBA">
            <w:pPr>
              <w:spacing w:before="89" w:line="218" w:lineRule="auto"/>
              <w:ind w:left="34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8.039</w:t>
            </w:r>
          </w:p>
        </w:tc>
        <w:tc>
          <w:tcPr>
            <w:tcW w:w="1132" w:type="dxa"/>
            <w:vAlign w:val="top"/>
          </w:tcPr>
          <w:p w14:paraId="551385A4">
            <w:pPr>
              <w:spacing w:before="89" w:line="218" w:lineRule="auto"/>
              <w:ind w:left="34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8.598</w:t>
            </w:r>
          </w:p>
        </w:tc>
        <w:tc>
          <w:tcPr>
            <w:tcW w:w="1130" w:type="dxa"/>
            <w:vAlign w:val="top"/>
          </w:tcPr>
          <w:p w14:paraId="310C56C9">
            <w:pPr>
              <w:spacing w:before="89" w:line="218"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8.970</w:t>
            </w:r>
          </w:p>
        </w:tc>
      </w:tr>
      <w:tr w14:paraId="52DEED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480F36E2">
            <w:pPr>
              <w:spacing w:before="87"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-26</w:t>
            </w:r>
          </w:p>
        </w:tc>
        <w:tc>
          <w:tcPr>
            <w:tcW w:w="996" w:type="dxa"/>
            <w:vAlign w:val="top"/>
          </w:tcPr>
          <w:p w14:paraId="4D8EBB73">
            <w:pPr>
              <w:spacing w:before="87"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-19</w:t>
            </w:r>
          </w:p>
        </w:tc>
        <w:tc>
          <w:tcPr>
            <w:tcW w:w="1410" w:type="dxa"/>
            <w:vAlign w:val="top"/>
          </w:tcPr>
          <w:p w14:paraId="2504EF5D">
            <w:pPr>
              <w:spacing w:before="87"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0.572</w:t>
            </w:r>
          </w:p>
        </w:tc>
        <w:tc>
          <w:tcPr>
            <w:tcW w:w="1135" w:type="dxa"/>
            <w:vAlign w:val="top"/>
          </w:tcPr>
          <w:p w14:paraId="29AFA336">
            <w:pPr>
              <w:spacing w:before="87"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0.560</w:t>
            </w:r>
          </w:p>
        </w:tc>
        <w:tc>
          <w:tcPr>
            <w:tcW w:w="1135" w:type="dxa"/>
            <w:vAlign w:val="top"/>
          </w:tcPr>
          <w:p w14:paraId="17BA2D72">
            <w:pPr>
              <w:spacing w:before="87"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0.535</w:t>
            </w:r>
          </w:p>
        </w:tc>
        <w:tc>
          <w:tcPr>
            <w:tcW w:w="1135" w:type="dxa"/>
            <w:vAlign w:val="top"/>
          </w:tcPr>
          <w:p w14:paraId="58CB6E6D">
            <w:pPr>
              <w:spacing w:before="87" w:line="217" w:lineRule="auto"/>
              <w:ind w:left="34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8.635</w:t>
            </w:r>
          </w:p>
        </w:tc>
        <w:tc>
          <w:tcPr>
            <w:tcW w:w="1132" w:type="dxa"/>
            <w:vAlign w:val="top"/>
          </w:tcPr>
          <w:p w14:paraId="46B78FBA">
            <w:pPr>
              <w:spacing w:before="87" w:line="217"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9.286</w:t>
            </w:r>
          </w:p>
        </w:tc>
        <w:tc>
          <w:tcPr>
            <w:tcW w:w="1130" w:type="dxa"/>
            <w:vAlign w:val="top"/>
          </w:tcPr>
          <w:p w14:paraId="44084E33">
            <w:pPr>
              <w:spacing w:before="87" w:line="217"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9.725</w:t>
            </w:r>
          </w:p>
        </w:tc>
      </w:tr>
      <w:tr w14:paraId="4EA29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5" w:type="dxa"/>
            <w:vAlign w:val="top"/>
          </w:tcPr>
          <w:p w14:paraId="3D2A455A">
            <w:pPr>
              <w:spacing w:before="88"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-25</w:t>
            </w:r>
          </w:p>
        </w:tc>
        <w:tc>
          <w:tcPr>
            <w:tcW w:w="996" w:type="dxa"/>
            <w:vAlign w:val="top"/>
          </w:tcPr>
          <w:p w14:paraId="735E6E38">
            <w:pPr>
              <w:spacing w:before="88"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-18</w:t>
            </w:r>
          </w:p>
        </w:tc>
        <w:tc>
          <w:tcPr>
            <w:tcW w:w="1410" w:type="dxa"/>
            <w:vAlign w:val="top"/>
          </w:tcPr>
          <w:p w14:paraId="6A52CCC6">
            <w:pPr>
              <w:spacing w:before="88"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0.637</w:t>
            </w:r>
          </w:p>
        </w:tc>
        <w:tc>
          <w:tcPr>
            <w:tcW w:w="1135" w:type="dxa"/>
            <w:vAlign w:val="top"/>
          </w:tcPr>
          <w:p w14:paraId="18A48542">
            <w:pPr>
              <w:spacing w:before="88"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0.623</w:t>
            </w:r>
          </w:p>
        </w:tc>
        <w:tc>
          <w:tcPr>
            <w:tcW w:w="1135" w:type="dxa"/>
            <w:vAlign w:val="top"/>
          </w:tcPr>
          <w:p w14:paraId="2FFA1FDE">
            <w:pPr>
              <w:spacing w:before="88"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0.595</w:t>
            </w:r>
          </w:p>
        </w:tc>
        <w:tc>
          <w:tcPr>
            <w:tcW w:w="1135" w:type="dxa"/>
            <w:vAlign w:val="top"/>
          </w:tcPr>
          <w:p w14:paraId="1AEB97A7">
            <w:pPr>
              <w:spacing w:before="88" w:line="217"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9.297</w:t>
            </w:r>
          </w:p>
        </w:tc>
        <w:tc>
          <w:tcPr>
            <w:tcW w:w="1132" w:type="dxa"/>
            <w:vAlign w:val="top"/>
          </w:tcPr>
          <w:p w14:paraId="5AE582A5">
            <w:pPr>
              <w:spacing w:before="88" w:line="217" w:lineRule="auto"/>
              <w:ind w:left="30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10.061</w:t>
            </w:r>
          </w:p>
        </w:tc>
        <w:tc>
          <w:tcPr>
            <w:tcW w:w="1130" w:type="dxa"/>
            <w:vAlign w:val="top"/>
          </w:tcPr>
          <w:p w14:paraId="61361747">
            <w:pPr>
              <w:spacing w:before="88" w:line="217" w:lineRule="auto"/>
              <w:ind w:left="29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10.580</w:t>
            </w:r>
          </w:p>
        </w:tc>
      </w:tr>
      <w:tr w14:paraId="3FDEF2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6CF3EC4A">
            <w:pPr>
              <w:spacing w:before="87" w:line="217" w:lineRule="auto"/>
              <w:ind w:left="36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-24</w:t>
            </w:r>
          </w:p>
        </w:tc>
        <w:tc>
          <w:tcPr>
            <w:tcW w:w="996" w:type="dxa"/>
            <w:vAlign w:val="top"/>
          </w:tcPr>
          <w:p w14:paraId="363E4A8B">
            <w:pPr>
              <w:spacing w:before="87" w:line="217" w:lineRule="auto"/>
              <w:ind w:left="35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w:t>
            </w:r>
          </w:p>
        </w:tc>
        <w:tc>
          <w:tcPr>
            <w:tcW w:w="1410" w:type="dxa"/>
            <w:vAlign w:val="top"/>
          </w:tcPr>
          <w:p w14:paraId="1F8E1261">
            <w:pPr>
              <w:spacing w:before="87"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0.712</w:t>
            </w:r>
          </w:p>
        </w:tc>
        <w:tc>
          <w:tcPr>
            <w:tcW w:w="1135" w:type="dxa"/>
            <w:vAlign w:val="top"/>
          </w:tcPr>
          <w:p w14:paraId="632AF820">
            <w:pPr>
              <w:spacing w:before="87"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0.697</w:t>
            </w:r>
          </w:p>
        </w:tc>
        <w:tc>
          <w:tcPr>
            <w:tcW w:w="1135" w:type="dxa"/>
            <w:vAlign w:val="top"/>
          </w:tcPr>
          <w:p w14:paraId="727D0FD4">
            <w:pPr>
              <w:spacing w:before="87"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0.664</w:t>
            </w:r>
          </w:p>
        </w:tc>
        <w:tc>
          <w:tcPr>
            <w:tcW w:w="1135" w:type="dxa"/>
            <w:vAlign w:val="top"/>
          </w:tcPr>
          <w:p w14:paraId="72A26134">
            <w:pPr>
              <w:spacing w:before="87" w:line="217" w:lineRule="auto"/>
              <w:ind w:left="29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10.034</w:t>
            </w:r>
          </w:p>
        </w:tc>
        <w:tc>
          <w:tcPr>
            <w:tcW w:w="1132" w:type="dxa"/>
            <w:vAlign w:val="top"/>
          </w:tcPr>
          <w:p w14:paraId="1DA8EB66">
            <w:pPr>
              <w:spacing w:before="87" w:line="217" w:lineRule="auto"/>
              <w:ind w:left="30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10.936</w:t>
            </w:r>
          </w:p>
        </w:tc>
        <w:tc>
          <w:tcPr>
            <w:tcW w:w="1130" w:type="dxa"/>
            <w:vAlign w:val="top"/>
          </w:tcPr>
          <w:p w14:paraId="627471BC">
            <w:pPr>
              <w:spacing w:before="87" w:line="217" w:lineRule="auto"/>
              <w:ind w:left="30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11.557</w:t>
            </w:r>
          </w:p>
        </w:tc>
      </w:tr>
      <w:tr w14:paraId="708EA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7415DC08">
            <w:pPr>
              <w:spacing w:before="88" w:line="216"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tc>
        <w:tc>
          <w:tcPr>
            <w:tcW w:w="996" w:type="dxa"/>
            <w:vAlign w:val="top"/>
          </w:tcPr>
          <w:p w14:paraId="5EEB0C0C">
            <w:pPr>
              <w:spacing w:before="88" w:line="216" w:lineRule="auto"/>
              <w:ind w:left="409"/>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tc>
        <w:tc>
          <w:tcPr>
            <w:tcW w:w="1410" w:type="dxa"/>
            <w:vAlign w:val="top"/>
          </w:tcPr>
          <w:p w14:paraId="56CBEDEA">
            <w:pPr>
              <w:spacing w:before="88" w:line="216"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0.722</w:t>
            </w:r>
          </w:p>
        </w:tc>
        <w:tc>
          <w:tcPr>
            <w:tcW w:w="1135" w:type="dxa"/>
            <w:vAlign w:val="top"/>
          </w:tcPr>
          <w:p w14:paraId="343033FB">
            <w:pPr>
              <w:spacing w:before="88" w:line="216"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0.706</w:t>
            </w:r>
          </w:p>
        </w:tc>
        <w:tc>
          <w:tcPr>
            <w:tcW w:w="1135" w:type="dxa"/>
            <w:vAlign w:val="top"/>
          </w:tcPr>
          <w:p w14:paraId="7DC396A3">
            <w:pPr>
              <w:spacing w:before="88" w:line="216"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0.674</w:t>
            </w:r>
          </w:p>
        </w:tc>
        <w:tc>
          <w:tcPr>
            <w:tcW w:w="1135" w:type="dxa"/>
            <w:vAlign w:val="top"/>
          </w:tcPr>
          <w:p w14:paraId="413AC738">
            <w:pPr>
              <w:spacing w:before="88" w:line="216" w:lineRule="auto"/>
              <w:ind w:left="29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10.235</w:t>
            </w:r>
          </w:p>
        </w:tc>
        <w:tc>
          <w:tcPr>
            <w:tcW w:w="1132" w:type="dxa"/>
            <w:vAlign w:val="top"/>
          </w:tcPr>
          <w:p w14:paraId="7BB683C2">
            <w:pPr>
              <w:spacing w:before="88" w:line="216" w:lineRule="auto"/>
              <w:ind w:left="304"/>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11.182</w:t>
            </w:r>
          </w:p>
        </w:tc>
        <w:tc>
          <w:tcPr>
            <w:tcW w:w="1130" w:type="dxa"/>
            <w:vAlign w:val="top"/>
          </w:tcPr>
          <w:p w14:paraId="71447FC9">
            <w:pPr>
              <w:spacing w:before="88" w:line="216" w:lineRule="auto"/>
              <w:ind w:left="300"/>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11.840</w:t>
            </w:r>
          </w:p>
        </w:tc>
      </w:tr>
      <w:tr w14:paraId="25DB6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3AA7E7DA">
            <w:pPr>
              <w:spacing w:before="88" w:line="216"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tc>
        <w:tc>
          <w:tcPr>
            <w:tcW w:w="996" w:type="dxa"/>
            <w:vAlign w:val="top"/>
          </w:tcPr>
          <w:p w14:paraId="7122D9BB">
            <w:pPr>
              <w:spacing w:before="88" w:line="216" w:lineRule="auto"/>
              <w:ind w:left="409"/>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tc>
        <w:tc>
          <w:tcPr>
            <w:tcW w:w="1410" w:type="dxa"/>
            <w:vAlign w:val="top"/>
          </w:tcPr>
          <w:p w14:paraId="7589D5A6">
            <w:pPr>
              <w:spacing w:before="88" w:line="216"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0.645</w:t>
            </w:r>
          </w:p>
        </w:tc>
        <w:tc>
          <w:tcPr>
            <w:tcW w:w="1135" w:type="dxa"/>
            <w:vAlign w:val="top"/>
          </w:tcPr>
          <w:p w14:paraId="11631EE1">
            <w:pPr>
              <w:spacing w:before="88" w:line="216"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0.631</w:t>
            </w:r>
          </w:p>
        </w:tc>
        <w:tc>
          <w:tcPr>
            <w:tcW w:w="1135" w:type="dxa"/>
            <w:vAlign w:val="top"/>
          </w:tcPr>
          <w:p w14:paraId="2F5386A3">
            <w:pPr>
              <w:spacing w:before="88" w:line="216"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0.603</w:t>
            </w:r>
          </w:p>
        </w:tc>
        <w:tc>
          <w:tcPr>
            <w:tcW w:w="1135" w:type="dxa"/>
            <w:vAlign w:val="top"/>
          </w:tcPr>
          <w:p w14:paraId="359D3B87">
            <w:pPr>
              <w:spacing w:before="88" w:line="216"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9.477</w:t>
            </w:r>
          </w:p>
        </w:tc>
        <w:tc>
          <w:tcPr>
            <w:tcW w:w="1132" w:type="dxa"/>
            <w:vAlign w:val="top"/>
          </w:tcPr>
          <w:p w14:paraId="12FC73BB">
            <w:pPr>
              <w:spacing w:before="88" w:line="216" w:lineRule="auto"/>
              <w:ind w:left="30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10.278</w:t>
            </w:r>
          </w:p>
        </w:tc>
        <w:tc>
          <w:tcPr>
            <w:tcW w:w="1130" w:type="dxa"/>
            <w:vAlign w:val="top"/>
          </w:tcPr>
          <w:p w14:paraId="7BAB8016">
            <w:pPr>
              <w:spacing w:before="88" w:line="216" w:lineRule="auto"/>
              <w:ind w:left="29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10.827</w:t>
            </w:r>
          </w:p>
        </w:tc>
      </w:tr>
      <w:tr w14:paraId="479241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95" w:type="dxa"/>
            <w:vAlign w:val="top"/>
          </w:tcPr>
          <w:p w14:paraId="56A9FA11">
            <w:pPr>
              <w:spacing w:before="91" w:line="216"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tc>
        <w:tc>
          <w:tcPr>
            <w:tcW w:w="996" w:type="dxa"/>
            <w:vAlign w:val="top"/>
          </w:tcPr>
          <w:p w14:paraId="2167857E">
            <w:pPr>
              <w:spacing w:before="91" w:line="216" w:lineRule="auto"/>
              <w:ind w:left="409"/>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tc>
        <w:tc>
          <w:tcPr>
            <w:tcW w:w="1410" w:type="dxa"/>
            <w:vAlign w:val="top"/>
          </w:tcPr>
          <w:p w14:paraId="5B33E236">
            <w:pPr>
              <w:spacing w:before="91" w:line="216"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0.578</w:t>
            </w:r>
          </w:p>
        </w:tc>
        <w:tc>
          <w:tcPr>
            <w:tcW w:w="1135" w:type="dxa"/>
            <w:vAlign w:val="top"/>
          </w:tcPr>
          <w:p w14:paraId="17B350BF">
            <w:pPr>
              <w:spacing w:before="91" w:line="216"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0.566</w:t>
            </w:r>
          </w:p>
        </w:tc>
        <w:tc>
          <w:tcPr>
            <w:tcW w:w="1135" w:type="dxa"/>
            <w:vAlign w:val="top"/>
          </w:tcPr>
          <w:p w14:paraId="60EDF75B">
            <w:pPr>
              <w:spacing w:before="91" w:line="216"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0.541</w:t>
            </w:r>
          </w:p>
        </w:tc>
        <w:tc>
          <w:tcPr>
            <w:tcW w:w="1135" w:type="dxa"/>
            <w:vAlign w:val="top"/>
          </w:tcPr>
          <w:p w14:paraId="50808082">
            <w:pPr>
              <w:spacing w:before="91" w:line="216" w:lineRule="auto"/>
              <w:ind w:left="34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8.797</w:t>
            </w:r>
          </w:p>
        </w:tc>
        <w:tc>
          <w:tcPr>
            <w:tcW w:w="1132" w:type="dxa"/>
            <w:vAlign w:val="top"/>
          </w:tcPr>
          <w:p w14:paraId="3028AA17">
            <w:pPr>
              <w:spacing w:before="91" w:line="216"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9.479</w:t>
            </w:r>
          </w:p>
        </w:tc>
        <w:tc>
          <w:tcPr>
            <w:tcW w:w="1130" w:type="dxa"/>
            <w:vAlign w:val="top"/>
          </w:tcPr>
          <w:p w14:paraId="0306761F">
            <w:pPr>
              <w:spacing w:before="91" w:line="216"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9.941</w:t>
            </w:r>
          </w:p>
        </w:tc>
      </w:tr>
      <w:tr w14:paraId="7A88E9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5" w:type="dxa"/>
            <w:vAlign w:val="top"/>
          </w:tcPr>
          <w:p w14:paraId="6DE00699">
            <w:pPr>
              <w:spacing w:before="90" w:line="215"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tc>
        <w:tc>
          <w:tcPr>
            <w:tcW w:w="996" w:type="dxa"/>
            <w:vAlign w:val="top"/>
          </w:tcPr>
          <w:p w14:paraId="55EC1FC0">
            <w:pPr>
              <w:spacing w:before="90" w:line="215" w:lineRule="auto"/>
              <w:ind w:left="3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410" w:type="dxa"/>
            <w:vAlign w:val="top"/>
          </w:tcPr>
          <w:p w14:paraId="43C2C487">
            <w:pPr>
              <w:spacing w:before="90" w:line="215"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0.520</w:t>
            </w:r>
          </w:p>
        </w:tc>
        <w:tc>
          <w:tcPr>
            <w:tcW w:w="1135" w:type="dxa"/>
            <w:vAlign w:val="top"/>
          </w:tcPr>
          <w:p w14:paraId="3662C58B">
            <w:pPr>
              <w:spacing w:before="90" w:line="215"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0.509</w:t>
            </w:r>
          </w:p>
        </w:tc>
        <w:tc>
          <w:tcPr>
            <w:tcW w:w="1135" w:type="dxa"/>
            <w:vAlign w:val="top"/>
          </w:tcPr>
          <w:p w14:paraId="41B0D2CE">
            <w:pPr>
              <w:spacing w:before="90" w:line="215"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0.488</w:t>
            </w:r>
          </w:p>
        </w:tc>
        <w:tc>
          <w:tcPr>
            <w:tcW w:w="1135" w:type="dxa"/>
            <w:vAlign w:val="top"/>
          </w:tcPr>
          <w:p w14:paraId="671A24E5">
            <w:pPr>
              <w:spacing w:before="90" w:line="215" w:lineRule="auto"/>
              <w:ind w:left="34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8.186</w:t>
            </w:r>
          </w:p>
        </w:tc>
        <w:tc>
          <w:tcPr>
            <w:tcW w:w="1132" w:type="dxa"/>
            <w:vAlign w:val="top"/>
          </w:tcPr>
          <w:p w14:paraId="3109C197">
            <w:pPr>
              <w:spacing w:before="90" w:line="215" w:lineRule="auto"/>
              <w:ind w:left="34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8.769</w:t>
            </w:r>
          </w:p>
        </w:tc>
        <w:tc>
          <w:tcPr>
            <w:tcW w:w="1130" w:type="dxa"/>
            <w:vAlign w:val="top"/>
          </w:tcPr>
          <w:p w14:paraId="428D5D91">
            <w:pPr>
              <w:spacing w:before="90" w:line="215"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9.161</w:t>
            </w:r>
          </w:p>
        </w:tc>
      </w:tr>
      <w:tr w14:paraId="3D51A2D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6073502E">
            <w:pPr>
              <w:spacing w:before="89" w:line="215"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w:t>
            </w:r>
          </w:p>
        </w:tc>
        <w:tc>
          <w:tcPr>
            <w:tcW w:w="996" w:type="dxa"/>
            <w:vAlign w:val="top"/>
          </w:tcPr>
          <w:p w14:paraId="4B34E581">
            <w:pPr>
              <w:spacing w:before="89" w:line="215" w:lineRule="auto"/>
              <w:ind w:left="3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c>
          <w:tcPr>
            <w:tcW w:w="1410" w:type="dxa"/>
            <w:vAlign w:val="top"/>
          </w:tcPr>
          <w:p w14:paraId="5D5EFD69">
            <w:pPr>
              <w:spacing w:before="89" w:line="215"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0.469</w:t>
            </w:r>
          </w:p>
        </w:tc>
        <w:tc>
          <w:tcPr>
            <w:tcW w:w="1135" w:type="dxa"/>
            <w:vAlign w:val="top"/>
          </w:tcPr>
          <w:p w14:paraId="4486A785">
            <w:pPr>
              <w:spacing w:before="89" w:line="215"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0.460</w:t>
            </w:r>
          </w:p>
        </w:tc>
        <w:tc>
          <w:tcPr>
            <w:tcW w:w="1135" w:type="dxa"/>
            <w:vAlign w:val="top"/>
          </w:tcPr>
          <w:p w14:paraId="62B33BD1">
            <w:pPr>
              <w:spacing w:before="89" w:line="215"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0.441</w:t>
            </w:r>
          </w:p>
        </w:tc>
        <w:tc>
          <w:tcPr>
            <w:tcW w:w="1135" w:type="dxa"/>
            <w:vAlign w:val="top"/>
          </w:tcPr>
          <w:p w14:paraId="6C7A36B9">
            <w:pPr>
              <w:spacing w:before="89" w:line="215"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7.634</w:t>
            </w:r>
          </w:p>
        </w:tc>
        <w:tc>
          <w:tcPr>
            <w:tcW w:w="1132" w:type="dxa"/>
            <w:vAlign w:val="top"/>
          </w:tcPr>
          <w:p w14:paraId="0EB554F8">
            <w:pPr>
              <w:spacing w:before="89" w:line="215" w:lineRule="auto"/>
              <w:ind w:left="34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8.136</w:t>
            </w:r>
          </w:p>
        </w:tc>
        <w:tc>
          <w:tcPr>
            <w:tcW w:w="1130" w:type="dxa"/>
            <w:vAlign w:val="top"/>
          </w:tcPr>
          <w:p w14:paraId="50E49766">
            <w:pPr>
              <w:spacing w:before="89" w:line="215"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8.471</w:t>
            </w:r>
          </w:p>
        </w:tc>
      </w:tr>
      <w:tr w14:paraId="470333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53A9BB72">
            <w:pPr>
              <w:spacing w:before="90" w:line="214"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w:t>
            </w:r>
          </w:p>
        </w:tc>
        <w:tc>
          <w:tcPr>
            <w:tcW w:w="996" w:type="dxa"/>
            <w:vAlign w:val="top"/>
          </w:tcPr>
          <w:p w14:paraId="37E2825A">
            <w:pPr>
              <w:spacing w:before="90" w:line="214" w:lineRule="auto"/>
              <w:ind w:left="3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tc>
        <w:tc>
          <w:tcPr>
            <w:tcW w:w="1410" w:type="dxa"/>
            <w:vAlign w:val="top"/>
          </w:tcPr>
          <w:p w14:paraId="1D37FEF8">
            <w:pPr>
              <w:spacing w:before="90" w:line="214"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0.425</w:t>
            </w:r>
          </w:p>
        </w:tc>
        <w:tc>
          <w:tcPr>
            <w:tcW w:w="1135" w:type="dxa"/>
            <w:vAlign w:val="top"/>
          </w:tcPr>
          <w:p w14:paraId="43B3E0D9">
            <w:pPr>
              <w:spacing w:before="90" w:line="214"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0.416</w:t>
            </w:r>
          </w:p>
        </w:tc>
        <w:tc>
          <w:tcPr>
            <w:tcW w:w="1135" w:type="dxa"/>
            <w:vAlign w:val="top"/>
          </w:tcPr>
          <w:p w14:paraId="6AF56C6C">
            <w:pPr>
              <w:spacing w:before="90" w:line="214"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0.400</w:t>
            </w:r>
          </w:p>
        </w:tc>
        <w:tc>
          <w:tcPr>
            <w:tcW w:w="1135" w:type="dxa"/>
            <w:vAlign w:val="top"/>
          </w:tcPr>
          <w:p w14:paraId="0CCB124D">
            <w:pPr>
              <w:spacing w:before="90" w:line="214"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7.134</w:t>
            </w:r>
          </w:p>
        </w:tc>
        <w:tc>
          <w:tcPr>
            <w:tcW w:w="1132" w:type="dxa"/>
            <w:vAlign w:val="top"/>
          </w:tcPr>
          <w:p w14:paraId="1D560E4A">
            <w:pPr>
              <w:spacing w:before="90" w:line="214"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7.569</w:t>
            </w:r>
          </w:p>
        </w:tc>
        <w:tc>
          <w:tcPr>
            <w:tcW w:w="1130" w:type="dxa"/>
            <w:vAlign w:val="top"/>
          </w:tcPr>
          <w:p w14:paraId="775891A9">
            <w:pPr>
              <w:spacing w:before="90" w:line="214"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7.857</w:t>
            </w:r>
          </w:p>
        </w:tc>
      </w:tr>
      <w:tr w14:paraId="5348A8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2F26A7C8">
            <w:pPr>
              <w:spacing w:before="90" w:line="214"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w:t>
            </w:r>
          </w:p>
        </w:tc>
        <w:tc>
          <w:tcPr>
            <w:tcW w:w="996" w:type="dxa"/>
            <w:vAlign w:val="top"/>
          </w:tcPr>
          <w:p w14:paraId="7E3A7EC8">
            <w:pPr>
              <w:spacing w:before="90" w:line="214" w:lineRule="auto"/>
              <w:ind w:left="3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tc>
        <w:tc>
          <w:tcPr>
            <w:tcW w:w="1410" w:type="dxa"/>
            <w:vAlign w:val="top"/>
          </w:tcPr>
          <w:p w14:paraId="50D9F776">
            <w:pPr>
              <w:spacing w:before="90" w:line="214"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0.385</w:t>
            </w:r>
          </w:p>
        </w:tc>
        <w:tc>
          <w:tcPr>
            <w:tcW w:w="1135" w:type="dxa"/>
            <w:vAlign w:val="top"/>
          </w:tcPr>
          <w:p w14:paraId="499EB65F">
            <w:pPr>
              <w:spacing w:before="90" w:line="214"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0.378</w:t>
            </w:r>
          </w:p>
        </w:tc>
        <w:tc>
          <w:tcPr>
            <w:tcW w:w="1135" w:type="dxa"/>
            <w:vAlign w:val="top"/>
          </w:tcPr>
          <w:p w14:paraId="7282F6D1">
            <w:pPr>
              <w:spacing w:before="90" w:line="214"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0.364</w:t>
            </w:r>
          </w:p>
        </w:tc>
        <w:tc>
          <w:tcPr>
            <w:tcW w:w="1135" w:type="dxa"/>
            <w:vAlign w:val="top"/>
          </w:tcPr>
          <w:p w14:paraId="57C76080">
            <w:pPr>
              <w:spacing w:before="90" w:line="214"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6.681</w:t>
            </w:r>
          </w:p>
        </w:tc>
        <w:tc>
          <w:tcPr>
            <w:tcW w:w="1132" w:type="dxa"/>
            <w:vAlign w:val="top"/>
          </w:tcPr>
          <w:p w14:paraId="50BF603C">
            <w:pPr>
              <w:spacing w:before="90" w:line="214"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7.059</w:t>
            </w:r>
          </w:p>
        </w:tc>
        <w:tc>
          <w:tcPr>
            <w:tcW w:w="1130" w:type="dxa"/>
            <w:vAlign w:val="top"/>
          </w:tcPr>
          <w:p w14:paraId="2345B5EB">
            <w:pPr>
              <w:spacing w:before="90" w:line="214"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7.308</w:t>
            </w:r>
          </w:p>
        </w:tc>
      </w:tr>
      <w:tr w14:paraId="134444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995" w:type="dxa"/>
            <w:vAlign w:val="top"/>
          </w:tcPr>
          <w:p w14:paraId="13A13722">
            <w:pPr>
              <w:spacing w:before="91" w:line="214" w:lineRule="auto"/>
              <w:ind w:left="39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c>
          <w:tcPr>
            <w:tcW w:w="996" w:type="dxa"/>
            <w:vAlign w:val="top"/>
          </w:tcPr>
          <w:p w14:paraId="37C26707">
            <w:pPr>
              <w:spacing w:before="91" w:line="214" w:lineRule="auto"/>
              <w:ind w:left="3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tc>
        <w:tc>
          <w:tcPr>
            <w:tcW w:w="1410" w:type="dxa"/>
            <w:vAlign w:val="top"/>
          </w:tcPr>
          <w:p w14:paraId="54F4B667">
            <w:pPr>
              <w:spacing w:before="91" w:line="214"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0.351</w:t>
            </w:r>
          </w:p>
        </w:tc>
        <w:tc>
          <w:tcPr>
            <w:tcW w:w="1135" w:type="dxa"/>
            <w:vAlign w:val="top"/>
          </w:tcPr>
          <w:p w14:paraId="51622D29">
            <w:pPr>
              <w:spacing w:before="91" w:line="214"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0.344</w:t>
            </w:r>
          </w:p>
        </w:tc>
        <w:tc>
          <w:tcPr>
            <w:tcW w:w="1135" w:type="dxa"/>
            <w:vAlign w:val="top"/>
          </w:tcPr>
          <w:p w14:paraId="6DDB7BA0">
            <w:pPr>
              <w:spacing w:before="91" w:line="214"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0.332</w:t>
            </w:r>
          </w:p>
        </w:tc>
        <w:tc>
          <w:tcPr>
            <w:tcW w:w="1135" w:type="dxa"/>
            <w:vAlign w:val="top"/>
          </w:tcPr>
          <w:p w14:paraId="47DF9D85">
            <w:pPr>
              <w:spacing w:before="91" w:line="214"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6.268</w:t>
            </w:r>
          </w:p>
        </w:tc>
        <w:tc>
          <w:tcPr>
            <w:tcW w:w="1132" w:type="dxa"/>
            <w:vAlign w:val="top"/>
          </w:tcPr>
          <w:p w14:paraId="188BD2A9">
            <w:pPr>
              <w:spacing w:before="91" w:line="214"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6.599</w:t>
            </w:r>
          </w:p>
        </w:tc>
        <w:tc>
          <w:tcPr>
            <w:tcW w:w="1130" w:type="dxa"/>
            <w:vAlign w:val="top"/>
          </w:tcPr>
          <w:p w14:paraId="3D1D08C4">
            <w:pPr>
              <w:spacing w:before="91" w:line="214" w:lineRule="auto"/>
              <w:ind w:left="3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6.815</w:t>
            </w:r>
          </w:p>
        </w:tc>
      </w:tr>
      <w:tr w14:paraId="285F9D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95" w:type="dxa"/>
            <w:vAlign w:val="top"/>
          </w:tcPr>
          <w:p w14:paraId="1F3B21D5">
            <w:pPr>
              <w:spacing w:before="93" w:line="214" w:lineRule="auto"/>
              <w:ind w:left="39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31</w:t>
            </w:r>
          </w:p>
        </w:tc>
        <w:tc>
          <w:tcPr>
            <w:tcW w:w="996" w:type="dxa"/>
            <w:vAlign w:val="top"/>
          </w:tcPr>
          <w:p w14:paraId="682708D2">
            <w:pPr>
              <w:spacing w:before="93" w:line="214" w:lineRule="auto"/>
              <w:ind w:left="3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tc>
        <w:tc>
          <w:tcPr>
            <w:tcW w:w="1410" w:type="dxa"/>
            <w:vAlign w:val="top"/>
          </w:tcPr>
          <w:p w14:paraId="3C9224FF">
            <w:pPr>
              <w:spacing w:before="93" w:line="214"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0.320</w:t>
            </w:r>
          </w:p>
        </w:tc>
        <w:tc>
          <w:tcPr>
            <w:tcW w:w="1135" w:type="dxa"/>
            <w:vAlign w:val="top"/>
          </w:tcPr>
          <w:p w14:paraId="18B68FA8">
            <w:pPr>
              <w:spacing w:before="93" w:line="214"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0.315</w:t>
            </w:r>
          </w:p>
        </w:tc>
        <w:tc>
          <w:tcPr>
            <w:tcW w:w="1135" w:type="dxa"/>
            <w:vAlign w:val="top"/>
          </w:tcPr>
          <w:p w14:paraId="0743A053">
            <w:pPr>
              <w:spacing w:before="93" w:line="214"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0.303</w:t>
            </w:r>
          </w:p>
        </w:tc>
        <w:tc>
          <w:tcPr>
            <w:tcW w:w="1135" w:type="dxa"/>
            <w:vAlign w:val="top"/>
          </w:tcPr>
          <w:p w14:paraId="305B665F">
            <w:pPr>
              <w:spacing w:before="93" w:line="214"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5.892</w:t>
            </w:r>
          </w:p>
        </w:tc>
        <w:tc>
          <w:tcPr>
            <w:tcW w:w="1132" w:type="dxa"/>
            <w:vAlign w:val="top"/>
          </w:tcPr>
          <w:p w14:paraId="4D78F18C">
            <w:pPr>
              <w:spacing w:before="93" w:line="214"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6.183</w:t>
            </w:r>
          </w:p>
        </w:tc>
        <w:tc>
          <w:tcPr>
            <w:tcW w:w="1130" w:type="dxa"/>
            <w:vAlign w:val="top"/>
          </w:tcPr>
          <w:p w14:paraId="4E599D44">
            <w:pPr>
              <w:spacing w:before="93" w:line="214" w:lineRule="auto"/>
              <w:ind w:left="3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6.371</w:t>
            </w:r>
          </w:p>
        </w:tc>
      </w:tr>
      <w:tr w14:paraId="3D202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95" w:type="dxa"/>
            <w:vAlign w:val="top"/>
          </w:tcPr>
          <w:p w14:paraId="4693B7EE">
            <w:pPr>
              <w:spacing w:before="91" w:line="218" w:lineRule="auto"/>
              <w:ind w:left="39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32</w:t>
            </w:r>
          </w:p>
        </w:tc>
        <w:tc>
          <w:tcPr>
            <w:tcW w:w="996" w:type="dxa"/>
            <w:vAlign w:val="top"/>
          </w:tcPr>
          <w:p w14:paraId="581DF5E3">
            <w:pPr>
              <w:spacing w:before="91" w:line="218" w:lineRule="auto"/>
              <w:ind w:left="3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tc>
        <w:tc>
          <w:tcPr>
            <w:tcW w:w="1410" w:type="dxa"/>
            <w:vAlign w:val="top"/>
          </w:tcPr>
          <w:p w14:paraId="40EE088E">
            <w:pPr>
              <w:spacing w:before="91" w:line="218"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0.293</w:t>
            </w:r>
          </w:p>
        </w:tc>
        <w:tc>
          <w:tcPr>
            <w:tcW w:w="1135" w:type="dxa"/>
            <w:vAlign w:val="top"/>
          </w:tcPr>
          <w:p w14:paraId="682C0589">
            <w:pPr>
              <w:spacing w:before="91" w:line="218"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0.288</w:t>
            </w:r>
          </w:p>
        </w:tc>
        <w:tc>
          <w:tcPr>
            <w:tcW w:w="1135" w:type="dxa"/>
            <w:vAlign w:val="top"/>
          </w:tcPr>
          <w:p w14:paraId="674B3229">
            <w:pPr>
              <w:spacing w:before="91" w:line="218"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0.278</w:t>
            </w:r>
          </w:p>
        </w:tc>
        <w:tc>
          <w:tcPr>
            <w:tcW w:w="1135" w:type="dxa"/>
            <w:vAlign w:val="top"/>
          </w:tcPr>
          <w:p w14:paraId="4E17CBC0">
            <w:pPr>
              <w:spacing w:before="91" w:line="218"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5.549</w:t>
            </w:r>
          </w:p>
        </w:tc>
        <w:tc>
          <w:tcPr>
            <w:tcW w:w="1132" w:type="dxa"/>
            <w:vAlign w:val="top"/>
          </w:tcPr>
          <w:p w14:paraId="7C5CD970">
            <w:pPr>
              <w:spacing w:before="91" w:line="218" w:lineRule="auto"/>
              <w:ind w:left="33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5.804</w:t>
            </w:r>
          </w:p>
        </w:tc>
        <w:tc>
          <w:tcPr>
            <w:tcW w:w="1130" w:type="dxa"/>
            <w:vAlign w:val="top"/>
          </w:tcPr>
          <w:p w14:paraId="5A2269AB">
            <w:pPr>
              <w:spacing w:before="91" w:line="218"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5.970</w:t>
            </w:r>
          </w:p>
        </w:tc>
      </w:tr>
    </w:tbl>
    <w:p w14:paraId="1FCF3711">
      <w:pPr>
        <w:rPr>
          <w:rFonts w:ascii="Arial"/>
          <w:sz w:val="21"/>
        </w:rPr>
      </w:pPr>
    </w:p>
    <w:p w14:paraId="41D884B8">
      <w:pPr>
        <w:rPr>
          <w:rFonts w:ascii="Arial" w:hAnsi="Arial" w:eastAsia="Arial" w:cs="Arial"/>
          <w:sz w:val="21"/>
          <w:szCs w:val="21"/>
        </w:rPr>
        <w:sectPr>
          <w:footerReference r:id="rId132" w:type="default"/>
          <w:pgSz w:w="11907" w:h="16841"/>
          <w:pgMar w:top="400" w:right="1413" w:bottom="1126" w:left="1418" w:header="0" w:footer="925" w:gutter="0"/>
          <w:cols w:space="720" w:num="1"/>
        </w:sectPr>
      </w:pPr>
    </w:p>
    <w:p w14:paraId="63E298C4">
      <w:pPr>
        <w:spacing w:before="2"/>
      </w:pPr>
    </w:p>
    <w:p w14:paraId="6DB43FDD">
      <w:pPr>
        <w:spacing w:before="2"/>
      </w:pPr>
    </w:p>
    <w:p w14:paraId="3F0F6516">
      <w:pPr>
        <w:spacing w:before="1"/>
      </w:pPr>
    </w:p>
    <w:p w14:paraId="5CE7A814">
      <w:pPr>
        <w:spacing w:before="1"/>
      </w:pPr>
    </w:p>
    <w:p w14:paraId="4D589190">
      <w:pPr>
        <w:spacing w:before="1"/>
      </w:pP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5"/>
        <w:gridCol w:w="996"/>
        <w:gridCol w:w="1410"/>
        <w:gridCol w:w="1135"/>
        <w:gridCol w:w="1135"/>
        <w:gridCol w:w="1135"/>
        <w:gridCol w:w="1132"/>
        <w:gridCol w:w="1130"/>
      </w:tblGrid>
      <w:tr w14:paraId="481401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95" w:type="dxa"/>
            <w:vAlign w:val="top"/>
          </w:tcPr>
          <w:p w14:paraId="1FF47A59">
            <w:pPr>
              <w:spacing w:before="93" w:line="216" w:lineRule="auto"/>
              <w:ind w:left="39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33</w:t>
            </w:r>
          </w:p>
        </w:tc>
        <w:tc>
          <w:tcPr>
            <w:tcW w:w="996" w:type="dxa"/>
            <w:vAlign w:val="top"/>
          </w:tcPr>
          <w:p w14:paraId="3840EEB1">
            <w:pPr>
              <w:spacing w:before="93" w:line="216" w:lineRule="auto"/>
              <w:ind w:left="3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w:t>
            </w:r>
          </w:p>
        </w:tc>
        <w:tc>
          <w:tcPr>
            <w:tcW w:w="1410" w:type="dxa"/>
            <w:vAlign w:val="top"/>
          </w:tcPr>
          <w:p w14:paraId="75BA41CD">
            <w:pPr>
              <w:spacing w:before="93" w:line="216"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0.269</w:t>
            </w:r>
          </w:p>
        </w:tc>
        <w:tc>
          <w:tcPr>
            <w:tcW w:w="1135" w:type="dxa"/>
            <w:vAlign w:val="top"/>
          </w:tcPr>
          <w:p w14:paraId="4F06FCD0">
            <w:pPr>
              <w:spacing w:before="93" w:line="216"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0.264</w:t>
            </w:r>
          </w:p>
        </w:tc>
        <w:tc>
          <w:tcPr>
            <w:tcW w:w="1135" w:type="dxa"/>
            <w:vAlign w:val="top"/>
          </w:tcPr>
          <w:p w14:paraId="794A1617">
            <w:pPr>
              <w:spacing w:before="93" w:line="216"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0.256</w:t>
            </w:r>
          </w:p>
        </w:tc>
        <w:tc>
          <w:tcPr>
            <w:tcW w:w="1135" w:type="dxa"/>
            <w:vAlign w:val="top"/>
          </w:tcPr>
          <w:p w14:paraId="7B2C32D8">
            <w:pPr>
              <w:spacing w:before="93" w:line="216"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5.233</w:t>
            </w:r>
          </w:p>
        </w:tc>
        <w:tc>
          <w:tcPr>
            <w:tcW w:w="1132" w:type="dxa"/>
            <w:vAlign w:val="top"/>
          </w:tcPr>
          <w:p w14:paraId="606D797A">
            <w:pPr>
              <w:spacing w:before="93" w:line="216" w:lineRule="auto"/>
              <w:ind w:left="33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5.460</w:t>
            </w:r>
          </w:p>
        </w:tc>
        <w:tc>
          <w:tcPr>
            <w:tcW w:w="1130" w:type="dxa"/>
            <w:vAlign w:val="top"/>
          </w:tcPr>
          <w:p w14:paraId="464188FA">
            <w:pPr>
              <w:spacing w:before="93" w:line="216"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5.606</w:t>
            </w:r>
          </w:p>
        </w:tc>
      </w:tr>
      <w:tr w14:paraId="3C1154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95" w:type="dxa"/>
            <w:vAlign w:val="top"/>
          </w:tcPr>
          <w:p w14:paraId="623D7469">
            <w:pPr>
              <w:spacing w:before="89" w:line="218" w:lineRule="auto"/>
              <w:ind w:left="39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34</w:t>
            </w:r>
          </w:p>
        </w:tc>
        <w:tc>
          <w:tcPr>
            <w:tcW w:w="996" w:type="dxa"/>
            <w:vAlign w:val="top"/>
          </w:tcPr>
          <w:p w14:paraId="2D9D091F">
            <w:pPr>
              <w:spacing w:before="89" w:line="218" w:lineRule="auto"/>
              <w:ind w:left="3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w:t>
            </w:r>
          </w:p>
        </w:tc>
        <w:tc>
          <w:tcPr>
            <w:tcW w:w="1410" w:type="dxa"/>
            <w:vAlign w:val="top"/>
          </w:tcPr>
          <w:p w14:paraId="03FA0191">
            <w:pPr>
              <w:spacing w:before="89" w:line="218"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0.247</w:t>
            </w:r>
          </w:p>
        </w:tc>
        <w:tc>
          <w:tcPr>
            <w:tcW w:w="1135" w:type="dxa"/>
            <w:vAlign w:val="top"/>
          </w:tcPr>
          <w:p w14:paraId="28D41882">
            <w:pPr>
              <w:spacing w:before="89" w:line="218"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0.243</w:t>
            </w:r>
          </w:p>
        </w:tc>
        <w:tc>
          <w:tcPr>
            <w:tcW w:w="1135" w:type="dxa"/>
            <w:vAlign w:val="top"/>
          </w:tcPr>
          <w:p w14:paraId="6E63D568">
            <w:pPr>
              <w:spacing w:before="89" w:line="218"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0.236</w:t>
            </w:r>
          </w:p>
        </w:tc>
        <w:tc>
          <w:tcPr>
            <w:tcW w:w="1135" w:type="dxa"/>
            <w:vAlign w:val="top"/>
          </w:tcPr>
          <w:p w14:paraId="436D204E">
            <w:pPr>
              <w:spacing w:before="89" w:line="218"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4.944</w:t>
            </w:r>
          </w:p>
        </w:tc>
        <w:tc>
          <w:tcPr>
            <w:tcW w:w="1132" w:type="dxa"/>
            <w:vAlign w:val="top"/>
          </w:tcPr>
          <w:p w14:paraId="038E9A6C">
            <w:pPr>
              <w:spacing w:before="89" w:line="218" w:lineRule="auto"/>
              <w:ind w:left="338"/>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5.145</w:t>
            </w:r>
          </w:p>
        </w:tc>
        <w:tc>
          <w:tcPr>
            <w:tcW w:w="1130" w:type="dxa"/>
            <w:vAlign w:val="top"/>
          </w:tcPr>
          <w:p w14:paraId="08E56C1C">
            <w:pPr>
              <w:spacing w:before="89" w:line="218"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5.274</w:t>
            </w:r>
          </w:p>
        </w:tc>
      </w:tr>
      <w:tr w14:paraId="55CB0E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109CB1A7">
            <w:pPr>
              <w:spacing w:before="86" w:line="218" w:lineRule="auto"/>
              <w:ind w:left="39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w:t>
            </w:r>
          </w:p>
        </w:tc>
        <w:tc>
          <w:tcPr>
            <w:tcW w:w="996" w:type="dxa"/>
            <w:vAlign w:val="top"/>
          </w:tcPr>
          <w:p w14:paraId="7E9435FF">
            <w:pPr>
              <w:spacing w:before="86" w:line="218" w:lineRule="auto"/>
              <w:ind w:left="3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w:t>
            </w:r>
          </w:p>
        </w:tc>
        <w:tc>
          <w:tcPr>
            <w:tcW w:w="1410" w:type="dxa"/>
            <w:vAlign w:val="top"/>
          </w:tcPr>
          <w:p w14:paraId="109DBEDE">
            <w:pPr>
              <w:spacing w:before="86" w:line="218"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0.228</w:t>
            </w:r>
          </w:p>
        </w:tc>
        <w:tc>
          <w:tcPr>
            <w:tcW w:w="1135" w:type="dxa"/>
            <w:vAlign w:val="top"/>
          </w:tcPr>
          <w:p w14:paraId="3B6281F2">
            <w:pPr>
              <w:spacing w:before="86" w:line="218"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0.224</w:t>
            </w:r>
          </w:p>
        </w:tc>
        <w:tc>
          <w:tcPr>
            <w:tcW w:w="1135" w:type="dxa"/>
            <w:vAlign w:val="top"/>
          </w:tcPr>
          <w:p w14:paraId="56AE267B">
            <w:pPr>
              <w:spacing w:before="86" w:line="218"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0.218</w:t>
            </w:r>
          </w:p>
        </w:tc>
        <w:tc>
          <w:tcPr>
            <w:tcW w:w="1135" w:type="dxa"/>
            <w:vAlign w:val="top"/>
          </w:tcPr>
          <w:p w14:paraId="3C7EA5ED">
            <w:pPr>
              <w:spacing w:before="86" w:line="218"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4.678</w:t>
            </w:r>
          </w:p>
        </w:tc>
        <w:tc>
          <w:tcPr>
            <w:tcW w:w="1132" w:type="dxa"/>
            <w:vAlign w:val="top"/>
          </w:tcPr>
          <w:p w14:paraId="26D4BFE8">
            <w:pPr>
              <w:spacing w:before="86" w:line="218"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4.857</w:t>
            </w:r>
          </w:p>
        </w:tc>
        <w:tc>
          <w:tcPr>
            <w:tcW w:w="1130" w:type="dxa"/>
            <w:vAlign w:val="top"/>
          </w:tcPr>
          <w:p w14:paraId="3479CD4E">
            <w:pPr>
              <w:spacing w:before="86" w:line="218" w:lineRule="auto"/>
              <w:ind w:left="32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4.971</w:t>
            </w:r>
          </w:p>
        </w:tc>
      </w:tr>
      <w:tr w14:paraId="37F624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1499594B">
            <w:pPr>
              <w:spacing w:before="87" w:line="217" w:lineRule="auto"/>
              <w:ind w:left="39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36</w:t>
            </w:r>
          </w:p>
        </w:tc>
        <w:tc>
          <w:tcPr>
            <w:tcW w:w="996" w:type="dxa"/>
            <w:vAlign w:val="top"/>
          </w:tcPr>
          <w:p w14:paraId="64B64C01">
            <w:pPr>
              <w:spacing w:before="87" w:line="217"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c>
          <w:tcPr>
            <w:tcW w:w="1410" w:type="dxa"/>
            <w:vAlign w:val="top"/>
          </w:tcPr>
          <w:p w14:paraId="1BCDF14C">
            <w:pPr>
              <w:spacing w:before="87" w:line="217"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0.210</w:t>
            </w:r>
          </w:p>
        </w:tc>
        <w:tc>
          <w:tcPr>
            <w:tcW w:w="1135" w:type="dxa"/>
            <w:vAlign w:val="top"/>
          </w:tcPr>
          <w:p w14:paraId="1559683A">
            <w:pPr>
              <w:spacing w:before="87"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0.208</w:t>
            </w:r>
          </w:p>
        </w:tc>
        <w:tc>
          <w:tcPr>
            <w:tcW w:w="1135" w:type="dxa"/>
            <w:vAlign w:val="top"/>
          </w:tcPr>
          <w:p w14:paraId="16A7F424">
            <w:pPr>
              <w:spacing w:before="87" w:line="217"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0.202</w:t>
            </w:r>
          </w:p>
        </w:tc>
        <w:tc>
          <w:tcPr>
            <w:tcW w:w="1135" w:type="dxa"/>
            <w:vAlign w:val="top"/>
          </w:tcPr>
          <w:p w14:paraId="3C2E0EA7">
            <w:pPr>
              <w:spacing w:before="87" w:line="217"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4.432</w:t>
            </w:r>
          </w:p>
        </w:tc>
        <w:tc>
          <w:tcPr>
            <w:tcW w:w="1132" w:type="dxa"/>
            <w:vAlign w:val="top"/>
          </w:tcPr>
          <w:p w14:paraId="29F0FDC3">
            <w:pPr>
              <w:spacing w:before="87" w:line="217"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4.592</w:t>
            </w:r>
          </w:p>
        </w:tc>
        <w:tc>
          <w:tcPr>
            <w:tcW w:w="1130" w:type="dxa"/>
            <w:vAlign w:val="top"/>
          </w:tcPr>
          <w:p w14:paraId="688C88DC">
            <w:pPr>
              <w:spacing w:before="87" w:line="217" w:lineRule="auto"/>
              <w:ind w:left="32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4.694</w:t>
            </w:r>
          </w:p>
        </w:tc>
      </w:tr>
      <w:tr w14:paraId="37F309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34611188">
            <w:pPr>
              <w:spacing w:before="88" w:line="216" w:lineRule="auto"/>
              <w:ind w:left="39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996" w:type="dxa"/>
            <w:vAlign w:val="top"/>
          </w:tcPr>
          <w:p w14:paraId="39A544A2">
            <w:pPr>
              <w:spacing w:before="88" w:line="216"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31</w:t>
            </w:r>
          </w:p>
        </w:tc>
        <w:tc>
          <w:tcPr>
            <w:tcW w:w="1410" w:type="dxa"/>
            <w:vAlign w:val="top"/>
          </w:tcPr>
          <w:p w14:paraId="75129725">
            <w:pPr>
              <w:spacing w:before="88" w:line="216"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0.195</w:t>
            </w:r>
          </w:p>
        </w:tc>
        <w:tc>
          <w:tcPr>
            <w:tcW w:w="1135" w:type="dxa"/>
            <w:vAlign w:val="top"/>
          </w:tcPr>
          <w:p w14:paraId="1A8A0AA8">
            <w:pPr>
              <w:spacing w:before="88" w:line="216"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0.192</w:t>
            </w:r>
          </w:p>
        </w:tc>
        <w:tc>
          <w:tcPr>
            <w:tcW w:w="1135" w:type="dxa"/>
            <w:vAlign w:val="top"/>
          </w:tcPr>
          <w:p w14:paraId="3E6E13FF">
            <w:pPr>
              <w:spacing w:before="88" w:line="216"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0.187</w:t>
            </w:r>
          </w:p>
        </w:tc>
        <w:tc>
          <w:tcPr>
            <w:tcW w:w="1135" w:type="dxa"/>
            <w:vAlign w:val="top"/>
          </w:tcPr>
          <w:p w14:paraId="159D3F96">
            <w:pPr>
              <w:spacing w:before="88" w:line="216"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4.205</w:t>
            </w:r>
          </w:p>
        </w:tc>
        <w:tc>
          <w:tcPr>
            <w:tcW w:w="1132" w:type="dxa"/>
            <w:vAlign w:val="top"/>
          </w:tcPr>
          <w:p w14:paraId="76BC1CAD">
            <w:pPr>
              <w:spacing w:before="88" w:line="216"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4.348</w:t>
            </w:r>
          </w:p>
        </w:tc>
        <w:tc>
          <w:tcPr>
            <w:tcW w:w="1130" w:type="dxa"/>
            <w:vAlign w:val="top"/>
          </w:tcPr>
          <w:p w14:paraId="3D9AB16B">
            <w:pPr>
              <w:spacing w:before="88" w:line="216" w:lineRule="auto"/>
              <w:ind w:left="32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4.440</w:t>
            </w:r>
          </w:p>
        </w:tc>
      </w:tr>
      <w:tr w14:paraId="3041BB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462AF43D">
            <w:pPr>
              <w:spacing w:before="88" w:line="216" w:lineRule="auto"/>
              <w:ind w:left="39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996" w:type="dxa"/>
            <w:vAlign w:val="top"/>
          </w:tcPr>
          <w:p w14:paraId="3017E445">
            <w:pPr>
              <w:spacing w:before="88" w:line="216"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32</w:t>
            </w:r>
          </w:p>
        </w:tc>
        <w:tc>
          <w:tcPr>
            <w:tcW w:w="1410" w:type="dxa"/>
            <w:vAlign w:val="top"/>
          </w:tcPr>
          <w:p w14:paraId="5AFD9B44">
            <w:pPr>
              <w:spacing w:before="88" w:line="216"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0.181</w:t>
            </w:r>
          </w:p>
        </w:tc>
        <w:tc>
          <w:tcPr>
            <w:tcW w:w="1135" w:type="dxa"/>
            <w:vAlign w:val="top"/>
          </w:tcPr>
          <w:p w14:paraId="617CCF77">
            <w:pPr>
              <w:spacing w:before="88" w:line="216"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0.178</w:t>
            </w:r>
          </w:p>
        </w:tc>
        <w:tc>
          <w:tcPr>
            <w:tcW w:w="1135" w:type="dxa"/>
            <w:vAlign w:val="top"/>
          </w:tcPr>
          <w:p w14:paraId="1BE740B9">
            <w:pPr>
              <w:spacing w:before="88" w:line="216"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0.174</w:t>
            </w:r>
          </w:p>
        </w:tc>
        <w:tc>
          <w:tcPr>
            <w:tcW w:w="1135" w:type="dxa"/>
            <w:vAlign w:val="top"/>
          </w:tcPr>
          <w:p w14:paraId="1E64DAB8">
            <w:pPr>
              <w:spacing w:before="88" w:line="216"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3.994</w:t>
            </w:r>
          </w:p>
        </w:tc>
        <w:tc>
          <w:tcPr>
            <w:tcW w:w="1132" w:type="dxa"/>
            <w:vAlign w:val="top"/>
          </w:tcPr>
          <w:p w14:paraId="58A9D7E8">
            <w:pPr>
              <w:spacing w:before="88" w:line="216"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4.124</w:t>
            </w:r>
          </w:p>
        </w:tc>
        <w:tc>
          <w:tcPr>
            <w:tcW w:w="1130" w:type="dxa"/>
            <w:vAlign w:val="top"/>
          </w:tcPr>
          <w:p w14:paraId="75BC95BD">
            <w:pPr>
              <w:spacing w:before="88" w:line="216" w:lineRule="auto"/>
              <w:ind w:left="32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4.205</w:t>
            </w:r>
          </w:p>
        </w:tc>
      </w:tr>
      <w:tr w14:paraId="04459D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23285A62">
            <w:pPr>
              <w:spacing w:before="89" w:line="215" w:lineRule="auto"/>
              <w:ind w:left="397"/>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w:t>
            </w:r>
          </w:p>
        </w:tc>
        <w:tc>
          <w:tcPr>
            <w:tcW w:w="996" w:type="dxa"/>
            <w:vAlign w:val="top"/>
          </w:tcPr>
          <w:p w14:paraId="1702626A">
            <w:pPr>
              <w:spacing w:before="89" w:line="215"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33</w:t>
            </w:r>
          </w:p>
        </w:tc>
        <w:tc>
          <w:tcPr>
            <w:tcW w:w="1410" w:type="dxa"/>
            <w:vAlign w:val="top"/>
          </w:tcPr>
          <w:p w14:paraId="05ACF761">
            <w:pPr>
              <w:spacing w:before="89" w:line="215"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0.168</w:t>
            </w:r>
          </w:p>
        </w:tc>
        <w:tc>
          <w:tcPr>
            <w:tcW w:w="1135" w:type="dxa"/>
            <w:vAlign w:val="top"/>
          </w:tcPr>
          <w:p w14:paraId="6094C50E">
            <w:pPr>
              <w:spacing w:before="89" w:line="215"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0.166</w:t>
            </w:r>
          </w:p>
        </w:tc>
        <w:tc>
          <w:tcPr>
            <w:tcW w:w="1135" w:type="dxa"/>
            <w:vAlign w:val="top"/>
          </w:tcPr>
          <w:p w14:paraId="5FE4B7E4">
            <w:pPr>
              <w:spacing w:before="89" w:line="215"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0.162</w:t>
            </w:r>
          </w:p>
        </w:tc>
        <w:tc>
          <w:tcPr>
            <w:tcW w:w="1135" w:type="dxa"/>
            <w:vAlign w:val="top"/>
          </w:tcPr>
          <w:p w14:paraId="18E90A81">
            <w:pPr>
              <w:spacing w:before="89" w:line="215"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3.799</w:t>
            </w:r>
          </w:p>
        </w:tc>
        <w:tc>
          <w:tcPr>
            <w:tcW w:w="1132" w:type="dxa"/>
            <w:vAlign w:val="top"/>
          </w:tcPr>
          <w:p w14:paraId="3E72C977">
            <w:pPr>
              <w:spacing w:before="89" w:line="215"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3.916</w:t>
            </w:r>
          </w:p>
        </w:tc>
        <w:tc>
          <w:tcPr>
            <w:tcW w:w="1130" w:type="dxa"/>
            <w:vAlign w:val="top"/>
          </w:tcPr>
          <w:p w14:paraId="623A787F">
            <w:pPr>
              <w:spacing w:before="89" w:line="215"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3.989</w:t>
            </w:r>
          </w:p>
        </w:tc>
      </w:tr>
      <w:tr w14:paraId="1FBD0B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95" w:type="dxa"/>
            <w:vAlign w:val="top"/>
          </w:tcPr>
          <w:p w14:paraId="3068B2C4">
            <w:pPr>
              <w:spacing w:before="92" w:line="215" w:lineRule="auto"/>
              <w:ind w:left="3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996" w:type="dxa"/>
            <w:vAlign w:val="top"/>
          </w:tcPr>
          <w:p w14:paraId="2718E8AA">
            <w:pPr>
              <w:spacing w:before="92" w:line="215"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34</w:t>
            </w:r>
          </w:p>
        </w:tc>
        <w:tc>
          <w:tcPr>
            <w:tcW w:w="1410" w:type="dxa"/>
            <w:vAlign w:val="top"/>
          </w:tcPr>
          <w:p w14:paraId="0A6FF3F3">
            <w:pPr>
              <w:spacing w:before="92" w:line="215"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0.157</w:t>
            </w:r>
          </w:p>
        </w:tc>
        <w:tc>
          <w:tcPr>
            <w:tcW w:w="1135" w:type="dxa"/>
            <w:vAlign w:val="top"/>
          </w:tcPr>
          <w:p w14:paraId="772044E7">
            <w:pPr>
              <w:spacing w:before="92" w:line="215"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0.155</w:t>
            </w:r>
          </w:p>
        </w:tc>
        <w:tc>
          <w:tcPr>
            <w:tcW w:w="1135" w:type="dxa"/>
            <w:vAlign w:val="top"/>
          </w:tcPr>
          <w:p w14:paraId="217D9AA9">
            <w:pPr>
              <w:spacing w:before="92" w:line="215"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0.151</w:t>
            </w:r>
          </w:p>
        </w:tc>
        <w:tc>
          <w:tcPr>
            <w:tcW w:w="1135" w:type="dxa"/>
            <w:vAlign w:val="top"/>
          </w:tcPr>
          <w:p w14:paraId="0E16928B">
            <w:pPr>
              <w:spacing w:before="92" w:line="215"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3.618</w:t>
            </w:r>
          </w:p>
        </w:tc>
        <w:tc>
          <w:tcPr>
            <w:tcW w:w="1132" w:type="dxa"/>
            <w:vAlign w:val="top"/>
          </w:tcPr>
          <w:p w14:paraId="2FB1B486">
            <w:pPr>
              <w:spacing w:before="92" w:line="215"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3.723</w:t>
            </w:r>
          </w:p>
        </w:tc>
        <w:tc>
          <w:tcPr>
            <w:tcW w:w="1130" w:type="dxa"/>
            <w:vAlign w:val="top"/>
          </w:tcPr>
          <w:p w14:paraId="1D4F3D5C">
            <w:pPr>
              <w:spacing w:before="92" w:line="215"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3.790</w:t>
            </w:r>
          </w:p>
        </w:tc>
      </w:tr>
      <w:tr w14:paraId="24D8A8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2DA1B011">
            <w:pPr>
              <w:spacing w:before="89" w:line="215" w:lineRule="auto"/>
              <w:ind w:left="3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41</w:t>
            </w:r>
          </w:p>
        </w:tc>
        <w:tc>
          <w:tcPr>
            <w:tcW w:w="996" w:type="dxa"/>
            <w:vAlign w:val="top"/>
          </w:tcPr>
          <w:p w14:paraId="56708ECD">
            <w:pPr>
              <w:spacing w:before="89" w:line="215"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w:t>
            </w:r>
          </w:p>
        </w:tc>
        <w:tc>
          <w:tcPr>
            <w:tcW w:w="1410" w:type="dxa"/>
            <w:vAlign w:val="top"/>
          </w:tcPr>
          <w:p w14:paraId="6BE100F6">
            <w:pPr>
              <w:spacing w:before="89" w:line="215"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0.146</w:t>
            </w:r>
          </w:p>
        </w:tc>
        <w:tc>
          <w:tcPr>
            <w:tcW w:w="1135" w:type="dxa"/>
            <w:vAlign w:val="top"/>
          </w:tcPr>
          <w:p w14:paraId="44614B74">
            <w:pPr>
              <w:spacing w:before="89" w:line="215"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0.144</w:t>
            </w:r>
          </w:p>
        </w:tc>
        <w:tc>
          <w:tcPr>
            <w:tcW w:w="1135" w:type="dxa"/>
            <w:vAlign w:val="top"/>
          </w:tcPr>
          <w:p w14:paraId="63CBCC59">
            <w:pPr>
              <w:spacing w:before="89" w:line="215"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0.141</w:t>
            </w:r>
          </w:p>
        </w:tc>
        <w:tc>
          <w:tcPr>
            <w:tcW w:w="1135" w:type="dxa"/>
            <w:vAlign w:val="top"/>
          </w:tcPr>
          <w:p w14:paraId="1565508A">
            <w:pPr>
              <w:spacing w:before="89" w:line="215"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3.449</w:t>
            </w:r>
          </w:p>
        </w:tc>
        <w:tc>
          <w:tcPr>
            <w:tcW w:w="1132" w:type="dxa"/>
            <w:vAlign w:val="top"/>
          </w:tcPr>
          <w:p w14:paraId="14BB6EED">
            <w:pPr>
              <w:spacing w:before="89" w:line="215"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3.545</w:t>
            </w:r>
          </w:p>
        </w:tc>
        <w:tc>
          <w:tcPr>
            <w:tcW w:w="1130" w:type="dxa"/>
            <w:vAlign w:val="top"/>
          </w:tcPr>
          <w:p w14:paraId="584AC3D5">
            <w:pPr>
              <w:spacing w:before="89" w:line="215"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3.605</w:t>
            </w:r>
          </w:p>
        </w:tc>
      </w:tr>
      <w:tr w14:paraId="6A07A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95" w:type="dxa"/>
            <w:vAlign w:val="top"/>
          </w:tcPr>
          <w:p w14:paraId="4C849FED">
            <w:pPr>
              <w:spacing w:before="90" w:line="214" w:lineRule="auto"/>
              <w:ind w:left="3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w:t>
            </w:r>
          </w:p>
        </w:tc>
        <w:tc>
          <w:tcPr>
            <w:tcW w:w="996" w:type="dxa"/>
            <w:vAlign w:val="top"/>
          </w:tcPr>
          <w:p w14:paraId="343D19E0">
            <w:pPr>
              <w:spacing w:before="90" w:line="214"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36</w:t>
            </w:r>
          </w:p>
        </w:tc>
        <w:tc>
          <w:tcPr>
            <w:tcW w:w="1410" w:type="dxa"/>
            <w:vAlign w:val="top"/>
          </w:tcPr>
          <w:p w14:paraId="222A9A1D">
            <w:pPr>
              <w:spacing w:before="90" w:line="214"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0.137</w:t>
            </w:r>
          </w:p>
        </w:tc>
        <w:tc>
          <w:tcPr>
            <w:tcW w:w="1135" w:type="dxa"/>
            <w:vAlign w:val="top"/>
          </w:tcPr>
          <w:p w14:paraId="76EFCCCB">
            <w:pPr>
              <w:spacing w:before="90" w:line="214"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0.135</w:t>
            </w:r>
          </w:p>
        </w:tc>
        <w:tc>
          <w:tcPr>
            <w:tcW w:w="1135" w:type="dxa"/>
            <w:vAlign w:val="top"/>
          </w:tcPr>
          <w:p w14:paraId="2F546C52">
            <w:pPr>
              <w:spacing w:before="90" w:line="214"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0.132</w:t>
            </w:r>
          </w:p>
        </w:tc>
        <w:tc>
          <w:tcPr>
            <w:tcW w:w="1135" w:type="dxa"/>
            <w:vAlign w:val="top"/>
          </w:tcPr>
          <w:p w14:paraId="0B8164AF">
            <w:pPr>
              <w:spacing w:before="90" w:line="214"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3.292</w:t>
            </w:r>
          </w:p>
        </w:tc>
        <w:tc>
          <w:tcPr>
            <w:tcW w:w="1132" w:type="dxa"/>
            <w:vAlign w:val="top"/>
          </w:tcPr>
          <w:p w14:paraId="2BD45896">
            <w:pPr>
              <w:spacing w:before="90" w:line="214"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3.379</w:t>
            </w:r>
          </w:p>
        </w:tc>
        <w:tc>
          <w:tcPr>
            <w:tcW w:w="1130" w:type="dxa"/>
            <w:vAlign w:val="top"/>
          </w:tcPr>
          <w:p w14:paraId="4A507E1F">
            <w:pPr>
              <w:spacing w:before="90" w:line="214"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3.433</w:t>
            </w:r>
          </w:p>
        </w:tc>
      </w:tr>
      <w:tr w14:paraId="7BD552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95" w:type="dxa"/>
            <w:vAlign w:val="top"/>
          </w:tcPr>
          <w:p w14:paraId="2FA9D5F4">
            <w:pPr>
              <w:spacing w:before="91" w:line="218" w:lineRule="auto"/>
              <w:ind w:left="39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w:t>
            </w:r>
          </w:p>
        </w:tc>
        <w:tc>
          <w:tcPr>
            <w:tcW w:w="996" w:type="dxa"/>
            <w:vAlign w:val="top"/>
          </w:tcPr>
          <w:p w14:paraId="57C3A0B7">
            <w:pPr>
              <w:spacing w:before="91" w:line="218"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1410" w:type="dxa"/>
            <w:vAlign w:val="top"/>
          </w:tcPr>
          <w:p w14:paraId="4A78D501">
            <w:pPr>
              <w:spacing w:before="91" w:line="218" w:lineRule="auto"/>
              <w:ind w:left="4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0.128</w:t>
            </w:r>
          </w:p>
        </w:tc>
        <w:tc>
          <w:tcPr>
            <w:tcW w:w="1135" w:type="dxa"/>
            <w:vAlign w:val="top"/>
          </w:tcPr>
          <w:p w14:paraId="27CEFBB9">
            <w:pPr>
              <w:spacing w:before="91" w:line="218"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0.127</w:t>
            </w:r>
          </w:p>
        </w:tc>
        <w:tc>
          <w:tcPr>
            <w:tcW w:w="1135" w:type="dxa"/>
            <w:vAlign w:val="top"/>
          </w:tcPr>
          <w:p w14:paraId="14A7423B">
            <w:pPr>
              <w:spacing w:before="91" w:line="218"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0.124</w:t>
            </w:r>
          </w:p>
        </w:tc>
        <w:tc>
          <w:tcPr>
            <w:tcW w:w="1135" w:type="dxa"/>
            <w:vAlign w:val="top"/>
          </w:tcPr>
          <w:p w14:paraId="54AA6DCC">
            <w:pPr>
              <w:spacing w:before="91" w:line="218"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3.145</w:t>
            </w:r>
          </w:p>
        </w:tc>
        <w:tc>
          <w:tcPr>
            <w:tcW w:w="1132" w:type="dxa"/>
            <w:vAlign w:val="top"/>
          </w:tcPr>
          <w:p w14:paraId="27E22A2A">
            <w:pPr>
              <w:spacing w:before="91" w:line="218"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3.224</w:t>
            </w:r>
          </w:p>
        </w:tc>
        <w:tc>
          <w:tcPr>
            <w:tcW w:w="1130" w:type="dxa"/>
            <w:vAlign w:val="top"/>
          </w:tcPr>
          <w:p w14:paraId="06A47024">
            <w:pPr>
              <w:spacing w:before="91" w:line="218"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3.274</w:t>
            </w:r>
          </w:p>
        </w:tc>
      </w:tr>
    </w:tbl>
    <w:p w14:paraId="071C5427">
      <w:pPr>
        <w:spacing w:line="294" w:lineRule="auto"/>
        <w:rPr>
          <w:rFonts w:ascii="Arial"/>
          <w:sz w:val="21"/>
        </w:rPr>
      </w:pPr>
    </w:p>
    <w:p w14:paraId="3C33736A">
      <w:pPr>
        <w:spacing w:before="68" w:line="229" w:lineRule="auto"/>
        <w:ind w:left="1839"/>
        <w:rPr>
          <w:rFonts w:ascii="宋体" w:hAnsi="宋体" w:eastAsia="宋体" w:cs="宋体"/>
          <w:sz w:val="21"/>
          <w:szCs w:val="21"/>
        </w:rPr>
      </w:pPr>
      <w:r>
        <w:rPr>
          <w:rFonts w:ascii="宋体" w:hAnsi="宋体" w:eastAsia="宋体" w:cs="宋体"/>
          <w:b/>
          <w:bCs/>
          <w:spacing w:val="-3"/>
          <w:sz w:val="21"/>
          <w:szCs w:val="21"/>
        </w:rPr>
        <w:t>表</w:t>
      </w:r>
      <w:r>
        <w:rPr>
          <w:rFonts w:ascii="宋体" w:hAnsi="宋体" w:eastAsia="宋体" w:cs="宋体"/>
          <w:spacing w:val="-34"/>
          <w:sz w:val="21"/>
          <w:szCs w:val="21"/>
        </w:rPr>
        <w:t xml:space="preserve"> </w:t>
      </w:r>
      <w:r>
        <w:rPr>
          <w:rFonts w:ascii="Times New Roman" w:hAnsi="Times New Roman" w:eastAsia="Times New Roman" w:cs="Times New Roman"/>
          <w:b/>
          <w:bCs/>
          <w:spacing w:val="-3"/>
          <w:sz w:val="21"/>
          <w:szCs w:val="21"/>
        </w:rPr>
        <w:t>4-11    DE</w:t>
      </w:r>
      <w:r>
        <w:rPr>
          <w:rFonts w:ascii="Times New Roman" w:hAnsi="Times New Roman" w:eastAsia="Times New Roman" w:cs="Times New Roman"/>
          <w:b/>
          <w:bCs/>
          <w:spacing w:val="27"/>
          <w:w w:val="101"/>
          <w:sz w:val="21"/>
          <w:szCs w:val="21"/>
        </w:rPr>
        <w:t xml:space="preserve"> </w:t>
      </w:r>
      <w:r>
        <w:rPr>
          <w:rFonts w:ascii="宋体" w:hAnsi="宋体" w:eastAsia="宋体" w:cs="宋体"/>
          <w:b/>
          <w:bCs/>
          <w:spacing w:val="-3"/>
          <w:sz w:val="21"/>
          <w:szCs w:val="21"/>
        </w:rPr>
        <w:t>回线路单回三角排列经过居民区电磁预测结果</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9"/>
        <w:gridCol w:w="1135"/>
        <w:gridCol w:w="1127"/>
        <w:gridCol w:w="1133"/>
        <w:gridCol w:w="1137"/>
        <w:gridCol w:w="1130"/>
        <w:gridCol w:w="1130"/>
        <w:gridCol w:w="1137"/>
      </w:tblGrid>
      <w:tr w14:paraId="2C50F0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139" w:type="dxa"/>
            <w:vMerge w:val="restart"/>
            <w:tcBorders>
              <w:bottom w:val="nil"/>
            </w:tcBorders>
            <w:vAlign w:val="top"/>
          </w:tcPr>
          <w:p w14:paraId="02DD1682">
            <w:pPr>
              <w:pStyle w:val="6"/>
              <w:spacing w:before="62" w:line="251" w:lineRule="auto"/>
              <w:ind w:left="205" w:right="143" w:hanging="52"/>
              <w:rPr>
                <w:rFonts w:ascii="Times New Roman" w:hAnsi="Times New Roman" w:eastAsia="Times New Roman" w:cs="Times New Roman"/>
              </w:rPr>
            </w:pPr>
            <w:r>
              <w:rPr>
                <w:b/>
                <w:bCs/>
                <w:spacing w:val="-3"/>
              </w:rPr>
              <w:t>距中心线</w:t>
            </w:r>
            <w:r>
              <w:rPr>
                <w:b/>
                <w:bCs/>
                <w:spacing w:val="-2"/>
              </w:rPr>
              <w:t>距离</w:t>
            </w:r>
            <w:r>
              <w:rPr>
                <w:rFonts w:ascii="Times New Roman" w:hAnsi="Times New Roman" w:eastAsia="Times New Roman" w:cs="Times New Roman"/>
                <w:b/>
                <w:bCs/>
                <w:spacing w:val="-2"/>
              </w:rPr>
              <w:t>(m)</w:t>
            </w:r>
          </w:p>
        </w:tc>
        <w:tc>
          <w:tcPr>
            <w:tcW w:w="1135" w:type="dxa"/>
            <w:vMerge w:val="restart"/>
            <w:tcBorders>
              <w:bottom w:val="nil"/>
            </w:tcBorders>
            <w:vAlign w:val="top"/>
          </w:tcPr>
          <w:p w14:paraId="40CB24F3">
            <w:pPr>
              <w:pStyle w:val="6"/>
              <w:spacing w:before="62" w:line="251" w:lineRule="auto"/>
              <w:ind w:left="199" w:right="145" w:hanging="52"/>
              <w:rPr>
                <w:rFonts w:ascii="Times New Roman" w:hAnsi="Times New Roman" w:eastAsia="Times New Roman" w:cs="Times New Roman"/>
              </w:rPr>
            </w:pPr>
            <w:r>
              <w:rPr>
                <w:b/>
                <w:bCs/>
                <w:spacing w:val="-3"/>
              </w:rPr>
              <w:t>距边导线</w:t>
            </w:r>
            <w:r>
              <w:rPr>
                <w:b/>
                <w:bCs/>
                <w:spacing w:val="-2"/>
              </w:rPr>
              <w:t>距离</w:t>
            </w:r>
            <w:r>
              <w:rPr>
                <w:rFonts w:ascii="Times New Roman" w:hAnsi="Times New Roman" w:eastAsia="Times New Roman" w:cs="Times New Roman"/>
                <w:b/>
                <w:bCs/>
                <w:spacing w:val="-2"/>
              </w:rPr>
              <w:t>(m)</w:t>
            </w:r>
          </w:p>
        </w:tc>
        <w:tc>
          <w:tcPr>
            <w:tcW w:w="3397" w:type="dxa"/>
            <w:gridSpan w:val="3"/>
            <w:vAlign w:val="top"/>
          </w:tcPr>
          <w:p w14:paraId="41252591">
            <w:pPr>
              <w:pStyle w:val="6"/>
              <w:spacing w:before="56" w:line="221" w:lineRule="auto"/>
              <w:ind w:left="821"/>
            </w:pPr>
            <w:r>
              <w:rPr>
                <w:b/>
                <w:bCs/>
                <w:spacing w:val="-2"/>
              </w:rPr>
              <w:t>工频电场（</w:t>
            </w:r>
            <w:r>
              <w:rPr>
                <w:rFonts w:ascii="Times New Roman" w:hAnsi="Times New Roman" w:eastAsia="Times New Roman" w:cs="Times New Roman"/>
                <w:b/>
                <w:bCs/>
                <w:spacing w:val="-2"/>
              </w:rPr>
              <w:t>kV/m</w:t>
            </w:r>
            <w:r>
              <w:rPr>
                <w:b/>
                <w:bCs/>
                <w:spacing w:val="-2"/>
              </w:rPr>
              <w:t>）</w:t>
            </w:r>
          </w:p>
        </w:tc>
        <w:tc>
          <w:tcPr>
            <w:tcW w:w="3397" w:type="dxa"/>
            <w:gridSpan w:val="3"/>
            <w:vAlign w:val="top"/>
          </w:tcPr>
          <w:p w14:paraId="7625BBD4">
            <w:pPr>
              <w:pStyle w:val="6"/>
              <w:spacing w:before="56" w:line="213" w:lineRule="auto"/>
              <w:ind w:left="943"/>
            </w:pPr>
            <w:r>
              <w:rPr>
                <w:b/>
                <w:bCs/>
                <w:spacing w:val="10"/>
              </w:rPr>
              <w:t>工频磁场(</w:t>
            </w:r>
            <w:r>
              <w:rPr>
                <w:rFonts w:ascii="Times New Roman" w:hAnsi="Times New Roman" w:eastAsia="Times New Roman" w:cs="Times New Roman"/>
                <w:b/>
                <w:bCs/>
                <w:spacing w:val="10"/>
              </w:rPr>
              <w:t>µT</w:t>
            </w:r>
            <w:r>
              <w:rPr>
                <w:b/>
                <w:bCs/>
                <w:spacing w:val="10"/>
              </w:rPr>
              <w:t>）</w:t>
            </w:r>
          </w:p>
        </w:tc>
      </w:tr>
      <w:tr w14:paraId="45B50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1139" w:type="dxa"/>
            <w:vMerge w:val="continue"/>
            <w:tcBorders>
              <w:top w:val="nil"/>
            </w:tcBorders>
            <w:vAlign w:val="top"/>
          </w:tcPr>
          <w:p w14:paraId="3CBF7965">
            <w:pPr>
              <w:rPr>
                <w:rFonts w:ascii="Arial"/>
                <w:sz w:val="21"/>
              </w:rPr>
            </w:pPr>
          </w:p>
        </w:tc>
        <w:tc>
          <w:tcPr>
            <w:tcW w:w="1135" w:type="dxa"/>
            <w:vMerge w:val="continue"/>
            <w:tcBorders>
              <w:top w:val="nil"/>
            </w:tcBorders>
            <w:vAlign w:val="top"/>
          </w:tcPr>
          <w:p w14:paraId="4B1B4A80">
            <w:pPr>
              <w:rPr>
                <w:rFonts w:ascii="Arial"/>
                <w:sz w:val="21"/>
              </w:rPr>
            </w:pPr>
          </w:p>
        </w:tc>
        <w:tc>
          <w:tcPr>
            <w:tcW w:w="1127" w:type="dxa"/>
            <w:vAlign w:val="top"/>
          </w:tcPr>
          <w:p w14:paraId="6B39463A">
            <w:pPr>
              <w:pStyle w:val="6"/>
              <w:spacing w:before="54" w:line="223" w:lineRule="auto"/>
              <w:ind w:left="110"/>
              <w:rPr>
                <w:rFonts w:ascii="Times New Roman" w:hAnsi="Times New Roman" w:eastAsia="Times New Roman" w:cs="Times New Roman"/>
              </w:rPr>
            </w:pPr>
            <w:r>
              <w:rPr>
                <w:b/>
                <w:bCs/>
                <w:spacing w:val="-4"/>
              </w:rPr>
              <w:t>地上</w:t>
            </w:r>
            <w:r>
              <w:rPr>
                <w:spacing w:val="-37"/>
              </w:rPr>
              <w:t xml:space="preserve"> </w:t>
            </w:r>
            <w:r>
              <w:rPr>
                <w:rFonts w:ascii="Times New Roman" w:hAnsi="Times New Roman" w:eastAsia="Times New Roman" w:cs="Times New Roman"/>
                <w:b/>
                <w:bCs/>
                <w:spacing w:val="-4"/>
              </w:rPr>
              <w:t>1.5m</w:t>
            </w:r>
          </w:p>
        </w:tc>
        <w:tc>
          <w:tcPr>
            <w:tcW w:w="1133" w:type="dxa"/>
            <w:vAlign w:val="top"/>
          </w:tcPr>
          <w:p w14:paraId="7A8DDC98">
            <w:pPr>
              <w:pStyle w:val="6"/>
              <w:spacing w:before="54" w:line="223" w:lineRule="auto"/>
              <w:ind w:left="116"/>
              <w:rPr>
                <w:rFonts w:ascii="Times New Roman" w:hAnsi="Times New Roman" w:eastAsia="Times New Roman" w:cs="Times New Roman"/>
              </w:rPr>
            </w:pPr>
            <w:r>
              <w:rPr>
                <w:b/>
                <w:bCs/>
                <w:spacing w:val="-3"/>
              </w:rPr>
              <w:t>地上</w:t>
            </w:r>
            <w:r>
              <w:rPr>
                <w:spacing w:val="-43"/>
              </w:rPr>
              <w:t xml:space="preserve"> </w:t>
            </w:r>
            <w:r>
              <w:rPr>
                <w:rFonts w:ascii="Times New Roman" w:hAnsi="Times New Roman" w:eastAsia="Times New Roman" w:cs="Times New Roman"/>
                <w:b/>
                <w:bCs/>
                <w:spacing w:val="-3"/>
              </w:rPr>
              <w:t>4.5m</w:t>
            </w:r>
          </w:p>
        </w:tc>
        <w:tc>
          <w:tcPr>
            <w:tcW w:w="1137" w:type="dxa"/>
            <w:vAlign w:val="top"/>
          </w:tcPr>
          <w:p w14:paraId="54B5E470">
            <w:pPr>
              <w:pStyle w:val="6"/>
              <w:spacing w:before="54" w:line="223" w:lineRule="auto"/>
              <w:ind w:left="116"/>
              <w:rPr>
                <w:rFonts w:ascii="Times New Roman" w:hAnsi="Times New Roman" w:eastAsia="Times New Roman" w:cs="Times New Roman"/>
              </w:rPr>
            </w:pPr>
            <w:r>
              <w:rPr>
                <w:b/>
                <w:bCs/>
                <w:spacing w:val="-3"/>
              </w:rPr>
              <w:t>地上</w:t>
            </w:r>
            <w:r>
              <w:rPr>
                <w:spacing w:val="-43"/>
              </w:rPr>
              <w:t xml:space="preserve"> </w:t>
            </w:r>
            <w:r>
              <w:rPr>
                <w:rFonts w:ascii="Times New Roman" w:hAnsi="Times New Roman" w:eastAsia="Times New Roman" w:cs="Times New Roman"/>
                <w:b/>
                <w:bCs/>
                <w:spacing w:val="-3"/>
              </w:rPr>
              <w:t>7.5m</w:t>
            </w:r>
          </w:p>
        </w:tc>
        <w:tc>
          <w:tcPr>
            <w:tcW w:w="1130" w:type="dxa"/>
            <w:vAlign w:val="top"/>
          </w:tcPr>
          <w:p w14:paraId="7CCCA126">
            <w:pPr>
              <w:pStyle w:val="6"/>
              <w:spacing w:before="54" w:line="223" w:lineRule="auto"/>
              <w:ind w:left="114"/>
              <w:rPr>
                <w:rFonts w:ascii="Times New Roman" w:hAnsi="Times New Roman" w:eastAsia="Times New Roman" w:cs="Times New Roman"/>
              </w:rPr>
            </w:pPr>
            <w:r>
              <w:rPr>
                <w:b/>
                <w:bCs/>
                <w:spacing w:val="-4"/>
              </w:rPr>
              <w:t>地上</w:t>
            </w:r>
            <w:r>
              <w:rPr>
                <w:spacing w:val="-37"/>
              </w:rPr>
              <w:t xml:space="preserve"> </w:t>
            </w:r>
            <w:r>
              <w:rPr>
                <w:rFonts w:ascii="Times New Roman" w:hAnsi="Times New Roman" w:eastAsia="Times New Roman" w:cs="Times New Roman"/>
                <w:b/>
                <w:bCs/>
                <w:spacing w:val="-4"/>
              </w:rPr>
              <w:t>1.5m</w:t>
            </w:r>
          </w:p>
        </w:tc>
        <w:tc>
          <w:tcPr>
            <w:tcW w:w="1130" w:type="dxa"/>
            <w:vAlign w:val="top"/>
          </w:tcPr>
          <w:p w14:paraId="1C9863F8">
            <w:pPr>
              <w:pStyle w:val="6"/>
              <w:spacing w:before="54" w:line="223" w:lineRule="auto"/>
              <w:ind w:left="115"/>
              <w:rPr>
                <w:rFonts w:ascii="Times New Roman" w:hAnsi="Times New Roman" w:eastAsia="Times New Roman" w:cs="Times New Roman"/>
              </w:rPr>
            </w:pPr>
            <w:r>
              <w:rPr>
                <w:b/>
                <w:bCs/>
                <w:spacing w:val="-3"/>
              </w:rPr>
              <w:t>地上</w:t>
            </w:r>
            <w:r>
              <w:rPr>
                <w:spacing w:val="-43"/>
              </w:rPr>
              <w:t xml:space="preserve"> </w:t>
            </w:r>
            <w:r>
              <w:rPr>
                <w:rFonts w:ascii="Times New Roman" w:hAnsi="Times New Roman" w:eastAsia="Times New Roman" w:cs="Times New Roman"/>
                <w:b/>
                <w:bCs/>
                <w:spacing w:val="-3"/>
              </w:rPr>
              <w:t>4.5m</w:t>
            </w:r>
          </w:p>
        </w:tc>
        <w:tc>
          <w:tcPr>
            <w:tcW w:w="1137" w:type="dxa"/>
            <w:vAlign w:val="top"/>
          </w:tcPr>
          <w:p w14:paraId="6C43A473">
            <w:pPr>
              <w:pStyle w:val="6"/>
              <w:spacing w:before="54" w:line="223" w:lineRule="auto"/>
              <w:ind w:left="116"/>
              <w:rPr>
                <w:rFonts w:ascii="Times New Roman" w:hAnsi="Times New Roman" w:eastAsia="Times New Roman" w:cs="Times New Roman"/>
              </w:rPr>
            </w:pPr>
            <w:r>
              <w:rPr>
                <w:b/>
                <w:bCs/>
                <w:spacing w:val="-3"/>
              </w:rPr>
              <w:t>地上</w:t>
            </w:r>
            <w:r>
              <w:rPr>
                <w:spacing w:val="-43"/>
              </w:rPr>
              <w:t xml:space="preserve"> </w:t>
            </w:r>
            <w:r>
              <w:rPr>
                <w:rFonts w:ascii="Times New Roman" w:hAnsi="Times New Roman" w:eastAsia="Times New Roman" w:cs="Times New Roman"/>
                <w:b/>
                <w:bCs/>
                <w:spacing w:val="-3"/>
              </w:rPr>
              <w:t>7.5m</w:t>
            </w:r>
          </w:p>
        </w:tc>
      </w:tr>
      <w:tr w14:paraId="05984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Align w:val="top"/>
          </w:tcPr>
          <w:p w14:paraId="490A5082">
            <w:pPr>
              <w:spacing w:before="87" w:line="217" w:lineRule="auto"/>
              <w:ind w:left="43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-17</w:t>
            </w:r>
          </w:p>
        </w:tc>
        <w:tc>
          <w:tcPr>
            <w:tcW w:w="1135" w:type="dxa"/>
            <w:vAlign w:val="top"/>
          </w:tcPr>
          <w:p w14:paraId="29D1E984">
            <w:pPr>
              <w:spacing w:before="87" w:line="217"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w:t>
            </w:r>
          </w:p>
        </w:tc>
        <w:tc>
          <w:tcPr>
            <w:tcW w:w="1127" w:type="dxa"/>
            <w:vAlign w:val="top"/>
          </w:tcPr>
          <w:p w14:paraId="747D9598">
            <w:pPr>
              <w:spacing w:before="87" w:line="217"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1.404</w:t>
            </w:r>
          </w:p>
        </w:tc>
        <w:tc>
          <w:tcPr>
            <w:tcW w:w="1133" w:type="dxa"/>
            <w:vAlign w:val="top"/>
          </w:tcPr>
          <w:p w14:paraId="621004B2">
            <w:pPr>
              <w:spacing w:before="87" w:line="217" w:lineRule="auto"/>
              <w:ind w:left="351"/>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1.385</w:t>
            </w:r>
          </w:p>
        </w:tc>
        <w:tc>
          <w:tcPr>
            <w:tcW w:w="1137" w:type="dxa"/>
            <w:vAlign w:val="top"/>
          </w:tcPr>
          <w:p w14:paraId="76CEAF41">
            <w:pPr>
              <w:spacing w:before="87" w:line="217" w:lineRule="auto"/>
              <w:ind w:left="35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1.301</w:t>
            </w:r>
          </w:p>
        </w:tc>
        <w:tc>
          <w:tcPr>
            <w:tcW w:w="1130" w:type="dxa"/>
            <w:vAlign w:val="top"/>
          </w:tcPr>
          <w:p w14:paraId="402A3EA4">
            <w:pPr>
              <w:spacing w:before="87"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2.119</w:t>
            </w:r>
          </w:p>
        </w:tc>
        <w:tc>
          <w:tcPr>
            <w:tcW w:w="1130" w:type="dxa"/>
            <w:vAlign w:val="top"/>
          </w:tcPr>
          <w:p w14:paraId="24DEBB2B">
            <w:pPr>
              <w:spacing w:before="87" w:line="217"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2.514</w:t>
            </w:r>
          </w:p>
        </w:tc>
        <w:tc>
          <w:tcPr>
            <w:tcW w:w="1137" w:type="dxa"/>
            <w:vAlign w:val="top"/>
          </w:tcPr>
          <w:p w14:paraId="35272186">
            <w:pPr>
              <w:spacing w:before="87" w:line="217" w:lineRule="auto"/>
              <w:ind w:left="3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2.759</w:t>
            </w:r>
          </w:p>
        </w:tc>
      </w:tr>
      <w:tr w14:paraId="2201BDC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Align w:val="top"/>
          </w:tcPr>
          <w:p w14:paraId="50D91D23">
            <w:pPr>
              <w:spacing w:before="88" w:line="216" w:lineRule="auto"/>
              <w:ind w:left="43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w:t>
            </w:r>
          </w:p>
        </w:tc>
        <w:tc>
          <w:tcPr>
            <w:tcW w:w="1135" w:type="dxa"/>
            <w:vAlign w:val="top"/>
          </w:tcPr>
          <w:p w14:paraId="2188CC4E">
            <w:pPr>
              <w:spacing w:before="88" w:line="216" w:lineRule="auto"/>
              <w:ind w:left="482"/>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-9</w:t>
            </w:r>
          </w:p>
        </w:tc>
        <w:tc>
          <w:tcPr>
            <w:tcW w:w="1127" w:type="dxa"/>
            <w:vAlign w:val="top"/>
          </w:tcPr>
          <w:p w14:paraId="0C16BD98">
            <w:pPr>
              <w:spacing w:before="88" w:line="216"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1.628</w:t>
            </w:r>
          </w:p>
        </w:tc>
        <w:tc>
          <w:tcPr>
            <w:tcW w:w="1133" w:type="dxa"/>
            <w:vAlign w:val="top"/>
          </w:tcPr>
          <w:p w14:paraId="15BF4E7A">
            <w:pPr>
              <w:spacing w:before="88" w:line="216" w:lineRule="auto"/>
              <w:ind w:left="351"/>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1.626</w:t>
            </w:r>
          </w:p>
        </w:tc>
        <w:tc>
          <w:tcPr>
            <w:tcW w:w="1137" w:type="dxa"/>
            <w:vAlign w:val="top"/>
          </w:tcPr>
          <w:p w14:paraId="21437FD7">
            <w:pPr>
              <w:spacing w:before="88" w:line="216" w:lineRule="auto"/>
              <w:ind w:left="35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1.542</w:t>
            </w:r>
          </w:p>
        </w:tc>
        <w:tc>
          <w:tcPr>
            <w:tcW w:w="1130" w:type="dxa"/>
            <w:vAlign w:val="top"/>
          </w:tcPr>
          <w:p w14:paraId="128BDEFF">
            <w:pPr>
              <w:spacing w:before="88" w:line="216"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2.371</w:t>
            </w:r>
          </w:p>
        </w:tc>
        <w:tc>
          <w:tcPr>
            <w:tcW w:w="1130" w:type="dxa"/>
            <w:vAlign w:val="top"/>
          </w:tcPr>
          <w:p w14:paraId="06C2B0A7">
            <w:pPr>
              <w:spacing w:before="88" w:line="216"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2.889</w:t>
            </w:r>
          </w:p>
        </w:tc>
        <w:tc>
          <w:tcPr>
            <w:tcW w:w="1137" w:type="dxa"/>
            <w:vAlign w:val="top"/>
          </w:tcPr>
          <w:p w14:paraId="56555C92">
            <w:pPr>
              <w:spacing w:before="88" w:line="216"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3.227</w:t>
            </w:r>
          </w:p>
        </w:tc>
      </w:tr>
      <w:tr w14:paraId="02DC2C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Align w:val="top"/>
          </w:tcPr>
          <w:p w14:paraId="22593EEE">
            <w:pPr>
              <w:spacing w:before="88" w:line="216" w:lineRule="auto"/>
              <w:ind w:left="43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-15</w:t>
            </w:r>
          </w:p>
        </w:tc>
        <w:tc>
          <w:tcPr>
            <w:tcW w:w="1135" w:type="dxa"/>
            <w:vAlign w:val="top"/>
          </w:tcPr>
          <w:p w14:paraId="512046FF">
            <w:pPr>
              <w:spacing w:before="88" w:line="216" w:lineRule="auto"/>
              <w:ind w:left="482"/>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-8</w:t>
            </w:r>
          </w:p>
        </w:tc>
        <w:tc>
          <w:tcPr>
            <w:tcW w:w="1127" w:type="dxa"/>
            <w:vAlign w:val="top"/>
          </w:tcPr>
          <w:p w14:paraId="78C7D38C">
            <w:pPr>
              <w:spacing w:before="88" w:line="216"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1.887</w:t>
            </w:r>
          </w:p>
        </w:tc>
        <w:tc>
          <w:tcPr>
            <w:tcW w:w="1133" w:type="dxa"/>
            <w:vAlign w:val="top"/>
          </w:tcPr>
          <w:p w14:paraId="33548433">
            <w:pPr>
              <w:spacing w:before="88" w:line="216" w:lineRule="auto"/>
              <w:ind w:left="351"/>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1.920</w:t>
            </w:r>
          </w:p>
        </w:tc>
        <w:tc>
          <w:tcPr>
            <w:tcW w:w="1137" w:type="dxa"/>
            <w:vAlign w:val="top"/>
          </w:tcPr>
          <w:p w14:paraId="26F04C16">
            <w:pPr>
              <w:spacing w:before="88" w:line="216" w:lineRule="auto"/>
              <w:ind w:left="35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1.852</w:t>
            </w:r>
          </w:p>
        </w:tc>
        <w:tc>
          <w:tcPr>
            <w:tcW w:w="1130" w:type="dxa"/>
            <w:vAlign w:val="top"/>
          </w:tcPr>
          <w:p w14:paraId="4ABFA3E1">
            <w:pPr>
              <w:spacing w:before="88" w:line="216"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2.661</w:t>
            </w:r>
          </w:p>
        </w:tc>
        <w:tc>
          <w:tcPr>
            <w:tcW w:w="1130" w:type="dxa"/>
            <w:vAlign w:val="top"/>
          </w:tcPr>
          <w:p w14:paraId="42D7B60E">
            <w:pPr>
              <w:spacing w:before="88" w:line="216"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3.354</w:t>
            </w:r>
          </w:p>
        </w:tc>
        <w:tc>
          <w:tcPr>
            <w:tcW w:w="1137" w:type="dxa"/>
            <w:vAlign w:val="top"/>
          </w:tcPr>
          <w:p w14:paraId="643728B7">
            <w:pPr>
              <w:spacing w:before="88" w:line="216"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3.836</w:t>
            </w:r>
          </w:p>
        </w:tc>
      </w:tr>
      <w:tr w14:paraId="32ECAF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Align w:val="top"/>
          </w:tcPr>
          <w:p w14:paraId="1013A3ED">
            <w:pPr>
              <w:spacing w:before="89" w:line="215" w:lineRule="auto"/>
              <w:ind w:left="48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tc>
        <w:tc>
          <w:tcPr>
            <w:tcW w:w="1135" w:type="dxa"/>
            <w:vAlign w:val="top"/>
          </w:tcPr>
          <w:p w14:paraId="730CC84A">
            <w:pPr>
              <w:spacing w:before="89" w:line="215" w:lineRule="auto"/>
              <w:ind w:left="522"/>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1127" w:type="dxa"/>
            <w:vAlign w:val="top"/>
          </w:tcPr>
          <w:p w14:paraId="7A41C346">
            <w:pPr>
              <w:spacing w:before="89" w:line="215"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1.674</w:t>
            </w:r>
          </w:p>
        </w:tc>
        <w:tc>
          <w:tcPr>
            <w:tcW w:w="1133" w:type="dxa"/>
            <w:vAlign w:val="top"/>
          </w:tcPr>
          <w:p w14:paraId="58ABDF56">
            <w:pPr>
              <w:spacing w:before="89" w:line="215" w:lineRule="auto"/>
              <w:ind w:left="351"/>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1.692</w:t>
            </w:r>
          </w:p>
        </w:tc>
        <w:tc>
          <w:tcPr>
            <w:tcW w:w="1137" w:type="dxa"/>
            <w:vAlign w:val="top"/>
          </w:tcPr>
          <w:p w14:paraId="57F719B9">
            <w:pPr>
              <w:spacing w:before="89" w:line="215" w:lineRule="auto"/>
              <w:ind w:left="35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1.629</w:t>
            </w:r>
          </w:p>
        </w:tc>
        <w:tc>
          <w:tcPr>
            <w:tcW w:w="1130" w:type="dxa"/>
            <w:vAlign w:val="top"/>
          </w:tcPr>
          <w:p w14:paraId="6CC64343">
            <w:pPr>
              <w:spacing w:before="89" w:line="215"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2.481</w:t>
            </w:r>
          </w:p>
        </w:tc>
        <w:tc>
          <w:tcPr>
            <w:tcW w:w="1130" w:type="dxa"/>
            <w:vAlign w:val="top"/>
          </w:tcPr>
          <w:p w14:paraId="36EF5595">
            <w:pPr>
              <w:spacing w:before="89" w:line="215"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3.073</w:t>
            </w:r>
          </w:p>
        </w:tc>
        <w:tc>
          <w:tcPr>
            <w:tcW w:w="1137" w:type="dxa"/>
            <w:vAlign w:val="top"/>
          </w:tcPr>
          <w:p w14:paraId="7A92C402">
            <w:pPr>
              <w:spacing w:before="89" w:line="215" w:lineRule="auto"/>
              <w:ind w:left="33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3.481</w:t>
            </w:r>
          </w:p>
        </w:tc>
      </w:tr>
      <w:tr w14:paraId="47C546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Align w:val="top"/>
          </w:tcPr>
          <w:p w14:paraId="3F611A85">
            <w:pPr>
              <w:spacing w:before="89" w:line="215" w:lineRule="auto"/>
              <w:ind w:left="48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135" w:type="dxa"/>
            <w:vAlign w:val="top"/>
          </w:tcPr>
          <w:p w14:paraId="196CFDAF">
            <w:pPr>
              <w:spacing w:before="89" w:line="215" w:lineRule="auto"/>
              <w:ind w:left="517"/>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1127" w:type="dxa"/>
            <w:vAlign w:val="top"/>
          </w:tcPr>
          <w:p w14:paraId="2EE76955">
            <w:pPr>
              <w:spacing w:before="89" w:line="215"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1.439</w:t>
            </w:r>
          </w:p>
        </w:tc>
        <w:tc>
          <w:tcPr>
            <w:tcW w:w="1133" w:type="dxa"/>
            <w:vAlign w:val="top"/>
          </w:tcPr>
          <w:p w14:paraId="1E862D8C">
            <w:pPr>
              <w:spacing w:before="89" w:line="215" w:lineRule="auto"/>
              <w:ind w:left="351"/>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1.432</w:t>
            </w:r>
          </w:p>
        </w:tc>
        <w:tc>
          <w:tcPr>
            <w:tcW w:w="1137" w:type="dxa"/>
            <w:vAlign w:val="top"/>
          </w:tcPr>
          <w:p w14:paraId="4E846D69">
            <w:pPr>
              <w:spacing w:before="89" w:line="215" w:lineRule="auto"/>
              <w:ind w:left="35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1.359</w:t>
            </w:r>
          </w:p>
        </w:tc>
        <w:tc>
          <w:tcPr>
            <w:tcW w:w="1130" w:type="dxa"/>
            <w:vAlign w:val="top"/>
          </w:tcPr>
          <w:p w14:paraId="01D8C703">
            <w:pPr>
              <w:spacing w:before="89" w:line="215"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2.215</w:t>
            </w:r>
          </w:p>
        </w:tc>
        <w:tc>
          <w:tcPr>
            <w:tcW w:w="1130" w:type="dxa"/>
            <w:vAlign w:val="top"/>
          </w:tcPr>
          <w:p w14:paraId="1093659E">
            <w:pPr>
              <w:spacing w:before="89" w:line="215"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2.662</w:t>
            </w:r>
          </w:p>
        </w:tc>
        <w:tc>
          <w:tcPr>
            <w:tcW w:w="1137" w:type="dxa"/>
            <w:vAlign w:val="top"/>
          </w:tcPr>
          <w:p w14:paraId="410FDA1C">
            <w:pPr>
              <w:spacing w:before="89" w:line="215" w:lineRule="auto"/>
              <w:ind w:left="3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2.954</w:t>
            </w:r>
          </w:p>
        </w:tc>
      </w:tr>
      <w:tr w14:paraId="117C49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139" w:type="dxa"/>
            <w:vAlign w:val="top"/>
          </w:tcPr>
          <w:p w14:paraId="1FD7570B">
            <w:pPr>
              <w:spacing w:before="92" w:line="219" w:lineRule="auto"/>
              <w:ind w:left="485"/>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tc>
        <w:tc>
          <w:tcPr>
            <w:tcW w:w="1135" w:type="dxa"/>
            <w:vAlign w:val="top"/>
          </w:tcPr>
          <w:p w14:paraId="2AC3663A">
            <w:pPr>
              <w:spacing w:before="92" w:line="219" w:lineRule="auto"/>
              <w:ind w:left="481"/>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127" w:type="dxa"/>
            <w:vAlign w:val="top"/>
          </w:tcPr>
          <w:p w14:paraId="6F64124B">
            <w:pPr>
              <w:spacing w:before="92" w:line="219"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1.238</w:t>
            </w:r>
          </w:p>
        </w:tc>
        <w:tc>
          <w:tcPr>
            <w:tcW w:w="1133" w:type="dxa"/>
            <w:vAlign w:val="top"/>
          </w:tcPr>
          <w:p w14:paraId="10435FB4">
            <w:pPr>
              <w:spacing w:before="92" w:line="219" w:lineRule="auto"/>
              <w:ind w:left="351"/>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1.219</w:t>
            </w:r>
          </w:p>
        </w:tc>
        <w:tc>
          <w:tcPr>
            <w:tcW w:w="1137" w:type="dxa"/>
            <w:vAlign w:val="top"/>
          </w:tcPr>
          <w:p w14:paraId="0DD75F14">
            <w:pPr>
              <w:spacing w:before="92" w:line="219" w:lineRule="auto"/>
              <w:ind w:left="35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1.148</w:t>
            </w:r>
          </w:p>
        </w:tc>
        <w:tc>
          <w:tcPr>
            <w:tcW w:w="1130" w:type="dxa"/>
            <w:vAlign w:val="top"/>
          </w:tcPr>
          <w:p w14:paraId="5AB192DB">
            <w:pPr>
              <w:spacing w:before="92" w:line="219" w:lineRule="auto"/>
              <w:ind w:left="352"/>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1.985</w:t>
            </w:r>
          </w:p>
        </w:tc>
        <w:tc>
          <w:tcPr>
            <w:tcW w:w="1130" w:type="dxa"/>
            <w:vAlign w:val="top"/>
          </w:tcPr>
          <w:p w14:paraId="3E5FEB82">
            <w:pPr>
              <w:spacing w:before="92" w:line="219" w:lineRule="auto"/>
              <w:ind w:left="33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2.329</w:t>
            </w:r>
          </w:p>
        </w:tc>
        <w:tc>
          <w:tcPr>
            <w:tcW w:w="1137" w:type="dxa"/>
            <w:vAlign w:val="top"/>
          </w:tcPr>
          <w:p w14:paraId="0A753108">
            <w:pPr>
              <w:spacing w:before="92" w:line="219" w:lineRule="auto"/>
              <w:ind w:left="3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2.544</w:t>
            </w:r>
          </w:p>
        </w:tc>
      </w:tr>
    </w:tbl>
    <w:p w14:paraId="5987FDB0">
      <w:pPr>
        <w:spacing w:line="293" w:lineRule="auto"/>
        <w:rPr>
          <w:rFonts w:ascii="Arial"/>
          <w:sz w:val="21"/>
        </w:rPr>
      </w:pPr>
    </w:p>
    <w:p w14:paraId="2B6F1F21">
      <w:pPr>
        <w:spacing w:before="68" w:line="229" w:lineRule="auto"/>
        <w:ind w:left="1834"/>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44"/>
          <w:sz w:val="21"/>
          <w:szCs w:val="21"/>
        </w:rPr>
        <w:t xml:space="preserve"> </w:t>
      </w:r>
      <w:r>
        <w:rPr>
          <w:rFonts w:ascii="Times New Roman" w:hAnsi="Times New Roman" w:eastAsia="Times New Roman" w:cs="Times New Roman"/>
          <w:b/>
          <w:bCs/>
          <w:spacing w:val="-2"/>
          <w:sz w:val="21"/>
          <w:szCs w:val="21"/>
        </w:rPr>
        <w:t>4-12    DE</w:t>
      </w:r>
      <w:r>
        <w:rPr>
          <w:rFonts w:ascii="Times New Roman" w:hAnsi="Times New Roman" w:eastAsia="Times New Roman" w:cs="Times New Roman"/>
          <w:b/>
          <w:bCs/>
          <w:spacing w:val="27"/>
          <w:w w:val="101"/>
          <w:sz w:val="21"/>
          <w:szCs w:val="21"/>
        </w:rPr>
        <w:t xml:space="preserve"> </w:t>
      </w:r>
      <w:r>
        <w:rPr>
          <w:rFonts w:ascii="宋体" w:hAnsi="宋体" w:eastAsia="宋体" w:cs="宋体"/>
          <w:b/>
          <w:bCs/>
          <w:spacing w:val="-2"/>
          <w:sz w:val="21"/>
          <w:szCs w:val="21"/>
        </w:rPr>
        <w:t>回线路单回三角排列经过</w:t>
      </w:r>
      <w:r>
        <w:rPr>
          <w:rFonts w:ascii="宋体" w:hAnsi="宋体" w:eastAsia="宋体" w:cs="宋体"/>
          <w:b/>
          <w:bCs/>
          <w:spacing w:val="-3"/>
          <w:sz w:val="21"/>
          <w:szCs w:val="21"/>
        </w:rPr>
        <w:t>居民区电磁预测结果</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9"/>
        <w:gridCol w:w="1135"/>
        <w:gridCol w:w="3399"/>
        <w:gridCol w:w="3395"/>
      </w:tblGrid>
      <w:tr w14:paraId="051279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139" w:type="dxa"/>
            <w:vMerge w:val="restart"/>
            <w:tcBorders>
              <w:bottom w:val="nil"/>
            </w:tcBorders>
            <w:vAlign w:val="top"/>
          </w:tcPr>
          <w:p w14:paraId="28DA4FF1">
            <w:pPr>
              <w:pStyle w:val="6"/>
              <w:spacing w:before="60" w:line="251" w:lineRule="auto"/>
              <w:ind w:left="205" w:right="143" w:hanging="52"/>
              <w:rPr>
                <w:rFonts w:ascii="Times New Roman" w:hAnsi="Times New Roman" w:eastAsia="Times New Roman" w:cs="Times New Roman"/>
              </w:rPr>
            </w:pPr>
            <w:r>
              <w:rPr>
                <w:b/>
                <w:bCs/>
                <w:spacing w:val="-3"/>
              </w:rPr>
              <w:t>距中心线</w:t>
            </w:r>
            <w:r>
              <w:rPr>
                <w:b/>
                <w:bCs/>
                <w:spacing w:val="-2"/>
              </w:rPr>
              <w:t>距离</w:t>
            </w:r>
            <w:r>
              <w:rPr>
                <w:rFonts w:ascii="Times New Roman" w:hAnsi="Times New Roman" w:eastAsia="Times New Roman" w:cs="Times New Roman"/>
                <w:b/>
                <w:bCs/>
                <w:spacing w:val="-2"/>
              </w:rPr>
              <w:t>(m)</w:t>
            </w:r>
          </w:p>
        </w:tc>
        <w:tc>
          <w:tcPr>
            <w:tcW w:w="1135" w:type="dxa"/>
            <w:vMerge w:val="restart"/>
            <w:tcBorders>
              <w:bottom w:val="nil"/>
            </w:tcBorders>
            <w:vAlign w:val="top"/>
          </w:tcPr>
          <w:p w14:paraId="4BBB09D0">
            <w:pPr>
              <w:pStyle w:val="6"/>
              <w:spacing w:before="60" w:line="251" w:lineRule="auto"/>
              <w:ind w:left="199" w:right="145" w:hanging="52"/>
              <w:rPr>
                <w:rFonts w:ascii="Times New Roman" w:hAnsi="Times New Roman" w:eastAsia="Times New Roman" w:cs="Times New Roman"/>
              </w:rPr>
            </w:pPr>
            <w:r>
              <w:rPr>
                <w:b/>
                <w:bCs/>
                <w:spacing w:val="-3"/>
              </w:rPr>
              <w:t>距边导线</w:t>
            </w:r>
            <w:r>
              <w:rPr>
                <w:b/>
                <w:bCs/>
                <w:spacing w:val="-2"/>
              </w:rPr>
              <w:t>距离</w:t>
            </w:r>
            <w:r>
              <w:rPr>
                <w:rFonts w:ascii="Times New Roman" w:hAnsi="Times New Roman" w:eastAsia="Times New Roman" w:cs="Times New Roman"/>
                <w:b/>
                <w:bCs/>
                <w:spacing w:val="-2"/>
              </w:rPr>
              <w:t>(m)</w:t>
            </w:r>
          </w:p>
        </w:tc>
        <w:tc>
          <w:tcPr>
            <w:tcW w:w="3399" w:type="dxa"/>
            <w:vAlign w:val="top"/>
          </w:tcPr>
          <w:p w14:paraId="678EFE7B">
            <w:pPr>
              <w:pStyle w:val="6"/>
              <w:spacing w:before="56" w:line="221" w:lineRule="auto"/>
              <w:ind w:left="821"/>
            </w:pPr>
            <w:r>
              <w:rPr>
                <w:b/>
                <w:bCs/>
                <w:spacing w:val="-2"/>
              </w:rPr>
              <w:t>工频电场（</w:t>
            </w:r>
            <w:r>
              <w:rPr>
                <w:rFonts w:ascii="Times New Roman" w:hAnsi="Times New Roman" w:eastAsia="Times New Roman" w:cs="Times New Roman"/>
                <w:b/>
                <w:bCs/>
                <w:spacing w:val="-2"/>
              </w:rPr>
              <w:t>kV/m</w:t>
            </w:r>
            <w:r>
              <w:rPr>
                <w:b/>
                <w:bCs/>
                <w:spacing w:val="-2"/>
              </w:rPr>
              <w:t>）</w:t>
            </w:r>
          </w:p>
        </w:tc>
        <w:tc>
          <w:tcPr>
            <w:tcW w:w="3395" w:type="dxa"/>
            <w:vAlign w:val="top"/>
          </w:tcPr>
          <w:p w14:paraId="4454A359">
            <w:pPr>
              <w:pStyle w:val="6"/>
              <w:spacing w:before="56" w:line="213" w:lineRule="auto"/>
              <w:ind w:left="939"/>
            </w:pPr>
            <w:r>
              <w:rPr>
                <w:b/>
                <w:bCs/>
                <w:spacing w:val="10"/>
              </w:rPr>
              <w:t>工频磁场(</w:t>
            </w:r>
            <w:r>
              <w:rPr>
                <w:rFonts w:ascii="Times New Roman" w:hAnsi="Times New Roman" w:eastAsia="Times New Roman" w:cs="Times New Roman"/>
                <w:b/>
                <w:bCs/>
                <w:spacing w:val="10"/>
              </w:rPr>
              <w:t>µT</w:t>
            </w:r>
            <w:r>
              <w:rPr>
                <w:b/>
                <w:bCs/>
                <w:spacing w:val="10"/>
              </w:rPr>
              <w:t>）</w:t>
            </w:r>
          </w:p>
        </w:tc>
      </w:tr>
      <w:tr w14:paraId="627418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Merge w:val="continue"/>
            <w:tcBorders>
              <w:top w:val="nil"/>
            </w:tcBorders>
            <w:vAlign w:val="top"/>
          </w:tcPr>
          <w:p w14:paraId="638723E0">
            <w:pPr>
              <w:rPr>
                <w:rFonts w:ascii="Arial"/>
                <w:sz w:val="21"/>
              </w:rPr>
            </w:pPr>
          </w:p>
        </w:tc>
        <w:tc>
          <w:tcPr>
            <w:tcW w:w="1135" w:type="dxa"/>
            <w:vMerge w:val="continue"/>
            <w:tcBorders>
              <w:top w:val="nil"/>
            </w:tcBorders>
            <w:vAlign w:val="top"/>
          </w:tcPr>
          <w:p w14:paraId="3AD77E46">
            <w:pPr>
              <w:rPr>
                <w:rFonts w:ascii="Arial"/>
                <w:sz w:val="21"/>
              </w:rPr>
            </w:pPr>
          </w:p>
        </w:tc>
        <w:tc>
          <w:tcPr>
            <w:tcW w:w="3399" w:type="dxa"/>
            <w:vAlign w:val="top"/>
          </w:tcPr>
          <w:p w14:paraId="403725E0">
            <w:pPr>
              <w:pStyle w:val="6"/>
              <w:spacing w:before="52" w:line="223" w:lineRule="auto"/>
              <w:ind w:left="1245"/>
              <w:rPr>
                <w:rFonts w:ascii="Times New Roman" w:hAnsi="Times New Roman" w:eastAsia="Times New Roman" w:cs="Times New Roman"/>
              </w:rPr>
            </w:pPr>
            <w:r>
              <w:rPr>
                <w:b/>
                <w:bCs/>
                <w:spacing w:val="-4"/>
              </w:rPr>
              <w:t>地上</w:t>
            </w:r>
            <w:r>
              <w:rPr>
                <w:spacing w:val="-37"/>
              </w:rPr>
              <w:t xml:space="preserve"> </w:t>
            </w:r>
            <w:r>
              <w:rPr>
                <w:rFonts w:ascii="Times New Roman" w:hAnsi="Times New Roman" w:eastAsia="Times New Roman" w:cs="Times New Roman"/>
                <w:b/>
                <w:bCs/>
                <w:spacing w:val="-4"/>
              </w:rPr>
              <w:t>1.5m</w:t>
            </w:r>
          </w:p>
        </w:tc>
        <w:tc>
          <w:tcPr>
            <w:tcW w:w="3395" w:type="dxa"/>
            <w:vAlign w:val="top"/>
          </w:tcPr>
          <w:p w14:paraId="664B1068">
            <w:pPr>
              <w:pStyle w:val="6"/>
              <w:spacing w:before="52" w:line="223" w:lineRule="auto"/>
              <w:ind w:left="1243"/>
              <w:rPr>
                <w:rFonts w:ascii="Times New Roman" w:hAnsi="Times New Roman" w:eastAsia="Times New Roman" w:cs="Times New Roman"/>
              </w:rPr>
            </w:pPr>
            <w:r>
              <w:rPr>
                <w:b/>
                <w:bCs/>
                <w:spacing w:val="-4"/>
              </w:rPr>
              <w:t>地上</w:t>
            </w:r>
            <w:r>
              <w:rPr>
                <w:spacing w:val="-37"/>
              </w:rPr>
              <w:t xml:space="preserve"> </w:t>
            </w:r>
            <w:r>
              <w:rPr>
                <w:rFonts w:ascii="Times New Roman" w:hAnsi="Times New Roman" w:eastAsia="Times New Roman" w:cs="Times New Roman"/>
                <w:b/>
                <w:bCs/>
                <w:spacing w:val="-4"/>
              </w:rPr>
              <w:t>1.5m</w:t>
            </w:r>
          </w:p>
        </w:tc>
      </w:tr>
      <w:tr w14:paraId="00A036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Align w:val="top"/>
          </w:tcPr>
          <w:p w14:paraId="25979322">
            <w:pPr>
              <w:spacing w:before="87" w:line="217" w:lineRule="auto"/>
              <w:ind w:left="43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-47</w:t>
            </w:r>
          </w:p>
        </w:tc>
        <w:tc>
          <w:tcPr>
            <w:tcW w:w="1135" w:type="dxa"/>
            <w:vAlign w:val="top"/>
          </w:tcPr>
          <w:p w14:paraId="32131301">
            <w:pPr>
              <w:spacing w:before="87" w:line="217"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-40</w:t>
            </w:r>
          </w:p>
        </w:tc>
        <w:tc>
          <w:tcPr>
            <w:tcW w:w="3399" w:type="dxa"/>
            <w:vAlign w:val="top"/>
          </w:tcPr>
          <w:p w14:paraId="2BA08669">
            <w:pPr>
              <w:spacing w:before="87" w:line="217" w:lineRule="auto"/>
              <w:ind w:left="14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0.077</w:t>
            </w:r>
          </w:p>
        </w:tc>
        <w:tc>
          <w:tcPr>
            <w:tcW w:w="3395" w:type="dxa"/>
            <w:vAlign w:val="top"/>
          </w:tcPr>
          <w:p w14:paraId="2F37C60B">
            <w:pPr>
              <w:spacing w:before="87" w:line="217"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0.278</w:t>
            </w:r>
          </w:p>
        </w:tc>
      </w:tr>
      <w:tr w14:paraId="14883F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Align w:val="top"/>
          </w:tcPr>
          <w:p w14:paraId="62168D4B">
            <w:pPr>
              <w:spacing w:before="88" w:line="216" w:lineRule="auto"/>
              <w:ind w:left="43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-46</w:t>
            </w:r>
          </w:p>
        </w:tc>
        <w:tc>
          <w:tcPr>
            <w:tcW w:w="1135" w:type="dxa"/>
            <w:vAlign w:val="top"/>
          </w:tcPr>
          <w:p w14:paraId="5B3EB21A">
            <w:pPr>
              <w:spacing w:before="88" w:line="216"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-39</w:t>
            </w:r>
          </w:p>
        </w:tc>
        <w:tc>
          <w:tcPr>
            <w:tcW w:w="3399" w:type="dxa"/>
            <w:vAlign w:val="top"/>
          </w:tcPr>
          <w:p w14:paraId="60090AF1">
            <w:pPr>
              <w:spacing w:before="88" w:line="216" w:lineRule="auto"/>
              <w:ind w:left="14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0.082</w:t>
            </w:r>
          </w:p>
        </w:tc>
        <w:tc>
          <w:tcPr>
            <w:tcW w:w="3395" w:type="dxa"/>
            <w:vAlign w:val="top"/>
          </w:tcPr>
          <w:p w14:paraId="4907D33E">
            <w:pPr>
              <w:spacing w:before="88" w:line="216"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0.290</w:t>
            </w:r>
          </w:p>
        </w:tc>
      </w:tr>
      <w:tr w14:paraId="5D69F0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1139" w:type="dxa"/>
            <w:vAlign w:val="top"/>
          </w:tcPr>
          <w:p w14:paraId="644E1324">
            <w:pPr>
              <w:spacing w:before="91" w:line="215" w:lineRule="auto"/>
              <w:ind w:left="43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-45</w:t>
            </w:r>
          </w:p>
        </w:tc>
        <w:tc>
          <w:tcPr>
            <w:tcW w:w="1135" w:type="dxa"/>
            <w:vAlign w:val="top"/>
          </w:tcPr>
          <w:p w14:paraId="40BA66EC">
            <w:pPr>
              <w:spacing w:before="91" w:line="215"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-38</w:t>
            </w:r>
          </w:p>
        </w:tc>
        <w:tc>
          <w:tcPr>
            <w:tcW w:w="3399" w:type="dxa"/>
            <w:vAlign w:val="top"/>
          </w:tcPr>
          <w:p w14:paraId="346398EC">
            <w:pPr>
              <w:spacing w:before="91" w:line="215" w:lineRule="auto"/>
              <w:ind w:left="14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0.087</w:t>
            </w:r>
          </w:p>
        </w:tc>
        <w:tc>
          <w:tcPr>
            <w:tcW w:w="3395" w:type="dxa"/>
            <w:vAlign w:val="top"/>
          </w:tcPr>
          <w:p w14:paraId="7B041E19">
            <w:pPr>
              <w:spacing w:before="91" w:line="215"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0.303</w:t>
            </w:r>
          </w:p>
        </w:tc>
      </w:tr>
      <w:tr w14:paraId="5BFD86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Align w:val="top"/>
          </w:tcPr>
          <w:p w14:paraId="5A960B95">
            <w:pPr>
              <w:spacing w:before="89" w:line="215" w:lineRule="auto"/>
              <w:ind w:left="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w:t>
            </w:r>
          </w:p>
        </w:tc>
        <w:tc>
          <w:tcPr>
            <w:tcW w:w="1135" w:type="dxa"/>
            <w:vAlign w:val="top"/>
          </w:tcPr>
          <w:p w14:paraId="6206D20B">
            <w:pPr>
              <w:spacing w:before="89" w:line="215" w:lineRule="auto"/>
              <w:ind w:left="4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38</w:t>
            </w:r>
          </w:p>
        </w:tc>
        <w:tc>
          <w:tcPr>
            <w:tcW w:w="3399" w:type="dxa"/>
            <w:vAlign w:val="top"/>
          </w:tcPr>
          <w:p w14:paraId="02829BE0">
            <w:pPr>
              <w:spacing w:before="89" w:line="215" w:lineRule="auto"/>
              <w:ind w:left="14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0.077</w:t>
            </w:r>
          </w:p>
        </w:tc>
        <w:tc>
          <w:tcPr>
            <w:tcW w:w="3395" w:type="dxa"/>
            <w:vAlign w:val="top"/>
          </w:tcPr>
          <w:p w14:paraId="7AA8ADC3">
            <w:pPr>
              <w:spacing w:before="89" w:line="215"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0.295</w:t>
            </w:r>
          </w:p>
        </w:tc>
      </w:tr>
      <w:tr w14:paraId="589DE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Align w:val="top"/>
          </w:tcPr>
          <w:p w14:paraId="0E6EC5F5">
            <w:pPr>
              <w:spacing w:before="90" w:line="214" w:lineRule="auto"/>
              <w:ind w:left="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45</w:t>
            </w:r>
          </w:p>
        </w:tc>
        <w:tc>
          <w:tcPr>
            <w:tcW w:w="1135" w:type="dxa"/>
            <w:vAlign w:val="top"/>
          </w:tcPr>
          <w:p w14:paraId="46725031">
            <w:pPr>
              <w:spacing w:before="90" w:line="214" w:lineRule="auto"/>
              <w:ind w:left="46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39</w:t>
            </w:r>
          </w:p>
        </w:tc>
        <w:tc>
          <w:tcPr>
            <w:tcW w:w="3399" w:type="dxa"/>
            <w:vAlign w:val="top"/>
          </w:tcPr>
          <w:p w14:paraId="20796B4B">
            <w:pPr>
              <w:spacing w:before="90" w:line="214" w:lineRule="auto"/>
              <w:ind w:left="14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0.072</w:t>
            </w:r>
          </w:p>
        </w:tc>
        <w:tc>
          <w:tcPr>
            <w:tcW w:w="3395" w:type="dxa"/>
            <w:vAlign w:val="top"/>
          </w:tcPr>
          <w:p w14:paraId="4BE45850">
            <w:pPr>
              <w:spacing w:before="90" w:line="214"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0.283</w:t>
            </w:r>
          </w:p>
        </w:tc>
      </w:tr>
      <w:tr w14:paraId="7CD6CF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139" w:type="dxa"/>
            <w:vAlign w:val="top"/>
          </w:tcPr>
          <w:p w14:paraId="32C1F2F8">
            <w:pPr>
              <w:spacing w:before="90" w:line="219" w:lineRule="auto"/>
              <w:ind w:left="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46</w:t>
            </w:r>
          </w:p>
        </w:tc>
        <w:tc>
          <w:tcPr>
            <w:tcW w:w="1135" w:type="dxa"/>
            <w:vAlign w:val="top"/>
          </w:tcPr>
          <w:p w14:paraId="00150361">
            <w:pPr>
              <w:spacing w:before="90" w:line="219" w:lineRule="auto"/>
              <w:ind w:left="46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3399" w:type="dxa"/>
            <w:vAlign w:val="top"/>
          </w:tcPr>
          <w:p w14:paraId="032537D6">
            <w:pPr>
              <w:spacing w:before="90" w:line="219" w:lineRule="auto"/>
              <w:ind w:left="14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0.068</w:t>
            </w:r>
          </w:p>
        </w:tc>
        <w:tc>
          <w:tcPr>
            <w:tcW w:w="3395" w:type="dxa"/>
            <w:vAlign w:val="top"/>
          </w:tcPr>
          <w:p w14:paraId="5964EA87">
            <w:pPr>
              <w:spacing w:before="90" w:line="219" w:lineRule="auto"/>
              <w:ind w:left="14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0.271</w:t>
            </w:r>
          </w:p>
        </w:tc>
      </w:tr>
    </w:tbl>
    <w:p w14:paraId="28AA130E">
      <w:pPr>
        <w:spacing w:line="293" w:lineRule="auto"/>
        <w:rPr>
          <w:rFonts w:ascii="Arial"/>
          <w:sz w:val="21"/>
        </w:rPr>
      </w:pPr>
    </w:p>
    <w:p w14:paraId="7B7A68E5">
      <w:pPr>
        <w:spacing w:before="68" w:line="229" w:lineRule="auto"/>
        <w:ind w:left="1200"/>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45"/>
          <w:sz w:val="21"/>
          <w:szCs w:val="21"/>
        </w:rPr>
        <w:t xml:space="preserve"> </w:t>
      </w:r>
      <w:r>
        <w:rPr>
          <w:rFonts w:ascii="Times New Roman" w:hAnsi="Times New Roman" w:eastAsia="Times New Roman" w:cs="Times New Roman"/>
          <w:b/>
          <w:bCs/>
          <w:spacing w:val="-2"/>
          <w:sz w:val="21"/>
          <w:szCs w:val="21"/>
        </w:rPr>
        <w:t>4-13    DE</w:t>
      </w:r>
      <w:r>
        <w:rPr>
          <w:rFonts w:ascii="Times New Roman" w:hAnsi="Times New Roman" w:eastAsia="Times New Roman" w:cs="Times New Roman"/>
          <w:b/>
          <w:bCs/>
          <w:spacing w:val="28"/>
          <w:sz w:val="21"/>
          <w:szCs w:val="21"/>
        </w:rPr>
        <w:t xml:space="preserve"> </w:t>
      </w:r>
      <w:r>
        <w:rPr>
          <w:rFonts w:ascii="宋体" w:hAnsi="宋体" w:eastAsia="宋体" w:cs="宋体"/>
          <w:b/>
          <w:bCs/>
          <w:spacing w:val="-2"/>
          <w:sz w:val="21"/>
          <w:szCs w:val="21"/>
        </w:rPr>
        <w:t>回线路双回垂直排列（单边挂线）经过居民区电磁预</w:t>
      </w:r>
      <w:r>
        <w:rPr>
          <w:rFonts w:ascii="宋体" w:hAnsi="宋体" w:eastAsia="宋体" w:cs="宋体"/>
          <w:b/>
          <w:bCs/>
          <w:spacing w:val="-3"/>
          <w:sz w:val="21"/>
          <w:szCs w:val="21"/>
        </w:rPr>
        <w:t>测结果</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39"/>
        <w:gridCol w:w="1135"/>
        <w:gridCol w:w="1696"/>
        <w:gridCol w:w="1703"/>
        <w:gridCol w:w="1696"/>
        <w:gridCol w:w="1699"/>
      </w:tblGrid>
      <w:tr w14:paraId="526D7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139" w:type="dxa"/>
            <w:vMerge w:val="restart"/>
            <w:tcBorders>
              <w:bottom w:val="nil"/>
            </w:tcBorders>
            <w:vAlign w:val="top"/>
          </w:tcPr>
          <w:p w14:paraId="519DB6B5">
            <w:pPr>
              <w:pStyle w:val="6"/>
              <w:spacing w:before="63" w:line="221" w:lineRule="auto"/>
              <w:ind w:left="47"/>
            </w:pPr>
            <w:r>
              <w:rPr>
                <w:b/>
                <w:bCs/>
                <w:spacing w:val="-3"/>
              </w:rPr>
              <w:t>距中心线距</w:t>
            </w:r>
          </w:p>
          <w:p w14:paraId="292AB604">
            <w:pPr>
              <w:pStyle w:val="6"/>
              <w:spacing w:before="61" w:line="216" w:lineRule="auto"/>
              <w:ind w:left="316"/>
              <w:rPr>
                <w:rFonts w:ascii="Times New Roman" w:hAnsi="Times New Roman" w:eastAsia="Times New Roman" w:cs="Times New Roman"/>
              </w:rPr>
            </w:pPr>
            <w:r>
              <w:rPr>
                <w:b/>
                <w:bCs/>
                <w:spacing w:val="-3"/>
              </w:rPr>
              <w:t>离</w:t>
            </w:r>
            <w:r>
              <w:rPr>
                <w:rFonts w:ascii="Times New Roman" w:hAnsi="Times New Roman" w:eastAsia="Times New Roman" w:cs="Times New Roman"/>
                <w:b/>
                <w:bCs/>
                <w:spacing w:val="-3"/>
              </w:rPr>
              <w:t>(m)</w:t>
            </w:r>
          </w:p>
        </w:tc>
        <w:tc>
          <w:tcPr>
            <w:tcW w:w="1135" w:type="dxa"/>
            <w:vMerge w:val="restart"/>
            <w:tcBorders>
              <w:bottom w:val="nil"/>
            </w:tcBorders>
            <w:vAlign w:val="top"/>
          </w:tcPr>
          <w:p w14:paraId="44400D77">
            <w:pPr>
              <w:pStyle w:val="6"/>
              <w:spacing w:before="63" w:line="221" w:lineRule="auto"/>
              <w:ind w:left="41"/>
            </w:pPr>
            <w:r>
              <w:rPr>
                <w:b/>
                <w:bCs/>
                <w:spacing w:val="-3"/>
              </w:rPr>
              <w:t>距边导线距</w:t>
            </w:r>
          </w:p>
          <w:p w14:paraId="2B70319A">
            <w:pPr>
              <w:pStyle w:val="6"/>
              <w:spacing w:before="61" w:line="216" w:lineRule="auto"/>
              <w:ind w:left="309"/>
              <w:rPr>
                <w:rFonts w:ascii="Times New Roman" w:hAnsi="Times New Roman" w:eastAsia="Times New Roman" w:cs="Times New Roman"/>
              </w:rPr>
            </w:pPr>
            <w:r>
              <w:rPr>
                <w:b/>
                <w:bCs/>
                <w:spacing w:val="-3"/>
              </w:rPr>
              <w:t>离</w:t>
            </w:r>
            <w:r>
              <w:rPr>
                <w:rFonts w:ascii="Times New Roman" w:hAnsi="Times New Roman" w:eastAsia="Times New Roman" w:cs="Times New Roman"/>
                <w:b/>
                <w:bCs/>
                <w:spacing w:val="-3"/>
              </w:rPr>
              <w:t>(m)</w:t>
            </w:r>
          </w:p>
        </w:tc>
        <w:tc>
          <w:tcPr>
            <w:tcW w:w="3399" w:type="dxa"/>
            <w:gridSpan w:val="2"/>
            <w:vAlign w:val="top"/>
          </w:tcPr>
          <w:p w14:paraId="1F93C3E6">
            <w:pPr>
              <w:pStyle w:val="6"/>
              <w:spacing w:before="56" w:line="221" w:lineRule="auto"/>
              <w:ind w:left="823"/>
            </w:pPr>
            <w:r>
              <w:rPr>
                <w:b/>
                <w:bCs/>
                <w:spacing w:val="-2"/>
              </w:rPr>
              <w:t>工频电场（</w:t>
            </w:r>
            <w:r>
              <w:rPr>
                <w:rFonts w:ascii="Times New Roman" w:hAnsi="Times New Roman" w:eastAsia="Times New Roman" w:cs="Times New Roman"/>
                <w:b/>
                <w:bCs/>
                <w:spacing w:val="-2"/>
              </w:rPr>
              <w:t>kV/m</w:t>
            </w:r>
            <w:r>
              <w:rPr>
                <w:b/>
                <w:bCs/>
                <w:spacing w:val="-2"/>
              </w:rPr>
              <w:t>）</w:t>
            </w:r>
          </w:p>
        </w:tc>
        <w:tc>
          <w:tcPr>
            <w:tcW w:w="3395" w:type="dxa"/>
            <w:gridSpan w:val="2"/>
            <w:vAlign w:val="top"/>
          </w:tcPr>
          <w:p w14:paraId="7D30F58B">
            <w:pPr>
              <w:pStyle w:val="6"/>
              <w:spacing w:before="56" w:line="213" w:lineRule="auto"/>
              <w:ind w:left="941"/>
            </w:pPr>
            <w:r>
              <w:rPr>
                <w:b/>
                <w:bCs/>
                <w:spacing w:val="10"/>
              </w:rPr>
              <w:t>工频磁场(</w:t>
            </w:r>
            <w:r>
              <w:rPr>
                <w:rFonts w:ascii="Times New Roman" w:hAnsi="Times New Roman" w:eastAsia="Times New Roman" w:cs="Times New Roman"/>
                <w:b/>
                <w:bCs/>
                <w:spacing w:val="10"/>
              </w:rPr>
              <w:t>µT</w:t>
            </w:r>
            <w:r>
              <w:rPr>
                <w:b/>
                <w:bCs/>
                <w:spacing w:val="10"/>
              </w:rPr>
              <w:t>）</w:t>
            </w:r>
          </w:p>
        </w:tc>
      </w:tr>
      <w:tr w14:paraId="4A49A9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1139" w:type="dxa"/>
            <w:vMerge w:val="continue"/>
            <w:tcBorders>
              <w:top w:val="nil"/>
            </w:tcBorders>
            <w:vAlign w:val="top"/>
          </w:tcPr>
          <w:p w14:paraId="72DC1E92">
            <w:pPr>
              <w:rPr>
                <w:rFonts w:ascii="Arial"/>
                <w:sz w:val="21"/>
              </w:rPr>
            </w:pPr>
          </w:p>
        </w:tc>
        <w:tc>
          <w:tcPr>
            <w:tcW w:w="1135" w:type="dxa"/>
            <w:vMerge w:val="continue"/>
            <w:tcBorders>
              <w:top w:val="nil"/>
            </w:tcBorders>
            <w:vAlign w:val="top"/>
          </w:tcPr>
          <w:p w14:paraId="37EDAE4B">
            <w:pPr>
              <w:rPr>
                <w:rFonts w:ascii="Arial"/>
                <w:sz w:val="21"/>
              </w:rPr>
            </w:pPr>
          </w:p>
        </w:tc>
        <w:tc>
          <w:tcPr>
            <w:tcW w:w="1696" w:type="dxa"/>
            <w:vAlign w:val="top"/>
          </w:tcPr>
          <w:p w14:paraId="3E55F003">
            <w:pPr>
              <w:pStyle w:val="6"/>
              <w:spacing w:before="55" w:line="223" w:lineRule="auto"/>
              <w:ind w:left="393"/>
              <w:rPr>
                <w:rFonts w:ascii="Times New Roman" w:hAnsi="Times New Roman" w:eastAsia="Times New Roman" w:cs="Times New Roman"/>
              </w:rPr>
            </w:pPr>
            <w:r>
              <w:rPr>
                <w:b/>
                <w:bCs/>
                <w:spacing w:val="-4"/>
              </w:rPr>
              <w:t>地上</w:t>
            </w:r>
            <w:r>
              <w:rPr>
                <w:spacing w:val="-37"/>
              </w:rPr>
              <w:t xml:space="preserve"> </w:t>
            </w:r>
            <w:r>
              <w:rPr>
                <w:rFonts w:ascii="Times New Roman" w:hAnsi="Times New Roman" w:eastAsia="Times New Roman" w:cs="Times New Roman"/>
                <w:b/>
                <w:bCs/>
                <w:spacing w:val="-4"/>
              </w:rPr>
              <w:t>1.5m</w:t>
            </w:r>
          </w:p>
        </w:tc>
        <w:tc>
          <w:tcPr>
            <w:tcW w:w="1703" w:type="dxa"/>
            <w:vAlign w:val="top"/>
          </w:tcPr>
          <w:p w14:paraId="1C126101">
            <w:pPr>
              <w:pStyle w:val="6"/>
              <w:spacing w:before="55" w:line="223" w:lineRule="auto"/>
              <w:ind w:left="402"/>
              <w:rPr>
                <w:rFonts w:ascii="Times New Roman" w:hAnsi="Times New Roman" w:eastAsia="Times New Roman" w:cs="Times New Roman"/>
              </w:rPr>
            </w:pPr>
            <w:r>
              <w:rPr>
                <w:b/>
                <w:bCs/>
                <w:spacing w:val="-3"/>
              </w:rPr>
              <w:t>地上</w:t>
            </w:r>
            <w:r>
              <w:rPr>
                <w:spacing w:val="-43"/>
              </w:rPr>
              <w:t xml:space="preserve"> </w:t>
            </w:r>
            <w:r>
              <w:rPr>
                <w:rFonts w:ascii="Times New Roman" w:hAnsi="Times New Roman" w:eastAsia="Times New Roman" w:cs="Times New Roman"/>
                <w:b/>
                <w:bCs/>
                <w:spacing w:val="-3"/>
              </w:rPr>
              <w:t>4.5m</w:t>
            </w:r>
          </w:p>
        </w:tc>
        <w:tc>
          <w:tcPr>
            <w:tcW w:w="1696" w:type="dxa"/>
            <w:vAlign w:val="top"/>
          </w:tcPr>
          <w:p w14:paraId="1B7169B1">
            <w:pPr>
              <w:pStyle w:val="6"/>
              <w:spacing w:before="55" w:line="223" w:lineRule="auto"/>
              <w:ind w:left="398"/>
              <w:rPr>
                <w:rFonts w:ascii="Times New Roman" w:hAnsi="Times New Roman" w:eastAsia="Times New Roman" w:cs="Times New Roman"/>
              </w:rPr>
            </w:pPr>
            <w:r>
              <w:rPr>
                <w:b/>
                <w:bCs/>
                <w:spacing w:val="-4"/>
              </w:rPr>
              <w:t>地上</w:t>
            </w:r>
            <w:r>
              <w:rPr>
                <w:spacing w:val="-37"/>
              </w:rPr>
              <w:t xml:space="preserve"> </w:t>
            </w:r>
            <w:r>
              <w:rPr>
                <w:rFonts w:ascii="Times New Roman" w:hAnsi="Times New Roman" w:eastAsia="Times New Roman" w:cs="Times New Roman"/>
                <w:b/>
                <w:bCs/>
                <w:spacing w:val="-4"/>
              </w:rPr>
              <w:t>1.5m</w:t>
            </w:r>
          </w:p>
        </w:tc>
        <w:tc>
          <w:tcPr>
            <w:tcW w:w="1699" w:type="dxa"/>
            <w:vAlign w:val="top"/>
          </w:tcPr>
          <w:p w14:paraId="26E07F3D">
            <w:pPr>
              <w:pStyle w:val="6"/>
              <w:spacing w:before="55" w:line="223" w:lineRule="auto"/>
              <w:ind w:left="397"/>
              <w:rPr>
                <w:rFonts w:ascii="Times New Roman" w:hAnsi="Times New Roman" w:eastAsia="Times New Roman" w:cs="Times New Roman"/>
              </w:rPr>
            </w:pPr>
            <w:r>
              <w:rPr>
                <w:b/>
                <w:bCs/>
                <w:spacing w:val="-3"/>
              </w:rPr>
              <w:t>地上</w:t>
            </w:r>
            <w:r>
              <w:rPr>
                <w:spacing w:val="-43"/>
              </w:rPr>
              <w:t xml:space="preserve"> </w:t>
            </w:r>
            <w:r>
              <w:rPr>
                <w:rFonts w:ascii="Times New Roman" w:hAnsi="Times New Roman" w:eastAsia="Times New Roman" w:cs="Times New Roman"/>
                <w:b/>
                <w:bCs/>
                <w:spacing w:val="-3"/>
              </w:rPr>
              <w:t>4.5m</w:t>
            </w:r>
          </w:p>
        </w:tc>
      </w:tr>
      <w:tr w14:paraId="1AB90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Align w:val="top"/>
          </w:tcPr>
          <w:p w14:paraId="46CAF263">
            <w:pPr>
              <w:spacing w:before="88" w:line="216" w:lineRule="auto"/>
              <w:ind w:left="488"/>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-5</w:t>
            </w:r>
          </w:p>
        </w:tc>
        <w:tc>
          <w:tcPr>
            <w:tcW w:w="1135" w:type="dxa"/>
            <w:vAlign w:val="top"/>
          </w:tcPr>
          <w:p w14:paraId="73228F69">
            <w:pPr>
              <w:spacing w:before="88" w:line="216" w:lineRule="auto"/>
              <w:ind w:left="482"/>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-5</w:t>
            </w:r>
          </w:p>
        </w:tc>
        <w:tc>
          <w:tcPr>
            <w:tcW w:w="1696" w:type="dxa"/>
            <w:vAlign w:val="top"/>
          </w:tcPr>
          <w:p w14:paraId="5B62286F">
            <w:pPr>
              <w:spacing w:before="88" w:line="216" w:lineRule="auto"/>
              <w:ind w:left="61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2.218</w:t>
            </w:r>
          </w:p>
        </w:tc>
        <w:tc>
          <w:tcPr>
            <w:tcW w:w="1703" w:type="dxa"/>
            <w:vAlign w:val="top"/>
          </w:tcPr>
          <w:p w14:paraId="2DFF80F6">
            <w:pPr>
              <w:spacing w:before="88" w:line="216" w:lineRule="auto"/>
              <w:ind w:left="61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2.666</w:t>
            </w:r>
          </w:p>
        </w:tc>
        <w:tc>
          <w:tcPr>
            <w:tcW w:w="1696" w:type="dxa"/>
            <w:vAlign w:val="top"/>
          </w:tcPr>
          <w:p w14:paraId="5FC4CAD7">
            <w:pPr>
              <w:spacing w:before="88" w:line="216" w:lineRule="auto"/>
              <w:ind w:left="6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3.575</w:t>
            </w:r>
          </w:p>
        </w:tc>
        <w:tc>
          <w:tcPr>
            <w:tcW w:w="1699" w:type="dxa"/>
            <w:vAlign w:val="top"/>
          </w:tcPr>
          <w:p w14:paraId="08A00028">
            <w:pPr>
              <w:spacing w:before="88" w:line="216" w:lineRule="auto"/>
              <w:ind w:left="62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5.673</w:t>
            </w:r>
          </w:p>
        </w:tc>
      </w:tr>
      <w:tr w14:paraId="690C5A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Align w:val="top"/>
          </w:tcPr>
          <w:p w14:paraId="57AFB409">
            <w:pPr>
              <w:spacing w:before="88" w:line="216" w:lineRule="auto"/>
              <w:ind w:left="488"/>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-4</w:t>
            </w:r>
          </w:p>
        </w:tc>
        <w:tc>
          <w:tcPr>
            <w:tcW w:w="1135" w:type="dxa"/>
            <w:vAlign w:val="top"/>
          </w:tcPr>
          <w:p w14:paraId="330E7A36">
            <w:pPr>
              <w:spacing w:before="88" w:line="216" w:lineRule="auto"/>
              <w:ind w:left="482"/>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-4</w:t>
            </w:r>
          </w:p>
        </w:tc>
        <w:tc>
          <w:tcPr>
            <w:tcW w:w="1696" w:type="dxa"/>
            <w:vAlign w:val="top"/>
          </w:tcPr>
          <w:p w14:paraId="23916D80">
            <w:pPr>
              <w:spacing w:before="88" w:line="216" w:lineRule="auto"/>
              <w:ind w:left="61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2.665</w:t>
            </w:r>
          </w:p>
        </w:tc>
        <w:tc>
          <w:tcPr>
            <w:tcW w:w="1703" w:type="dxa"/>
            <w:vAlign w:val="top"/>
          </w:tcPr>
          <w:p w14:paraId="64ED2A87">
            <w:pPr>
              <w:spacing w:before="88" w:line="216" w:lineRule="auto"/>
              <w:ind w:left="6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3.391</w:t>
            </w:r>
          </w:p>
        </w:tc>
        <w:tc>
          <w:tcPr>
            <w:tcW w:w="1696" w:type="dxa"/>
            <w:vAlign w:val="top"/>
          </w:tcPr>
          <w:p w14:paraId="7BA70190">
            <w:pPr>
              <w:spacing w:before="88" w:line="216" w:lineRule="auto"/>
              <w:ind w:left="6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3.926</w:t>
            </w:r>
          </w:p>
        </w:tc>
        <w:tc>
          <w:tcPr>
            <w:tcW w:w="1699" w:type="dxa"/>
            <w:vAlign w:val="top"/>
          </w:tcPr>
          <w:p w14:paraId="3D2A2242">
            <w:pPr>
              <w:spacing w:before="88" w:line="216" w:lineRule="auto"/>
              <w:ind w:left="61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6.756</w:t>
            </w:r>
          </w:p>
        </w:tc>
      </w:tr>
      <w:tr w14:paraId="5576F4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Align w:val="top"/>
          </w:tcPr>
          <w:p w14:paraId="6EF6AFAB">
            <w:pPr>
              <w:spacing w:before="89" w:line="215" w:lineRule="auto"/>
              <w:ind w:left="488"/>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-3</w:t>
            </w:r>
          </w:p>
        </w:tc>
        <w:tc>
          <w:tcPr>
            <w:tcW w:w="1135" w:type="dxa"/>
            <w:vAlign w:val="top"/>
          </w:tcPr>
          <w:p w14:paraId="2D2D37A6">
            <w:pPr>
              <w:spacing w:before="89" w:line="215" w:lineRule="auto"/>
              <w:ind w:left="482"/>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-3</w:t>
            </w:r>
          </w:p>
        </w:tc>
        <w:tc>
          <w:tcPr>
            <w:tcW w:w="1696" w:type="dxa"/>
            <w:vAlign w:val="top"/>
          </w:tcPr>
          <w:p w14:paraId="0804E040">
            <w:pPr>
              <w:spacing w:before="89" w:line="215" w:lineRule="auto"/>
              <w:ind w:left="61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3.115</w:t>
            </w:r>
          </w:p>
        </w:tc>
        <w:tc>
          <w:tcPr>
            <w:tcW w:w="1703" w:type="dxa"/>
            <w:vAlign w:val="top"/>
          </w:tcPr>
          <w:p w14:paraId="66D83410">
            <w:pPr>
              <w:spacing w:before="89" w:line="215" w:lineRule="auto"/>
              <w:ind w:left="61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4.287</w:t>
            </w:r>
          </w:p>
        </w:tc>
        <w:tc>
          <w:tcPr>
            <w:tcW w:w="1696" w:type="dxa"/>
            <w:vAlign w:val="top"/>
          </w:tcPr>
          <w:p w14:paraId="3736AD08">
            <w:pPr>
              <w:spacing w:before="89" w:line="215" w:lineRule="auto"/>
              <w:ind w:left="61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4.271</w:t>
            </w:r>
          </w:p>
        </w:tc>
        <w:tc>
          <w:tcPr>
            <w:tcW w:w="1699" w:type="dxa"/>
            <w:vAlign w:val="top"/>
          </w:tcPr>
          <w:p w14:paraId="11B07D82">
            <w:pPr>
              <w:spacing w:before="89" w:line="215" w:lineRule="auto"/>
              <w:ind w:left="62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8.109</w:t>
            </w:r>
          </w:p>
        </w:tc>
      </w:tr>
      <w:tr w14:paraId="10657C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Align w:val="top"/>
          </w:tcPr>
          <w:p w14:paraId="19B45158">
            <w:pPr>
              <w:spacing w:before="89" w:line="215" w:lineRule="auto"/>
              <w:ind w:left="522"/>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135" w:type="dxa"/>
            <w:vAlign w:val="top"/>
          </w:tcPr>
          <w:p w14:paraId="4627489B">
            <w:pPr>
              <w:spacing w:before="89" w:line="215" w:lineRule="auto"/>
              <w:ind w:left="518"/>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696" w:type="dxa"/>
            <w:vAlign w:val="top"/>
          </w:tcPr>
          <w:p w14:paraId="6DFE069A">
            <w:pPr>
              <w:spacing w:before="89" w:line="215" w:lineRule="auto"/>
              <w:ind w:left="61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3.071</w:t>
            </w:r>
          </w:p>
        </w:tc>
        <w:tc>
          <w:tcPr>
            <w:tcW w:w="1703" w:type="dxa"/>
            <w:vAlign w:val="top"/>
          </w:tcPr>
          <w:p w14:paraId="16B49719">
            <w:pPr>
              <w:spacing w:before="89" w:line="215" w:lineRule="auto"/>
              <w:ind w:left="61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4.313</w:t>
            </w:r>
          </w:p>
        </w:tc>
        <w:tc>
          <w:tcPr>
            <w:tcW w:w="1696" w:type="dxa"/>
            <w:vAlign w:val="top"/>
          </w:tcPr>
          <w:p w14:paraId="6DABEA7D">
            <w:pPr>
              <w:spacing w:before="89" w:line="215" w:lineRule="auto"/>
              <w:ind w:left="61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4.323</w:t>
            </w:r>
          </w:p>
        </w:tc>
        <w:tc>
          <w:tcPr>
            <w:tcW w:w="1699" w:type="dxa"/>
            <w:vAlign w:val="top"/>
          </w:tcPr>
          <w:p w14:paraId="639E2254">
            <w:pPr>
              <w:spacing w:before="89" w:line="215" w:lineRule="auto"/>
              <w:ind w:left="62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8.296</w:t>
            </w:r>
          </w:p>
        </w:tc>
      </w:tr>
      <w:tr w14:paraId="503ED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139" w:type="dxa"/>
            <w:vAlign w:val="top"/>
          </w:tcPr>
          <w:p w14:paraId="568F3317">
            <w:pPr>
              <w:spacing w:before="90" w:line="214" w:lineRule="auto"/>
              <w:ind w:left="516"/>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135" w:type="dxa"/>
            <w:vAlign w:val="top"/>
          </w:tcPr>
          <w:p w14:paraId="374FE6EE">
            <w:pPr>
              <w:spacing w:before="90" w:line="214" w:lineRule="auto"/>
              <w:ind w:left="512"/>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696" w:type="dxa"/>
            <w:vAlign w:val="top"/>
          </w:tcPr>
          <w:p w14:paraId="5C5F1E7E">
            <w:pPr>
              <w:spacing w:before="90" w:line="214" w:lineRule="auto"/>
              <w:ind w:left="61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2.617</w:t>
            </w:r>
          </w:p>
        </w:tc>
        <w:tc>
          <w:tcPr>
            <w:tcW w:w="1703" w:type="dxa"/>
            <w:vAlign w:val="top"/>
          </w:tcPr>
          <w:p w14:paraId="46035109">
            <w:pPr>
              <w:spacing w:before="90" w:line="214" w:lineRule="auto"/>
              <w:ind w:left="6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3.421</w:t>
            </w:r>
          </w:p>
        </w:tc>
        <w:tc>
          <w:tcPr>
            <w:tcW w:w="1696" w:type="dxa"/>
            <w:vAlign w:val="top"/>
          </w:tcPr>
          <w:p w14:paraId="0E0B54F9">
            <w:pPr>
              <w:spacing w:before="90" w:line="214" w:lineRule="auto"/>
              <w:ind w:left="6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3.987</w:t>
            </w:r>
          </w:p>
        </w:tc>
        <w:tc>
          <w:tcPr>
            <w:tcW w:w="1699" w:type="dxa"/>
            <w:vAlign w:val="top"/>
          </w:tcPr>
          <w:p w14:paraId="0C23B50D">
            <w:pPr>
              <w:spacing w:before="90" w:line="214" w:lineRule="auto"/>
              <w:ind w:left="61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6.947</w:t>
            </w:r>
          </w:p>
        </w:tc>
      </w:tr>
      <w:tr w14:paraId="2B52F8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139" w:type="dxa"/>
            <w:vAlign w:val="top"/>
          </w:tcPr>
          <w:p w14:paraId="4BC6F2CB">
            <w:pPr>
              <w:spacing w:before="93" w:line="218" w:lineRule="auto"/>
              <w:ind w:left="523"/>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135" w:type="dxa"/>
            <w:vAlign w:val="top"/>
          </w:tcPr>
          <w:p w14:paraId="5996964E">
            <w:pPr>
              <w:spacing w:before="93" w:line="218" w:lineRule="auto"/>
              <w:ind w:left="519"/>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696" w:type="dxa"/>
            <w:vAlign w:val="top"/>
          </w:tcPr>
          <w:p w14:paraId="41395DFE">
            <w:pPr>
              <w:spacing w:before="93" w:line="218" w:lineRule="auto"/>
              <w:ind w:left="61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2.172</w:t>
            </w:r>
          </w:p>
        </w:tc>
        <w:tc>
          <w:tcPr>
            <w:tcW w:w="1703" w:type="dxa"/>
            <w:vAlign w:val="top"/>
          </w:tcPr>
          <w:p w14:paraId="1AB895FC">
            <w:pPr>
              <w:spacing w:before="93" w:line="218" w:lineRule="auto"/>
              <w:ind w:left="61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2.702</w:t>
            </w:r>
          </w:p>
        </w:tc>
        <w:tc>
          <w:tcPr>
            <w:tcW w:w="1696" w:type="dxa"/>
            <w:vAlign w:val="top"/>
          </w:tcPr>
          <w:p w14:paraId="18B51091">
            <w:pPr>
              <w:spacing w:before="93" w:line="218" w:lineRule="auto"/>
              <w:ind w:left="6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3.639</w:t>
            </w:r>
          </w:p>
        </w:tc>
        <w:tc>
          <w:tcPr>
            <w:tcW w:w="1699" w:type="dxa"/>
            <w:vAlign w:val="top"/>
          </w:tcPr>
          <w:p w14:paraId="1FAC1EF3">
            <w:pPr>
              <w:spacing w:before="93" w:line="218" w:lineRule="auto"/>
              <w:ind w:left="62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5.853</w:t>
            </w:r>
          </w:p>
        </w:tc>
      </w:tr>
    </w:tbl>
    <w:p w14:paraId="3A69E31E">
      <w:pPr>
        <w:spacing w:before="115" w:line="218" w:lineRule="auto"/>
        <w:ind w:left="490"/>
        <w:rPr>
          <w:rFonts w:ascii="宋体" w:hAnsi="宋体" w:eastAsia="宋体" w:cs="宋体"/>
          <w:sz w:val="24"/>
          <w:szCs w:val="24"/>
        </w:rPr>
      </w:pPr>
      <w:r>
        <w:rPr>
          <w:rFonts w:ascii="宋体" w:hAnsi="宋体" w:eastAsia="宋体" w:cs="宋体"/>
          <w:spacing w:val="-1"/>
          <w:sz w:val="24"/>
          <w:szCs w:val="24"/>
        </w:rPr>
        <w:t>本项目输电线评价范围内各敏感点电磁预测结果见下表。</w:t>
      </w:r>
    </w:p>
    <w:p w14:paraId="63CD3E23">
      <w:pPr>
        <w:spacing w:line="218" w:lineRule="auto"/>
        <w:rPr>
          <w:rFonts w:ascii="宋体" w:hAnsi="宋体" w:eastAsia="宋体" w:cs="宋体"/>
          <w:sz w:val="24"/>
          <w:szCs w:val="24"/>
        </w:rPr>
        <w:sectPr>
          <w:footerReference r:id="rId133" w:type="default"/>
          <w:pgSz w:w="11907" w:h="16841"/>
          <w:pgMar w:top="400" w:right="1413" w:bottom="1126" w:left="1418" w:header="0" w:footer="925" w:gutter="0"/>
          <w:cols w:space="720" w:num="1"/>
        </w:sectPr>
      </w:pPr>
    </w:p>
    <w:p w14:paraId="131FAE2A">
      <w:pPr>
        <w:spacing w:line="297" w:lineRule="auto"/>
        <w:rPr>
          <w:rFonts w:ascii="Arial"/>
          <w:sz w:val="21"/>
        </w:rPr>
      </w:pPr>
    </w:p>
    <w:p w14:paraId="253AD4C1">
      <w:pPr>
        <w:spacing w:line="298" w:lineRule="auto"/>
        <w:rPr>
          <w:rFonts w:ascii="Arial"/>
          <w:sz w:val="21"/>
        </w:rPr>
      </w:pPr>
    </w:p>
    <w:p w14:paraId="3A2BADCC">
      <w:pPr>
        <w:spacing w:line="298" w:lineRule="auto"/>
        <w:rPr>
          <w:rFonts w:ascii="Arial"/>
          <w:sz w:val="21"/>
        </w:rPr>
      </w:pPr>
    </w:p>
    <w:p w14:paraId="0C8EADDC">
      <w:pPr>
        <w:spacing w:line="298" w:lineRule="auto"/>
        <w:rPr>
          <w:rFonts w:ascii="Arial"/>
          <w:sz w:val="21"/>
        </w:rPr>
      </w:pPr>
    </w:p>
    <w:p w14:paraId="62FA6BC4">
      <w:pPr>
        <w:spacing w:before="68" w:line="229" w:lineRule="auto"/>
        <w:ind w:left="2638"/>
        <w:rPr>
          <w:rFonts w:ascii="宋体" w:hAnsi="宋体" w:eastAsia="宋体" w:cs="宋体"/>
          <w:sz w:val="21"/>
          <w:szCs w:val="21"/>
        </w:rPr>
      </w:pPr>
      <w:bookmarkStart w:id="26" w:name="bookmark37"/>
      <w:bookmarkEnd w:id="26"/>
      <w:r>
        <w:rPr>
          <w:rFonts w:ascii="宋体" w:hAnsi="宋体" w:eastAsia="宋体" w:cs="宋体"/>
          <w:b/>
          <w:bCs/>
          <w:spacing w:val="-2"/>
          <w:sz w:val="21"/>
          <w:szCs w:val="21"/>
        </w:rPr>
        <w:t>表</w:t>
      </w:r>
      <w:r>
        <w:rPr>
          <w:rFonts w:ascii="宋体" w:hAnsi="宋体" w:eastAsia="宋体" w:cs="宋体"/>
          <w:spacing w:val="-32"/>
          <w:sz w:val="21"/>
          <w:szCs w:val="21"/>
        </w:rPr>
        <w:t xml:space="preserve"> </w:t>
      </w:r>
      <w:r>
        <w:rPr>
          <w:rFonts w:ascii="Times New Roman" w:hAnsi="Times New Roman" w:eastAsia="Times New Roman" w:cs="Times New Roman"/>
          <w:b/>
          <w:bCs/>
          <w:spacing w:val="-2"/>
          <w:sz w:val="21"/>
          <w:szCs w:val="21"/>
        </w:rPr>
        <w:t xml:space="preserve">4-14    </w:t>
      </w:r>
      <w:r>
        <w:rPr>
          <w:rFonts w:ascii="宋体" w:hAnsi="宋体" w:eastAsia="宋体" w:cs="宋体"/>
          <w:b/>
          <w:bCs/>
          <w:spacing w:val="-2"/>
          <w:sz w:val="21"/>
          <w:szCs w:val="21"/>
        </w:rPr>
        <w:t>环境保护目标处的电磁预测结果</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833"/>
        <w:gridCol w:w="2553"/>
        <w:gridCol w:w="1274"/>
        <w:gridCol w:w="1276"/>
        <w:gridCol w:w="1132"/>
      </w:tblGrid>
      <w:tr w14:paraId="75F4AE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2833" w:type="dxa"/>
            <w:vMerge w:val="restart"/>
            <w:tcBorders>
              <w:bottom w:val="nil"/>
            </w:tcBorders>
            <w:vAlign w:val="top"/>
          </w:tcPr>
          <w:p w14:paraId="362088FE">
            <w:pPr>
              <w:pStyle w:val="6"/>
              <w:spacing w:before="219" w:line="221" w:lineRule="auto"/>
              <w:ind w:left="787"/>
            </w:pPr>
            <w:r>
              <w:rPr>
                <w:b/>
                <w:bCs/>
                <w:spacing w:val="-3"/>
              </w:rPr>
              <w:t>环境保护目标</w:t>
            </w:r>
          </w:p>
        </w:tc>
        <w:tc>
          <w:tcPr>
            <w:tcW w:w="2553" w:type="dxa"/>
            <w:vMerge w:val="restart"/>
            <w:tcBorders>
              <w:bottom w:val="nil"/>
            </w:tcBorders>
            <w:vAlign w:val="top"/>
          </w:tcPr>
          <w:p w14:paraId="253DE6A1">
            <w:pPr>
              <w:pStyle w:val="6"/>
              <w:spacing w:before="218" w:line="221" w:lineRule="auto"/>
              <w:ind w:left="442"/>
            </w:pPr>
            <w:r>
              <w:rPr>
                <w:b/>
                <w:bCs/>
                <w:spacing w:val="-3"/>
              </w:rPr>
              <w:t>到边导线水平距离</w:t>
            </w:r>
          </w:p>
        </w:tc>
        <w:tc>
          <w:tcPr>
            <w:tcW w:w="1274" w:type="dxa"/>
            <w:vMerge w:val="restart"/>
            <w:tcBorders>
              <w:bottom w:val="nil"/>
            </w:tcBorders>
            <w:vAlign w:val="top"/>
          </w:tcPr>
          <w:p w14:paraId="1F409318">
            <w:pPr>
              <w:pStyle w:val="6"/>
              <w:spacing w:before="218" w:line="221" w:lineRule="auto"/>
              <w:ind w:left="223"/>
            </w:pPr>
            <w:r>
              <w:rPr>
                <w:b/>
                <w:bCs/>
                <w:spacing w:val="-4"/>
              </w:rPr>
              <w:t>预测高度</w:t>
            </w:r>
          </w:p>
        </w:tc>
        <w:tc>
          <w:tcPr>
            <w:tcW w:w="2408" w:type="dxa"/>
            <w:gridSpan w:val="2"/>
            <w:vAlign w:val="top"/>
          </w:tcPr>
          <w:p w14:paraId="5D61EF11">
            <w:pPr>
              <w:pStyle w:val="6"/>
              <w:spacing w:before="55" w:line="221" w:lineRule="auto"/>
              <w:ind w:left="892"/>
            </w:pPr>
            <w:r>
              <w:rPr>
                <w:b/>
                <w:bCs/>
                <w:spacing w:val="-4"/>
              </w:rPr>
              <w:t>预测值</w:t>
            </w:r>
          </w:p>
        </w:tc>
      </w:tr>
      <w:tr w14:paraId="35EC5FCE">
        <w:tblPrEx>
          <w:tblCellMar>
            <w:top w:w="0" w:type="dxa"/>
            <w:left w:w="0" w:type="dxa"/>
            <w:bottom w:w="0" w:type="dxa"/>
            <w:right w:w="0" w:type="dxa"/>
          </w:tblCellMar>
        </w:tblPrEx>
        <w:trPr>
          <w:trHeight w:val="319" w:hRule="atLeast"/>
        </w:trPr>
        <w:tc>
          <w:tcPr>
            <w:tcW w:w="2833" w:type="dxa"/>
            <w:vMerge w:val="continue"/>
            <w:tcBorders>
              <w:top w:val="nil"/>
            </w:tcBorders>
            <w:vAlign w:val="top"/>
          </w:tcPr>
          <w:p w14:paraId="7354B326">
            <w:pPr>
              <w:rPr>
                <w:rFonts w:ascii="Arial"/>
                <w:sz w:val="21"/>
              </w:rPr>
            </w:pPr>
          </w:p>
        </w:tc>
        <w:tc>
          <w:tcPr>
            <w:tcW w:w="2553" w:type="dxa"/>
            <w:vMerge w:val="continue"/>
            <w:tcBorders>
              <w:top w:val="nil"/>
            </w:tcBorders>
            <w:vAlign w:val="top"/>
          </w:tcPr>
          <w:p w14:paraId="075B19EE">
            <w:pPr>
              <w:rPr>
                <w:rFonts w:ascii="Arial"/>
                <w:sz w:val="21"/>
              </w:rPr>
            </w:pPr>
          </w:p>
        </w:tc>
        <w:tc>
          <w:tcPr>
            <w:tcW w:w="1274" w:type="dxa"/>
            <w:vMerge w:val="continue"/>
            <w:tcBorders>
              <w:top w:val="nil"/>
            </w:tcBorders>
            <w:vAlign w:val="top"/>
          </w:tcPr>
          <w:p w14:paraId="38DEA446">
            <w:pPr>
              <w:rPr>
                <w:rFonts w:ascii="Arial"/>
                <w:sz w:val="21"/>
              </w:rPr>
            </w:pPr>
          </w:p>
        </w:tc>
        <w:tc>
          <w:tcPr>
            <w:tcW w:w="1276" w:type="dxa"/>
            <w:vAlign w:val="top"/>
          </w:tcPr>
          <w:p w14:paraId="72351A8B">
            <w:pPr>
              <w:pStyle w:val="6"/>
              <w:spacing w:before="54" w:line="224" w:lineRule="auto"/>
              <w:ind w:left="108"/>
            </w:pPr>
            <w:r>
              <w:rPr>
                <w:rFonts w:ascii="Times New Roman" w:hAnsi="Times New Roman" w:eastAsia="Times New Roman" w:cs="Times New Roman"/>
                <w:b/>
                <w:bCs/>
                <w:spacing w:val="-1"/>
              </w:rPr>
              <w:t>E</w:t>
            </w:r>
            <w:r>
              <w:rPr>
                <w:b/>
                <w:bCs/>
                <w:spacing w:val="-1"/>
              </w:rPr>
              <w:t>（</w:t>
            </w:r>
            <w:r>
              <w:rPr>
                <w:rFonts w:ascii="Times New Roman" w:hAnsi="Times New Roman" w:eastAsia="Times New Roman" w:cs="Times New Roman"/>
                <w:b/>
                <w:bCs/>
                <w:spacing w:val="-1"/>
              </w:rPr>
              <w:t>kV/m</w:t>
            </w:r>
            <w:r>
              <w:rPr>
                <w:b/>
                <w:bCs/>
                <w:spacing w:val="-1"/>
              </w:rPr>
              <w:t>）</w:t>
            </w:r>
          </w:p>
        </w:tc>
        <w:tc>
          <w:tcPr>
            <w:tcW w:w="1132" w:type="dxa"/>
            <w:vAlign w:val="top"/>
          </w:tcPr>
          <w:p w14:paraId="7C10C50F">
            <w:pPr>
              <w:pStyle w:val="6"/>
              <w:spacing w:before="54" w:line="213" w:lineRule="auto"/>
              <w:ind w:left="155"/>
            </w:pPr>
            <w:r>
              <w:rPr>
                <w:rFonts w:ascii="Times New Roman" w:hAnsi="Times New Roman" w:eastAsia="Times New Roman" w:cs="Times New Roman"/>
                <w:b/>
                <w:bCs/>
                <w:spacing w:val="-4"/>
              </w:rPr>
              <w:t>B</w:t>
            </w:r>
            <w:r>
              <w:rPr>
                <w:rFonts w:ascii="Times New Roman" w:hAnsi="Times New Roman" w:eastAsia="Times New Roman" w:cs="Times New Roman"/>
                <w:b/>
                <w:bCs/>
                <w:spacing w:val="6"/>
              </w:rPr>
              <w:t xml:space="preserve">  </w:t>
            </w:r>
            <w:r>
              <w:rPr>
                <w:b/>
                <w:bCs/>
                <w:spacing w:val="-4"/>
              </w:rPr>
              <w:t>(</w:t>
            </w:r>
            <w:r>
              <w:rPr>
                <w:rFonts w:ascii="Times New Roman" w:hAnsi="Times New Roman" w:eastAsia="Times New Roman" w:cs="Times New Roman"/>
                <w:b/>
                <w:bCs/>
                <w:spacing w:val="-4"/>
              </w:rPr>
              <w:t>µT</w:t>
            </w:r>
            <w:r>
              <w:rPr>
                <w:b/>
                <w:bCs/>
                <w:spacing w:val="-4"/>
              </w:rPr>
              <w:t>）</w:t>
            </w:r>
          </w:p>
        </w:tc>
      </w:tr>
      <w:tr w14:paraId="77ED7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833" w:type="dxa"/>
            <w:vMerge w:val="restart"/>
            <w:tcBorders>
              <w:bottom w:val="nil"/>
            </w:tcBorders>
            <w:vAlign w:val="top"/>
          </w:tcPr>
          <w:p w14:paraId="61CDC6C1">
            <w:pPr>
              <w:spacing w:line="302" w:lineRule="auto"/>
              <w:rPr>
                <w:rFonts w:ascii="Arial"/>
                <w:sz w:val="21"/>
              </w:rPr>
            </w:pPr>
          </w:p>
          <w:p w14:paraId="13EEB484">
            <w:pPr>
              <w:pStyle w:val="6"/>
              <w:spacing w:before="69" w:line="220" w:lineRule="auto"/>
              <w:ind w:left="165"/>
            </w:pPr>
            <w:r>
              <w:rPr>
                <w:spacing w:val="-1"/>
              </w:rPr>
              <w:t>乐业镇黑山村大黑山居民点</w:t>
            </w:r>
          </w:p>
        </w:tc>
        <w:tc>
          <w:tcPr>
            <w:tcW w:w="2553" w:type="dxa"/>
            <w:vMerge w:val="restart"/>
            <w:tcBorders>
              <w:bottom w:val="nil"/>
            </w:tcBorders>
            <w:vAlign w:val="top"/>
          </w:tcPr>
          <w:p w14:paraId="4BD65F3E">
            <w:pPr>
              <w:spacing w:line="302" w:lineRule="auto"/>
              <w:rPr>
                <w:rFonts w:ascii="Arial"/>
                <w:sz w:val="21"/>
              </w:rPr>
            </w:pPr>
          </w:p>
          <w:p w14:paraId="2DF36943">
            <w:pPr>
              <w:pStyle w:val="6"/>
              <w:spacing w:before="69" w:line="234" w:lineRule="auto"/>
              <w:ind w:left="156"/>
            </w:pPr>
            <w:r>
              <w:rPr>
                <w:rFonts w:ascii="Times New Roman" w:hAnsi="Times New Roman" w:eastAsia="Times New Roman" w:cs="Times New Roman"/>
                <w:spacing w:val="-1"/>
              </w:rPr>
              <w:t>37m</w:t>
            </w:r>
            <w:r>
              <w:rPr>
                <w:spacing w:val="-1"/>
              </w:rPr>
              <w:t>（</w:t>
            </w:r>
            <w:r>
              <w:rPr>
                <w:rFonts w:ascii="Times New Roman" w:hAnsi="Times New Roman" w:eastAsia="Times New Roman" w:cs="Times New Roman"/>
                <w:spacing w:val="-1"/>
              </w:rPr>
              <w:t xml:space="preserve">C </w:t>
            </w:r>
            <w:r>
              <w:rPr>
                <w:spacing w:val="-1"/>
              </w:rPr>
              <w:t>线单回三角段）</w:t>
            </w:r>
          </w:p>
        </w:tc>
        <w:tc>
          <w:tcPr>
            <w:tcW w:w="1274" w:type="dxa"/>
            <w:vAlign w:val="top"/>
          </w:tcPr>
          <w:p w14:paraId="74A78C1D">
            <w:pPr>
              <w:pStyle w:val="6"/>
              <w:spacing w:before="51" w:line="224" w:lineRule="auto"/>
              <w:ind w:left="236"/>
              <w:rPr>
                <w:rFonts w:ascii="Times New Roman" w:hAnsi="Times New Roman" w:eastAsia="Times New Roman" w:cs="Times New Roman"/>
              </w:rPr>
            </w:pPr>
            <w:r>
              <w:rPr>
                <w:rFonts w:ascii="Times New Roman" w:hAnsi="Times New Roman" w:eastAsia="Times New Roman" w:cs="Times New Roman"/>
                <w:spacing w:val="-10"/>
              </w:rPr>
              <w:t>1</w:t>
            </w:r>
            <w:r>
              <w:rPr>
                <w:rFonts w:ascii="Times New Roman" w:hAnsi="Times New Roman" w:eastAsia="Times New Roman" w:cs="Times New Roman"/>
                <w:spacing w:val="12"/>
              </w:rPr>
              <w:t xml:space="preserve"> </w:t>
            </w:r>
            <w:r>
              <w:rPr>
                <w:spacing w:val="-10"/>
              </w:rPr>
              <w:t>楼</w:t>
            </w:r>
            <w:r>
              <w:rPr>
                <w:spacing w:val="-28"/>
              </w:rPr>
              <w:t xml:space="preserve"> </w:t>
            </w:r>
            <w:r>
              <w:rPr>
                <w:rFonts w:ascii="Times New Roman" w:hAnsi="Times New Roman" w:eastAsia="Times New Roman" w:cs="Times New Roman"/>
                <w:spacing w:val="-10"/>
              </w:rPr>
              <w:t>1.5m</w:t>
            </w:r>
          </w:p>
        </w:tc>
        <w:tc>
          <w:tcPr>
            <w:tcW w:w="1276" w:type="dxa"/>
            <w:vAlign w:val="top"/>
          </w:tcPr>
          <w:p w14:paraId="12FC4FFA">
            <w:pPr>
              <w:spacing w:before="86" w:line="218" w:lineRule="auto"/>
              <w:ind w:left="4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0.128</w:t>
            </w:r>
          </w:p>
        </w:tc>
        <w:tc>
          <w:tcPr>
            <w:tcW w:w="1132" w:type="dxa"/>
            <w:vAlign w:val="top"/>
          </w:tcPr>
          <w:p w14:paraId="57A8AF83">
            <w:pPr>
              <w:spacing w:before="86" w:line="218"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3.109</w:t>
            </w:r>
          </w:p>
        </w:tc>
      </w:tr>
      <w:tr w14:paraId="76825A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833" w:type="dxa"/>
            <w:vMerge w:val="continue"/>
            <w:tcBorders>
              <w:top w:val="nil"/>
              <w:bottom w:val="nil"/>
            </w:tcBorders>
            <w:vAlign w:val="top"/>
          </w:tcPr>
          <w:p w14:paraId="6A8337D1">
            <w:pPr>
              <w:rPr>
                <w:rFonts w:ascii="Arial"/>
                <w:sz w:val="21"/>
              </w:rPr>
            </w:pPr>
          </w:p>
        </w:tc>
        <w:tc>
          <w:tcPr>
            <w:tcW w:w="2553" w:type="dxa"/>
            <w:vMerge w:val="continue"/>
            <w:tcBorders>
              <w:top w:val="nil"/>
              <w:bottom w:val="nil"/>
            </w:tcBorders>
            <w:vAlign w:val="top"/>
          </w:tcPr>
          <w:p w14:paraId="7A9EF45A">
            <w:pPr>
              <w:rPr>
                <w:rFonts w:ascii="Arial"/>
                <w:sz w:val="21"/>
              </w:rPr>
            </w:pPr>
          </w:p>
        </w:tc>
        <w:tc>
          <w:tcPr>
            <w:tcW w:w="1274" w:type="dxa"/>
            <w:vAlign w:val="top"/>
          </w:tcPr>
          <w:p w14:paraId="1A5E322A">
            <w:pPr>
              <w:pStyle w:val="6"/>
              <w:spacing w:before="52" w:line="223" w:lineRule="auto"/>
              <w:ind w:left="215"/>
              <w:rPr>
                <w:rFonts w:ascii="Times New Roman" w:hAnsi="Times New Roman" w:eastAsia="Times New Roman" w:cs="Times New Roman"/>
              </w:rPr>
            </w:pPr>
            <w:r>
              <w:rPr>
                <w:rFonts w:ascii="Times New Roman" w:hAnsi="Times New Roman" w:eastAsia="Times New Roman" w:cs="Times New Roman"/>
                <w:spacing w:val="-2"/>
              </w:rPr>
              <w:t>2</w:t>
            </w:r>
            <w:r>
              <w:rPr>
                <w:rFonts w:ascii="Times New Roman" w:hAnsi="Times New Roman" w:eastAsia="Times New Roman" w:cs="Times New Roman"/>
                <w:spacing w:val="10"/>
              </w:rPr>
              <w:t xml:space="preserve"> </w:t>
            </w:r>
            <w:r>
              <w:rPr>
                <w:spacing w:val="-2"/>
              </w:rPr>
              <w:t>楼</w:t>
            </w:r>
            <w:r>
              <w:rPr>
                <w:spacing w:val="-49"/>
              </w:rPr>
              <w:t xml:space="preserve"> </w:t>
            </w:r>
            <w:r>
              <w:rPr>
                <w:rFonts w:ascii="Times New Roman" w:hAnsi="Times New Roman" w:eastAsia="Times New Roman" w:cs="Times New Roman"/>
                <w:spacing w:val="-2"/>
              </w:rPr>
              <w:t>4.5m</w:t>
            </w:r>
          </w:p>
        </w:tc>
        <w:tc>
          <w:tcPr>
            <w:tcW w:w="1276" w:type="dxa"/>
            <w:vAlign w:val="top"/>
          </w:tcPr>
          <w:p w14:paraId="584DD907">
            <w:pPr>
              <w:spacing w:before="87" w:line="217" w:lineRule="auto"/>
              <w:ind w:left="4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0.126</w:t>
            </w:r>
          </w:p>
        </w:tc>
        <w:tc>
          <w:tcPr>
            <w:tcW w:w="1132" w:type="dxa"/>
            <w:vAlign w:val="top"/>
          </w:tcPr>
          <w:p w14:paraId="5552EE06">
            <w:pPr>
              <w:spacing w:before="87"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3.185</w:t>
            </w:r>
          </w:p>
        </w:tc>
      </w:tr>
      <w:tr w14:paraId="54A281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833" w:type="dxa"/>
            <w:vMerge w:val="continue"/>
            <w:tcBorders>
              <w:top w:val="nil"/>
            </w:tcBorders>
            <w:vAlign w:val="top"/>
          </w:tcPr>
          <w:p w14:paraId="79893BB9">
            <w:pPr>
              <w:rPr>
                <w:rFonts w:ascii="Arial"/>
                <w:sz w:val="21"/>
              </w:rPr>
            </w:pPr>
          </w:p>
        </w:tc>
        <w:tc>
          <w:tcPr>
            <w:tcW w:w="2553" w:type="dxa"/>
            <w:vMerge w:val="continue"/>
            <w:tcBorders>
              <w:top w:val="nil"/>
            </w:tcBorders>
            <w:vAlign w:val="top"/>
          </w:tcPr>
          <w:p w14:paraId="6EBADE4A">
            <w:pPr>
              <w:rPr>
                <w:rFonts w:ascii="Arial"/>
                <w:sz w:val="21"/>
              </w:rPr>
            </w:pPr>
          </w:p>
        </w:tc>
        <w:tc>
          <w:tcPr>
            <w:tcW w:w="1274" w:type="dxa"/>
            <w:vAlign w:val="top"/>
          </w:tcPr>
          <w:p w14:paraId="399FFA25">
            <w:pPr>
              <w:pStyle w:val="6"/>
              <w:spacing w:before="52" w:line="223" w:lineRule="auto"/>
              <w:ind w:left="110"/>
              <w:rPr>
                <w:rFonts w:ascii="Times New Roman" w:hAnsi="Times New Roman" w:eastAsia="Times New Roman" w:cs="Times New Roman"/>
              </w:rPr>
            </w:pPr>
            <w:r>
              <w:rPr>
                <w:rFonts w:ascii="Times New Roman" w:hAnsi="Times New Roman" w:eastAsia="Times New Roman" w:cs="Times New Roman"/>
                <w:spacing w:val="-1"/>
              </w:rPr>
              <w:t xml:space="preserve">2 </w:t>
            </w:r>
            <w:r>
              <w:rPr>
                <w:spacing w:val="-1"/>
              </w:rPr>
              <w:t>楼顶</w:t>
            </w:r>
            <w:r>
              <w:rPr>
                <w:spacing w:val="-42"/>
              </w:rPr>
              <w:t xml:space="preserve"> </w:t>
            </w:r>
            <w:r>
              <w:rPr>
                <w:rFonts w:ascii="Times New Roman" w:hAnsi="Times New Roman" w:eastAsia="Times New Roman" w:cs="Times New Roman"/>
                <w:spacing w:val="-1"/>
              </w:rPr>
              <w:t>7.5m</w:t>
            </w:r>
          </w:p>
        </w:tc>
        <w:tc>
          <w:tcPr>
            <w:tcW w:w="1276" w:type="dxa"/>
            <w:vAlign w:val="top"/>
          </w:tcPr>
          <w:p w14:paraId="018D6405">
            <w:pPr>
              <w:spacing w:before="87" w:line="217" w:lineRule="auto"/>
              <w:ind w:left="4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0.124</w:t>
            </w:r>
          </w:p>
        </w:tc>
        <w:tc>
          <w:tcPr>
            <w:tcW w:w="1132" w:type="dxa"/>
            <w:vAlign w:val="top"/>
          </w:tcPr>
          <w:p w14:paraId="3B3F9FEF">
            <w:pPr>
              <w:spacing w:before="87" w:line="217"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3.234</w:t>
            </w:r>
          </w:p>
        </w:tc>
      </w:tr>
      <w:tr w14:paraId="52D1BC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833" w:type="dxa"/>
            <w:vMerge w:val="restart"/>
            <w:tcBorders>
              <w:bottom w:val="nil"/>
            </w:tcBorders>
            <w:vAlign w:val="top"/>
          </w:tcPr>
          <w:p w14:paraId="0A13CA95">
            <w:pPr>
              <w:pStyle w:val="6"/>
              <w:spacing w:before="214" w:line="220" w:lineRule="auto"/>
              <w:ind w:left="271"/>
            </w:pPr>
            <w:r>
              <w:rPr>
                <w:spacing w:val="-1"/>
              </w:rPr>
              <w:t>乐业镇黑山村坝上居民点</w:t>
            </w:r>
          </w:p>
        </w:tc>
        <w:tc>
          <w:tcPr>
            <w:tcW w:w="2553" w:type="dxa"/>
            <w:vMerge w:val="restart"/>
            <w:tcBorders>
              <w:bottom w:val="nil"/>
            </w:tcBorders>
            <w:vAlign w:val="top"/>
          </w:tcPr>
          <w:p w14:paraId="45063500">
            <w:pPr>
              <w:pStyle w:val="6"/>
              <w:spacing w:before="213" w:line="234" w:lineRule="auto"/>
              <w:ind w:left="172"/>
            </w:pPr>
            <w:r>
              <w:rPr>
                <w:rFonts w:ascii="Times New Roman" w:hAnsi="Times New Roman" w:eastAsia="Times New Roman" w:cs="Times New Roman"/>
                <w:spacing w:val="-3"/>
              </w:rPr>
              <w:t>17m</w:t>
            </w:r>
            <w:r>
              <w:rPr>
                <w:spacing w:val="-3"/>
              </w:rPr>
              <w:t>（</w:t>
            </w:r>
            <w:r>
              <w:rPr>
                <w:rFonts w:ascii="Times New Roman" w:hAnsi="Times New Roman" w:eastAsia="Times New Roman" w:cs="Times New Roman"/>
                <w:spacing w:val="-3"/>
              </w:rPr>
              <w:t xml:space="preserve">C </w:t>
            </w:r>
            <w:r>
              <w:rPr>
                <w:spacing w:val="-3"/>
              </w:rPr>
              <w:t>线单回三角段）</w:t>
            </w:r>
          </w:p>
        </w:tc>
        <w:tc>
          <w:tcPr>
            <w:tcW w:w="1274" w:type="dxa"/>
            <w:vAlign w:val="top"/>
          </w:tcPr>
          <w:p w14:paraId="51C239F6">
            <w:pPr>
              <w:pStyle w:val="6"/>
              <w:spacing w:before="53" w:line="222" w:lineRule="auto"/>
              <w:ind w:left="236"/>
              <w:rPr>
                <w:rFonts w:ascii="Times New Roman" w:hAnsi="Times New Roman" w:eastAsia="Times New Roman" w:cs="Times New Roman"/>
              </w:rPr>
            </w:pPr>
            <w:r>
              <w:rPr>
                <w:rFonts w:ascii="Times New Roman" w:hAnsi="Times New Roman" w:eastAsia="Times New Roman" w:cs="Times New Roman"/>
                <w:spacing w:val="-10"/>
              </w:rPr>
              <w:t>1</w:t>
            </w:r>
            <w:r>
              <w:rPr>
                <w:rFonts w:ascii="Times New Roman" w:hAnsi="Times New Roman" w:eastAsia="Times New Roman" w:cs="Times New Roman"/>
                <w:spacing w:val="12"/>
              </w:rPr>
              <w:t xml:space="preserve"> </w:t>
            </w:r>
            <w:r>
              <w:rPr>
                <w:spacing w:val="-10"/>
              </w:rPr>
              <w:t>楼</w:t>
            </w:r>
            <w:r>
              <w:rPr>
                <w:spacing w:val="-28"/>
              </w:rPr>
              <w:t xml:space="preserve"> </w:t>
            </w:r>
            <w:r>
              <w:rPr>
                <w:rFonts w:ascii="Times New Roman" w:hAnsi="Times New Roman" w:eastAsia="Times New Roman" w:cs="Times New Roman"/>
                <w:spacing w:val="-10"/>
              </w:rPr>
              <w:t>1.5m</w:t>
            </w:r>
          </w:p>
        </w:tc>
        <w:tc>
          <w:tcPr>
            <w:tcW w:w="1276" w:type="dxa"/>
            <w:vAlign w:val="top"/>
          </w:tcPr>
          <w:p w14:paraId="63F8055F">
            <w:pPr>
              <w:spacing w:before="88" w:line="216" w:lineRule="auto"/>
              <w:ind w:left="4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0.712</w:t>
            </w:r>
          </w:p>
        </w:tc>
        <w:tc>
          <w:tcPr>
            <w:tcW w:w="1132" w:type="dxa"/>
            <w:vAlign w:val="top"/>
          </w:tcPr>
          <w:p w14:paraId="3B971254">
            <w:pPr>
              <w:spacing w:before="88" w:line="216" w:lineRule="auto"/>
              <w:ind w:left="29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10.034</w:t>
            </w:r>
          </w:p>
        </w:tc>
      </w:tr>
      <w:tr w14:paraId="427DE8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833" w:type="dxa"/>
            <w:vMerge w:val="continue"/>
            <w:tcBorders>
              <w:top w:val="nil"/>
            </w:tcBorders>
            <w:vAlign w:val="top"/>
          </w:tcPr>
          <w:p w14:paraId="5F8A5D2A">
            <w:pPr>
              <w:rPr>
                <w:rFonts w:ascii="Arial"/>
                <w:sz w:val="21"/>
              </w:rPr>
            </w:pPr>
          </w:p>
        </w:tc>
        <w:tc>
          <w:tcPr>
            <w:tcW w:w="2553" w:type="dxa"/>
            <w:vMerge w:val="continue"/>
            <w:tcBorders>
              <w:top w:val="nil"/>
            </w:tcBorders>
            <w:vAlign w:val="top"/>
          </w:tcPr>
          <w:p w14:paraId="7148A7AA">
            <w:pPr>
              <w:rPr>
                <w:rFonts w:ascii="Arial"/>
                <w:sz w:val="21"/>
              </w:rPr>
            </w:pPr>
          </w:p>
        </w:tc>
        <w:tc>
          <w:tcPr>
            <w:tcW w:w="1274" w:type="dxa"/>
            <w:vAlign w:val="top"/>
          </w:tcPr>
          <w:p w14:paraId="6B274296">
            <w:pPr>
              <w:pStyle w:val="6"/>
              <w:spacing w:before="53" w:line="222" w:lineRule="auto"/>
              <w:ind w:left="130"/>
              <w:rPr>
                <w:rFonts w:ascii="Times New Roman" w:hAnsi="Times New Roman" w:eastAsia="Times New Roman" w:cs="Times New Roman"/>
              </w:rPr>
            </w:pPr>
            <w:r>
              <w:rPr>
                <w:rFonts w:ascii="Times New Roman" w:hAnsi="Times New Roman" w:eastAsia="Times New Roman" w:cs="Times New Roman"/>
                <w:spacing w:val="-4"/>
              </w:rPr>
              <w:t>1</w:t>
            </w:r>
            <w:r>
              <w:rPr>
                <w:rFonts w:ascii="Times New Roman" w:hAnsi="Times New Roman" w:eastAsia="Times New Roman" w:cs="Times New Roman"/>
                <w:spacing w:val="9"/>
              </w:rPr>
              <w:t xml:space="preserve"> </w:t>
            </w:r>
            <w:r>
              <w:rPr>
                <w:spacing w:val="-4"/>
              </w:rPr>
              <w:t>楼顶</w:t>
            </w:r>
            <w:r>
              <w:rPr>
                <w:spacing w:val="-51"/>
              </w:rPr>
              <w:t xml:space="preserve"> </w:t>
            </w:r>
            <w:r>
              <w:rPr>
                <w:rFonts w:ascii="Times New Roman" w:hAnsi="Times New Roman" w:eastAsia="Times New Roman" w:cs="Times New Roman"/>
                <w:spacing w:val="-4"/>
              </w:rPr>
              <w:t>4.5m</w:t>
            </w:r>
          </w:p>
        </w:tc>
        <w:tc>
          <w:tcPr>
            <w:tcW w:w="1276" w:type="dxa"/>
            <w:vAlign w:val="top"/>
          </w:tcPr>
          <w:p w14:paraId="576C1B91">
            <w:pPr>
              <w:spacing w:before="88" w:line="216" w:lineRule="auto"/>
              <w:ind w:left="4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0.697</w:t>
            </w:r>
          </w:p>
        </w:tc>
        <w:tc>
          <w:tcPr>
            <w:tcW w:w="1132" w:type="dxa"/>
            <w:vAlign w:val="top"/>
          </w:tcPr>
          <w:p w14:paraId="2A0151F9">
            <w:pPr>
              <w:spacing w:before="88" w:line="216" w:lineRule="auto"/>
              <w:ind w:left="29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10.936</w:t>
            </w:r>
          </w:p>
        </w:tc>
      </w:tr>
      <w:tr w14:paraId="7F9B2F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2833" w:type="dxa"/>
            <w:vAlign w:val="top"/>
          </w:tcPr>
          <w:p w14:paraId="4D908A55">
            <w:pPr>
              <w:pStyle w:val="6"/>
              <w:spacing w:before="56" w:line="220" w:lineRule="auto"/>
              <w:ind w:left="271"/>
            </w:pPr>
            <w:r>
              <w:rPr>
                <w:spacing w:val="-1"/>
              </w:rPr>
              <w:t>乐业镇黑山村小街居民点</w:t>
            </w:r>
          </w:p>
        </w:tc>
        <w:tc>
          <w:tcPr>
            <w:tcW w:w="2553" w:type="dxa"/>
            <w:vAlign w:val="top"/>
          </w:tcPr>
          <w:p w14:paraId="52EAF211">
            <w:pPr>
              <w:pStyle w:val="6"/>
              <w:spacing w:before="56" w:line="222" w:lineRule="auto"/>
              <w:ind w:left="158"/>
            </w:pPr>
            <w:r>
              <w:rPr>
                <w:rFonts w:ascii="Times New Roman" w:hAnsi="Times New Roman" w:eastAsia="Times New Roman" w:cs="Times New Roman"/>
                <w:spacing w:val="-1"/>
              </w:rPr>
              <w:t>40m</w:t>
            </w:r>
            <w:r>
              <w:rPr>
                <w:spacing w:val="-1"/>
              </w:rPr>
              <w:t>（</w:t>
            </w:r>
            <w:r>
              <w:rPr>
                <w:rFonts w:ascii="Times New Roman" w:hAnsi="Times New Roman" w:eastAsia="Times New Roman" w:cs="Times New Roman"/>
                <w:spacing w:val="-1"/>
              </w:rPr>
              <w:t xml:space="preserve">E </w:t>
            </w:r>
            <w:r>
              <w:rPr>
                <w:spacing w:val="-1"/>
              </w:rPr>
              <w:t>线单回三角段）</w:t>
            </w:r>
          </w:p>
        </w:tc>
        <w:tc>
          <w:tcPr>
            <w:tcW w:w="1274" w:type="dxa"/>
            <w:vAlign w:val="top"/>
          </w:tcPr>
          <w:p w14:paraId="0C943709">
            <w:pPr>
              <w:pStyle w:val="6"/>
              <w:spacing w:before="56" w:line="222" w:lineRule="auto"/>
              <w:ind w:left="236"/>
              <w:rPr>
                <w:rFonts w:ascii="Times New Roman" w:hAnsi="Times New Roman" w:eastAsia="Times New Roman" w:cs="Times New Roman"/>
              </w:rPr>
            </w:pPr>
            <w:r>
              <w:rPr>
                <w:rFonts w:ascii="Times New Roman" w:hAnsi="Times New Roman" w:eastAsia="Times New Roman" w:cs="Times New Roman"/>
                <w:spacing w:val="-10"/>
              </w:rPr>
              <w:t>1</w:t>
            </w:r>
            <w:r>
              <w:rPr>
                <w:rFonts w:ascii="Times New Roman" w:hAnsi="Times New Roman" w:eastAsia="Times New Roman" w:cs="Times New Roman"/>
                <w:spacing w:val="12"/>
              </w:rPr>
              <w:t xml:space="preserve"> </w:t>
            </w:r>
            <w:r>
              <w:rPr>
                <w:spacing w:val="-10"/>
              </w:rPr>
              <w:t>楼</w:t>
            </w:r>
            <w:r>
              <w:rPr>
                <w:spacing w:val="-28"/>
              </w:rPr>
              <w:t xml:space="preserve"> </w:t>
            </w:r>
            <w:r>
              <w:rPr>
                <w:rFonts w:ascii="Times New Roman" w:hAnsi="Times New Roman" w:eastAsia="Times New Roman" w:cs="Times New Roman"/>
                <w:spacing w:val="-10"/>
              </w:rPr>
              <w:t>1.5m</w:t>
            </w:r>
          </w:p>
        </w:tc>
        <w:tc>
          <w:tcPr>
            <w:tcW w:w="1276" w:type="dxa"/>
            <w:vAlign w:val="top"/>
          </w:tcPr>
          <w:p w14:paraId="76A84DF5">
            <w:pPr>
              <w:spacing w:before="91" w:line="216" w:lineRule="auto"/>
              <w:ind w:left="40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0.077</w:t>
            </w:r>
          </w:p>
        </w:tc>
        <w:tc>
          <w:tcPr>
            <w:tcW w:w="1132" w:type="dxa"/>
            <w:vAlign w:val="top"/>
          </w:tcPr>
          <w:p w14:paraId="26FC5F5A">
            <w:pPr>
              <w:spacing w:before="91" w:line="216" w:lineRule="auto"/>
              <w:ind w:left="33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0.278</w:t>
            </w:r>
          </w:p>
        </w:tc>
      </w:tr>
      <w:tr w14:paraId="6D1DB7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833" w:type="dxa"/>
            <w:vMerge w:val="restart"/>
            <w:tcBorders>
              <w:bottom w:val="nil"/>
            </w:tcBorders>
            <w:vAlign w:val="top"/>
          </w:tcPr>
          <w:p w14:paraId="596B6144">
            <w:pPr>
              <w:spacing w:line="312" w:lineRule="auto"/>
              <w:rPr>
                <w:rFonts w:ascii="Arial"/>
                <w:sz w:val="21"/>
              </w:rPr>
            </w:pPr>
          </w:p>
          <w:p w14:paraId="34693150">
            <w:pPr>
              <w:spacing w:line="313" w:lineRule="auto"/>
              <w:rPr>
                <w:rFonts w:ascii="Arial"/>
                <w:sz w:val="21"/>
              </w:rPr>
            </w:pPr>
          </w:p>
          <w:p w14:paraId="013A41F3">
            <w:pPr>
              <w:pStyle w:val="6"/>
              <w:spacing w:before="68" w:line="220" w:lineRule="auto"/>
              <w:ind w:left="263"/>
            </w:pPr>
            <w:r>
              <w:rPr>
                <w:spacing w:val="-1"/>
              </w:rPr>
              <w:t>迤车镇索桥村后沟居民点</w:t>
            </w:r>
          </w:p>
        </w:tc>
        <w:tc>
          <w:tcPr>
            <w:tcW w:w="2553" w:type="dxa"/>
            <w:vMerge w:val="restart"/>
            <w:tcBorders>
              <w:bottom w:val="nil"/>
            </w:tcBorders>
            <w:vAlign w:val="top"/>
          </w:tcPr>
          <w:p w14:paraId="331941AA">
            <w:pPr>
              <w:pStyle w:val="6"/>
              <w:spacing w:before="59" w:line="235" w:lineRule="auto"/>
              <w:ind w:left="105"/>
            </w:pPr>
            <w:r>
              <w:rPr>
                <w:rFonts w:ascii="Times New Roman" w:hAnsi="Times New Roman" w:eastAsia="Times New Roman" w:cs="Times New Roman"/>
              </w:rPr>
              <w:t>4m</w:t>
            </w:r>
            <w:r>
              <w:t>（</w:t>
            </w:r>
            <w:r>
              <w:rPr>
                <w:rFonts w:ascii="Times New Roman" w:hAnsi="Times New Roman" w:eastAsia="Times New Roman" w:cs="Times New Roman"/>
              </w:rPr>
              <w:t xml:space="preserve">E </w:t>
            </w:r>
            <w:r>
              <w:t>线双回垂直段单边</w:t>
            </w:r>
          </w:p>
          <w:p w14:paraId="76CC85AB">
            <w:pPr>
              <w:pStyle w:val="6"/>
              <w:spacing w:before="44" w:line="221" w:lineRule="auto"/>
              <w:ind w:left="966"/>
            </w:pPr>
            <w:r>
              <w:rPr>
                <w:spacing w:val="-5"/>
              </w:rPr>
              <w:t>挂线）</w:t>
            </w:r>
          </w:p>
        </w:tc>
        <w:tc>
          <w:tcPr>
            <w:tcW w:w="1274" w:type="dxa"/>
            <w:vAlign w:val="top"/>
          </w:tcPr>
          <w:p w14:paraId="7B46816F">
            <w:pPr>
              <w:pStyle w:val="6"/>
              <w:spacing w:before="54" w:line="221" w:lineRule="auto"/>
              <w:ind w:left="236"/>
              <w:rPr>
                <w:rFonts w:ascii="Times New Roman" w:hAnsi="Times New Roman" w:eastAsia="Times New Roman" w:cs="Times New Roman"/>
              </w:rPr>
            </w:pPr>
            <w:r>
              <w:rPr>
                <w:rFonts w:ascii="Times New Roman" w:hAnsi="Times New Roman" w:eastAsia="Times New Roman" w:cs="Times New Roman"/>
                <w:spacing w:val="-10"/>
              </w:rPr>
              <w:t>1</w:t>
            </w:r>
            <w:r>
              <w:rPr>
                <w:rFonts w:ascii="Times New Roman" w:hAnsi="Times New Roman" w:eastAsia="Times New Roman" w:cs="Times New Roman"/>
                <w:spacing w:val="12"/>
              </w:rPr>
              <w:t xml:space="preserve"> </w:t>
            </w:r>
            <w:r>
              <w:rPr>
                <w:spacing w:val="-10"/>
              </w:rPr>
              <w:t>楼</w:t>
            </w:r>
            <w:r>
              <w:rPr>
                <w:spacing w:val="-28"/>
              </w:rPr>
              <w:t xml:space="preserve"> </w:t>
            </w:r>
            <w:r>
              <w:rPr>
                <w:rFonts w:ascii="Times New Roman" w:hAnsi="Times New Roman" w:eastAsia="Times New Roman" w:cs="Times New Roman"/>
                <w:spacing w:val="-10"/>
              </w:rPr>
              <w:t>1.5m</w:t>
            </w:r>
          </w:p>
        </w:tc>
        <w:tc>
          <w:tcPr>
            <w:tcW w:w="1276" w:type="dxa"/>
            <w:vAlign w:val="top"/>
          </w:tcPr>
          <w:p w14:paraId="58561B06">
            <w:pPr>
              <w:spacing w:before="89" w:line="215" w:lineRule="auto"/>
              <w:ind w:left="40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2.665</w:t>
            </w:r>
          </w:p>
        </w:tc>
        <w:tc>
          <w:tcPr>
            <w:tcW w:w="1132" w:type="dxa"/>
            <w:vAlign w:val="top"/>
          </w:tcPr>
          <w:p w14:paraId="1073236F">
            <w:pPr>
              <w:spacing w:before="89" w:line="215"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3.987</w:t>
            </w:r>
          </w:p>
        </w:tc>
      </w:tr>
      <w:tr w14:paraId="00A113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833" w:type="dxa"/>
            <w:vMerge w:val="continue"/>
            <w:tcBorders>
              <w:top w:val="nil"/>
              <w:bottom w:val="nil"/>
            </w:tcBorders>
            <w:vAlign w:val="top"/>
          </w:tcPr>
          <w:p w14:paraId="25742D2D">
            <w:pPr>
              <w:rPr>
                <w:rFonts w:ascii="Arial"/>
                <w:sz w:val="21"/>
              </w:rPr>
            </w:pPr>
          </w:p>
        </w:tc>
        <w:tc>
          <w:tcPr>
            <w:tcW w:w="2553" w:type="dxa"/>
            <w:vMerge w:val="continue"/>
            <w:tcBorders>
              <w:top w:val="nil"/>
            </w:tcBorders>
            <w:vAlign w:val="top"/>
          </w:tcPr>
          <w:p w14:paraId="75938E8B">
            <w:pPr>
              <w:rPr>
                <w:rFonts w:ascii="Arial"/>
                <w:sz w:val="21"/>
              </w:rPr>
            </w:pPr>
          </w:p>
        </w:tc>
        <w:tc>
          <w:tcPr>
            <w:tcW w:w="1274" w:type="dxa"/>
            <w:vAlign w:val="top"/>
          </w:tcPr>
          <w:p w14:paraId="31EFC69B">
            <w:pPr>
              <w:pStyle w:val="6"/>
              <w:spacing w:before="54" w:line="221" w:lineRule="auto"/>
              <w:ind w:left="130"/>
              <w:rPr>
                <w:rFonts w:ascii="Times New Roman" w:hAnsi="Times New Roman" w:eastAsia="Times New Roman" w:cs="Times New Roman"/>
              </w:rPr>
            </w:pPr>
            <w:r>
              <w:rPr>
                <w:rFonts w:ascii="Times New Roman" w:hAnsi="Times New Roman" w:eastAsia="Times New Roman" w:cs="Times New Roman"/>
                <w:spacing w:val="-5"/>
              </w:rPr>
              <w:t>1</w:t>
            </w:r>
            <w:r>
              <w:rPr>
                <w:rFonts w:ascii="Times New Roman" w:hAnsi="Times New Roman" w:eastAsia="Times New Roman" w:cs="Times New Roman"/>
                <w:spacing w:val="12"/>
              </w:rPr>
              <w:t xml:space="preserve"> </w:t>
            </w:r>
            <w:r>
              <w:rPr>
                <w:spacing w:val="-5"/>
              </w:rPr>
              <w:t>楼顶</w:t>
            </w:r>
            <w:r>
              <w:rPr>
                <w:spacing w:val="-51"/>
              </w:rPr>
              <w:t xml:space="preserve"> </w:t>
            </w:r>
            <w:r>
              <w:rPr>
                <w:rFonts w:ascii="Times New Roman" w:hAnsi="Times New Roman" w:eastAsia="Times New Roman" w:cs="Times New Roman"/>
                <w:spacing w:val="-5"/>
              </w:rPr>
              <w:t>4.5m</w:t>
            </w:r>
          </w:p>
        </w:tc>
        <w:tc>
          <w:tcPr>
            <w:tcW w:w="1276" w:type="dxa"/>
            <w:vAlign w:val="top"/>
          </w:tcPr>
          <w:p w14:paraId="7FA5109C">
            <w:pPr>
              <w:spacing w:before="90" w:line="214" w:lineRule="auto"/>
              <w:ind w:left="40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3.421</w:t>
            </w:r>
          </w:p>
        </w:tc>
        <w:tc>
          <w:tcPr>
            <w:tcW w:w="1132" w:type="dxa"/>
            <w:vAlign w:val="top"/>
          </w:tcPr>
          <w:p w14:paraId="7ABF67E0">
            <w:pPr>
              <w:spacing w:before="90" w:line="214" w:lineRule="auto"/>
              <w:ind w:left="33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6.947</w:t>
            </w:r>
          </w:p>
        </w:tc>
      </w:tr>
      <w:tr w14:paraId="5B81B0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2833" w:type="dxa"/>
            <w:vMerge w:val="continue"/>
            <w:tcBorders>
              <w:top w:val="nil"/>
              <w:bottom w:val="nil"/>
            </w:tcBorders>
            <w:vAlign w:val="top"/>
          </w:tcPr>
          <w:p w14:paraId="798D8522">
            <w:pPr>
              <w:rPr>
                <w:rFonts w:ascii="Arial"/>
                <w:sz w:val="21"/>
              </w:rPr>
            </w:pPr>
          </w:p>
        </w:tc>
        <w:tc>
          <w:tcPr>
            <w:tcW w:w="2553" w:type="dxa"/>
            <w:vMerge w:val="restart"/>
            <w:tcBorders>
              <w:bottom w:val="nil"/>
            </w:tcBorders>
            <w:vAlign w:val="top"/>
          </w:tcPr>
          <w:p w14:paraId="774E818A">
            <w:pPr>
              <w:spacing w:line="307" w:lineRule="auto"/>
              <w:rPr>
                <w:rFonts w:ascii="Arial"/>
                <w:sz w:val="21"/>
              </w:rPr>
            </w:pPr>
          </w:p>
          <w:p w14:paraId="067A7877">
            <w:pPr>
              <w:pStyle w:val="6"/>
              <w:spacing w:before="68" w:line="234" w:lineRule="auto"/>
              <w:ind w:left="204"/>
            </w:pPr>
            <w:r>
              <w:rPr>
                <w:rFonts w:ascii="Times New Roman" w:hAnsi="Times New Roman" w:eastAsia="Times New Roman" w:cs="Times New Roman"/>
                <w:spacing w:val="-2"/>
              </w:rPr>
              <w:t>9m</w:t>
            </w:r>
            <w:r>
              <w:rPr>
                <w:spacing w:val="-2"/>
              </w:rPr>
              <w:t>（</w:t>
            </w:r>
            <w:r>
              <w:rPr>
                <w:rFonts w:ascii="Times New Roman" w:hAnsi="Times New Roman" w:eastAsia="Times New Roman" w:cs="Times New Roman"/>
                <w:spacing w:val="-2"/>
              </w:rPr>
              <w:t xml:space="preserve">D </w:t>
            </w:r>
            <w:r>
              <w:rPr>
                <w:spacing w:val="-2"/>
              </w:rPr>
              <w:t>线单回三角段）</w:t>
            </w:r>
          </w:p>
        </w:tc>
        <w:tc>
          <w:tcPr>
            <w:tcW w:w="1274" w:type="dxa"/>
            <w:vAlign w:val="top"/>
          </w:tcPr>
          <w:p w14:paraId="7A1E872E">
            <w:pPr>
              <w:pStyle w:val="6"/>
              <w:spacing w:before="55" w:line="221" w:lineRule="auto"/>
              <w:ind w:left="236"/>
              <w:rPr>
                <w:rFonts w:ascii="Times New Roman" w:hAnsi="Times New Roman" w:eastAsia="Times New Roman" w:cs="Times New Roman"/>
              </w:rPr>
            </w:pPr>
            <w:r>
              <w:rPr>
                <w:rFonts w:ascii="Times New Roman" w:hAnsi="Times New Roman" w:eastAsia="Times New Roman" w:cs="Times New Roman"/>
                <w:spacing w:val="-9"/>
              </w:rPr>
              <w:t>1</w:t>
            </w:r>
            <w:r>
              <w:rPr>
                <w:rFonts w:ascii="Times New Roman" w:hAnsi="Times New Roman" w:eastAsia="Times New Roman" w:cs="Times New Roman"/>
                <w:spacing w:val="11"/>
              </w:rPr>
              <w:t xml:space="preserve"> </w:t>
            </w:r>
            <w:r>
              <w:rPr>
                <w:spacing w:val="-9"/>
              </w:rPr>
              <w:t>楼</w:t>
            </w:r>
            <w:r>
              <w:rPr>
                <w:spacing w:val="-28"/>
              </w:rPr>
              <w:t xml:space="preserve"> </w:t>
            </w:r>
            <w:r>
              <w:rPr>
                <w:rFonts w:ascii="Times New Roman" w:hAnsi="Times New Roman" w:eastAsia="Times New Roman" w:cs="Times New Roman"/>
                <w:spacing w:val="-9"/>
              </w:rPr>
              <w:t>1.5m</w:t>
            </w:r>
          </w:p>
        </w:tc>
        <w:tc>
          <w:tcPr>
            <w:tcW w:w="1276" w:type="dxa"/>
            <w:vAlign w:val="top"/>
          </w:tcPr>
          <w:p w14:paraId="54DE502C">
            <w:pPr>
              <w:spacing w:before="90" w:line="215" w:lineRule="auto"/>
              <w:ind w:left="42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1.628</w:t>
            </w:r>
          </w:p>
        </w:tc>
        <w:tc>
          <w:tcPr>
            <w:tcW w:w="1132" w:type="dxa"/>
            <w:vAlign w:val="top"/>
          </w:tcPr>
          <w:p w14:paraId="493D80C8">
            <w:pPr>
              <w:spacing w:before="90" w:line="215"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2.371</w:t>
            </w:r>
          </w:p>
        </w:tc>
      </w:tr>
      <w:tr w14:paraId="72F784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2833" w:type="dxa"/>
            <w:vMerge w:val="continue"/>
            <w:tcBorders>
              <w:top w:val="nil"/>
              <w:bottom w:val="nil"/>
            </w:tcBorders>
            <w:vAlign w:val="top"/>
          </w:tcPr>
          <w:p w14:paraId="52AC401D">
            <w:pPr>
              <w:rPr>
                <w:rFonts w:ascii="Arial"/>
                <w:sz w:val="21"/>
              </w:rPr>
            </w:pPr>
          </w:p>
        </w:tc>
        <w:tc>
          <w:tcPr>
            <w:tcW w:w="2553" w:type="dxa"/>
            <w:vMerge w:val="continue"/>
            <w:tcBorders>
              <w:top w:val="nil"/>
              <w:bottom w:val="nil"/>
            </w:tcBorders>
            <w:vAlign w:val="top"/>
          </w:tcPr>
          <w:p w14:paraId="465EF734">
            <w:pPr>
              <w:rPr>
                <w:rFonts w:ascii="Arial"/>
                <w:sz w:val="21"/>
              </w:rPr>
            </w:pPr>
          </w:p>
        </w:tc>
        <w:tc>
          <w:tcPr>
            <w:tcW w:w="1274" w:type="dxa"/>
            <w:vAlign w:val="top"/>
          </w:tcPr>
          <w:p w14:paraId="6E9430DC">
            <w:pPr>
              <w:pStyle w:val="6"/>
              <w:spacing w:before="55" w:line="220" w:lineRule="auto"/>
              <w:ind w:left="215"/>
              <w:rPr>
                <w:rFonts w:ascii="Times New Roman" w:hAnsi="Times New Roman" w:eastAsia="Times New Roman" w:cs="Times New Roman"/>
              </w:rPr>
            </w:pPr>
            <w:r>
              <w:rPr>
                <w:rFonts w:ascii="Times New Roman" w:hAnsi="Times New Roman" w:eastAsia="Times New Roman" w:cs="Times New Roman"/>
                <w:spacing w:val="-2"/>
              </w:rPr>
              <w:t>2</w:t>
            </w:r>
            <w:r>
              <w:rPr>
                <w:rFonts w:ascii="Times New Roman" w:hAnsi="Times New Roman" w:eastAsia="Times New Roman" w:cs="Times New Roman"/>
                <w:spacing w:val="10"/>
              </w:rPr>
              <w:t xml:space="preserve"> </w:t>
            </w:r>
            <w:r>
              <w:rPr>
                <w:spacing w:val="-2"/>
              </w:rPr>
              <w:t>楼</w:t>
            </w:r>
            <w:r>
              <w:rPr>
                <w:spacing w:val="-49"/>
              </w:rPr>
              <w:t xml:space="preserve"> </w:t>
            </w:r>
            <w:r>
              <w:rPr>
                <w:rFonts w:ascii="Times New Roman" w:hAnsi="Times New Roman" w:eastAsia="Times New Roman" w:cs="Times New Roman"/>
                <w:spacing w:val="-2"/>
              </w:rPr>
              <w:t>4.5m</w:t>
            </w:r>
          </w:p>
        </w:tc>
        <w:tc>
          <w:tcPr>
            <w:tcW w:w="1276" w:type="dxa"/>
            <w:vAlign w:val="top"/>
          </w:tcPr>
          <w:p w14:paraId="68F92A0C">
            <w:pPr>
              <w:spacing w:before="90" w:line="214" w:lineRule="auto"/>
              <w:ind w:left="42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1.626</w:t>
            </w:r>
          </w:p>
        </w:tc>
        <w:tc>
          <w:tcPr>
            <w:tcW w:w="1132" w:type="dxa"/>
            <w:vAlign w:val="top"/>
          </w:tcPr>
          <w:p w14:paraId="4598305C">
            <w:pPr>
              <w:spacing w:before="90" w:line="214"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2.889</w:t>
            </w:r>
          </w:p>
        </w:tc>
      </w:tr>
      <w:tr w14:paraId="7CA870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2833" w:type="dxa"/>
            <w:vMerge w:val="continue"/>
            <w:tcBorders>
              <w:top w:val="nil"/>
            </w:tcBorders>
            <w:vAlign w:val="top"/>
          </w:tcPr>
          <w:p w14:paraId="3312F363">
            <w:pPr>
              <w:rPr>
                <w:rFonts w:ascii="Arial"/>
                <w:sz w:val="21"/>
              </w:rPr>
            </w:pPr>
          </w:p>
        </w:tc>
        <w:tc>
          <w:tcPr>
            <w:tcW w:w="2553" w:type="dxa"/>
            <w:vMerge w:val="continue"/>
            <w:tcBorders>
              <w:top w:val="nil"/>
            </w:tcBorders>
            <w:vAlign w:val="top"/>
          </w:tcPr>
          <w:p w14:paraId="23A038E9">
            <w:pPr>
              <w:rPr>
                <w:rFonts w:ascii="Arial"/>
                <w:sz w:val="21"/>
              </w:rPr>
            </w:pPr>
          </w:p>
        </w:tc>
        <w:tc>
          <w:tcPr>
            <w:tcW w:w="1274" w:type="dxa"/>
            <w:vAlign w:val="top"/>
          </w:tcPr>
          <w:p w14:paraId="38E8B305">
            <w:pPr>
              <w:pStyle w:val="6"/>
              <w:spacing w:before="56" w:line="226" w:lineRule="auto"/>
              <w:ind w:left="110"/>
              <w:rPr>
                <w:rFonts w:ascii="Times New Roman" w:hAnsi="Times New Roman" w:eastAsia="Times New Roman" w:cs="Times New Roman"/>
              </w:rPr>
            </w:pPr>
            <w:r>
              <w:rPr>
                <w:rFonts w:ascii="Times New Roman" w:hAnsi="Times New Roman" w:eastAsia="Times New Roman" w:cs="Times New Roman"/>
                <w:spacing w:val="-1"/>
              </w:rPr>
              <w:t xml:space="preserve">2 </w:t>
            </w:r>
            <w:r>
              <w:rPr>
                <w:spacing w:val="-1"/>
              </w:rPr>
              <w:t>楼顶</w:t>
            </w:r>
            <w:r>
              <w:rPr>
                <w:spacing w:val="-42"/>
              </w:rPr>
              <w:t xml:space="preserve"> </w:t>
            </w:r>
            <w:r>
              <w:rPr>
                <w:rFonts w:ascii="Times New Roman" w:hAnsi="Times New Roman" w:eastAsia="Times New Roman" w:cs="Times New Roman"/>
                <w:spacing w:val="-1"/>
              </w:rPr>
              <w:t>7.5m</w:t>
            </w:r>
          </w:p>
        </w:tc>
        <w:tc>
          <w:tcPr>
            <w:tcW w:w="1276" w:type="dxa"/>
            <w:vAlign w:val="top"/>
          </w:tcPr>
          <w:p w14:paraId="4AD631BC">
            <w:pPr>
              <w:spacing w:before="91" w:line="221" w:lineRule="auto"/>
              <w:ind w:left="42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1.542</w:t>
            </w:r>
          </w:p>
        </w:tc>
        <w:tc>
          <w:tcPr>
            <w:tcW w:w="1132" w:type="dxa"/>
            <w:vAlign w:val="top"/>
          </w:tcPr>
          <w:p w14:paraId="4F7C3E0F">
            <w:pPr>
              <w:spacing w:before="91" w:line="221" w:lineRule="auto"/>
              <w:ind w:left="33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3.227</w:t>
            </w:r>
          </w:p>
        </w:tc>
      </w:tr>
    </w:tbl>
    <w:p w14:paraId="722F5C5A">
      <w:pPr>
        <w:spacing w:before="65" w:line="233" w:lineRule="auto"/>
        <w:ind w:left="7"/>
        <w:rPr>
          <w:rFonts w:ascii="宋体" w:hAnsi="宋体" w:eastAsia="宋体" w:cs="宋体"/>
          <w:sz w:val="18"/>
          <w:szCs w:val="18"/>
        </w:rPr>
      </w:pPr>
      <w:r>
        <w:rPr>
          <w:rFonts w:ascii="宋体" w:hAnsi="宋体" w:eastAsia="宋体" w:cs="宋体"/>
          <w:spacing w:val="-1"/>
          <w:sz w:val="18"/>
          <w:szCs w:val="18"/>
        </w:rPr>
        <w:t>注：</w:t>
      </w:r>
      <w:r>
        <w:rPr>
          <w:rFonts w:ascii="Times New Roman" w:hAnsi="Times New Roman" w:eastAsia="Times New Roman" w:cs="Times New Roman"/>
          <w:spacing w:val="-1"/>
          <w:sz w:val="18"/>
          <w:szCs w:val="18"/>
        </w:rPr>
        <w:t>1.E-</w:t>
      </w:r>
      <w:r>
        <w:rPr>
          <w:rFonts w:ascii="宋体" w:hAnsi="宋体" w:eastAsia="宋体" w:cs="宋体"/>
          <w:spacing w:val="-1"/>
          <w:sz w:val="18"/>
          <w:szCs w:val="18"/>
        </w:rPr>
        <w:t>电磁强度，</w:t>
      </w:r>
      <w:r>
        <w:rPr>
          <w:rFonts w:ascii="Times New Roman" w:hAnsi="Times New Roman" w:eastAsia="Times New Roman" w:cs="Times New Roman"/>
          <w:spacing w:val="-1"/>
          <w:sz w:val="18"/>
          <w:szCs w:val="18"/>
        </w:rPr>
        <w:t>B-</w:t>
      </w:r>
      <w:r>
        <w:rPr>
          <w:rFonts w:ascii="宋体" w:hAnsi="宋体" w:eastAsia="宋体" w:cs="宋体"/>
          <w:spacing w:val="-1"/>
          <w:sz w:val="18"/>
          <w:szCs w:val="18"/>
        </w:rPr>
        <w:t>磁感应强度；</w:t>
      </w:r>
      <w:r>
        <w:rPr>
          <w:rFonts w:ascii="Times New Roman" w:hAnsi="Times New Roman" w:eastAsia="Times New Roman" w:cs="Times New Roman"/>
          <w:spacing w:val="-1"/>
          <w:sz w:val="18"/>
          <w:szCs w:val="18"/>
        </w:rPr>
        <w:t>2.</w:t>
      </w:r>
      <w:r>
        <w:rPr>
          <w:rFonts w:ascii="宋体" w:hAnsi="宋体" w:eastAsia="宋体" w:cs="宋体"/>
          <w:spacing w:val="-1"/>
          <w:sz w:val="18"/>
          <w:szCs w:val="18"/>
        </w:rPr>
        <w:t>不对称塔型采用电磁场较大一侧的预测值。</w:t>
      </w:r>
    </w:p>
    <w:p w14:paraId="0DABA649">
      <w:pPr>
        <w:spacing w:before="132" w:line="354" w:lineRule="auto"/>
        <w:ind w:left="10" w:firstLine="481"/>
        <w:jc w:val="both"/>
        <w:rPr>
          <w:rFonts w:ascii="宋体" w:hAnsi="宋体" w:eastAsia="宋体" w:cs="宋体"/>
          <w:sz w:val="24"/>
          <w:szCs w:val="24"/>
        </w:rPr>
      </w:pPr>
      <w:r>
        <w:rPr>
          <w:rFonts w:ascii="宋体" w:hAnsi="宋体" w:eastAsia="宋体" w:cs="宋体"/>
          <w:spacing w:val="-1"/>
          <w:sz w:val="24"/>
          <w:szCs w:val="24"/>
        </w:rPr>
        <w:t>从上表可以看出，沿线电磁环境保护目标的电场强度在</w:t>
      </w:r>
      <w:r>
        <w:rPr>
          <w:rFonts w:ascii="宋体" w:hAnsi="宋体" w:eastAsia="宋体" w:cs="宋体"/>
          <w:spacing w:val="-33"/>
          <w:sz w:val="24"/>
          <w:szCs w:val="24"/>
        </w:rPr>
        <w:t xml:space="preserve"> </w:t>
      </w:r>
      <w:r>
        <w:rPr>
          <w:rFonts w:ascii="Times New Roman" w:hAnsi="Times New Roman" w:eastAsia="Times New Roman" w:cs="Times New Roman"/>
          <w:spacing w:val="-1"/>
          <w:sz w:val="24"/>
          <w:szCs w:val="24"/>
        </w:rPr>
        <w:t xml:space="preserve">0.077~3.421kV/m </w:t>
      </w:r>
      <w:r>
        <w:rPr>
          <w:rFonts w:ascii="宋体" w:hAnsi="宋体" w:eastAsia="宋体" w:cs="宋体"/>
          <w:spacing w:val="-1"/>
          <w:sz w:val="24"/>
          <w:szCs w:val="24"/>
        </w:rPr>
        <w:t>之间，磁</w:t>
      </w:r>
      <w:r>
        <w:rPr>
          <w:rFonts w:ascii="宋体" w:hAnsi="宋体" w:eastAsia="宋体" w:cs="宋体"/>
          <w:spacing w:val="-6"/>
          <w:sz w:val="24"/>
          <w:szCs w:val="24"/>
        </w:rPr>
        <w:t>感应强度在</w:t>
      </w:r>
      <w:r>
        <w:rPr>
          <w:rFonts w:ascii="宋体" w:hAnsi="宋体" w:eastAsia="宋体" w:cs="宋体"/>
          <w:spacing w:val="-34"/>
          <w:sz w:val="24"/>
          <w:szCs w:val="24"/>
        </w:rPr>
        <w:t xml:space="preserve"> </w:t>
      </w:r>
      <w:r>
        <w:rPr>
          <w:rFonts w:ascii="Times New Roman" w:hAnsi="Times New Roman" w:eastAsia="Times New Roman" w:cs="Times New Roman"/>
          <w:spacing w:val="-6"/>
          <w:sz w:val="24"/>
          <w:szCs w:val="24"/>
        </w:rPr>
        <w:t xml:space="preserve">0.278~10.936µT </w:t>
      </w:r>
      <w:r>
        <w:rPr>
          <w:rFonts w:ascii="宋体" w:hAnsi="宋体" w:eastAsia="宋体" w:cs="宋体"/>
          <w:spacing w:val="-6"/>
          <w:sz w:val="24"/>
          <w:szCs w:val="24"/>
        </w:rPr>
        <w:t>之间，满足《电磁环境控制限值》（</w:t>
      </w:r>
      <w:r>
        <w:rPr>
          <w:rFonts w:ascii="Times New Roman" w:hAnsi="Times New Roman" w:eastAsia="Times New Roman" w:cs="Times New Roman"/>
          <w:spacing w:val="-6"/>
          <w:sz w:val="24"/>
          <w:szCs w:val="24"/>
        </w:rPr>
        <w:t>GB8702-2014</w:t>
      </w:r>
      <w:r>
        <w:rPr>
          <w:rFonts w:ascii="宋体" w:hAnsi="宋体" w:eastAsia="宋体" w:cs="宋体"/>
          <w:spacing w:val="-6"/>
          <w:sz w:val="24"/>
          <w:szCs w:val="24"/>
        </w:rPr>
        <w:t>）中规定的</w:t>
      </w:r>
      <w:r>
        <w:rPr>
          <w:rFonts w:ascii="宋体" w:hAnsi="宋体" w:eastAsia="宋体" w:cs="宋体"/>
          <w:spacing w:val="-2"/>
          <w:sz w:val="24"/>
          <w:szCs w:val="24"/>
        </w:rPr>
        <w:t>电场强度≤</w:t>
      </w:r>
      <w:r>
        <w:rPr>
          <w:rFonts w:ascii="Times New Roman" w:hAnsi="Times New Roman" w:eastAsia="Times New Roman" w:cs="Times New Roman"/>
          <w:spacing w:val="-2"/>
          <w:sz w:val="24"/>
          <w:szCs w:val="24"/>
        </w:rPr>
        <w:t>4kV/m</w:t>
      </w:r>
      <w:r>
        <w:rPr>
          <w:rFonts w:ascii="Times New Roman" w:hAnsi="Times New Roman" w:eastAsia="Times New Roman" w:cs="Times New Roman"/>
          <w:spacing w:val="-30"/>
          <w:sz w:val="24"/>
          <w:szCs w:val="24"/>
        </w:rPr>
        <w:t xml:space="preserve"> </w:t>
      </w:r>
      <w:r>
        <w:rPr>
          <w:rFonts w:ascii="宋体" w:hAnsi="宋体" w:eastAsia="宋体" w:cs="宋体"/>
          <w:spacing w:val="-2"/>
          <w:sz w:val="24"/>
          <w:szCs w:val="24"/>
        </w:rPr>
        <w:t>，磁感应强度≤</w:t>
      </w:r>
      <w:r>
        <w:rPr>
          <w:rFonts w:ascii="Times New Roman" w:hAnsi="Times New Roman" w:eastAsia="Times New Roman" w:cs="Times New Roman"/>
          <w:spacing w:val="-2"/>
          <w:sz w:val="24"/>
          <w:szCs w:val="24"/>
        </w:rPr>
        <w:t>100µT</w:t>
      </w:r>
      <w:r>
        <w:rPr>
          <w:rFonts w:ascii="Times New Roman" w:hAnsi="Times New Roman" w:eastAsia="Times New Roman" w:cs="Times New Roman"/>
          <w:spacing w:val="29"/>
          <w:sz w:val="24"/>
          <w:szCs w:val="24"/>
        </w:rPr>
        <w:t xml:space="preserve"> </w:t>
      </w:r>
      <w:r>
        <w:rPr>
          <w:rFonts w:ascii="宋体" w:hAnsi="宋体" w:eastAsia="宋体" w:cs="宋体"/>
          <w:spacing w:val="-2"/>
          <w:sz w:val="24"/>
          <w:szCs w:val="24"/>
        </w:rPr>
        <w:t>的公众曝露控制限值要求。</w:t>
      </w:r>
    </w:p>
    <w:p w14:paraId="0B50CB40">
      <w:pPr>
        <w:spacing w:before="23" w:line="362" w:lineRule="auto"/>
        <w:ind w:left="9" w:right="1" w:firstLine="481"/>
        <w:jc w:val="both"/>
        <w:rPr>
          <w:rFonts w:ascii="宋体" w:hAnsi="宋体" w:eastAsia="宋体" w:cs="宋体"/>
          <w:sz w:val="24"/>
          <w:szCs w:val="24"/>
        </w:rPr>
      </w:pPr>
      <w:r>
        <w:rPr>
          <w:rFonts w:ascii="宋体" w:hAnsi="宋体" w:eastAsia="宋体" w:cs="宋体"/>
          <w:spacing w:val="-2"/>
          <w:sz w:val="24"/>
          <w:szCs w:val="24"/>
        </w:rPr>
        <w:t>预测均选取了最不利条件进行，项目建成后的架设高度、运行工况一般优于预测参数，经采取避让或抬升导线等措施后，实际电磁环境影响将小于预测值，项目对周边电</w:t>
      </w:r>
      <w:r>
        <w:rPr>
          <w:rFonts w:ascii="宋体" w:hAnsi="宋体" w:eastAsia="宋体" w:cs="宋体"/>
          <w:spacing w:val="-4"/>
          <w:sz w:val="24"/>
          <w:szCs w:val="24"/>
        </w:rPr>
        <w:t>磁环境及敏感点影响较小。</w:t>
      </w:r>
    </w:p>
    <w:p w14:paraId="3DE4C69D">
      <w:pPr>
        <w:spacing w:before="51" w:line="234" w:lineRule="auto"/>
        <w:ind w:left="7"/>
        <w:rPr>
          <w:rFonts w:ascii="宋体" w:hAnsi="宋体" w:eastAsia="宋体" w:cs="宋体"/>
          <w:sz w:val="28"/>
          <w:szCs w:val="28"/>
        </w:rPr>
      </w:pPr>
      <w:r>
        <w:rPr>
          <w:rFonts w:ascii="Times New Roman" w:hAnsi="Times New Roman" w:eastAsia="Times New Roman" w:cs="Times New Roman"/>
          <w:b/>
          <w:bCs/>
          <w:spacing w:val="-2"/>
          <w:sz w:val="28"/>
          <w:szCs w:val="28"/>
        </w:rPr>
        <w:t xml:space="preserve">4.4 </w:t>
      </w:r>
      <w:r>
        <w:rPr>
          <w:rFonts w:ascii="宋体" w:hAnsi="宋体" w:eastAsia="宋体" w:cs="宋体"/>
          <w:b/>
          <w:bCs/>
          <w:spacing w:val="-2"/>
          <w:sz w:val="28"/>
          <w:szCs w:val="28"/>
        </w:rPr>
        <w:t>交叉跨越和并行线路环境影响分析</w:t>
      </w:r>
    </w:p>
    <w:p w14:paraId="31045ADB">
      <w:pPr>
        <w:spacing w:before="211" w:line="360" w:lineRule="auto"/>
        <w:ind w:left="8" w:firstLine="480"/>
        <w:jc w:val="both"/>
        <w:rPr>
          <w:rFonts w:ascii="宋体" w:hAnsi="宋体" w:eastAsia="宋体" w:cs="宋体"/>
          <w:sz w:val="24"/>
          <w:szCs w:val="24"/>
        </w:rPr>
      </w:pPr>
      <w:r>
        <w:rPr>
          <w:rFonts w:ascii="宋体" w:hAnsi="宋体" w:eastAsia="宋体" w:cs="宋体"/>
          <w:spacing w:val="-3"/>
          <w:sz w:val="24"/>
          <w:szCs w:val="24"/>
        </w:rPr>
        <w:t>根据《环境影响评价技术导则输变电》（</w:t>
      </w:r>
      <w:r>
        <w:rPr>
          <w:rFonts w:ascii="Times New Roman" w:hAnsi="Times New Roman" w:eastAsia="Times New Roman" w:cs="Times New Roman"/>
          <w:spacing w:val="-3"/>
          <w:sz w:val="24"/>
          <w:szCs w:val="24"/>
        </w:rPr>
        <w:t>HJ24-</w:t>
      </w:r>
      <w:r>
        <w:rPr>
          <w:rFonts w:ascii="Times New Roman" w:hAnsi="Times New Roman" w:eastAsia="Times New Roman" w:cs="Times New Roman"/>
          <w:spacing w:val="-4"/>
          <w:sz w:val="24"/>
          <w:szCs w:val="24"/>
        </w:rPr>
        <w:t>2020</w:t>
      </w:r>
      <w:r>
        <w:rPr>
          <w:rFonts w:ascii="宋体" w:hAnsi="宋体" w:eastAsia="宋体" w:cs="宋体"/>
          <w:spacing w:val="-61"/>
          <w:w w:val="97"/>
          <w:sz w:val="24"/>
          <w:szCs w:val="24"/>
        </w:rPr>
        <w:t>），</w:t>
      </w:r>
      <w:r>
        <w:rPr>
          <w:rFonts w:ascii="宋体" w:hAnsi="宋体" w:eastAsia="宋体" w:cs="宋体"/>
          <w:spacing w:val="-4"/>
          <w:sz w:val="24"/>
          <w:szCs w:val="24"/>
        </w:rPr>
        <w:t>多条</w:t>
      </w:r>
      <w:r>
        <w:rPr>
          <w:rFonts w:ascii="宋体" w:hAnsi="宋体" w:eastAsia="宋体" w:cs="宋体"/>
          <w:spacing w:val="-22"/>
          <w:sz w:val="24"/>
          <w:szCs w:val="24"/>
        </w:rPr>
        <w:t xml:space="preserve"> </w:t>
      </w:r>
      <w:r>
        <w:rPr>
          <w:rFonts w:ascii="Times New Roman" w:hAnsi="Times New Roman" w:eastAsia="Times New Roman" w:cs="Times New Roman"/>
          <w:spacing w:val="-4"/>
          <w:sz w:val="24"/>
          <w:szCs w:val="24"/>
        </w:rPr>
        <w:t>330kV</w:t>
      </w:r>
      <w:r>
        <w:rPr>
          <w:rFonts w:ascii="Times New Roman" w:hAnsi="Times New Roman" w:eastAsia="Times New Roman" w:cs="Times New Roman"/>
          <w:spacing w:val="22"/>
          <w:sz w:val="24"/>
          <w:szCs w:val="24"/>
        </w:rPr>
        <w:t xml:space="preserve"> </w:t>
      </w:r>
      <w:r>
        <w:rPr>
          <w:rFonts w:ascii="宋体" w:hAnsi="宋体" w:eastAsia="宋体" w:cs="宋体"/>
          <w:spacing w:val="-4"/>
          <w:sz w:val="24"/>
          <w:szCs w:val="24"/>
        </w:rPr>
        <w:t>及以上电压等级</w:t>
      </w:r>
      <w:r>
        <w:rPr>
          <w:rFonts w:ascii="宋体" w:hAnsi="宋体" w:eastAsia="宋体" w:cs="宋体"/>
          <w:spacing w:val="-2"/>
          <w:sz w:val="24"/>
          <w:szCs w:val="24"/>
        </w:rPr>
        <w:t>的架空输电线路出现交叉跨越或并行时，可采用模式预测或类比监测的方法进行交叉跨</w:t>
      </w:r>
      <w:r>
        <w:rPr>
          <w:rFonts w:ascii="宋体" w:hAnsi="宋体" w:eastAsia="宋体" w:cs="宋体"/>
          <w:spacing w:val="-3"/>
          <w:sz w:val="24"/>
          <w:szCs w:val="24"/>
        </w:rPr>
        <w:t>越和并行线路环境影响分析。本项目电压等级为</w:t>
      </w:r>
      <w:r>
        <w:rPr>
          <w:rFonts w:ascii="宋体" w:hAnsi="宋体" w:eastAsia="宋体" w:cs="宋体"/>
          <w:spacing w:val="-47"/>
          <w:sz w:val="24"/>
          <w:szCs w:val="24"/>
        </w:rPr>
        <w:t xml:space="preserve"> </w:t>
      </w:r>
      <w:r>
        <w:rPr>
          <w:rFonts w:ascii="Times New Roman" w:hAnsi="Times New Roman" w:eastAsia="Times New Roman" w:cs="Times New Roman"/>
          <w:spacing w:val="-3"/>
          <w:sz w:val="24"/>
          <w:szCs w:val="24"/>
        </w:rPr>
        <w:t>220kV</w:t>
      </w:r>
      <w:r>
        <w:rPr>
          <w:rFonts w:ascii="宋体" w:hAnsi="宋体" w:eastAsia="宋体" w:cs="宋体"/>
          <w:spacing w:val="-3"/>
          <w:sz w:val="24"/>
          <w:szCs w:val="24"/>
        </w:rPr>
        <w:t>，无多条</w:t>
      </w:r>
      <w:r>
        <w:rPr>
          <w:rFonts w:ascii="宋体" w:hAnsi="宋体" w:eastAsia="宋体" w:cs="宋体"/>
          <w:spacing w:val="-49"/>
          <w:sz w:val="24"/>
          <w:szCs w:val="24"/>
        </w:rPr>
        <w:t xml:space="preserve"> </w:t>
      </w:r>
      <w:r>
        <w:rPr>
          <w:rFonts w:ascii="Times New Roman" w:hAnsi="Times New Roman" w:eastAsia="Times New Roman" w:cs="Times New Roman"/>
          <w:spacing w:val="-3"/>
          <w:sz w:val="24"/>
          <w:szCs w:val="24"/>
        </w:rPr>
        <w:t xml:space="preserve">330kV </w:t>
      </w:r>
      <w:r>
        <w:rPr>
          <w:rFonts w:ascii="宋体" w:hAnsi="宋体" w:eastAsia="宋体" w:cs="宋体"/>
          <w:spacing w:val="-3"/>
          <w:sz w:val="24"/>
          <w:szCs w:val="24"/>
        </w:rPr>
        <w:t>及以上电压等级的架空输电线路出现交叉跨越或并行。</w:t>
      </w:r>
    </w:p>
    <w:p w14:paraId="64E39642">
      <w:pPr>
        <w:spacing w:line="360" w:lineRule="auto"/>
        <w:rPr>
          <w:rFonts w:ascii="宋体" w:hAnsi="宋体" w:eastAsia="宋体" w:cs="宋体"/>
          <w:sz w:val="24"/>
          <w:szCs w:val="24"/>
        </w:rPr>
        <w:sectPr>
          <w:footerReference r:id="rId134" w:type="default"/>
          <w:pgSz w:w="11907" w:h="16841"/>
          <w:pgMar w:top="400" w:right="1413" w:bottom="1126" w:left="1418" w:header="0" w:footer="925" w:gutter="0"/>
          <w:cols w:space="720" w:num="1"/>
        </w:sectPr>
      </w:pPr>
    </w:p>
    <w:p w14:paraId="725F227B">
      <w:pPr>
        <w:spacing w:line="252" w:lineRule="auto"/>
        <w:rPr>
          <w:rFonts w:ascii="Arial"/>
          <w:sz w:val="21"/>
        </w:rPr>
      </w:pPr>
    </w:p>
    <w:p w14:paraId="7DAB850F">
      <w:pPr>
        <w:spacing w:line="252" w:lineRule="auto"/>
        <w:rPr>
          <w:rFonts w:ascii="Arial"/>
          <w:sz w:val="21"/>
        </w:rPr>
      </w:pPr>
    </w:p>
    <w:p w14:paraId="28ECD5D6">
      <w:pPr>
        <w:spacing w:line="252" w:lineRule="auto"/>
        <w:rPr>
          <w:rFonts w:ascii="Arial"/>
          <w:sz w:val="21"/>
        </w:rPr>
      </w:pPr>
    </w:p>
    <w:p w14:paraId="17B73EB4">
      <w:pPr>
        <w:spacing w:line="252" w:lineRule="auto"/>
        <w:rPr>
          <w:rFonts w:ascii="Arial"/>
          <w:sz w:val="21"/>
        </w:rPr>
      </w:pPr>
    </w:p>
    <w:p w14:paraId="023919AB">
      <w:pPr>
        <w:spacing w:line="252" w:lineRule="auto"/>
        <w:rPr>
          <w:rFonts w:ascii="Arial"/>
          <w:sz w:val="21"/>
        </w:rPr>
      </w:pPr>
    </w:p>
    <w:p w14:paraId="49BCAF21">
      <w:pPr>
        <w:spacing w:before="100"/>
        <w:ind w:left="13"/>
        <w:rPr>
          <w:rFonts w:ascii="宋体" w:hAnsi="宋体" w:eastAsia="宋体" w:cs="宋体"/>
          <w:sz w:val="31"/>
          <w:szCs w:val="31"/>
        </w:rPr>
      </w:pPr>
      <w:bookmarkStart w:id="27" w:name="bookmark33"/>
      <w:bookmarkEnd w:id="27"/>
      <w:bookmarkStart w:id="28" w:name="bookmark34"/>
      <w:bookmarkEnd w:id="28"/>
      <w:r>
        <w:rPr>
          <w:rFonts w:ascii="Times New Roman" w:hAnsi="Times New Roman" w:eastAsia="Times New Roman" w:cs="Times New Roman"/>
          <w:b/>
          <w:bCs/>
          <w:spacing w:val="6"/>
          <w:sz w:val="31"/>
          <w:szCs w:val="31"/>
        </w:rPr>
        <w:t>5</w:t>
      </w:r>
      <w:r>
        <w:rPr>
          <w:rFonts w:ascii="宋体" w:hAnsi="宋体" w:eastAsia="宋体" w:cs="宋体"/>
          <w:b/>
          <w:bCs/>
          <w:spacing w:val="6"/>
          <w:sz w:val="31"/>
          <w:szCs w:val="31"/>
        </w:rPr>
        <w:t>、电磁环境达标控制措施及监测计划</w:t>
      </w:r>
    </w:p>
    <w:p w14:paraId="0554ABEB">
      <w:pPr>
        <w:spacing w:before="239" w:line="235" w:lineRule="auto"/>
        <w:ind w:left="11"/>
        <w:rPr>
          <w:rFonts w:ascii="宋体" w:hAnsi="宋体" w:eastAsia="宋体" w:cs="宋体"/>
          <w:sz w:val="28"/>
          <w:szCs w:val="28"/>
        </w:rPr>
      </w:pPr>
      <w:r>
        <w:rPr>
          <w:rFonts w:ascii="Times New Roman" w:hAnsi="Times New Roman" w:eastAsia="Times New Roman" w:cs="Times New Roman"/>
          <w:b/>
          <w:bCs/>
          <w:spacing w:val="-6"/>
          <w:sz w:val="28"/>
          <w:szCs w:val="28"/>
        </w:rPr>
        <w:t>5.1</w:t>
      </w:r>
      <w:r>
        <w:rPr>
          <w:rFonts w:ascii="Times New Roman" w:hAnsi="Times New Roman" w:eastAsia="Times New Roman" w:cs="Times New Roman"/>
          <w:b/>
          <w:bCs/>
          <w:spacing w:val="48"/>
          <w:sz w:val="28"/>
          <w:szCs w:val="28"/>
        </w:rPr>
        <w:t xml:space="preserve"> </w:t>
      </w:r>
      <w:r>
        <w:rPr>
          <w:rFonts w:ascii="宋体" w:hAnsi="宋体" w:eastAsia="宋体" w:cs="宋体"/>
          <w:b/>
          <w:bCs/>
          <w:spacing w:val="-6"/>
          <w:sz w:val="28"/>
          <w:szCs w:val="28"/>
        </w:rPr>
        <w:t>电磁环境达标控制措施</w:t>
      </w:r>
    </w:p>
    <w:p w14:paraId="4FC87800">
      <w:pPr>
        <w:spacing w:before="212" w:line="234" w:lineRule="auto"/>
        <w:ind w:left="500"/>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1</w:t>
      </w:r>
      <w:r>
        <w:rPr>
          <w:rFonts w:ascii="宋体" w:hAnsi="宋体" w:eastAsia="宋体" w:cs="宋体"/>
          <w:b/>
          <w:bCs/>
          <w:spacing w:val="-4"/>
          <w:sz w:val="24"/>
          <w:szCs w:val="24"/>
        </w:rPr>
        <w:t>）设计施工阶段措施</w:t>
      </w:r>
    </w:p>
    <w:p w14:paraId="5BD3FC14">
      <w:pPr>
        <w:spacing w:before="163" w:line="353" w:lineRule="auto"/>
        <w:ind w:left="24" w:firstLine="486"/>
        <w:rPr>
          <w:rFonts w:ascii="宋体" w:hAnsi="宋体" w:eastAsia="宋体" w:cs="宋体"/>
          <w:sz w:val="24"/>
          <w:szCs w:val="24"/>
        </w:rPr>
      </w:pPr>
      <w:r>
        <w:rPr>
          <w:rFonts w:ascii="Times New Roman" w:hAnsi="Times New Roman" w:eastAsia="Times New Roman" w:cs="Times New Roman"/>
          <w:spacing w:val="-5"/>
          <w:sz w:val="24"/>
          <w:szCs w:val="24"/>
        </w:rPr>
        <w:t>1</w:t>
      </w:r>
      <w:r>
        <w:rPr>
          <w:rFonts w:ascii="宋体" w:hAnsi="宋体" w:eastAsia="宋体" w:cs="宋体"/>
          <w:spacing w:val="-5"/>
          <w:sz w:val="24"/>
          <w:szCs w:val="24"/>
        </w:rPr>
        <w:t>）进一步优化线路路径，对沿线居民点进行合理避让，经过居</w:t>
      </w:r>
      <w:r>
        <w:rPr>
          <w:rFonts w:ascii="宋体" w:hAnsi="宋体" w:eastAsia="宋体" w:cs="宋体"/>
          <w:spacing w:val="-6"/>
          <w:sz w:val="24"/>
          <w:szCs w:val="24"/>
        </w:rPr>
        <w:t>民区选择电磁环境影</w:t>
      </w:r>
      <w:r>
        <w:rPr>
          <w:rFonts w:ascii="宋体" w:hAnsi="宋体" w:eastAsia="宋体" w:cs="宋体"/>
          <w:spacing w:val="-4"/>
          <w:sz w:val="24"/>
          <w:szCs w:val="24"/>
        </w:rPr>
        <w:t>响较小的塔型。</w:t>
      </w:r>
    </w:p>
    <w:p w14:paraId="5DEB3E0F">
      <w:pPr>
        <w:spacing w:before="17" w:line="352" w:lineRule="auto"/>
        <w:ind w:left="12" w:right="2" w:firstLine="474"/>
        <w:rPr>
          <w:rFonts w:ascii="宋体" w:hAnsi="宋体" w:eastAsia="宋体" w:cs="宋体"/>
          <w:sz w:val="24"/>
          <w:szCs w:val="24"/>
        </w:rPr>
      </w:pPr>
      <w:r>
        <w:rPr>
          <w:rFonts w:ascii="Times New Roman" w:hAnsi="Times New Roman" w:eastAsia="Times New Roman" w:cs="Times New Roman"/>
          <w:spacing w:val="-5"/>
          <w:sz w:val="24"/>
          <w:szCs w:val="24"/>
        </w:rPr>
        <w:t>2</w:t>
      </w:r>
      <w:r>
        <w:rPr>
          <w:rFonts w:ascii="宋体" w:hAnsi="宋体" w:eastAsia="宋体" w:cs="宋体"/>
          <w:spacing w:val="-5"/>
          <w:sz w:val="24"/>
          <w:szCs w:val="24"/>
        </w:rPr>
        <w:t>）尽量优化导线的相序排列方式及杆塔型式，合理选择导线直径及导线分裂数，并</w:t>
      </w:r>
      <w:r>
        <w:rPr>
          <w:rFonts w:ascii="宋体" w:hAnsi="宋体" w:eastAsia="宋体" w:cs="宋体"/>
          <w:spacing w:val="-1"/>
          <w:sz w:val="24"/>
          <w:szCs w:val="24"/>
        </w:rPr>
        <w:t>提高线路的加工工艺，降低线路周围的工频电磁场强度。</w:t>
      </w:r>
    </w:p>
    <w:p w14:paraId="54C8AC52">
      <w:pPr>
        <w:spacing w:before="20" w:line="356" w:lineRule="auto"/>
        <w:ind w:left="13" w:right="2" w:firstLine="478"/>
        <w:rPr>
          <w:rFonts w:ascii="宋体" w:hAnsi="宋体" w:eastAsia="宋体" w:cs="宋体"/>
          <w:sz w:val="24"/>
          <w:szCs w:val="24"/>
        </w:rPr>
      </w:pPr>
      <w:r>
        <w:rPr>
          <w:rFonts w:ascii="Times New Roman" w:hAnsi="Times New Roman" w:eastAsia="Times New Roman" w:cs="Times New Roman"/>
          <w:spacing w:val="-2"/>
          <w:sz w:val="24"/>
          <w:szCs w:val="24"/>
        </w:rPr>
        <w:t>3</w:t>
      </w:r>
      <w:r>
        <w:rPr>
          <w:rFonts w:ascii="宋体" w:hAnsi="宋体" w:eastAsia="宋体" w:cs="宋体"/>
          <w:spacing w:val="-2"/>
          <w:sz w:val="24"/>
          <w:szCs w:val="24"/>
        </w:rPr>
        <w:t>）本项目经过居民区，采用导线抬升措施控制电磁环境</w:t>
      </w:r>
      <w:r>
        <w:rPr>
          <w:rFonts w:ascii="宋体" w:hAnsi="宋体" w:eastAsia="宋体" w:cs="宋体"/>
          <w:spacing w:val="-3"/>
          <w:sz w:val="24"/>
          <w:szCs w:val="24"/>
        </w:rPr>
        <w:t xml:space="preserve">影响，使 </w:t>
      </w:r>
      <w:r>
        <w:rPr>
          <w:rFonts w:ascii="Times New Roman" w:hAnsi="Times New Roman" w:eastAsia="Times New Roman" w:cs="Times New Roman"/>
          <w:spacing w:val="-3"/>
          <w:sz w:val="24"/>
          <w:szCs w:val="24"/>
        </w:rPr>
        <w:t>C</w:t>
      </w:r>
      <w:r>
        <w:rPr>
          <w:rFonts w:ascii="Times New Roman" w:hAnsi="Times New Roman" w:eastAsia="Times New Roman" w:cs="Times New Roman"/>
          <w:spacing w:val="48"/>
          <w:w w:val="101"/>
          <w:sz w:val="24"/>
          <w:szCs w:val="24"/>
        </w:rPr>
        <w:t xml:space="preserve"> </w:t>
      </w:r>
      <w:r>
        <w:rPr>
          <w:rFonts w:ascii="宋体" w:hAnsi="宋体" w:eastAsia="宋体" w:cs="宋体"/>
          <w:spacing w:val="-3"/>
          <w:sz w:val="24"/>
          <w:szCs w:val="24"/>
        </w:rPr>
        <w:t>回线路单回三</w:t>
      </w:r>
      <w:r>
        <w:rPr>
          <w:rFonts w:ascii="宋体" w:hAnsi="宋体" w:eastAsia="宋体" w:cs="宋体"/>
          <w:spacing w:val="-2"/>
          <w:sz w:val="24"/>
          <w:szCs w:val="24"/>
        </w:rPr>
        <w:t>角排列段导线最低对地距离不小于</w:t>
      </w:r>
      <w:r>
        <w:rPr>
          <w:rFonts w:ascii="宋体" w:hAnsi="宋体" w:eastAsia="宋体" w:cs="宋体"/>
          <w:spacing w:val="-42"/>
          <w:sz w:val="24"/>
          <w:szCs w:val="24"/>
        </w:rPr>
        <w:t xml:space="preserve"> </w:t>
      </w:r>
      <w:r>
        <w:rPr>
          <w:rFonts w:ascii="Times New Roman" w:hAnsi="Times New Roman" w:eastAsia="Times New Roman" w:cs="Times New Roman"/>
          <w:spacing w:val="-2"/>
          <w:sz w:val="24"/>
          <w:szCs w:val="24"/>
        </w:rPr>
        <w:t>9.5m</w:t>
      </w:r>
      <w:r>
        <w:rPr>
          <w:rFonts w:ascii="宋体" w:hAnsi="宋体" w:eastAsia="宋体" w:cs="宋体"/>
          <w:spacing w:val="-2"/>
          <w:sz w:val="24"/>
          <w:szCs w:val="24"/>
        </w:rPr>
        <w:t>，</w:t>
      </w:r>
      <w:r>
        <w:rPr>
          <w:rFonts w:ascii="Times New Roman" w:hAnsi="Times New Roman" w:eastAsia="Times New Roman" w:cs="Times New Roman"/>
          <w:spacing w:val="-2"/>
          <w:sz w:val="24"/>
          <w:szCs w:val="24"/>
        </w:rPr>
        <w:t>DE</w:t>
      </w:r>
      <w:r>
        <w:rPr>
          <w:rFonts w:ascii="Times New Roman" w:hAnsi="Times New Roman" w:eastAsia="Times New Roman" w:cs="Times New Roman"/>
          <w:spacing w:val="36"/>
          <w:sz w:val="24"/>
          <w:szCs w:val="24"/>
        </w:rPr>
        <w:t xml:space="preserve"> </w:t>
      </w:r>
      <w:r>
        <w:rPr>
          <w:rFonts w:ascii="宋体" w:hAnsi="宋体" w:eastAsia="宋体" w:cs="宋体"/>
          <w:spacing w:val="-2"/>
          <w:sz w:val="24"/>
          <w:szCs w:val="24"/>
        </w:rPr>
        <w:t>回线路单回三角排列段导线最低对地距离</w:t>
      </w:r>
      <w:r>
        <w:rPr>
          <w:rFonts w:ascii="宋体" w:hAnsi="宋体" w:eastAsia="宋体" w:cs="宋体"/>
          <w:spacing w:val="-5"/>
          <w:sz w:val="24"/>
          <w:szCs w:val="24"/>
        </w:rPr>
        <w:t>不小于</w:t>
      </w:r>
      <w:r>
        <w:rPr>
          <w:rFonts w:ascii="宋体" w:hAnsi="宋体" w:eastAsia="宋体" w:cs="宋体"/>
          <w:spacing w:val="-45"/>
          <w:sz w:val="24"/>
          <w:szCs w:val="24"/>
        </w:rPr>
        <w:t xml:space="preserve"> </w:t>
      </w:r>
      <w:r>
        <w:rPr>
          <w:rFonts w:ascii="Times New Roman" w:hAnsi="Times New Roman" w:eastAsia="Times New Roman" w:cs="Times New Roman"/>
          <w:spacing w:val="-5"/>
          <w:sz w:val="24"/>
          <w:szCs w:val="24"/>
        </w:rPr>
        <w:t>8m</w:t>
      </w:r>
      <w:r>
        <w:rPr>
          <w:rFonts w:ascii="宋体" w:hAnsi="宋体" w:eastAsia="宋体" w:cs="宋体"/>
          <w:spacing w:val="-5"/>
          <w:sz w:val="24"/>
          <w:szCs w:val="24"/>
        </w:rPr>
        <w:t>，</w:t>
      </w:r>
      <w:r>
        <w:rPr>
          <w:rFonts w:ascii="Times New Roman" w:hAnsi="Times New Roman" w:eastAsia="Times New Roman" w:cs="Times New Roman"/>
          <w:spacing w:val="-5"/>
          <w:sz w:val="24"/>
          <w:szCs w:val="24"/>
        </w:rPr>
        <w:t>DE</w:t>
      </w:r>
      <w:r>
        <w:rPr>
          <w:rFonts w:ascii="Times New Roman" w:hAnsi="Times New Roman" w:eastAsia="Times New Roman" w:cs="Times New Roman"/>
          <w:spacing w:val="33"/>
          <w:sz w:val="24"/>
          <w:szCs w:val="24"/>
        </w:rPr>
        <w:t xml:space="preserve"> </w:t>
      </w:r>
      <w:r>
        <w:rPr>
          <w:rFonts w:ascii="宋体" w:hAnsi="宋体" w:eastAsia="宋体" w:cs="宋体"/>
          <w:spacing w:val="-5"/>
          <w:sz w:val="24"/>
          <w:szCs w:val="24"/>
        </w:rPr>
        <w:t>回线路双回垂直段（单边挂线）导线最低对地距离不小于</w:t>
      </w:r>
      <w:r>
        <w:rPr>
          <w:rFonts w:ascii="宋体" w:hAnsi="宋体" w:eastAsia="宋体" w:cs="宋体"/>
          <w:spacing w:val="-50"/>
          <w:sz w:val="24"/>
          <w:szCs w:val="24"/>
        </w:rPr>
        <w:t xml:space="preserve"> </w:t>
      </w:r>
      <w:r>
        <w:rPr>
          <w:rFonts w:ascii="Times New Roman" w:hAnsi="Times New Roman" w:eastAsia="Times New Roman" w:cs="Times New Roman"/>
          <w:spacing w:val="-6"/>
          <w:sz w:val="24"/>
          <w:szCs w:val="24"/>
        </w:rPr>
        <w:t>7.5m</w:t>
      </w:r>
      <w:r>
        <w:rPr>
          <w:rFonts w:ascii="宋体" w:hAnsi="宋体" w:eastAsia="宋体" w:cs="宋体"/>
          <w:spacing w:val="-6"/>
          <w:sz w:val="24"/>
          <w:szCs w:val="24"/>
        </w:rPr>
        <w:t>，以保证</w:t>
      </w:r>
      <w:r>
        <w:rPr>
          <w:rFonts w:ascii="宋体" w:hAnsi="宋体" w:eastAsia="宋体" w:cs="宋体"/>
          <w:spacing w:val="-4"/>
          <w:sz w:val="24"/>
          <w:szCs w:val="24"/>
        </w:rPr>
        <w:t>居民区电磁场强度达标。</w:t>
      </w:r>
    </w:p>
    <w:p w14:paraId="5D766067">
      <w:pPr>
        <w:spacing w:before="23" w:line="234" w:lineRule="auto"/>
        <w:ind w:left="500"/>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2</w:t>
      </w:r>
      <w:r>
        <w:rPr>
          <w:rFonts w:ascii="宋体" w:hAnsi="宋体" w:eastAsia="宋体" w:cs="宋体"/>
          <w:b/>
          <w:bCs/>
          <w:spacing w:val="-4"/>
          <w:sz w:val="24"/>
          <w:szCs w:val="24"/>
        </w:rPr>
        <w:t>）运行期措施</w:t>
      </w:r>
    </w:p>
    <w:p w14:paraId="633901AB">
      <w:pPr>
        <w:spacing w:before="163" w:line="352" w:lineRule="auto"/>
        <w:ind w:left="24" w:right="14" w:firstLine="486"/>
        <w:rPr>
          <w:rFonts w:ascii="宋体" w:hAnsi="宋体" w:eastAsia="宋体" w:cs="宋体"/>
          <w:sz w:val="24"/>
          <w:szCs w:val="24"/>
        </w:rPr>
      </w:pPr>
      <w:r>
        <w:rPr>
          <w:rFonts w:ascii="Times New Roman" w:hAnsi="Times New Roman" w:eastAsia="Times New Roman" w:cs="Times New Roman"/>
          <w:spacing w:val="-6"/>
          <w:sz w:val="24"/>
          <w:szCs w:val="24"/>
        </w:rPr>
        <w:t>1</w:t>
      </w:r>
      <w:r>
        <w:rPr>
          <w:rFonts w:ascii="宋体" w:hAnsi="宋体" w:eastAsia="宋体" w:cs="宋体"/>
          <w:spacing w:val="-6"/>
          <w:sz w:val="24"/>
          <w:szCs w:val="24"/>
        </w:rPr>
        <w:t>）运行期对输电线路和塔基进行定期巡查和检修，保障正常运行，防止由于运行故</w:t>
      </w:r>
      <w:r>
        <w:rPr>
          <w:rFonts w:ascii="宋体" w:hAnsi="宋体" w:eastAsia="宋体" w:cs="宋体"/>
          <w:spacing w:val="-5"/>
          <w:sz w:val="24"/>
          <w:szCs w:val="24"/>
        </w:rPr>
        <w:t>障产生的电磁环境影响。</w:t>
      </w:r>
    </w:p>
    <w:p w14:paraId="772495A9">
      <w:pPr>
        <w:spacing w:before="20" w:line="352" w:lineRule="auto"/>
        <w:ind w:left="9" w:right="2" w:firstLine="477"/>
        <w:rPr>
          <w:rFonts w:ascii="宋体" w:hAnsi="宋体" w:eastAsia="宋体" w:cs="宋体"/>
          <w:sz w:val="24"/>
          <w:szCs w:val="24"/>
        </w:rPr>
      </w:pPr>
      <w:r>
        <w:rPr>
          <w:rFonts w:ascii="Times New Roman" w:hAnsi="Times New Roman" w:eastAsia="Times New Roman" w:cs="Times New Roman"/>
          <w:spacing w:val="-5"/>
          <w:sz w:val="24"/>
          <w:szCs w:val="24"/>
        </w:rPr>
        <w:t>2</w:t>
      </w:r>
      <w:r>
        <w:rPr>
          <w:rFonts w:ascii="宋体" w:hAnsi="宋体" w:eastAsia="宋体" w:cs="宋体"/>
          <w:spacing w:val="-5"/>
          <w:sz w:val="24"/>
          <w:szCs w:val="24"/>
        </w:rPr>
        <w:t>）在电力设施重点保护区设立相应的警示标志，并做好警示宣传工作，醒目位置设</w:t>
      </w:r>
      <w:r>
        <w:rPr>
          <w:rFonts w:ascii="宋体" w:hAnsi="宋体" w:eastAsia="宋体" w:cs="宋体"/>
          <w:spacing w:val="-1"/>
          <w:sz w:val="24"/>
          <w:szCs w:val="24"/>
        </w:rPr>
        <w:t>置安全警示图文标志，标明严禁攀登、线下高位操作应有防护措施等安</w:t>
      </w:r>
      <w:r>
        <w:rPr>
          <w:rFonts w:ascii="宋体" w:hAnsi="宋体" w:eastAsia="宋体" w:cs="宋体"/>
          <w:spacing w:val="-2"/>
          <w:sz w:val="24"/>
          <w:szCs w:val="24"/>
        </w:rPr>
        <w:t>全注意事项。</w:t>
      </w:r>
    </w:p>
    <w:p w14:paraId="6713DDAA">
      <w:pPr>
        <w:spacing w:before="24" w:line="354" w:lineRule="auto"/>
        <w:ind w:left="7" w:right="1" w:firstLine="484"/>
        <w:rPr>
          <w:rFonts w:ascii="宋体" w:hAnsi="宋体" w:eastAsia="宋体" w:cs="宋体"/>
          <w:sz w:val="24"/>
          <w:szCs w:val="24"/>
        </w:rPr>
      </w:pPr>
      <w:r>
        <w:rPr>
          <w:rFonts w:ascii="Times New Roman" w:hAnsi="Times New Roman" w:eastAsia="Times New Roman" w:cs="Times New Roman"/>
          <w:spacing w:val="-15"/>
          <w:sz w:val="24"/>
          <w:szCs w:val="24"/>
        </w:rPr>
        <w:t>3</w:t>
      </w:r>
      <w:r>
        <w:rPr>
          <w:rFonts w:ascii="宋体" w:hAnsi="宋体" w:eastAsia="宋体" w:cs="宋体"/>
          <w:spacing w:val="-15"/>
          <w:sz w:val="24"/>
          <w:szCs w:val="24"/>
        </w:rPr>
        <w:t>）开</w:t>
      </w:r>
      <w:r>
        <w:rPr>
          <w:rFonts w:ascii="宋体" w:hAnsi="宋体" w:eastAsia="宋体" w:cs="宋体"/>
          <w:spacing w:val="-14"/>
          <w:sz w:val="24"/>
          <w:szCs w:val="24"/>
        </w:rPr>
        <w:t>展电磁环境监测，确保工频电场、工频磁场满足《电磁环境控制限值》（</w:t>
      </w:r>
      <w:r>
        <w:rPr>
          <w:rFonts w:ascii="Times New Roman" w:hAnsi="Times New Roman" w:eastAsia="Times New Roman" w:cs="Times New Roman"/>
          <w:spacing w:val="-14"/>
          <w:sz w:val="24"/>
          <w:szCs w:val="24"/>
        </w:rPr>
        <w:t>GB870</w:t>
      </w:r>
      <w:r>
        <w:rPr>
          <w:rFonts w:ascii="Times New Roman" w:hAnsi="Times New Roman" w:eastAsia="Times New Roman" w:cs="Times New Roman"/>
          <w:spacing w:val="-15"/>
          <w:sz w:val="24"/>
          <w:szCs w:val="24"/>
        </w:rPr>
        <w:t>2</w:t>
      </w:r>
      <w:r>
        <w:rPr>
          <w:rFonts w:ascii="Times New Roman" w:hAnsi="Times New Roman" w:eastAsia="Times New Roman" w:cs="Times New Roman"/>
          <w:spacing w:val="-12"/>
          <w:sz w:val="24"/>
          <w:szCs w:val="24"/>
        </w:rPr>
        <w:t>-</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1"/>
          <w:sz w:val="24"/>
          <w:szCs w:val="24"/>
        </w:rPr>
        <w:t>2014</w:t>
      </w:r>
      <w:r>
        <w:rPr>
          <w:rFonts w:ascii="宋体" w:hAnsi="宋体" w:eastAsia="宋体" w:cs="宋体"/>
          <w:spacing w:val="-1"/>
          <w:sz w:val="24"/>
          <w:szCs w:val="24"/>
        </w:rPr>
        <w:t>）标准限值的要求；开展电磁环境影响的环</w:t>
      </w:r>
      <w:r>
        <w:rPr>
          <w:rFonts w:ascii="宋体" w:hAnsi="宋体" w:eastAsia="宋体" w:cs="宋体"/>
          <w:spacing w:val="-2"/>
          <w:sz w:val="24"/>
          <w:szCs w:val="24"/>
        </w:rPr>
        <w:t>境保护宣传工作，使公众科学认识工频</w:t>
      </w:r>
      <w:r>
        <w:rPr>
          <w:rFonts w:ascii="宋体" w:hAnsi="宋体" w:eastAsia="宋体" w:cs="宋体"/>
          <w:spacing w:val="-4"/>
          <w:sz w:val="24"/>
          <w:szCs w:val="24"/>
        </w:rPr>
        <w:t>电磁场的环境影响。</w:t>
      </w:r>
    </w:p>
    <w:p w14:paraId="264F0F78">
      <w:pPr>
        <w:spacing w:before="77" w:line="235" w:lineRule="auto"/>
        <w:ind w:left="11"/>
        <w:rPr>
          <w:rFonts w:ascii="宋体" w:hAnsi="宋体" w:eastAsia="宋体" w:cs="宋体"/>
          <w:sz w:val="28"/>
          <w:szCs w:val="28"/>
        </w:rPr>
      </w:pPr>
      <w:bookmarkStart w:id="29" w:name="bookmark35"/>
      <w:bookmarkEnd w:id="29"/>
      <w:r>
        <w:rPr>
          <w:rFonts w:ascii="Times New Roman" w:hAnsi="Times New Roman" w:eastAsia="Times New Roman" w:cs="Times New Roman"/>
          <w:b/>
          <w:bCs/>
          <w:spacing w:val="-7"/>
          <w:sz w:val="28"/>
          <w:szCs w:val="28"/>
        </w:rPr>
        <w:t>5.2</w:t>
      </w:r>
      <w:r>
        <w:rPr>
          <w:rFonts w:ascii="Times New Roman" w:hAnsi="Times New Roman" w:eastAsia="Times New Roman" w:cs="Times New Roman"/>
          <w:b/>
          <w:bCs/>
          <w:spacing w:val="51"/>
          <w:sz w:val="28"/>
          <w:szCs w:val="28"/>
        </w:rPr>
        <w:t xml:space="preserve"> </w:t>
      </w:r>
      <w:r>
        <w:rPr>
          <w:rFonts w:ascii="宋体" w:hAnsi="宋体" w:eastAsia="宋体" w:cs="宋体"/>
          <w:b/>
          <w:bCs/>
          <w:spacing w:val="-7"/>
          <w:sz w:val="28"/>
          <w:szCs w:val="28"/>
        </w:rPr>
        <w:t>电磁环境监测计划</w:t>
      </w:r>
    </w:p>
    <w:p w14:paraId="44EB972E">
      <w:pPr>
        <w:spacing w:before="211" w:line="348" w:lineRule="auto"/>
        <w:ind w:left="12" w:right="2" w:firstLine="479"/>
        <w:jc w:val="both"/>
        <w:rPr>
          <w:rFonts w:ascii="宋体" w:hAnsi="宋体" w:eastAsia="宋体" w:cs="宋体"/>
          <w:sz w:val="24"/>
          <w:szCs w:val="24"/>
        </w:rPr>
      </w:pPr>
      <w:r>
        <w:rPr>
          <w:rFonts w:ascii="宋体" w:hAnsi="宋体" w:eastAsia="宋体" w:cs="宋体"/>
          <w:spacing w:val="-2"/>
          <w:sz w:val="24"/>
          <w:szCs w:val="24"/>
        </w:rPr>
        <w:t>根据项目的环境影响和环境管理要求，制定环境监测计划，环境监测计划的职责主</w:t>
      </w:r>
      <w:r>
        <w:rPr>
          <w:rFonts w:ascii="宋体" w:hAnsi="宋体" w:eastAsia="宋体" w:cs="宋体"/>
          <w:spacing w:val="-6"/>
          <w:sz w:val="24"/>
          <w:szCs w:val="24"/>
        </w:rPr>
        <w:t>要是测试、收集环境状况基本资料，整理、统计分析监测结果，</w:t>
      </w:r>
      <w:r>
        <w:rPr>
          <w:rFonts w:ascii="宋体" w:hAnsi="宋体" w:eastAsia="宋体" w:cs="宋体"/>
          <w:spacing w:val="53"/>
          <w:sz w:val="24"/>
          <w:szCs w:val="24"/>
        </w:rPr>
        <w:t xml:space="preserve"> </w:t>
      </w:r>
      <w:r>
        <w:rPr>
          <w:rFonts w:ascii="宋体" w:hAnsi="宋体" w:eastAsia="宋体" w:cs="宋体"/>
          <w:spacing w:val="-6"/>
          <w:sz w:val="24"/>
          <w:szCs w:val="24"/>
        </w:rPr>
        <w:t>上报本工程所</w:t>
      </w:r>
      <w:r>
        <w:rPr>
          <w:rFonts w:ascii="宋体" w:hAnsi="宋体" w:eastAsia="宋体" w:cs="宋体"/>
          <w:spacing w:val="-7"/>
          <w:sz w:val="24"/>
          <w:szCs w:val="24"/>
        </w:rPr>
        <w:t>在的县级</w:t>
      </w:r>
      <w:r>
        <w:rPr>
          <w:rFonts w:ascii="宋体" w:hAnsi="宋体" w:eastAsia="宋体" w:cs="宋体"/>
          <w:spacing w:val="-2"/>
          <w:sz w:val="24"/>
          <w:szCs w:val="24"/>
        </w:rPr>
        <w:t>至州级生态环境行政主管部门。由建设单位委托有资质的环境监测单位进行监测，具体的环境监测计划见表</w:t>
      </w:r>
      <w:r>
        <w:rPr>
          <w:rFonts w:ascii="宋体" w:hAnsi="宋体" w:eastAsia="宋体" w:cs="宋体"/>
          <w:spacing w:val="-46"/>
          <w:sz w:val="24"/>
          <w:szCs w:val="24"/>
        </w:rPr>
        <w:t xml:space="preserve"> </w:t>
      </w:r>
      <w:r>
        <w:rPr>
          <w:rFonts w:ascii="Times New Roman" w:hAnsi="Times New Roman" w:eastAsia="Times New Roman" w:cs="Times New Roman"/>
          <w:spacing w:val="-2"/>
          <w:sz w:val="24"/>
          <w:szCs w:val="24"/>
        </w:rPr>
        <w:t>5-1</w:t>
      </w:r>
      <w:r>
        <w:rPr>
          <w:rFonts w:ascii="宋体" w:hAnsi="宋体" w:eastAsia="宋体" w:cs="宋体"/>
          <w:spacing w:val="-2"/>
          <w:sz w:val="24"/>
          <w:szCs w:val="24"/>
        </w:rPr>
        <w:t>。</w:t>
      </w:r>
    </w:p>
    <w:p w14:paraId="47E047BD">
      <w:pPr>
        <w:spacing w:line="229" w:lineRule="auto"/>
        <w:ind w:left="3007"/>
        <w:rPr>
          <w:rFonts w:ascii="宋体" w:hAnsi="宋体" w:eastAsia="宋体" w:cs="宋体"/>
          <w:sz w:val="21"/>
          <w:szCs w:val="21"/>
        </w:rPr>
      </w:pPr>
      <w:r>
        <w:rPr>
          <w:rFonts w:ascii="宋体" w:hAnsi="宋体" w:eastAsia="宋体" w:cs="宋体"/>
          <w:b/>
          <w:bCs/>
          <w:spacing w:val="-5"/>
          <w:sz w:val="21"/>
          <w:szCs w:val="21"/>
        </w:rPr>
        <w:t>表</w:t>
      </w:r>
      <w:r>
        <w:rPr>
          <w:rFonts w:ascii="宋体" w:hAnsi="宋体" w:eastAsia="宋体" w:cs="宋体"/>
          <w:spacing w:val="-33"/>
          <w:sz w:val="21"/>
          <w:szCs w:val="21"/>
        </w:rPr>
        <w:t xml:space="preserve"> </w:t>
      </w:r>
      <w:r>
        <w:rPr>
          <w:rFonts w:ascii="Times New Roman" w:hAnsi="Times New Roman" w:eastAsia="Times New Roman" w:cs="Times New Roman"/>
          <w:b/>
          <w:bCs/>
          <w:spacing w:val="-5"/>
          <w:sz w:val="21"/>
          <w:szCs w:val="21"/>
        </w:rPr>
        <w:t>5-1</w:t>
      </w:r>
      <w:r>
        <w:rPr>
          <w:rFonts w:ascii="Times New Roman" w:hAnsi="Times New Roman" w:eastAsia="Times New Roman" w:cs="Times New Roman"/>
          <w:b/>
          <w:bCs/>
          <w:spacing w:val="8"/>
          <w:sz w:val="21"/>
          <w:szCs w:val="21"/>
        </w:rPr>
        <w:t xml:space="preserve">    </w:t>
      </w:r>
      <w:r>
        <w:rPr>
          <w:rFonts w:ascii="宋体" w:hAnsi="宋体" w:eastAsia="宋体" w:cs="宋体"/>
          <w:b/>
          <w:bCs/>
          <w:spacing w:val="-5"/>
          <w:sz w:val="21"/>
          <w:szCs w:val="21"/>
        </w:rPr>
        <w:t>电磁监测计划及监测内容</w:t>
      </w: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1"/>
        <w:gridCol w:w="1193"/>
        <w:gridCol w:w="4393"/>
        <w:gridCol w:w="1417"/>
        <w:gridCol w:w="1279"/>
      </w:tblGrid>
      <w:tr w14:paraId="0E3172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791" w:type="dxa"/>
            <w:vAlign w:val="top"/>
          </w:tcPr>
          <w:p w14:paraId="45E65AB5">
            <w:pPr>
              <w:pStyle w:val="6"/>
              <w:spacing w:before="55" w:line="221" w:lineRule="auto"/>
              <w:ind w:left="189"/>
            </w:pPr>
            <w:r>
              <w:rPr>
                <w:b/>
                <w:bCs/>
                <w:spacing w:val="-4"/>
              </w:rPr>
              <w:t>对象</w:t>
            </w:r>
          </w:p>
        </w:tc>
        <w:tc>
          <w:tcPr>
            <w:tcW w:w="1193" w:type="dxa"/>
            <w:vAlign w:val="top"/>
          </w:tcPr>
          <w:p w14:paraId="5D460109">
            <w:pPr>
              <w:pStyle w:val="6"/>
              <w:spacing w:before="56" w:line="221" w:lineRule="auto"/>
              <w:ind w:left="180"/>
            </w:pPr>
            <w:r>
              <w:rPr>
                <w:b/>
                <w:bCs/>
                <w:spacing w:val="-4"/>
              </w:rPr>
              <w:t>监测因子</w:t>
            </w:r>
          </w:p>
        </w:tc>
        <w:tc>
          <w:tcPr>
            <w:tcW w:w="4393" w:type="dxa"/>
            <w:vAlign w:val="top"/>
          </w:tcPr>
          <w:p w14:paraId="556E794F">
            <w:pPr>
              <w:pStyle w:val="6"/>
              <w:spacing w:before="55" w:line="222" w:lineRule="auto"/>
              <w:ind w:left="1781"/>
            </w:pPr>
            <w:r>
              <w:rPr>
                <w:b/>
                <w:bCs/>
                <w:spacing w:val="-4"/>
              </w:rPr>
              <w:t>监测点位</w:t>
            </w:r>
          </w:p>
        </w:tc>
        <w:tc>
          <w:tcPr>
            <w:tcW w:w="1417" w:type="dxa"/>
            <w:vAlign w:val="top"/>
          </w:tcPr>
          <w:p w14:paraId="6D4B83EE">
            <w:pPr>
              <w:pStyle w:val="6"/>
              <w:spacing w:before="55" w:line="221" w:lineRule="auto"/>
              <w:ind w:left="293"/>
            </w:pPr>
            <w:r>
              <w:rPr>
                <w:b/>
                <w:bCs/>
                <w:spacing w:val="-4"/>
              </w:rPr>
              <w:t>监测频次</w:t>
            </w:r>
          </w:p>
        </w:tc>
        <w:tc>
          <w:tcPr>
            <w:tcW w:w="1279" w:type="dxa"/>
            <w:vAlign w:val="top"/>
          </w:tcPr>
          <w:p w14:paraId="7651B69A">
            <w:pPr>
              <w:pStyle w:val="6"/>
              <w:spacing w:before="55" w:line="222" w:lineRule="auto"/>
              <w:ind w:left="222"/>
            </w:pPr>
            <w:r>
              <w:rPr>
                <w:b/>
                <w:bCs/>
                <w:spacing w:val="-4"/>
              </w:rPr>
              <w:t>监测方法</w:t>
            </w:r>
          </w:p>
        </w:tc>
      </w:tr>
      <w:tr w14:paraId="5A49C6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6" w:hRule="atLeast"/>
        </w:trPr>
        <w:tc>
          <w:tcPr>
            <w:tcW w:w="791" w:type="dxa"/>
            <w:vAlign w:val="top"/>
          </w:tcPr>
          <w:p w14:paraId="1D057AE9">
            <w:pPr>
              <w:spacing w:line="296" w:lineRule="auto"/>
              <w:rPr>
                <w:rFonts w:ascii="Arial"/>
                <w:sz w:val="21"/>
              </w:rPr>
            </w:pPr>
          </w:p>
          <w:p w14:paraId="6E70A097">
            <w:pPr>
              <w:pStyle w:val="6"/>
              <w:spacing w:before="68" w:line="277" w:lineRule="auto"/>
              <w:ind w:left="192" w:right="181"/>
            </w:pPr>
            <w:r>
              <w:rPr>
                <w:spacing w:val="-5"/>
              </w:rPr>
              <w:t>线路工程</w:t>
            </w:r>
          </w:p>
        </w:tc>
        <w:tc>
          <w:tcPr>
            <w:tcW w:w="1193" w:type="dxa"/>
            <w:vAlign w:val="top"/>
          </w:tcPr>
          <w:p w14:paraId="5672C2EF">
            <w:pPr>
              <w:pStyle w:val="6"/>
              <w:spacing w:before="55" w:line="221" w:lineRule="auto"/>
              <w:ind w:left="181"/>
            </w:pPr>
            <w:r>
              <w:rPr>
                <w:spacing w:val="-2"/>
              </w:rPr>
              <w:t>工频电场</w:t>
            </w:r>
          </w:p>
          <w:p w14:paraId="5331EFC1">
            <w:pPr>
              <w:pStyle w:val="6"/>
              <w:spacing w:before="60" w:line="221" w:lineRule="auto"/>
              <w:ind w:left="184"/>
            </w:pPr>
            <w:r>
              <w:rPr>
                <w:spacing w:val="-3"/>
              </w:rPr>
              <w:t>强度、工</w:t>
            </w:r>
          </w:p>
          <w:p w14:paraId="4C4BA50D">
            <w:pPr>
              <w:pStyle w:val="6"/>
              <w:spacing w:before="60" w:line="249" w:lineRule="auto"/>
              <w:ind w:left="395" w:right="174" w:hanging="215"/>
            </w:pPr>
            <w:r>
              <w:rPr>
                <w:spacing w:val="-2"/>
              </w:rPr>
              <w:t>频磁感应</w:t>
            </w:r>
            <w:r>
              <w:rPr>
                <w:spacing w:val="-3"/>
              </w:rPr>
              <w:t>强度</w:t>
            </w:r>
          </w:p>
        </w:tc>
        <w:tc>
          <w:tcPr>
            <w:tcW w:w="4393" w:type="dxa"/>
            <w:vAlign w:val="top"/>
          </w:tcPr>
          <w:p w14:paraId="00352127">
            <w:pPr>
              <w:pStyle w:val="6"/>
              <w:spacing w:before="55" w:line="232" w:lineRule="auto"/>
              <w:ind w:left="111"/>
            </w:pPr>
            <w:r>
              <w:rPr>
                <w:spacing w:val="-2"/>
              </w:rPr>
              <w:t>①边导线</w:t>
            </w:r>
            <w:r>
              <w:rPr>
                <w:spacing w:val="-42"/>
              </w:rPr>
              <w:t xml:space="preserve"> </w:t>
            </w:r>
            <w:r>
              <w:rPr>
                <w:rFonts w:ascii="Times New Roman" w:hAnsi="Times New Roman" w:eastAsia="Times New Roman" w:cs="Times New Roman"/>
                <w:spacing w:val="-2"/>
              </w:rPr>
              <w:t xml:space="preserve">40m </w:t>
            </w:r>
            <w:r>
              <w:rPr>
                <w:spacing w:val="-2"/>
              </w:rPr>
              <w:t>范围内的环境保护目标处；</w:t>
            </w:r>
          </w:p>
          <w:p w14:paraId="35593BEF">
            <w:pPr>
              <w:pStyle w:val="6"/>
              <w:spacing w:before="46" w:line="258" w:lineRule="auto"/>
              <w:ind w:left="110" w:right="102"/>
            </w:pPr>
            <w:r>
              <w:rPr>
                <w:spacing w:val="-2"/>
              </w:rPr>
              <w:t xml:space="preserve">②线路断面监测：每种架设形式的线路各设 </w:t>
            </w:r>
            <w:r>
              <w:rPr>
                <w:rFonts w:ascii="Times New Roman" w:hAnsi="Times New Roman" w:eastAsia="Times New Roman" w:cs="Times New Roman"/>
                <w:spacing w:val="-2"/>
              </w:rPr>
              <w:t>1</w:t>
            </w:r>
            <w:r>
              <w:rPr>
                <w:spacing w:val="-2"/>
              </w:rPr>
              <w:t>处断面进行监测。布置在线路导线距地高度最低处，线路中心的地面投影点为测试起点，垂</w:t>
            </w:r>
          </w:p>
        </w:tc>
        <w:tc>
          <w:tcPr>
            <w:tcW w:w="1417" w:type="dxa"/>
            <w:vAlign w:val="top"/>
          </w:tcPr>
          <w:p w14:paraId="707EA756">
            <w:pPr>
              <w:pStyle w:val="6"/>
              <w:spacing w:before="55" w:line="221" w:lineRule="auto"/>
              <w:ind w:left="190"/>
            </w:pPr>
            <w:r>
              <w:rPr>
                <w:spacing w:val="-2"/>
              </w:rPr>
              <w:t>项目建成后</w:t>
            </w:r>
          </w:p>
          <w:p w14:paraId="4A35ADAC">
            <w:pPr>
              <w:pStyle w:val="6"/>
              <w:spacing w:before="59" w:line="221" w:lineRule="auto"/>
              <w:ind w:left="192"/>
            </w:pPr>
            <w:r>
              <w:rPr>
                <w:spacing w:val="-2"/>
              </w:rPr>
              <w:t>结合竣工环</w:t>
            </w:r>
          </w:p>
          <w:p w14:paraId="11A1731F">
            <w:pPr>
              <w:pStyle w:val="6"/>
              <w:spacing w:before="60" w:line="221" w:lineRule="auto"/>
              <w:ind w:left="187"/>
            </w:pPr>
            <w:r>
              <w:rPr>
                <w:spacing w:val="-2"/>
              </w:rPr>
              <w:t>保验收监测</w:t>
            </w:r>
          </w:p>
          <w:p w14:paraId="3B44CF8B">
            <w:pPr>
              <w:pStyle w:val="6"/>
              <w:spacing w:before="60" w:line="221" w:lineRule="auto"/>
              <w:ind w:left="190"/>
            </w:pPr>
            <w:r>
              <w:rPr>
                <w:spacing w:val="-1"/>
              </w:rPr>
              <w:t>一次，后期</w:t>
            </w:r>
          </w:p>
        </w:tc>
        <w:tc>
          <w:tcPr>
            <w:tcW w:w="1279" w:type="dxa"/>
            <w:vAlign w:val="top"/>
          </w:tcPr>
          <w:p w14:paraId="7CF05F3F">
            <w:pPr>
              <w:pStyle w:val="6"/>
              <w:spacing w:before="54" w:line="221" w:lineRule="auto"/>
              <w:ind w:left="118"/>
            </w:pPr>
            <w:r>
              <w:rPr>
                <w:spacing w:val="-2"/>
              </w:rPr>
              <w:t>按国家标准</w:t>
            </w:r>
          </w:p>
          <w:p w14:paraId="11A22B54">
            <w:pPr>
              <w:pStyle w:val="6"/>
              <w:spacing w:before="61" w:line="221" w:lineRule="auto"/>
              <w:ind w:left="114"/>
            </w:pPr>
            <w:r>
              <w:rPr>
                <w:spacing w:val="-6"/>
              </w:rPr>
              <w:t>进行监测，</w:t>
            </w:r>
          </w:p>
          <w:p w14:paraId="314B5757">
            <w:pPr>
              <w:pStyle w:val="6"/>
              <w:spacing w:before="60" w:line="249" w:lineRule="auto"/>
              <w:ind w:left="221" w:right="180" w:hanging="31"/>
            </w:pPr>
            <w:r>
              <w:rPr>
                <w:spacing w:val="-2"/>
              </w:rPr>
              <w:t>参考表三</w:t>
            </w:r>
            <w:r>
              <w:rPr>
                <w:rFonts w:ascii="Times New Roman" w:hAnsi="Times New Roman" w:eastAsia="Times New Roman" w:cs="Times New Roman"/>
                <w:spacing w:val="-2"/>
              </w:rPr>
              <w:t>-</w:t>
            </w:r>
            <w:r>
              <w:rPr>
                <w:spacing w:val="-1"/>
              </w:rPr>
              <w:t>评价标准</w:t>
            </w:r>
          </w:p>
        </w:tc>
      </w:tr>
    </w:tbl>
    <w:p w14:paraId="61139BCD">
      <w:pPr>
        <w:rPr>
          <w:rFonts w:ascii="Arial"/>
          <w:sz w:val="21"/>
        </w:rPr>
      </w:pPr>
    </w:p>
    <w:p w14:paraId="73866600">
      <w:pPr>
        <w:rPr>
          <w:rFonts w:ascii="Arial" w:hAnsi="Arial" w:eastAsia="Arial" w:cs="Arial"/>
          <w:sz w:val="21"/>
          <w:szCs w:val="21"/>
        </w:rPr>
        <w:sectPr>
          <w:footerReference r:id="rId135" w:type="default"/>
          <w:pgSz w:w="11907" w:h="16841"/>
          <w:pgMar w:top="400" w:right="1411" w:bottom="1126" w:left="1416" w:header="0" w:footer="925" w:gutter="0"/>
          <w:cols w:space="720" w:num="1"/>
        </w:sectPr>
      </w:pPr>
    </w:p>
    <w:p w14:paraId="59C44648">
      <w:pPr>
        <w:spacing w:before="2"/>
      </w:pPr>
    </w:p>
    <w:p w14:paraId="3B294E6A">
      <w:pPr>
        <w:spacing w:before="2"/>
      </w:pPr>
    </w:p>
    <w:p w14:paraId="41EF7E1A">
      <w:pPr>
        <w:spacing w:before="1"/>
      </w:pPr>
    </w:p>
    <w:p w14:paraId="6312E26D">
      <w:pPr>
        <w:spacing w:before="1"/>
      </w:pPr>
    </w:p>
    <w:p w14:paraId="132B55C2">
      <w:pPr>
        <w:spacing w:before="1"/>
      </w:pPr>
    </w:p>
    <w:tbl>
      <w:tblPr>
        <w:tblStyle w:val="5"/>
        <w:tblW w:w="907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91"/>
        <w:gridCol w:w="1193"/>
        <w:gridCol w:w="4393"/>
        <w:gridCol w:w="1417"/>
        <w:gridCol w:w="1279"/>
      </w:tblGrid>
      <w:tr w14:paraId="72FE94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91" w:type="dxa"/>
            <w:vAlign w:val="top"/>
          </w:tcPr>
          <w:p w14:paraId="6EBD196E">
            <w:pPr>
              <w:rPr>
                <w:rFonts w:ascii="Arial"/>
                <w:sz w:val="21"/>
              </w:rPr>
            </w:pPr>
          </w:p>
        </w:tc>
        <w:tc>
          <w:tcPr>
            <w:tcW w:w="1193" w:type="dxa"/>
            <w:vMerge w:val="restart"/>
            <w:tcBorders>
              <w:bottom w:val="nil"/>
            </w:tcBorders>
            <w:vAlign w:val="top"/>
          </w:tcPr>
          <w:p w14:paraId="0F0CD8D0">
            <w:pPr>
              <w:rPr>
                <w:rFonts w:ascii="Arial"/>
                <w:sz w:val="21"/>
              </w:rPr>
            </w:pPr>
          </w:p>
        </w:tc>
        <w:tc>
          <w:tcPr>
            <w:tcW w:w="4393" w:type="dxa"/>
            <w:vAlign w:val="top"/>
          </w:tcPr>
          <w:p w14:paraId="1E77D94E">
            <w:pPr>
              <w:pStyle w:val="6"/>
              <w:spacing w:before="59" w:line="247" w:lineRule="auto"/>
              <w:ind w:left="116" w:right="101" w:hanging="2"/>
            </w:pPr>
            <w:r>
              <w:rPr>
                <w:spacing w:val="-2"/>
              </w:rPr>
              <w:t xml:space="preserve">直于线路方向进行，测点间距 </w:t>
            </w:r>
            <w:r>
              <w:rPr>
                <w:rFonts w:ascii="Times New Roman" w:hAnsi="Times New Roman" w:eastAsia="Times New Roman" w:cs="Times New Roman"/>
                <w:spacing w:val="-2"/>
              </w:rPr>
              <w:t>5m</w:t>
            </w:r>
            <w:r>
              <w:rPr>
                <w:spacing w:val="-2"/>
              </w:rPr>
              <w:t xml:space="preserve">，测至 </w:t>
            </w:r>
            <w:r>
              <w:rPr>
                <w:rFonts w:ascii="Times New Roman" w:hAnsi="Times New Roman" w:eastAsia="Times New Roman" w:cs="Times New Roman"/>
                <w:spacing w:val="-2"/>
              </w:rPr>
              <w:t>50m</w:t>
            </w:r>
            <w:r>
              <w:rPr>
                <w:spacing w:val="-11"/>
              </w:rPr>
              <w:t>处。</w:t>
            </w:r>
          </w:p>
        </w:tc>
        <w:tc>
          <w:tcPr>
            <w:tcW w:w="1417" w:type="dxa"/>
            <w:vMerge w:val="restart"/>
            <w:tcBorders>
              <w:bottom w:val="nil"/>
            </w:tcBorders>
            <w:vAlign w:val="top"/>
          </w:tcPr>
          <w:p w14:paraId="76CB297B">
            <w:pPr>
              <w:pStyle w:val="6"/>
              <w:spacing w:before="58" w:line="275" w:lineRule="auto"/>
              <w:ind w:left="186" w:right="179"/>
              <w:jc w:val="both"/>
            </w:pPr>
            <w:r>
              <w:rPr>
                <w:spacing w:val="-1"/>
              </w:rPr>
              <w:t>针对工程变</w:t>
            </w:r>
            <w:r>
              <w:rPr>
                <w:spacing w:val="-2"/>
              </w:rPr>
              <w:t>化或投诉情况进行监测</w:t>
            </w:r>
          </w:p>
        </w:tc>
        <w:tc>
          <w:tcPr>
            <w:tcW w:w="1279" w:type="dxa"/>
            <w:vMerge w:val="restart"/>
            <w:tcBorders>
              <w:bottom w:val="nil"/>
            </w:tcBorders>
            <w:vAlign w:val="top"/>
          </w:tcPr>
          <w:p w14:paraId="34317625">
            <w:pPr>
              <w:rPr>
                <w:rFonts w:ascii="Arial"/>
                <w:sz w:val="21"/>
              </w:rPr>
            </w:pPr>
          </w:p>
        </w:tc>
      </w:tr>
      <w:tr w14:paraId="0DA8C1E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91" w:type="dxa"/>
            <w:vAlign w:val="top"/>
          </w:tcPr>
          <w:p w14:paraId="1406C543">
            <w:pPr>
              <w:pStyle w:val="6"/>
              <w:spacing w:before="56" w:line="222" w:lineRule="auto"/>
              <w:ind w:left="206"/>
            </w:pPr>
            <w:r>
              <w:rPr>
                <w:spacing w:val="-6"/>
              </w:rPr>
              <w:t>间隔</w:t>
            </w:r>
          </w:p>
          <w:p w14:paraId="62CA18B1">
            <w:pPr>
              <w:pStyle w:val="6"/>
              <w:spacing w:before="59" w:line="221" w:lineRule="auto"/>
              <w:ind w:left="190"/>
            </w:pPr>
            <w:r>
              <w:rPr>
                <w:spacing w:val="-2"/>
              </w:rPr>
              <w:t>扩建</w:t>
            </w:r>
          </w:p>
        </w:tc>
        <w:tc>
          <w:tcPr>
            <w:tcW w:w="1193" w:type="dxa"/>
            <w:vMerge w:val="continue"/>
            <w:tcBorders>
              <w:top w:val="nil"/>
            </w:tcBorders>
            <w:vAlign w:val="top"/>
          </w:tcPr>
          <w:p w14:paraId="433CAE8D">
            <w:pPr>
              <w:rPr>
                <w:rFonts w:ascii="Arial"/>
                <w:sz w:val="21"/>
              </w:rPr>
            </w:pPr>
          </w:p>
        </w:tc>
        <w:tc>
          <w:tcPr>
            <w:tcW w:w="4393" w:type="dxa"/>
            <w:vAlign w:val="top"/>
          </w:tcPr>
          <w:p w14:paraId="7A549A69">
            <w:pPr>
              <w:pStyle w:val="6"/>
              <w:spacing w:before="211" w:line="221" w:lineRule="auto"/>
              <w:ind w:left="114"/>
            </w:pPr>
            <w:r>
              <w:rPr>
                <w:spacing w:val="-1"/>
              </w:rPr>
              <w:t>按变电站原环评及批复的要求执行</w:t>
            </w:r>
          </w:p>
        </w:tc>
        <w:tc>
          <w:tcPr>
            <w:tcW w:w="1417" w:type="dxa"/>
            <w:vMerge w:val="continue"/>
            <w:tcBorders>
              <w:top w:val="nil"/>
            </w:tcBorders>
            <w:vAlign w:val="top"/>
          </w:tcPr>
          <w:p w14:paraId="034CB214">
            <w:pPr>
              <w:rPr>
                <w:rFonts w:ascii="Arial"/>
                <w:sz w:val="21"/>
              </w:rPr>
            </w:pPr>
          </w:p>
        </w:tc>
        <w:tc>
          <w:tcPr>
            <w:tcW w:w="1279" w:type="dxa"/>
            <w:vMerge w:val="continue"/>
            <w:tcBorders>
              <w:top w:val="nil"/>
            </w:tcBorders>
            <w:vAlign w:val="top"/>
          </w:tcPr>
          <w:p w14:paraId="20A1DFC5">
            <w:pPr>
              <w:rPr>
                <w:rFonts w:ascii="Arial"/>
                <w:sz w:val="21"/>
              </w:rPr>
            </w:pPr>
          </w:p>
        </w:tc>
      </w:tr>
    </w:tbl>
    <w:p w14:paraId="1CF1529A">
      <w:pPr>
        <w:rPr>
          <w:rFonts w:ascii="Arial"/>
          <w:sz w:val="21"/>
        </w:rPr>
      </w:pPr>
    </w:p>
    <w:p w14:paraId="456E99AE">
      <w:pPr>
        <w:rPr>
          <w:rFonts w:ascii="Arial" w:hAnsi="Arial" w:eastAsia="Arial" w:cs="Arial"/>
          <w:sz w:val="21"/>
          <w:szCs w:val="21"/>
        </w:rPr>
        <w:sectPr>
          <w:footerReference r:id="rId136" w:type="default"/>
          <w:pgSz w:w="11907" w:h="16841"/>
          <w:pgMar w:top="400" w:right="1411" w:bottom="1126" w:left="1416" w:header="0" w:footer="925" w:gutter="0"/>
          <w:cols w:space="720" w:num="1"/>
        </w:sectPr>
      </w:pPr>
    </w:p>
    <w:p w14:paraId="3E7E05F6">
      <w:pPr>
        <w:spacing w:line="252" w:lineRule="auto"/>
        <w:rPr>
          <w:rFonts w:ascii="Arial"/>
          <w:sz w:val="21"/>
        </w:rPr>
      </w:pPr>
    </w:p>
    <w:p w14:paraId="197F293C">
      <w:pPr>
        <w:spacing w:line="252" w:lineRule="auto"/>
        <w:rPr>
          <w:rFonts w:ascii="Arial"/>
          <w:sz w:val="21"/>
        </w:rPr>
      </w:pPr>
    </w:p>
    <w:p w14:paraId="041BF940">
      <w:pPr>
        <w:spacing w:line="252" w:lineRule="auto"/>
        <w:rPr>
          <w:rFonts w:ascii="Arial"/>
          <w:sz w:val="21"/>
        </w:rPr>
      </w:pPr>
    </w:p>
    <w:p w14:paraId="36901AF1">
      <w:pPr>
        <w:spacing w:line="252" w:lineRule="auto"/>
        <w:rPr>
          <w:rFonts w:ascii="Arial"/>
          <w:sz w:val="21"/>
        </w:rPr>
      </w:pPr>
    </w:p>
    <w:p w14:paraId="3533FB44">
      <w:pPr>
        <w:spacing w:line="252" w:lineRule="auto"/>
        <w:rPr>
          <w:rFonts w:ascii="Arial"/>
          <w:sz w:val="21"/>
        </w:rPr>
      </w:pPr>
    </w:p>
    <w:p w14:paraId="63A30473">
      <w:pPr>
        <w:spacing w:before="100"/>
        <w:ind w:left="2"/>
        <w:rPr>
          <w:rFonts w:ascii="宋体" w:hAnsi="宋体" w:eastAsia="宋体" w:cs="宋体"/>
          <w:sz w:val="31"/>
          <w:szCs w:val="31"/>
        </w:rPr>
      </w:pPr>
      <w:bookmarkStart w:id="30" w:name="bookmark36"/>
      <w:bookmarkEnd w:id="30"/>
      <w:r>
        <w:rPr>
          <w:rFonts w:ascii="Times New Roman" w:hAnsi="Times New Roman" w:eastAsia="Times New Roman" w:cs="Times New Roman"/>
          <w:b/>
          <w:bCs/>
          <w:spacing w:val="3"/>
          <w:sz w:val="31"/>
          <w:szCs w:val="31"/>
        </w:rPr>
        <w:t>6</w:t>
      </w:r>
      <w:r>
        <w:rPr>
          <w:rFonts w:ascii="Times New Roman" w:hAnsi="Times New Roman" w:eastAsia="Times New Roman" w:cs="Times New Roman"/>
          <w:b/>
          <w:bCs/>
          <w:spacing w:val="-33"/>
          <w:sz w:val="31"/>
          <w:szCs w:val="31"/>
        </w:rPr>
        <w:t xml:space="preserve"> </w:t>
      </w:r>
      <w:r>
        <w:rPr>
          <w:rFonts w:ascii="宋体" w:hAnsi="宋体" w:eastAsia="宋体" w:cs="宋体"/>
          <w:b/>
          <w:bCs/>
          <w:spacing w:val="3"/>
          <w:sz w:val="31"/>
          <w:szCs w:val="31"/>
        </w:rPr>
        <w:t>、电磁环境影响分析结论</w:t>
      </w:r>
    </w:p>
    <w:p w14:paraId="20251AF6">
      <w:pPr>
        <w:spacing w:before="186" w:line="357" w:lineRule="auto"/>
        <w:ind w:firstLine="480"/>
        <w:rPr>
          <w:rFonts w:ascii="宋体" w:hAnsi="宋体" w:eastAsia="宋体" w:cs="宋体"/>
          <w:sz w:val="24"/>
          <w:szCs w:val="24"/>
        </w:rPr>
      </w:pPr>
      <w:r>
        <w:rPr>
          <w:rFonts w:ascii="宋体" w:hAnsi="宋体" w:eastAsia="宋体" w:cs="宋体"/>
          <w:spacing w:val="-2"/>
          <w:sz w:val="24"/>
          <w:szCs w:val="24"/>
        </w:rPr>
        <w:t>本项目按当前规模建设，且满足设计及本环评提出的导线最低对地距离，则项目投运后</w:t>
      </w:r>
      <w:r>
        <w:rPr>
          <w:rFonts w:ascii="宋体" w:hAnsi="宋体" w:eastAsia="宋体" w:cs="宋体"/>
          <w:spacing w:val="-33"/>
          <w:sz w:val="24"/>
          <w:szCs w:val="24"/>
        </w:rPr>
        <w:t xml:space="preserve"> </w:t>
      </w:r>
      <w:r>
        <w:rPr>
          <w:rFonts w:ascii="Times New Roman" w:hAnsi="Times New Roman" w:eastAsia="Times New Roman" w:cs="Times New Roman"/>
          <w:spacing w:val="-2"/>
          <w:sz w:val="24"/>
          <w:szCs w:val="24"/>
        </w:rPr>
        <w:t>3</w:t>
      </w:r>
      <w:r>
        <w:rPr>
          <w:rFonts w:ascii="Times New Roman" w:hAnsi="Times New Roman" w:eastAsia="Times New Roman" w:cs="Times New Roman"/>
          <w:spacing w:val="49"/>
          <w:w w:val="101"/>
          <w:sz w:val="24"/>
          <w:szCs w:val="24"/>
        </w:rPr>
        <w:t xml:space="preserve"> </w:t>
      </w:r>
      <w:r>
        <w:rPr>
          <w:rFonts w:ascii="宋体" w:hAnsi="宋体" w:eastAsia="宋体" w:cs="宋体"/>
          <w:spacing w:val="-2"/>
          <w:sz w:val="24"/>
          <w:szCs w:val="24"/>
        </w:rPr>
        <w:t xml:space="preserve">回输电线路评价范围内，距地面 </w:t>
      </w:r>
      <w:r>
        <w:rPr>
          <w:rFonts w:ascii="Times New Roman" w:hAnsi="Times New Roman" w:eastAsia="Times New Roman" w:cs="Times New Roman"/>
          <w:spacing w:val="-2"/>
          <w:sz w:val="24"/>
          <w:szCs w:val="24"/>
        </w:rPr>
        <w:t>1.5m</w:t>
      </w:r>
      <w:r>
        <w:rPr>
          <w:rFonts w:ascii="Times New Roman" w:hAnsi="Times New Roman" w:eastAsia="Times New Roman" w:cs="Times New Roman"/>
          <w:spacing w:val="30"/>
          <w:w w:val="101"/>
          <w:sz w:val="24"/>
          <w:szCs w:val="24"/>
        </w:rPr>
        <w:t xml:space="preserve"> </w:t>
      </w:r>
      <w:r>
        <w:rPr>
          <w:rFonts w:ascii="宋体" w:hAnsi="宋体" w:eastAsia="宋体" w:cs="宋体"/>
          <w:spacing w:val="-3"/>
          <w:sz w:val="24"/>
          <w:szCs w:val="24"/>
        </w:rPr>
        <w:t>高处的工频电场强度、工频磁感应强度、</w:t>
      </w:r>
      <w:r>
        <w:rPr>
          <w:rFonts w:ascii="宋体" w:hAnsi="宋体" w:eastAsia="宋体" w:cs="宋体"/>
          <w:spacing w:val="-5"/>
          <w:sz w:val="24"/>
          <w:szCs w:val="24"/>
        </w:rPr>
        <w:t>均能满足《电磁环境控制限值》（</w:t>
      </w:r>
      <w:r>
        <w:rPr>
          <w:rFonts w:ascii="Times New Roman" w:hAnsi="Times New Roman" w:eastAsia="Times New Roman" w:cs="Times New Roman"/>
          <w:spacing w:val="-5"/>
          <w:sz w:val="24"/>
          <w:szCs w:val="24"/>
        </w:rPr>
        <w:t>GB8702-2014</w:t>
      </w:r>
      <w:r>
        <w:rPr>
          <w:rFonts w:ascii="宋体" w:hAnsi="宋体" w:eastAsia="宋体" w:cs="宋体"/>
          <w:spacing w:val="-5"/>
          <w:sz w:val="24"/>
          <w:szCs w:val="24"/>
        </w:rPr>
        <w:t>）中经过居民区电场强度≤</w:t>
      </w:r>
      <w:r>
        <w:rPr>
          <w:rFonts w:ascii="Times New Roman" w:hAnsi="Times New Roman" w:eastAsia="Times New Roman" w:cs="Times New Roman"/>
          <w:spacing w:val="-5"/>
          <w:sz w:val="24"/>
          <w:szCs w:val="24"/>
        </w:rPr>
        <w:t xml:space="preserve">4kV/m </w:t>
      </w:r>
      <w:r>
        <w:rPr>
          <w:rFonts w:ascii="宋体" w:hAnsi="宋体" w:eastAsia="宋体" w:cs="宋体"/>
          <w:spacing w:val="-5"/>
          <w:sz w:val="24"/>
          <w:szCs w:val="24"/>
        </w:rPr>
        <w:t>和</w:t>
      </w:r>
      <w:r>
        <w:rPr>
          <w:rFonts w:ascii="宋体" w:hAnsi="宋体" w:eastAsia="宋体" w:cs="宋体"/>
          <w:spacing w:val="-6"/>
          <w:sz w:val="24"/>
          <w:szCs w:val="24"/>
        </w:rPr>
        <w:t>磁感</w:t>
      </w:r>
      <w:r>
        <w:rPr>
          <w:rFonts w:ascii="宋体" w:hAnsi="宋体" w:eastAsia="宋体" w:cs="宋体"/>
          <w:sz w:val="24"/>
          <w:szCs w:val="24"/>
        </w:rPr>
        <w:t>应强度≤</w:t>
      </w:r>
      <w:r>
        <w:rPr>
          <w:rFonts w:ascii="Times New Roman" w:hAnsi="Times New Roman" w:eastAsia="Times New Roman" w:cs="Times New Roman"/>
          <w:sz w:val="24"/>
          <w:szCs w:val="24"/>
        </w:rPr>
        <w:t xml:space="preserve">100μT  </w:t>
      </w:r>
      <w:r>
        <w:rPr>
          <w:rFonts w:ascii="宋体" w:hAnsi="宋体" w:eastAsia="宋体" w:cs="宋体"/>
          <w:sz w:val="24"/>
          <w:szCs w:val="24"/>
        </w:rPr>
        <w:t>的公众曝露控制限值要求，经过</w:t>
      </w:r>
      <w:r>
        <w:rPr>
          <w:rFonts w:ascii="宋体" w:hAnsi="宋体" w:eastAsia="宋体" w:cs="宋体"/>
          <w:spacing w:val="-1"/>
          <w:sz w:val="24"/>
          <w:szCs w:val="24"/>
        </w:rPr>
        <w:t>非居民区满足架空线路下耕地、园地、</w:t>
      </w:r>
      <w:r>
        <w:rPr>
          <w:rFonts w:ascii="宋体" w:hAnsi="宋体" w:eastAsia="宋体" w:cs="宋体"/>
          <w:spacing w:val="-7"/>
          <w:sz w:val="24"/>
          <w:szCs w:val="24"/>
        </w:rPr>
        <w:t>牧草地、畜禽饲养地、养殖水面、道路等场所处</w:t>
      </w:r>
      <w:r>
        <w:rPr>
          <w:rFonts w:ascii="宋体" w:hAnsi="宋体" w:eastAsia="宋体" w:cs="宋体"/>
          <w:spacing w:val="-8"/>
          <w:sz w:val="24"/>
          <w:szCs w:val="24"/>
        </w:rPr>
        <w:t>电场强度≤</w:t>
      </w:r>
      <w:r>
        <w:rPr>
          <w:rFonts w:ascii="Times New Roman" w:hAnsi="Times New Roman" w:eastAsia="Times New Roman" w:cs="Times New Roman"/>
          <w:spacing w:val="-8"/>
          <w:sz w:val="24"/>
          <w:szCs w:val="24"/>
        </w:rPr>
        <w:t xml:space="preserve">10kV/m </w:t>
      </w:r>
      <w:r>
        <w:rPr>
          <w:rFonts w:ascii="宋体" w:hAnsi="宋体" w:eastAsia="宋体" w:cs="宋体"/>
          <w:spacing w:val="-8"/>
          <w:sz w:val="24"/>
          <w:szCs w:val="24"/>
        </w:rPr>
        <w:t>和磁感应强度≤</w:t>
      </w:r>
      <w:r>
        <w:rPr>
          <w:rFonts w:ascii="Times New Roman" w:hAnsi="Times New Roman" w:eastAsia="Times New Roman" w:cs="Times New Roman"/>
          <w:spacing w:val="-8"/>
          <w:sz w:val="24"/>
          <w:szCs w:val="24"/>
        </w:rPr>
        <w:t>100μT</w:t>
      </w:r>
      <w:r>
        <w:rPr>
          <w:rFonts w:ascii="宋体" w:hAnsi="宋体" w:eastAsia="宋体" w:cs="宋体"/>
          <w:spacing w:val="-7"/>
          <w:sz w:val="24"/>
          <w:szCs w:val="24"/>
        </w:rPr>
        <w:t>的限值要求。</w:t>
      </w:r>
    </w:p>
    <w:p w14:paraId="38CAAD42">
      <w:pPr>
        <w:spacing w:before="19" w:line="362" w:lineRule="auto"/>
        <w:ind w:right="77" w:firstLine="480"/>
        <w:jc w:val="both"/>
        <w:rPr>
          <w:rFonts w:ascii="宋体" w:hAnsi="宋体" w:eastAsia="宋体" w:cs="宋体"/>
          <w:sz w:val="24"/>
          <w:szCs w:val="24"/>
        </w:rPr>
      </w:pPr>
      <w:r>
        <w:rPr>
          <w:rFonts w:ascii="宋体" w:hAnsi="宋体" w:eastAsia="宋体" w:cs="宋体"/>
          <w:spacing w:val="-2"/>
          <w:sz w:val="24"/>
          <w:szCs w:val="24"/>
        </w:rPr>
        <w:t>扩建间隔不改变原变电站主体规模，不新增电磁源，扩建工程完成后变电站区域电磁环境水平与变电站前期工程建成后的电磁环境水平相当。且能够满足《电磁环</w:t>
      </w:r>
      <w:r>
        <w:rPr>
          <w:rFonts w:ascii="宋体" w:hAnsi="宋体" w:eastAsia="宋体" w:cs="宋体"/>
          <w:spacing w:val="-3"/>
          <w:sz w:val="24"/>
          <w:szCs w:val="24"/>
        </w:rPr>
        <w:t>境控制</w:t>
      </w:r>
      <w:r>
        <w:rPr>
          <w:rFonts w:ascii="宋体" w:hAnsi="宋体" w:eastAsia="宋体" w:cs="宋体"/>
          <w:spacing w:val="-4"/>
          <w:sz w:val="24"/>
          <w:szCs w:val="24"/>
        </w:rPr>
        <w:t>限值》（</w:t>
      </w:r>
      <w:r>
        <w:rPr>
          <w:rFonts w:ascii="Times New Roman" w:hAnsi="Times New Roman" w:eastAsia="Times New Roman" w:cs="Times New Roman"/>
          <w:spacing w:val="-4"/>
          <w:sz w:val="24"/>
          <w:szCs w:val="24"/>
        </w:rPr>
        <w:t>GB8702-2014</w:t>
      </w:r>
      <w:r>
        <w:rPr>
          <w:rFonts w:ascii="宋体" w:hAnsi="宋体" w:eastAsia="宋体" w:cs="宋体"/>
          <w:spacing w:val="-4"/>
          <w:sz w:val="24"/>
          <w:szCs w:val="24"/>
        </w:rPr>
        <w:t>）中电场强度≤</w:t>
      </w:r>
      <w:r>
        <w:rPr>
          <w:rFonts w:ascii="Times New Roman" w:hAnsi="Times New Roman" w:eastAsia="Times New Roman" w:cs="Times New Roman"/>
          <w:spacing w:val="-4"/>
          <w:sz w:val="24"/>
          <w:szCs w:val="24"/>
        </w:rPr>
        <w:t>4kVm</w:t>
      </w:r>
      <w:r>
        <w:rPr>
          <w:rFonts w:ascii="宋体" w:hAnsi="宋体" w:eastAsia="宋体" w:cs="宋体"/>
          <w:spacing w:val="-4"/>
          <w:sz w:val="24"/>
          <w:szCs w:val="24"/>
        </w:rPr>
        <w:t>、磁感应强度≤</w:t>
      </w:r>
      <w:r>
        <w:rPr>
          <w:rFonts w:ascii="Times New Roman" w:hAnsi="Times New Roman" w:eastAsia="Times New Roman" w:cs="Times New Roman"/>
          <w:spacing w:val="-4"/>
          <w:sz w:val="24"/>
          <w:szCs w:val="24"/>
        </w:rPr>
        <w:t>100μT</w:t>
      </w:r>
      <w:r>
        <w:rPr>
          <w:rFonts w:ascii="Times New Roman" w:hAnsi="Times New Roman" w:eastAsia="Times New Roman" w:cs="Times New Roman"/>
          <w:spacing w:val="29"/>
          <w:sz w:val="24"/>
          <w:szCs w:val="24"/>
        </w:rPr>
        <w:t xml:space="preserve"> </w:t>
      </w:r>
      <w:r>
        <w:rPr>
          <w:rFonts w:ascii="宋体" w:hAnsi="宋体" w:eastAsia="宋体" w:cs="宋体"/>
          <w:spacing w:val="-5"/>
          <w:sz w:val="24"/>
          <w:szCs w:val="24"/>
        </w:rPr>
        <w:t>的限值要求。</w:t>
      </w:r>
    </w:p>
    <w:p w14:paraId="59686953">
      <w:pPr>
        <w:spacing w:line="362" w:lineRule="auto"/>
        <w:rPr>
          <w:rFonts w:ascii="宋体" w:hAnsi="宋体" w:eastAsia="宋体" w:cs="宋体"/>
          <w:sz w:val="24"/>
          <w:szCs w:val="24"/>
        </w:rPr>
        <w:sectPr>
          <w:footerReference r:id="rId137" w:type="default"/>
          <w:pgSz w:w="11907" w:h="16841"/>
          <w:pgMar w:top="400" w:right="1338" w:bottom="1126" w:left="1428" w:header="0" w:footer="925" w:gutter="0"/>
          <w:cols w:space="720" w:num="1"/>
        </w:sectPr>
      </w:pPr>
    </w:p>
    <w:p w14:paraId="4A98844A">
      <w:pPr>
        <w:spacing w:line="255" w:lineRule="auto"/>
        <w:rPr>
          <w:rFonts w:ascii="Arial"/>
          <w:sz w:val="21"/>
        </w:rPr>
      </w:pPr>
    </w:p>
    <w:p w14:paraId="6CECF875">
      <w:pPr>
        <w:spacing w:line="255" w:lineRule="auto"/>
        <w:rPr>
          <w:rFonts w:ascii="Arial"/>
          <w:sz w:val="21"/>
        </w:rPr>
      </w:pPr>
    </w:p>
    <w:p w14:paraId="34AECAD0">
      <w:pPr>
        <w:spacing w:line="255" w:lineRule="auto"/>
        <w:rPr>
          <w:rFonts w:ascii="Arial"/>
          <w:sz w:val="21"/>
        </w:rPr>
      </w:pPr>
    </w:p>
    <w:p w14:paraId="777E00C0">
      <w:pPr>
        <w:spacing w:line="256" w:lineRule="auto"/>
        <w:rPr>
          <w:rFonts w:ascii="Arial"/>
          <w:sz w:val="21"/>
        </w:rPr>
      </w:pPr>
    </w:p>
    <w:p w14:paraId="3D54364F">
      <w:pPr>
        <w:spacing w:line="256" w:lineRule="auto"/>
        <w:rPr>
          <w:rFonts w:ascii="Arial"/>
          <w:sz w:val="21"/>
        </w:rPr>
      </w:pPr>
    </w:p>
    <w:p w14:paraId="27FB157A">
      <w:pPr>
        <w:spacing w:line="256" w:lineRule="auto"/>
        <w:rPr>
          <w:rFonts w:ascii="Arial"/>
          <w:sz w:val="21"/>
        </w:rPr>
      </w:pPr>
    </w:p>
    <w:p w14:paraId="6EF0674F">
      <w:pPr>
        <w:spacing w:line="256" w:lineRule="auto"/>
        <w:rPr>
          <w:rFonts w:ascii="Arial"/>
          <w:sz w:val="21"/>
        </w:rPr>
      </w:pPr>
    </w:p>
    <w:p w14:paraId="35A8902D">
      <w:pPr>
        <w:spacing w:line="256" w:lineRule="auto"/>
        <w:rPr>
          <w:rFonts w:ascii="Arial"/>
          <w:sz w:val="21"/>
        </w:rPr>
      </w:pPr>
    </w:p>
    <w:p w14:paraId="787AA3D0">
      <w:pPr>
        <w:spacing w:line="256" w:lineRule="auto"/>
        <w:rPr>
          <w:rFonts w:ascii="Arial"/>
          <w:sz w:val="21"/>
        </w:rPr>
      </w:pPr>
    </w:p>
    <w:p w14:paraId="29E1097C">
      <w:pPr>
        <w:spacing w:line="256" w:lineRule="auto"/>
        <w:rPr>
          <w:rFonts w:ascii="Arial"/>
          <w:sz w:val="21"/>
        </w:rPr>
      </w:pPr>
    </w:p>
    <w:p w14:paraId="2A9991F6">
      <w:pPr>
        <w:spacing w:before="140" w:line="219" w:lineRule="auto"/>
        <w:ind w:left="608"/>
        <w:rPr>
          <w:rFonts w:ascii="仿宋" w:hAnsi="仿宋" w:eastAsia="仿宋" w:cs="仿宋"/>
          <w:sz w:val="43"/>
          <w:szCs w:val="43"/>
        </w:rPr>
      </w:pPr>
      <w:r>
        <w:rPr>
          <w:rFonts w:ascii="仿宋" w:hAnsi="仿宋" w:eastAsia="仿宋" w:cs="仿宋"/>
          <w:b/>
          <w:bCs/>
          <w:spacing w:val="2"/>
          <w:sz w:val="43"/>
          <w:szCs w:val="43"/>
        </w:rPr>
        <w:t>渝昆高铁迤车牵</w:t>
      </w:r>
      <w:r>
        <w:rPr>
          <w:rFonts w:ascii="仿宋" w:hAnsi="仿宋" w:eastAsia="仿宋" w:cs="仿宋"/>
          <w:spacing w:val="-86"/>
          <w:sz w:val="43"/>
          <w:szCs w:val="43"/>
        </w:rPr>
        <w:t xml:space="preserve"> </w:t>
      </w:r>
      <w:r>
        <w:rPr>
          <w:rFonts w:ascii="Times New Roman" w:hAnsi="Times New Roman" w:eastAsia="Times New Roman" w:cs="Times New Roman"/>
          <w:b/>
          <w:bCs/>
          <w:spacing w:val="2"/>
          <w:sz w:val="43"/>
          <w:szCs w:val="43"/>
        </w:rPr>
        <w:t>220</w:t>
      </w:r>
      <w:r>
        <w:rPr>
          <w:rFonts w:ascii="Times New Roman" w:hAnsi="Times New Roman" w:eastAsia="Times New Roman" w:cs="Times New Roman"/>
          <w:b/>
          <w:bCs/>
          <w:sz w:val="43"/>
          <w:szCs w:val="43"/>
        </w:rPr>
        <w:t>kV</w:t>
      </w:r>
      <w:r>
        <w:rPr>
          <w:rFonts w:ascii="Times New Roman" w:hAnsi="Times New Roman" w:eastAsia="Times New Roman" w:cs="Times New Roman"/>
          <w:b/>
          <w:bCs/>
          <w:spacing w:val="38"/>
          <w:sz w:val="43"/>
          <w:szCs w:val="43"/>
        </w:rPr>
        <w:t xml:space="preserve"> </w:t>
      </w:r>
      <w:r>
        <w:rPr>
          <w:rFonts w:ascii="仿宋" w:hAnsi="仿宋" w:eastAsia="仿宋" w:cs="仿宋"/>
          <w:b/>
          <w:bCs/>
          <w:spacing w:val="2"/>
          <w:sz w:val="43"/>
          <w:szCs w:val="43"/>
        </w:rPr>
        <w:t>外部供电工程</w:t>
      </w:r>
    </w:p>
    <w:p w14:paraId="55105653">
      <w:pPr>
        <w:spacing w:line="289" w:lineRule="auto"/>
        <w:rPr>
          <w:rFonts w:ascii="Arial"/>
          <w:sz w:val="21"/>
        </w:rPr>
      </w:pPr>
    </w:p>
    <w:p w14:paraId="0C08A6F9">
      <w:pPr>
        <w:spacing w:line="289" w:lineRule="auto"/>
        <w:rPr>
          <w:rFonts w:ascii="Arial"/>
          <w:sz w:val="21"/>
        </w:rPr>
      </w:pPr>
    </w:p>
    <w:p w14:paraId="34EF7A98">
      <w:pPr>
        <w:spacing w:line="289" w:lineRule="auto"/>
        <w:rPr>
          <w:rFonts w:ascii="Arial"/>
          <w:sz w:val="21"/>
        </w:rPr>
      </w:pPr>
    </w:p>
    <w:p w14:paraId="33490863">
      <w:pPr>
        <w:spacing w:before="156" w:line="218" w:lineRule="auto"/>
        <w:ind w:left="1819"/>
        <w:outlineLvl w:val="0"/>
        <w:rPr>
          <w:rFonts w:ascii="仿宋" w:hAnsi="仿宋" w:eastAsia="仿宋" w:cs="仿宋"/>
          <w:sz w:val="48"/>
          <w:szCs w:val="48"/>
        </w:rPr>
      </w:pPr>
      <w:bookmarkStart w:id="31" w:name="bookmark9"/>
      <w:bookmarkEnd w:id="31"/>
      <w:r>
        <w:rPr>
          <w:rFonts w:ascii="仿宋" w:hAnsi="仿宋" w:eastAsia="仿宋" w:cs="仿宋"/>
          <w:b/>
          <w:bCs/>
          <w:spacing w:val="-10"/>
          <w:sz w:val="48"/>
          <w:szCs w:val="48"/>
        </w:rPr>
        <w:t>生态环境影响专题评价</w:t>
      </w:r>
    </w:p>
    <w:p w14:paraId="1BDD3181">
      <w:pPr>
        <w:spacing w:line="241" w:lineRule="auto"/>
        <w:rPr>
          <w:rFonts w:ascii="Arial"/>
          <w:sz w:val="21"/>
        </w:rPr>
      </w:pPr>
    </w:p>
    <w:p w14:paraId="2AA00776">
      <w:pPr>
        <w:spacing w:line="241" w:lineRule="auto"/>
        <w:rPr>
          <w:rFonts w:ascii="Arial"/>
          <w:sz w:val="21"/>
        </w:rPr>
      </w:pPr>
    </w:p>
    <w:p w14:paraId="73CBB983">
      <w:pPr>
        <w:spacing w:line="241" w:lineRule="auto"/>
        <w:rPr>
          <w:rFonts w:ascii="Arial"/>
          <w:sz w:val="21"/>
        </w:rPr>
      </w:pPr>
    </w:p>
    <w:p w14:paraId="4C909F19">
      <w:pPr>
        <w:spacing w:line="241" w:lineRule="auto"/>
        <w:rPr>
          <w:rFonts w:ascii="Arial"/>
          <w:sz w:val="21"/>
        </w:rPr>
      </w:pPr>
    </w:p>
    <w:p w14:paraId="21C1014A">
      <w:pPr>
        <w:spacing w:line="241" w:lineRule="auto"/>
        <w:rPr>
          <w:rFonts w:ascii="Arial"/>
          <w:sz w:val="21"/>
        </w:rPr>
      </w:pPr>
    </w:p>
    <w:p w14:paraId="70F3E928">
      <w:pPr>
        <w:spacing w:line="241" w:lineRule="auto"/>
        <w:rPr>
          <w:rFonts w:ascii="Arial"/>
          <w:sz w:val="21"/>
        </w:rPr>
      </w:pPr>
    </w:p>
    <w:p w14:paraId="47813559">
      <w:pPr>
        <w:spacing w:line="241" w:lineRule="auto"/>
        <w:rPr>
          <w:rFonts w:ascii="Arial"/>
          <w:sz w:val="21"/>
        </w:rPr>
      </w:pPr>
    </w:p>
    <w:p w14:paraId="28C2B3CD">
      <w:pPr>
        <w:spacing w:line="241" w:lineRule="auto"/>
        <w:rPr>
          <w:rFonts w:ascii="Arial"/>
          <w:sz w:val="21"/>
        </w:rPr>
      </w:pPr>
    </w:p>
    <w:p w14:paraId="19122D9D">
      <w:pPr>
        <w:spacing w:line="241" w:lineRule="auto"/>
        <w:rPr>
          <w:rFonts w:ascii="Arial"/>
          <w:sz w:val="21"/>
        </w:rPr>
      </w:pPr>
    </w:p>
    <w:p w14:paraId="56BF3735">
      <w:pPr>
        <w:spacing w:line="241" w:lineRule="auto"/>
        <w:rPr>
          <w:rFonts w:ascii="Arial"/>
          <w:sz w:val="21"/>
        </w:rPr>
      </w:pPr>
    </w:p>
    <w:p w14:paraId="50C71BFD">
      <w:pPr>
        <w:spacing w:line="241" w:lineRule="auto"/>
        <w:rPr>
          <w:rFonts w:ascii="Arial"/>
          <w:sz w:val="21"/>
        </w:rPr>
      </w:pPr>
    </w:p>
    <w:p w14:paraId="165E77EE">
      <w:pPr>
        <w:spacing w:line="241" w:lineRule="auto"/>
        <w:rPr>
          <w:rFonts w:ascii="Arial"/>
          <w:sz w:val="21"/>
        </w:rPr>
      </w:pPr>
    </w:p>
    <w:p w14:paraId="3503A857">
      <w:pPr>
        <w:spacing w:line="241" w:lineRule="auto"/>
        <w:rPr>
          <w:rFonts w:ascii="Arial"/>
          <w:sz w:val="21"/>
        </w:rPr>
      </w:pPr>
    </w:p>
    <w:p w14:paraId="09A98552">
      <w:pPr>
        <w:spacing w:line="241" w:lineRule="auto"/>
        <w:rPr>
          <w:rFonts w:ascii="Arial"/>
          <w:sz w:val="21"/>
        </w:rPr>
      </w:pPr>
    </w:p>
    <w:p w14:paraId="72FB7EAF">
      <w:pPr>
        <w:spacing w:line="241" w:lineRule="auto"/>
        <w:rPr>
          <w:rFonts w:ascii="Arial"/>
          <w:sz w:val="21"/>
        </w:rPr>
      </w:pPr>
    </w:p>
    <w:p w14:paraId="0ED13BF8">
      <w:pPr>
        <w:spacing w:line="241" w:lineRule="auto"/>
        <w:rPr>
          <w:rFonts w:ascii="Arial"/>
          <w:sz w:val="21"/>
        </w:rPr>
      </w:pPr>
    </w:p>
    <w:p w14:paraId="3954166B">
      <w:pPr>
        <w:spacing w:line="241" w:lineRule="auto"/>
        <w:rPr>
          <w:rFonts w:ascii="Arial"/>
          <w:sz w:val="21"/>
        </w:rPr>
      </w:pPr>
    </w:p>
    <w:p w14:paraId="212B91D3">
      <w:pPr>
        <w:spacing w:line="241" w:lineRule="auto"/>
        <w:rPr>
          <w:rFonts w:ascii="Arial"/>
          <w:sz w:val="21"/>
        </w:rPr>
      </w:pPr>
    </w:p>
    <w:p w14:paraId="096D0545">
      <w:pPr>
        <w:spacing w:line="241" w:lineRule="auto"/>
        <w:rPr>
          <w:rFonts w:ascii="Arial"/>
          <w:sz w:val="21"/>
        </w:rPr>
      </w:pPr>
    </w:p>
    <w:p w14:paraId="480FF3BF">
      <w:pPr>
        <w:spacing w:line="241" w:lineRule="auto"/>
        <w:rPr>
          <w:rFonts w:ascii="Arial"/>
          <w:sz w:val="21"/>
        </w:rPr>
      </w:pPr>
    </w:p>
    <w:p w14:paraId="16D95FFA">
      <w:pPr>
        <w:spacing w:line="241" w:lineRule="auto"/>
        <w:rPr>
          <w:rFonts w:ascii="Arial"/>
          <w:sz w:val="21"/>
        </w:rPr>
      </w:pPr>
    </w:p>
    <w:p w14:paraId="53BF2A3A">
      <w:pPr>
        <w:spacing w:line="241" w:lineRule="auto"/>
        <w:rPr>
          <w:rFonts w:ascii="Arial"/>
          <w:sz w:val="21"/>
        </w:rPr>
      </w:pPr>
    </w:p>
    <w:p w14:paraId="5FBE8AC4">
      <w:pPr>
        <w:spacing w:line="241" w:lineRule="auto"/>
        <w:rPr>
          <w:rFonts w:ascii="Arial"/>
          <w:sz w:val="21"/>
        </w:rPr>
      </w:pPr>
    </w:p>
    <w:p w14:paraId="01AEEF25">
      <w:pPr>
        <w:spacing w:line="241" w:lineRule="auto"/>
        <w:rPr>
          <w:rFonts w:ascii="Arial"/>
          <w:sz w:val="21"/>
        </w:rPr>
      </w:pPr>
    </w:p>
    <w:p w14:paraId="5FCA7867">
      <w:pPr>
        <w:spacing w:line="241" w:lineRule="auto"/>
        <w:rPr>
          <w:rFonts w:ascii="Arial"/>
          <w:sz w:val="21"/>
        </w:rPr>
      </w:pPr>
    </w:p>
    <w:p w14:paraId="6E2551D5">
      <w:pPr>
        <w:spacing w:line="241" w:lineRule="auto"/>
        <w:rPr>
          <w:rFonts w:ascii="Arial"/>
          <w:sz w:val="21"/>
        </w:rPr>
      </w:pPr>
    </w:p>
    <w:p w14:paraId="4AA1FF96">
      <w:pPr>
        <w:spacing w:line="241" w:lineRule="auto"/>
        <w:rPr>
          <w:rFonts w:ascii="Arial"/>
          <w:sz w:val="21"/>
        </w:rPr>
      </w:pPr>
    </w:p>
    <w:p w14:paraId="7D19AA02">
      <w:pPr>
        <w:spacing w:line="241" w:lineRule="auto"/>
        <w:rPr>
          <w:rFonts w:ascii="Arial"/>
          <w:sz w:val="21"/>
        </w:rPr>
      </w:pPr>
    </w:p>
    <w:p w14:paraId="7A53B0FB">
      <w:pPr>
        <w:spacing w:line="241" w:lineRule="auto"/>
        <w:rPr>
          <w:rFonts w:ascii="Arial"/>
          <w:sz w:val="21"/>
        </w:rPr>
      </w:pPr>
    </w:p>
    <w:p w14:paraId="3A8BD0EF">
      <w:pPr>
        <w:spacing w:line="241" w:lineRule="auto"/>
        <w:rPr>
          <w:rFonts w:ascii="Arial"/>
          <w:sz w:val="21"/>
        </w:rPr>
      </w:pPr>
    </w:p>
    <w:p w14:paraId="21BC643A">
      <w:pPr>
        <w:spacing w:line="241" w:lineRule="auto"/>
        <w:rPr>
          <w:rFonts w:ascii="Arial"/>
          <w:sz w:val="21"/>
        </w:rPr>
      </w:pPr>
    </w:p>
    <w:p w14:paraId="1BE746AB">
      <w:pPr>
        <w:spacing w:line="241" w:lineRule="auto"/>
        <w:rPr>
          <w:rFonts w:ascii="Arial"/>
          <w:sz w:val="21"/>
        </w:rPr>
      </w:pPr>
    </w:p>
    <w:p w14:paraId="282265D5">
      <w:pPr>
        <w:spacing w:line="242" w:lineRule="auto"/>
        <w:rPr>
          <w:rFonts w:ascii="Arial"/>
          <w:sz w:val="21"/>
        </w:rPr>
      </w:pPr>
    </w:p>
    <w:p w14:paraId="306A5EF8">
      <w:pPr>
        <w:spacing w:line="242" w:lineRule="auto"/>
        <w:rPr>
          <w:rFonts w:ascii="Arial"/>
          <w:sz w:val="21"/>
        </w:rPr>
      </w:pPr>
    </w:p>
    <w:p w14:paraId="4FC1774F">
      <w:pPr>
        <w:spacing w:line="242" w:lineRule="auto"/>
        <w:rPr>
          <w:rFonts w:ascii="Arial"/>
          <w:sz w:val="21"/>
        </w:rPr>
      </w:pPr>
    </w:p>
    <w:p w14:paraId="31B2F5C4">
      <w:pPr>
        <w:spacing w:before="91" w:line="232" w:lineRule="auto"/>
        <w:ind w:left="2755"/>
        <w:rPr>
          <w:rFonts w:ascii="仿宋" w:hAnsi="仿宋" w:eastAsia="仿宋" w:cs="仿宋"/>
          <w:sz w:val="28"/>
          <w:szCs w:val="28"/>
        </w:rPr>
      </w:pPr>
      <w:r>
        <w:rPr>
          <w:rFonts w:ascii="仿宋" w:hAnsi="仿宋" w:eastAsia="仿宋" w:cs="仿宋"/>
          <w:spacing w:val="-5"/>
          <w:sz w:val="28"/>
          <w:szCs w:val="28"/>
        </w:rPr>
        <w:t>编制日期：</w:t>
      </w:r>
      <w:r>
        <w:rPr>
          <w:rFonts w:ascii="Times New Roman" w:hAnsi="Times New Roman" w:eastAsia="Times New Roman" w:cs="Times New Roman"/>
          <w:spacing w:val="-5"/>
          <w:sz w:val="28"/>
          <w:szCs w:val="28"/>
        </w:rPr>
        <w:t>2025</w:t>
      </w:r>
      <w:r>
        <w:rPr>
          <w:rFonts w:ascii="Times New Roman" w:hAnsi="Times New Roman" w:eastAsia="Times New Roman" w:cs="Times New Roman"/>
          <w:spacing w:val="29"/>
          <w:sz w:val="28"/>
          <w:szCs w:val="28"/>
        </w:rPr>
        <w:t xml:space="preserve"> </w:t>
      </w:r>
      <w:r>
        <w:rPr>
          <w:rFonts w:ascii="仿宋" w:hAnsi="仿宋" w:eastAsia="仿宋" w:cs="仿宋"/>
          <w:spacing w:val="-5"/>
          <w:sz w:val="28"/>
          <w:szCs w:val="28"/>
        </w:rPr>
        <w:t>年</w:t>
      </w:r>
      <w:r>
        <w:rPr>
          <w:rFonts w:ascii="仿宋" w:hAnsi="仿宋" w:eastAsia="仿宋" w:cs="仿宋"/>
          <w:spacing w:val="-60"/>
          <w:sz w:val="28"/>
          <w:szCs w:val="28"/>
        </w:rPr>
        <w:t xml:space="preserve"> </w:t>
      </w:r>
      <w:r>
        <w:rPr>
          <w:rFonts w:ascii="Times New Roman" w:hAnsi="Times New Roman" w:eastAsia="Times New Roman" w:cs="Times New Roman"/>
          <w:spacing w:val="-5"/>
          <w:sz w:val="28"/>
          <w:szCs w:val="28"/>
        </w:rPr>
        <w:t>5</w:t>
      </w:r>
      <w:r>
        <w:rPr>
          <w:rFonts w:ascii="Times New Roman" w:hAnsi="Times New Roman" w:eastAsia="Times New Roman" w:cs="Times New Roman"/>
          <w:spacing w:val="33"/>
          <w:sz w:val="28"/>
          <w:szCs w:val="28"/>
        </w:rPr>
        <w:t xml:space="preserve"> </w:t>
      </w:r>
      <w:r>
        <w:rPr>
          <w:rFonts w:ascii="仿宋" w:hAnsi="仿宋" w:eastAsia="仿宋" w:cs="仿宋"/>
          <w:spacing w:val="-5"/>
          <w:sz w:val="28"/>
          <w:szCs w:val="28"/>
        </w:rPr>
        <w:t>月</w:t>
      </w:r>
    </w:p>
    <w:p w14:paraId="791BC4DD">
      <w:pPr>
        <w:spacing w:line="232" w:lineRule="auto"/>
        <w:rPr>
          <w:rFonts w:ascii="仿宋" w:hAnsi="仿宋" w:eastAsia="仿宋" w:cs="仿宋"/>
          <w:sz w:val="28"/>
          <w:szCs w:val="28"/>
        </w:rPr>
        <w:sectPr>
          <w:footerReference r:id="rId138" w:type="default"/>
          <w:pgSz w:w="11907" w:h="16841"/>
          <w:pgMar w:top="400" w:right="1785" w:bottom="1126" w:left="1785" w:header="0" w:footer="925" w:gutter="0"/>
          <w:cols w:space="720" w:num="1"/>
        </w:sectPr>
      </w:pPr>
    </w:p>
    <w:p w14:paraId="7C39F432">
      <w:pPr>
        <w:spacing w:line="249" w:lineRule="auto"/>
        <w:rPr>
          <w:rFonts w:ascii="Arial"/>
          <w:sz w:val="21"/>
        </w:rPr>
      </w:pPr>
    </w:p>
    <w:p w14:paraId="1E0CE2F5">
      <w:pPr>
        <w:spacing w:line="249" w:lineRule="auto"/>
        <w:rPr>
          <w:rFonts w:ascii="Arial"/>
          <w:sz w:val="21"/>
        </w:rPr>
      </w:pPr>
    </w:p>
    <w:p w14:paraId="55DB6C85">
      <w:pPr>
        <w:spacing w:line="249" w:lineRule="auto"/>
        <w:rPr>
          <w:rFonts w:ascii="Arial"/>
          <w:sz w:val="21"/>
        </w:rPr>
      </w:pPr>
    </w:p>
    <w:p w14:paraId="3AE6E5F6">
      <w:pPr>
        <w:spacing w:line="249" w:lineRule="auto"/>
        <w:rPr>
          <w:rFonts w:ascii="Arial"/>
          <w:sz w:val="21"/>
        </w:rPr>
      </w:pPr>
    </w:p>
    <w:p w14:paraId="51E419B1">
      <w:pPr>
        <w:spacing w:line="249" w:lineRule="auto"/>
        <w:rPr>
          <w:rFonts w:ascii="Arial"/>
          <w:sz w:val="21"/>
        </w:rPr>
      </w:pPr>
    </w:p>
    <w:p w14:paraId="2509C089">
      <w:pPr>
        <w:spacing w:before="78" w:line="220" w:lineRule="auto"/>
        <w:ind w:left="4065"/>
        <w:rPr>
          <w:rFonts w:ascii="宋体" w:hAnsi="宋体" w:eastAsia="宋体" w:cs="宋体"/>
          <w:sz w:val="24"/>
          <w:szCs w:val="24"/>
        </w:rPr>
      </w:pPr>
      <w:r>
        <w:rPr>
          <w:rFonts w:ascii="宋体" w:hAnsi="宋体" w:eastAsia="宋体" w:cs="宋体"/>
          <w:b/>
          <w:bCs/>
          <w:spacing w:val="-5"/>
          <w:sz w:val="24"/>
          <w:szCs w:val="24"/>
        </w:rPr>
        <w:t>现场照片</w:t>
      </w:r>
    </w:p>
    <w:p w14:paraId="569B30C0">
      <w:pPr>
        <w:spacing w:line="66" w:lineRule="exact"/>
      </w:pP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34"/>
        <w:gridCol w:w="4534"/>
      </w:tblGrid>
      <w:tr w14:paraId="27FC2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13" w:hRule="atLeast"/>
        </w:trPr>
        <w:tc>
          <w:tcPr>
            <w:tcW w:w="4534" w:type="dxa"/>
            <w:vAlign w:val="top"/>
          </w:tcPr>
          <w:p w14:paraId="550EAA43">
            <w:pPr>
              <w:spacing w:before="37" w:line="3536" w:lineRule="exact"/>
              <w:ind w:firstLine="54"/>
            </w:pPr>
            <w:r>
              <w:rPr>
                <w:position w:val="-70"/>
              </w:rPr>
              <w:drawing>
                <wp:inline distT="0" distB="0" distL="0" distR="0">
                  <wp:extent cx="2806700" cy="2244725"/>
                  <wp:effectExtent l="0" t="0" r="0" b="0"/>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249"/>
                          <a:stretch>
                            <a:fillRect/>
                          </a:stretch>
                        </pic:blipFill>
                        <pic:spPr>
                          <a:xfrm>
                            <a:off x="0" y="0"/>
                            <a:ext cx="2806700" cy="2245359"/>
                          </a:xfrm>
                          <a:prstGeom prst="rect">
                            <a:avLst/>
                          </a:prstGeom>
                        </pic:spPr>
                      </pic:pic>
                    </a:graphicData>
                  </a:graphic>
                </wp:inline>
              </w:drawing>
            </w:r>
          </w:p>
        </w:tc>
        <w:tc>
          <w:tcPr>
            <w:tcW w:w="4534" w:type="dxa"/>
            <w:vAlign w:val="top"/>
          </w:tcPr>
          <w:p w14:paraId="5D2EB66D">
            <w:pPr>
              <w:spacing w:before="33" w:line="3537" w:lineRule="exact"/>
              <w:ind w:firstLine="48"/>
            </w:pPr>
            <w:r>
              <w:rPr>
                <w:position w:val="-70"/>
              </w:rPr>
              <w:drawing>
                <wp:inline distT="0" distB="0" distL="0" distR="0">
                  <wp:extent cx="2807335" cy="2245360"/>
                  <wp:effectExtent l="0" t="0" r="0" b="0"/>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250"/>
                          <a:stretch>
                            <a:fillRect/>
                          </a:stretch>
                        </pic:blipFill>
                        <pic:spPr>
                          <a:xfrm>
                            <a:off x="0" y="0"/>
                            <a:ext cx="2807461" cy="2245994"/>
                          </a:xfrm>
                          <a:prstGeom prst="rect">
                            <a:avLst/>
                          </a:prstGeom>
                        </pic:spPr>
                      </pic:pic>
                    </a:graphicData>
                  </a:graphic>
                </wp:inline>
              </w:drawing>
            </w:r>
          </w:p>
        </w:tc>
      </w:tr>
      <w:tr w14:paraId="1AB36D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4534" w:type="dxa"/>
            <w:vAlign w:val="top"/>
          </w:tcPr>
          <w:p w14:paraId="4A759AB1">
            <w:pPr>
              <w:pStyle w:val="6"/>
              <w:spacing w:before="59" w:line="221" w:lineRule="auto"/>
              <w:ind w:left="1859"/>
            </w:pPr>
            <w:r>
              <w:rPr>
                <w:spacing w:val="-3"/>
              </w:rPr>
              <w:t>云南松林</w:t>
            </w:r>
          </w:p>
        </w:tc>
        <w:tc>
          <w:tcPr>
            <w:tcW w:w="4534" w:type="dxa"/>
            <w:vAlign w:val="top"/>
          </w:tcPr>
          <w:p w14:paraId="42D1EB43">
            <w:pPr>
              <w:pStyle w:val="6"/>
              <w:spacing w:before="60" w:line="220" w:lineRule="auto"/>
              <w:ind w:left="1538"/>
            </w:pPr>
            <w:r>
              <w:rPr>
                <w:spacing w:val="-2"/>
              </w:rPr>
              <w:t>云南松林俯视图</w:t>
            </w:r>
          </w:p>
        </w:tc>
      </w:tr>
      <w:tr w14:paraId="628BA0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9" w:hRule="atLeast"/>
        </w:trPr>
        <w:tc>
          <w:tcPr>
            <w:tcW w:w="4534" w:type="dxa"/>
            <w:vAlign w:val="top"/>
          </w:tcPr>
          <w:p w14:paraId="65C9FE60">
            <w:pPr>
              <w:spacing w:before="29" w:line="3537" w:lineRule="exact"/>
              <w:ind w:firstLine="53"/>
            </w:pPr>
            <w:r>
              <w:rPr>
                <w:position w:val="-70"/>
              </w:rPr>
              <w:drawing>
                <wp:inline distT="0" distB="0" distL="0" distR="0">
                  <wp:extent cx="2807335" cy="2245360"/>
                  <wp:effectExtent l="0" t="0" r="0" b="0"/>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251"/>
                          <a:stretch>
                            <a:fillRect/>
                          </a:stretch>
                        </pic:blipFill>
                        <pic:spPr>
                          <a:xfrm>
                            <a:off x="0" y="0"/>
                            <a:ext cx="2807461" cy="2245614"/>
                          </a:xfrm>
                          <a:prstGeom prst="rect">
                            <a:avLst/>
                          </a:prstGeom>
                        </pic:spPr>
                      </pic:pic>
                    </a:graphicData>
                  </a:graphic>
                </wp:inline>
              </w:drawing>
            </w:r>
          </w:p>
        </w:tc>
        <w:tc>
          <w:tcPr>
            <w:tcW w:w="4534" w:type="dxa"/>
            <w:vAlign w:val="top"/>
          </w:tcPr>
          <w:p w14:paraId="6EF11BD3">
            <w:pPr>
              <w:spacing w:before="29" w:line="3537" w:lineRule="exact"/>
              <w:ind w:firstLine="50"/>
            </w:pPr>
            <w:r>
              <w:rPr>
                <w:position w:val="-70"/>
              </w:rPr>
              <w:drawing>
                <wp:inline distT="0" distB="0" distL="0" distR="0">
                  <wp:extent cx="2807335" cy="2245360"/>
                  <wp:effectExtent l="0" t="0" r="0" b="0"/>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252"/>
                          <a:stretch>
                            <a:fillRect/>
                          </a:stretch>
                        </pic:blipFill>
                        <pic:spPr>
                          <a:xfrm>
                            <a:off x="0" y="0"/>
                            <a:ext cx="2807461" cy="2245614"/>
                          </a:xfrm>
                          <a:prstGeom prst="rect">
                            <a:avLst/>
                          </a:prstGeom>
                        </pic:spPr>
                      </pic:pic>
                    </a:graphicData>
                  </a:graphic>
                </wp:inline>
              </w:drawing>
            </w:r>
          </w:p>
        </w:tc>
      </w:tr>
      <w:tr w14:paraId="1B8DD2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4534" w:type="dxa"/>
            <w:vAlign w:val="top"/>
          </w:tcPr>
          <w:p w14:paraId="67B1C5A6">
            <w:pPr>
              <w:pStyle w:val="6"/>
              <w:spacing w:before="61" w:line="221" w:lineRule="auto"/>
              <w:ind w:left="1747"/>
            </w:pPr>
            <w:r>
              <w:rPr>
                <w:spacing w:val="-1"/>
              </w:rPr>
              <w:t>清香木群落</w:t>
            </w:r>
          </w:p>
        </w:tc>
        <w:tc>
          <w:tcPr>
            <w:tcW w:w="4534" w:type="dxa"/>
            <w:vAlign w:val="top"/>
          </w:tcPr>
          <w:p w14:paraId="3D49678C">
            <w:pPr>
              <w:pStyle w:val="6"/>
              <w:spacing w:before="61" w:line="220" w:lineRule="auto"/>
              <w:ind w:left="1746"/>
            </w:pPr>
            <w:r>
              <w:rPr>
                <w:spacing w:val="-2"/>
              </w:rPr>
              <w:t>灌丛俯视图</w:t>
            </w:r>
          </w:p>
        </w:tc>
      </w:tr>
      <w:tr w14:paraId="04DDC8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1" w:hRule="atLeast"/>
        </w:trPr>
        <w:tc>
          <w:tcPr>
            <w:tcW w:w="4534" w:type="dxa"/>
            <w:vAlign w:val="top"/>
          </w:tcPr>
          <w:p w14:paraId="5078D8E0">
            <w:pPr>
              <w:spacing w:before="31" w:line="3537" w:lineRule="exact"/>
              <w:ind w:firstLine="53"/>
            </w:pPr>
            <w:r>
              <w:rPr>
                <w:position w:val="-70"/>
              </w:rPr>
              <w:drawing>
                <wp:inline distT="0" distB="0" distL="0" distR="0">
                  <wp:extent cx="2807335" cy="2245995"/>
                  <wp:effectExtent l="0" t="0" r="0" b="0"/>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253"/>
                          <a:stretch>
                            <a:fillRect/>
                          </a:stretch>
                        </pic:blipFill>
                        <pic:spPr>
                          <a:xfrm>
                            <a:off x="0" y="0"/>
                            <a:ext cx="2807461" cy="2245995"/>
                          </a:xfrm>
                          <a:prstGeom prst="rect">
                            <a:avLst/>
                          </a:prstGeom>
                        </pic:spPr>
                      </pic:pic>
                    </a:graphicData>
                  </a:graphic>
                </wp:inline>
              </w:drawing>
            </w:r>
          </w:p>
        </w:tc>
        <w:tc>
          <w:tcPr>
            <w:tcW w:w="4534" w:type="dxa"/>
            <w:vAlign w:val="top"/>
          </w:tcPr>
          <w:p w14:paraId="6EDF1EB9">
            <w:pPr>
              <w:spacing w:before="31" w:line="3537" w:lineRule="exact"/>
              <w:ind w:firstLine="50"/>
            </w:pPr>
            <w:r>
              <w:rPr>
                <w:position w:val="-70"/>
              </w:rPr>
              <w:drawing>
                <wp:inline distT="0" distB="0" distL="0" distR="0">
                  <wp:extent cx="2807335" cy="2245995"/>
                  <wp:effectExtent l="0" t="0" r="0" b="0"/>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254"/>
                          <a:stretch>
                            <a:fillRect/>
                          </a:stretch>
                        </pic:blipFill>
                        <pic:spPr>
                          <a:xfrm>
                            <a:off x="0" y="0"/>
                            <a:ext cx="2807461" cy="2245995"/>
                          </a:xfrm>
                          <a:prstGeom prst="rect">
                            <a:avLst/>
                          </a:prstGeom>
                        </pic:spPr>
                      </pic:pic>
                    </a:graphicData>
                  </a:graphic>
                </wp:inline>
              </w:drawing>
            </w:r>
          </w:p>
        </w:tc>
      </w:tr>
      <w:tr w14:paraId="790142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4534" w:type="dxa"/>
            <w:vAlign w:val="top"/>
          </w:tcPr>
          <w:p w14:paraId="56555688">
            <w:pPr>
              <w:pStyle w:val="6"/>
              <w:spacing w:before="64" w:line="221" w:lineRule="auto"/>
              <w:ind w:left="2065"/>
            </w:pPr>
            <w:r>
              <w:rPr>
                <w:spacing w:val="-2"/>
              </w:rPr>
              <w:t>裸地</w:t>
            </w:r>
          </w:p>
        </w:tc>
        <w:tc>
          <w:tcPr>
            <w:tcW w:w="4534" w:type="dxa"/>
            <w:vAlign w:val="top"/>
          </w:tcPr>
          <w:p w14:paraId="27DBE1DB">
            <w:pPr>
              <w:pStyle w:val="6"/>
              <w:spacing w:before="63" w:line="220" w:lineRule="auto"/>
              <w:ind w:left="2059"/>
            </w:pPr>
            <w:r>
              <w:rPr>
                <w:spacing w:val="-2"/>
              </w:rPr>
              <w:t>村落</w:t>
            </w:r>
          </w:p>
        </w:tc>
      </w:tr>
    </w:tbl>
    <w:p w14:paraId="6F09C19B">
      <w:pPr>
        <w:rPr>
          <w:rFonts w:ascii="Arial"/>
          <w:sz w:val="21"/>
        </w:rPr>
      </w:pPr>
    </w:p>
    <w:p w14:paraId="53D23006">
      <w:pPr>
        <w:rPr>
          <w:rFonts w:ascii="Arial" w:hAnsi="Arial" w:eastAsia="Arial" w:cs="Arial"/>
          <w:sz w:val="21"/>
          <w:szCs w:val="21"/>
        </w:rPr>
        <w:sectPr>
          <w:footerReference r:id="rId139" w:type="default"/>
          <w:pgSz w:w="11907" w:h="16841"/>
          <w:pgMar w:top="400" w:right="1413" w:bottom="1126" w:left="1418" w:header="0" w:footer="925" w:gutter="0"/>
          <w:cols w:space="720" w:num="1"/>
        </w:sectPr>
      </w:pPr>
    </w:p>
    <w:p w14:paraId="43BA0D95">
      <w:pPr>
        <w:spacing w:before="2"/>
      </w:pPr>
    </w:p>
    <w:p w14:paraId="43B529BE">
      <w:pPr>
        <w:spacing w:before="2"/>
      </w:pPr>
    </w:p>
    <w:p w14:paraId="343B0CE6">
      <w:pPr>
        <w:spacing w:before="1"/>
      </w:pPr>
    </w:p>
    <w:p w14:paraId="392FF54D">
      <w:pPr>
        <w:spacing w:before="1"/>
      </w:pPr>
    </w:p>
    <w:p w14:paraId="11CC9116">
      <w:pPr>
        <w:spacing w:before="1"/>
      </w:pP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34"/>
        <w:gridCol w:w="4534"/>
      </w:tblGrid>
      <w:tr w14:paraId="0DA954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6" w:hRule="atLeast"/>
        </w:trPr>
        <w:tc>
          <w:tcPr>
            <w:tcW w:w="4534" w:type="dxa"/>
            <w:vAlign w:val="top"/>
          </w:tcPr>
          <w:p w14:paraId="7E7FAF33">
            <w:pPr>
              <w:spacing w:before="33" w:line="3537" w:lineRule="exact"/>
              <w:ind w:firstLine="53"/>
            </w:pPr>
            <w:r>
              <w:rPr>
                <w:position w:val="-70"/>
              </w:rPr>
              <w:drawing>
                <wp:inline distT="0" distB="0" distL="0" distR="0">
                  <wp:extent cx="2807335" cy="2245995"/>
                  <wp:effectExtent l="0" t="0" r="0" b="0"/>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255"/>
                          <a:stretch>
                            <a:fillRect/>
                          </a:stretch>
                        </pic:blipFill>
                        <pic:spPr>
                          <a:xfrm>
                            <a:off x="0" y="0"/>
                            <a:ext cx="2807461" cy="2245995"/>
                          </a:xfrm>
                          <a:prstGeom prst="rect">
                            <a:avLst/>
                          </a:prstGeom>
                        </pic:spPr>
                      </pic:pic>
                    </a:graphicData>
                  </a:graphic>
                </wp:inline>
              </w:drawing>
            </w:r>
          </w:p>
        </w:tc>
        <w:tc>
          <w:tcPr>
            <w:tcW w:w="4534" w:type="dxa"/>
            <w:vAlign w:val="top"/>
          </w:tcPr>
          <w:p w14:paraId="7EE12EA7">
            <w:pPr>
              <w:spacing w:before="33" w:line="3537" w:lineRule="exact"/>
              <w:ind w:firstLine="50"/>
            </w:pPr>
            <w:r>
              <w:rPr>
                <w:position w:val="-70"/>
              </w:rPr>
              <w:drawing>
                <wp:inline distT="0" distB="0" distL="0" distR="0">
                  <wp:extent cx="2807335" cy="2245995"/>
                  <wp:effectExtent l="0" t="0" r="0" b="0"/>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256"/>
                          <a:stretch>
                            <a:fillRect/>
                          </a:stretch>
                        </pic:blipFill>
                        <pic:spPr>
                          <a:xfrm>
                            <a:off x="0" y="0"/>
                            <a:ext cx="2807461" cy="2245995"/>
                          </a:xfrm>
                          <a:prstGeom prst="rect">
                            <a:avLst/>
                          </a:prstGeom>
                        </pic:spPr>
                      </pic:pic>
                    </a:graphicData>
                  </a:graphic>
                </wp:inline>
              </w:drawing>
            </w:r>
          </w:p>
        </w:tc>
      </w:tr>
      <w:tr w14:paraId="332ED3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4534" w:type="dxa"/>
            <w:vAlign w:val="top"/>
          </w:tcPr>
          <w:p w14:paraId="161D02A9">
            <w:pPr>
              <w:pStyle w:val="6"/>
              <w:spacing w:before="60" w:line="220" w:lineRule="auto"/>
              <w:ind w:left="1749"/>
            </w:pPr>
            <w:r>
              <w:rPr>
                <w:spacing w:val="-2"/>
              </w:rPr>
              <w:t>无人机调查</w:t>
            </w:r>
          </w:p>
        </w:tc>
        <w:tc>
          <w:tcPr>
            <w:tcW w:w="4534" w:type="dxa"/>
            <w:vAlign w:val="top"/>
          </w:tcPr>
          <w:p w14:paraId="5991DB9E">
            <w:pPr>
              <w:pStyle w:val="6"/>
              <w:spacing w:before="59" w:line="221" w:lineRule="auto"/>
              <w:ind w:left="1850"/>
            </w:pPr>
            <w:r>
              <w:rPr>
                <w:spacing w:val="-2"/>
              </w:rPr>
              <w:t>植被样方</w:t>
            </w:r>
          </w:p>
        </w:tc>
      </w:tr>
      <w:tr w14:paraId="7F3019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98" w:hRule="atLeast"/>
        </w:trPr>
        <w:tc>
          <w:tcPr>
            <w:tcW w:w="4534" w:type="dxa"/>
            <w:vAlign w:val="top"/>
          </w:tcPr>
          <w:p w14:paraId="662F13DA">
            <w:pPr>
              <w:spacing w:before="28" w:line="3537" w:lineRule="exact"/>
              <w:ind w:firstLine="53"/>
            </w:pPr>
            <w:r>
              <w:rPr>
                <w:position w:val="-70"/>
              </w:rPr>
              <w:drawing>
                <wp:inline distT="0" distB="0" distL="0" distR="0">
                  <wp:extent cx="2807335" cy="2245360"/>
                  <wp:effectExtent l="0" t="0" r="0" b="0"/>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257"/>
                          <a:stretch>
                            <a:fillRect/>
                          </a:stretch>
                        </pic:blipFill>
                        <pic:spPr>
                          <a:xfrm>
                            <a:off x="0" y="0"/>
                            <a:ext cx="2807461" cy="2245486"/>
                          </a:xfrm>
                          <a:prstGeom prst="rect">
                            <a:avLst/>
                          </a:prstGeom>
                        </pic:spPr>
                      </pic:pic>
                    </a:graphicData>
                  </a:graphic>
                </wp:inline>
              </w:drawing>
            </w:r>
          </w:p>
        </w:tc>
        <w:tc>
          <w:tcPr>
            <w:tcW w:w="4534" w:type="dxa"/>
            <w:vAlign w:val="top"/>
          </w:tcPr>
          <w:p w14:paraId="5A54DF62">
            <w:pPr>
              <w:spacing w:before="28" w:line="3537" w:lineRule="exact"/>
              <w:ind w:firstLine="50"/>
            </w:pPr>
            <w:r>
              <w:rPr>
                <w:position w:val="-70"/>
              </w:rPr>
              <w:drawing>
                <wp:inline distT="0" distB="0" distL="0" distR="0">
                  <wp:extent cx="2807335" cy="2245360"/>
                  <wp:effectExtent l="0" t="0" r="0" b="0"/>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258"/>
                          <a:stretch>
                            <a:fillRect/>
                          </a:stretch>
                        </pic:blipFill>
                        <pic:spPr>
                          <a:xfrm>
                            <a:off x="0" y="0"/>
                            <a:ext cx="2807461" cy="2245486"/>
                          </a:xfrm>
                          <a:prstGeom prst="rect">
                            <a:avLst/>
                          </a:prstGeom>
                        </pic:spPr>
                      </pic:pic>
                    </a:graphicData>
                  </a:graphic>
                </wp:inline>
              </w:drawing>
            </w:r>
          </w:p>
        </w:tc>
      </w:tr>
      <w:tr w14:paraId="2F2EF2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4534" w:type="dxa"/>
            <w:vAlign w:val="top"/>
          </w:tcPr>
          <w:p w14:paraId="4FDB35E0">
            <w:pPr>
              <w:pStyle w:val="6"/>
              <w:spacing w:before="61" w:line="221" w:lineRule="auto"/>
              <w:ind w:left="1855"/>
            </w:pPr>
            <w:r>
              <w:rPr>
                <w:spacing w:val="-2"/>
              </w:rPr>
              <w:t>植被调查</w:t>
            </w:r>
          </w:p>
        </w:tc>
        <w:tc>
          <w:tcPr>
            <w:tcW w:w="4534" w:type="dxa"/>
            <w:vAlign w:val="top"/>
          </w:tcPr>
          <w:p w14:paraId="6E8076BE">
            <w:pPr>
              <w:pStyle w:val="6"/>
              <w:spacing w:before="61" w:line="221" w:lineRule="auto"/>
              <w:ind w:left="1850"/>
            </w:pPr>
            <w:r>
              <w:rPr>
                <w:spacing w:val="-2"/>
              </w:rPr>
              <w:t>植被调查</w:t>
            </w:r>
          </w:p>
        </w:tc>
      </w:tr>
      <w:tr w14:paraId="6ECFC7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01" w:hRule="atLeast"/>
        </w:trPr>
        <w:tc>
          <w:tcPr>
            <w:tcW w:w="4534" w:type="dxa"/>
            <w:vAlign w:val="top"/>
          </w:tcPr>
          <w:p w14:paraId="47B026B8">
            <w:pPr>
              <w:spacing w:before="31" w:line="3537" w:lineRule="exact"/>
              <w:ind w:firstLine="53"/>
            </w:pPr>
            <w:r>
              <w:rPr>
                <w:position w:val="-70"/>
              </w:rPr>
              <w:drawing>
                <wp:inline distT="0" distB="0" distL="0" distR="0">
                  <wp:extent cx="2807335" cy="2245995"/>
                  <wp:effectExtent l="0" t="0" r="0" b="0"/>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259"/>
                          <a:stretch>
                            <a:fillRect/>
                          </a:stretch>
                        </pic:blipFill>
                        <pic:spPr>
                          <a:xfrm>
                            <a:off x="0" y="0"/>
                            <a:ext cx="2807461" cy="2245995"/>
                          </a:xfrm>
                          <a:prstGeom prst="rect">
                            <a:avLst/>
                          </a:prstGeom>
                        </pic:spPr>
                      </pic:pic>
                    </a:graphicData>
                  </a:graphic>
                </wp:inline>
              </w:drawing>
            </w:r>
          </w:p>
        </w:tc>
        <w:tc>
          <w:tcPr>
            <w:tcW w:w="4534" w:type="dxa"/>
            <w:vAlign w:val="top"/>
          </w:tcPr>
          <w:p w14:paraId="0B037D19">
            <w:pPr>
              <w:spacing w:before="31" w:line="3537" w:lineRule="exact"/>
              <w:ind w:firstLine="50"/>
            </w:pPr>
            <w:r>
              <w:rPr>
                <w:position w:val="-70"/>
              </w:rPr>
              <w:drawing>
                <wp:inline distT="0" distB="0" distL="0" distR="0">
                  <wp:extent cx="2807335" cy="2245995"/>
                  <wp:effectExtent l="0" t="0" r="0" b="0"/>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260"/>
                          <a:stretch>
                            <a:fillRect/>
                          </a:stretch>
                        </pic:blipFill>
                        <pic:spPr>
                          <a:xfrm>
                            <a:off x="0" y="0"/>
                            <a:ext cx="2807461" cy="2245995"/>
                          </a:xfrm>
                          <a:prstGeom prst="rect">
                            <a:avLst/>
                          </a:prstGeom>
                        </pic:spPr>
                      </pic:pic>
                    </a:graphicData>
                  </a:graphic>
                </wp:inline>
              </w:drawing>
            </w:r>
          </w:p>
        </w:tc>
      </w:tr>
      <w:tr w14:paraId="66F3AE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8" w:hRule="atLeast"/>
        </w:trPr>
        <w:tc>
          <w:tcPr>
            <w:tcW w:w="4534" w:type="dxa"/>
            <w:vAlign w:val="top"/>
          </w:tcPr>
          <w:p w14:paraId="6B7129E7">
            <w:pPr>
              <w:pStyle w:val="6"/>
              <w:spacing w:before="64" w:line="221" w:lineRule="auto"/>
              <w:ind w:left="1645"/>
            </w:pPr>
            <w:r>
              <w:rPr>
                <w:spacing w:val="-1"/>
              </w:rPr>
              <w:t>动物访问调查</w:t>
            </w:r>
          </w:p>
        </w:tc>
        <w:tc>
          <w:tcPr>
            <w:tcW w:w="4534" w:type="dxa"/>
            <w:vAlign w:val="top"/>
          </w:tcPr>
          <w:p w14:paraId="41C5397B">
            <w:pPr>
              <w:pStyle w:val="6"/>
              <w:spacing w:before="64" w:line="221" w:lineRule="auto"/>
              <w:ind w:left="1850"/>
            </w:pPr>
            <w:r>
              <w:rPr>
                <w:spacing w:val="-2"/>
              </w:rPr>
              <w:t>动物调查</w:t>
            </w:r>
          </w:p>
        </w:tc>
      </w:tr>
    </w:tbl>
    <w:p w14:paraId="5ED67B02">
      <w:pPr>
        <w:rPr>
          <w:rFonts w:ascii="Arial"/>
          <w:sz w:val="21"/>
        </w:rPr>
      </w:pPr>
    </w:p>
    <w:p w14:paraId="1CCEF16E">
      <w:pPr>
        <w:rPr>
          <w:rFonts w:ascii="Arial" w:hAnsi="Arial" w:eastAsia="Arial" w:cs="Arial"/>
          <w:sz w:val="21"/>
          <w:szCs w:val="21"/>
        </w:rPr>
        <w:sectPr>
          <w:footerReference r:id="rId140" w:type="default"/>
          <w:pgSz w:w="11907" w:h="16841"/>
          <w:pgMar w:top="400" w:right="1413" w:bottom="1126" w:left="1418" w:header="0" w:footer="925" w:gutter="0"/>
          <w:cols w:space="720" w:num="1"/>
        </w:sectPr>
      </w:pPr>
    </w:p>
    <w:p w14:paraId="3F47E390">
      <w:pPr>
        <w:spacing w:line="257" w:lineRule="auto"/>
        <w:rPr>
          <w:rFonts w:ascii="Arial"/>
          <w:sz w:val="21"/>
        </w:rPr>
      </w:pPr>
    </w:p>
    <w:p w14:paraId="4254A0B8">
      <w:pPr>
        <w:spacing w:line="257" w:lineRule="auto"/>
        <w:rPr>
          <w:rFonts w:ascii="Arial"/>
          <w:sz w:val="21"/>
        </w:rPr>
      </w:pPr>
    </w:p>
    <w:p w14:paraId="714BE61D">
      <w:pPr>
        <w:spacing w:line="258" w:lineRule="auto"/>
        <w:rPr>
          <w:rFonts w:ascii="Arial"/>
          <w:sz w:val="21"/>
        </w:rPr>
      </w:pPr>
    </w:p>
    <w:p w14:paraId="4B19D28B">
      <w:pPr>
        <w:spacing w:line="258" w:lineRule="auto"/>
        <w:rPr>
          <w:rFonts w:ascii="Arial"/>
          <w:sz w:val="21"/>
        </w:rPr>
      </w:pPr>
    </w:p>
    <w:p w14:paraId="6DDF9112">
      <w:pPr>
        <w:spacing w:line="258" w:lineRule="auto"/>
        <w:rPr>
          <w:rFonts w:ascii="Arial"/>
          <w:sz w:val="21"/>
        </w:rPr>
      </w:pPr>
    </w:p>
    <w:sdt>
      <w:sdtPr>
        <w:rPr>
          <w:rFonts w:ascii="黑体" w:hAnsi="黑体" w:eastAsia="黑体" w:cs="黑体"/>
          <w:sz w:val="28"/>
          <w:szCs w:val="28"/>
        </w:rPr>
        <w:id w:val="147455786"/>
        <w:docPartObj>
          <w:docPartGallery w:val="Table of Contents"/>
          <w:docPartUnique/>
        </w:docPartObj>
      </w:sdtPr>
      <w:sdtEndPr>
        <w:rPr>
          <w:rFonts w:ascii="Times New Roman" w:hAnsi="Times New Roman" w:eastAsia="Times New Roman" w:cs="Times New Roman"/>
          <w:sz w:val="21"/>
          <w:szCs w:val="21"/>
        </w:rPr>
      </w:sdtEndPr>
      <w:sdtContent>
        <w:p w14:paraId="021BE8E0">
          <w:pPr>
            <w:pStyle w:val="2"/>
            <w:spacing w:before="91" w:line="219" w:lineRule="auto"/>
            <w:ind w:left="4229"/>
            <w:rPr>
              <w:sz w:val="28"/>
              <w:szCs w:val="28"/>
            </w:rPr>
          </w:pPr>
          <w:r>
            <w:rPr>
              <w:spacing w:val="-23"/>
              <w:sz w:val="28"/>
              <w:szCs w:val="28"/>
            </w:rPr>
            <w:t>目</w:t>
          </w:r>
          <w:r>
            <w:rPr>
              <w:spacing w:val="14"/>
              <w:sz w:val="28"/>
              <w:szCs w:val="28"/>
            </w:rPr>
            <w:t xml:space="preserve"> </w:t>
          </w:r>
          <w:r>
            <w:rPr>
              <w:spacing w:val="-23"/>
              <w:sz w:val="28"/>
              <w:szCs w:val="28"/>
            </w:rPr>
            <w:t>录</w:t>
          </w:r>
        </w:p>
        <w:p w14:paraId="2ECAE900">
          <w:pPr>
            <w:pStyle w:val="2"/>
            <w:tabs>
              <w:tab w:val="right" w:leader="dot" w:pos="9060"/>
            </w:tabs>
            <w:spacing w:before="290" w:line="200" w:lineRule="auto"/>
            <w:ind w:left="21"/>
            <w:rPr>
              <w:rFonts w:ascii="Times New Roman" w:hAnsi="Times New Roman" w:eastAsia="Times New Roman" w:cs="Times New Roman"/>
            </w:rPr>
          </w:pPr>
          <w:r>
            <w:fldChar w:fldCharType="begin"/>
          </w:r>
          <w:r>
            <w:instrText xml:space="preserve"> HYPERLINK \l "bookmark38" </w:instrText>
          </w:r>
          <w:r>
            <w:fldChar w:fldCharType="separate"/>
          </w:r>
          <w:r>
            <w:rPr>
              <w:rFonts w:ascii="Times New Roman" w:hAnsi="Times New Roman" w:eastAsia="Times New Roman" w:cs="Times New Roman"/>
              <w:spacing w:val="-6"/>
            </w:rPr>
            <w:t>1</w:t>
          </w:r>
          <w:r>
            <w:rPr>
              <w:spacing w:val="-6"/>
            </w:rPr>
            <w:t>、总则</w:t>
          </w:r>
          <w:r>
            <w:rPr>
              <w:spacing w:val="-81"/>
            </w:rPr>
            <w:t xml:space="preserve"> </w:t>
          </w:r>
          <w:r>
            <w:tab/>
          </w:r>
          <w:r>
            <w:rPr>
              <w:spacing w:val="-54"/>
            </w:rPr>
            <w:t xml:space="preserve"> </w:t>
          </w:r>
          <w:r>
            <w:rPr>
              <w:rFonts w:ascii="Times New Roman" w:hAnsi="Times New Roman" w:eastAsia="Times New Roman" w:cs="Times New Roman"/>
              <w:spacing w:val="-8"/>
            </w:rPr>
            <w:t>136</w:t>
          </w:r>
          <w:r>
            <w:rPr>
              <w:rFonts w:ascii="Times New Roman" w:hAnsi="Times New Roman" w:eastAsia="Times New Roman" w:cs="Times New Roman"/>
              <w:spacing w:val="-8"/>
            </w:rPr>
            <w:fldChar w:fldCharType="end"/>
          </w:r>
        </w:p>
        <w:p w14:paraId="474721D9">
          <w:pPr>
            <w:pStyle w:val="2"/>
            <w:tabs>
              <w:tab w:val="right" w:leader="dot" w:pos="9060"/>
            </w:tabs>
            <w:spacing w:before="204" w:line="200" w:lineRule="auto"/>
            <w:ind w:left="232"/>
            <w:rPr>
              <w:rFonts w:ascii="Times New Roman" w:hAnsi="Times New Roman" w:eastAsia="Times New Roman" w:cs="Times New Roman"/>
            </w:rPr>
          </w:pPr>
          <w:r>
            <w:fldChar w:fldCharType="begin"/>
          </w:r>
          <w:r>
            <w:instrText xml:space="preserve"> HYPERLINK \l "bookmark39" </w:instrText>
          </w:r>
          <w:r>
            <w:fldChar w:fldCharType="separate"/>
          </w:r>
          <w:r>
            <w:rPr>
              <w:rFonts w:ascii="Times New Roman" w:hAnsi="Times New Roman" w:eastAsia="Times New Roman" w:cs="Times New Roman"/>
              <w:spacing w:val="-3"/>
            </w:rPr>
            <w:t xml:space="preserve">1.1 </w:t>
          </w:r>
          <w:r>
            <w:rPr>
              <w:spacing w:val="-3"/>
            </w:rPr>
            <w:t>评价目的</w:t>
          </w:r>
          <w:r>
            <w:rPr>
              <w:spacing w:val="-78"/>
            </w:rPr>
            <w:t xml:space="preserve"> </w:t>
          </w:r>
          <w:r>
            <w:tab/>
          </w:r>
          <w:r>
            <w:rPr>
              <w:spacing w:val="-54"/>
            </w:rPr>
            <w:t xml:space="preserve"> </w:t>
          </w:r>
          <w:r>
            <w:rPr>
              <w:rFonts w:ascii="Times New Roman" w:hAnsi="Times New Roman" w:eastAsia="Times New Roman" w:cs="Times New Roman"/>
              <w:spacing w:val="-8"/>
            </w:rPr>
            <w:t>136</w:t>
          </w:r>
          <w:r>
            <w:rPr>
              <w:rFonts w:ascii="Times New Roman" w:hAnsi="Times New Roman" w:eastAsia="Times New Roman" w:cs="Times New Roman"/>
              <w:spacing w:val="-8"/>
            </w:rPr>
            <w:fldChar w:fldCharType="end"/>
          </w:r>
        </w:p>
        <w:p w14:paraId="18BC60A1">
          <w:pPr>
            <w:pStyle w:val="2"/>
            <w:tabs>
              <w:tab w:val="right" w:leader="dot" w:pos="9060"/>
            </w:tabs>
            <w:spacing w:before="84" w:line="200" w:lineRule="auto"/>
            <w:ind w:left="232"/>
            <w:rPr>
              <w:rFonts w:ascii="Times New Roman" w:hAnsi="Times New Roman" w:eastAsia="Times New Roman" w:cs="Times New Roman"/>
            </w:rPr>
          </w:pPr>
          <w:r>
            <w:fldChar w:fldCharType="begin"/>
          </w:r>
          <w:r>
            <w:instrText xml:space="preserve"> HYPERLINK \l "bookmark40" </w:instrText>
          </w:r>
          <w:r>
            <w:fldChar w:fldCharType="separate"/>
          </w:r>
          <w:r>
            <w:rPr>
              <w:rFonts w:ascii="Times New Roman" w:hAnsi="Times New Roman" w:eastAsia="Times New Roman" w:cs="Times New Roman"/>
              <w:spacing w:val="-3"/>
            </w:rPr>
            <w:t xml:space="preserve">1.2 </w:t>
          </w:r>
          <w:r>
            <w:rPr>
              <w:spacing w:val="-3"/>
            </w:rPr>
            <w:t>评价原则</w:t>
          </w:r>
          <w:r>
            <w:rPr>
              <w:spacing w:val="-78"/>
            </w:rPr>
            <w:t xml:space="preserve"> </w:t>
          </w:r>
          <w:r>
            <w:tab/>
          </w:r>
          <w:r>
            <w:rPr>
              <w:spacing w:val="-54"/>
            </w:rPr>
            <w:t xml:space="preserve"> </w:t>
          </w:r>
          <w:r>
            <w:rPr>
              <w:rFonts w:ascii="Times New Roman" w:hAnsi="Times New Roman" w:eastAsia="Times New Roman" w:cs="Times New Roman"/>
              <w:spacing w:val="-8"/>
            </w:rPr>
            <w:t>136</w:t>
          </w:r>
          <w:r>
            <w:rPr>
              <w:rFonts w:ascii="Times New Roman" w:hAnsi="Times New Roman" w:eastAsia="Times New Roman" w:cs="Times New Roman"/>
              <w:spacing w:val="-8"/>
            </w:rPr>
            <w:fldChar w:fldCharType="end"/>
          </w:r>
        </w:p>
        <w:p w14:paraId="677DDED9">
          <w:pPr>
            <w:pStyle w:val="2"/>
            <w:tabs>
              <w:tab w:val="right" w:leader="dot" w:pos="9060"/>
            </w:tabs>
            <w:spacing w:before="84" w:line="200" w:lineRule="auto"/>
            <w:ind w:left="232"/>
            <w:rPr>
              <w:rFonts w:ascii="Times New Roman" w:hAnsi="Times New Roman" w:eastAsia="Times New Roman" w:cs="Times New Roman"/>
            </w:rPr>
          </w:pPr>
          <w:r>
            <w:fldChar w:fldCharType="begin"/>
          </w:r>
          <w:r>
            <w:instrText xml:space="preserve"> HYPERLINK \l "bookmark41" </w:instrText>
          </w:r>
          <w:r>
            <w:fldChar w:fldCharType="separate"/>
          </w:r>
          <w:r>
            <w:rPr>
              <w:rFonts w:ascii="Times New Roman" w:hAnsi="Times New Roman" w:eastAsia="Times New Roman" w:cs="Times New Roman"/>
              <w:spacing w:val="-3"/>
            </w:rPr>
            <w:t xml:space="preserve">1.3 </w:t>
          </w:r>
          <w:r>
            <w:rPr>
              <w:spacing w:val="-3"/>
            </w:rPr>
            <w:t>编制依据</w:t>
          </w:r>
          <w:r>
            <w:rPr>
              <w:spacing w:val="-78"/>
            </w:rPr>
            <w:t xml:space="preserve"> </w:t>
          </w:r>
          <w:r>
            <w:tab/>
          </w:r>
          <w:r>
            <w:rPr>
              <w:spacing w:val="-54"/>
            </w:rPr>
            <w:t xml:space="preserve"> </w:t>
          </w:r>
          <w:r>
            <w:rPr>
              <w:rFonts w:ascii="Times New Roman" w:hAnsi="Times New Roman" w:eastAsia="Times New Roman" w:cs="Times New Roman"/>
              <w:spacing w:val="-8"/>
            </w:rPr>
            <w:t>136</w:t>
          </w:r>
          <w:r>
            <w:rPr>
              <w:rFonts w:ascii="Times New Roman" w:hAnsi="Times New Roman" w:eastAsia="Times New Roman" w:cs="Times New Roman"/>
              <w:spacing w:val="-8"/>
            </w:rPr>
            <w:fldChar w:fldCharType="end"/>
          </w:r>
        </w:p>
        <w:p w14:paraId="3447DFDF">
          <w:pPr>
            <w:pStyle w:val="2"/>
            <w:tabs>
              <w:tab w:val="right" w:leader="dot" w:pos="9060"/>
            </w:tabs>
            <w:spacing w:before="85" w:line="200" w:lineRule="auto"/>
            <w:ind w:left="232"/>
            <w:rPr>
              <w:rFonts w:ascii="Times New Roman" w:hAnsi="Times New Roman" w:eastAsia="Times New Roman" w:cs="Times New Roman"/>
            </w:rPr>
          </w:pPr>
          <w:r>
            <w:fldChar w:fldCharType="begin"/>
          </w:r>
          <w:r>
            <w:instrText xml:space="preserve"> HYPERLINK \l "bookmark42" </w:instrText>
          </w:r>
          <w:r>
            <w:fldChar w:fldCharType="separate"/>
          </w:r>
          <w:r>
            <w:rPr>
              <w:rFonts w:ascii="Times New Roman" w:hAnsi="Times New Roman" w:eastAsia="Times New Roman" w:cs="Times New Roman"/>
              <w:spacing w:val="-2"/>
            </w:rPr>
            <w:t xml:space="preserve">1.4 </w:t>
          </w:r>
          <w:r>
            <w:rPr>
              <w:spacing w:val="-2"/>
            </w:rPr>
            <w:t>评价因子、评价内容及生态评价重点</w:t>
          </w:r>
          <w:r>
            <w:rPr>
              <w:spacing w:val="-47"/>
            </w:rPr>
            <w:t xml:space="preserve"> </w:t>
          </w:r>
          <w:r>
            <w:tab/>
          </w:r>
          <w:r>
            <w:rPr>
              <w:spacing w:val="-54"/>
            </w:rPr>
            <w:t xml:space="preserve"> </w:t>
          </w:r>
          <w:r>
            <w:rPr>
              <w:rFonts w:ascii="Times New Roman" w:hAnsi="Times New Roman" w:eastAsia="Times New Roman" w:cs="Times New Roman"/>
              <w:spacing w:val="-8"/>
            </w:rPr>
            <w:t>140</w:t>
          </w:r>
          <w:r>
            <w:rPr>
              <w:rFonts w:ascii="Times New Roman" w:hAnsi="Times New Roman" w:eastAsia="Times New Roman" w:cs="Times New Roman"/>
              <w:spacing w:val="-8"/>
            </w:rPr>
            <w:fldChar w:fldCharType="end"/>
          </w:r>
        </w:p>
        <w:p w14:paraId="34AE796D">
          <w:pPr>
            <w:pStyle w:val="2"/>
            <w:tabs>
              <w:tab w:val="right" w:leader="dot" w:pos="9060"/>
            </w:tabs>
            <w:spacing w:before="84" w:line="200" w:lineRule="auto"/>
            <w:ind w:left="232"/>
            <w:rPr>
              <w:rFonts w:ascii="Times New Roman" w:hAnsi="Times New Roman" w:eastAsia="Times New Roman" w:cs="Times New Roman"/>
            </w:rPr>
          </w:pPr>
          <w:r>
            <w:fldChar w:fldCharType="begin"/>
          </w:r>
          <w:r>
            <w:instrText xml:space="preserve"> HYPERLINK \l "bookmark43" </w:instrText>
          </w:r>
          <w:r>
            <w:fldChar w:fldCharType="separate"/>
          </w:r>
          <w:r>
            <w:rPr>
              <w:rFonts w:ascii="Times New Roman" w:hAnsi="Times New Roman" w:eastAsia="Times New Roman" w:cs="Times New Roman"/>
              <w:spacing w:val="-2"/>
            </w:rPr>
            <w:t xml:space="preserve">1.5 </w:t>
          </w:r>
          <w:r>
            <w:rPr>
              <w:spacing w:val="-2"/>
            </w:rPr>
            <w:t>评价等级和范围</w:t>
          </w:r>
          <w:r>
            <w:rPr>
              <w:spacing w:val="-76"/>
            </w:rPr>
            <w:t xml:space="preserve"> </w:t>
          </w:r>
          <w:r>
            <w:tab/>
          </w:r>
          <w:r>
            <w:rPr>
              <w:spacing w:val="-54"/>
            </w:rPr>
            <w:t xml:space="preserve"> </w:t>
          </w:r>
          <w:r>
            <w:rPr>
              <w:rFonts w:ascii="Times New Roman" w:hAnsi="Times New Roman" w:eastAsia="Times New Roman" w:cs="Times New Roman"/>
              <w:spacing w:val="-8"/>
            </w:rPr>
            <w:t>141</w:t>
          </w:r>
          <w:r>
            <w:rPr>
              <w:rFonts w:ascii="Times New Roman" w:hAnsi="Times New Roman" w:eastAsia="Times New Roman" w:cs="Times New Roman"/>
              <w:spacing w:val="-8"/>
            </w:rPr>
            <w:fldChar w:fldCharType="end"/>
          </w:r>
        </w:p>
        <w:p w14:paraId="7530D2CC">
          <w:pPr>
            <w:pStyle w:val="2"/>
            <w:tabs>
              <w:tab w:val="right" w:leader="dot" w:pos="9060"/>
            </w:tabs>
            <w:spacing w:before="85" w:line="200" w:lineRule="auto"/>
            <w:ind w:left="232"/>
            <w:rPr>
              <w:rFonts w:ascii="Times New Roman" w:hAnsi="Times New Roman" w:eastAsia="Times New Roman" w:cs="Times New Roman"/>
            </w:rPr>
          </w:pPr>
          <w:r>
            <w:fldChar w:fldCharType="begin"/>
          </w:r>
          <w:r>
            <w:instrText xml:space="preserve"> HYPERLINK \l "bookmark44" </w:instrText>
          </w:r>
          <w:r>
            <w:fldChar w:fldCharType="separate"/>
          </w:r>
          <w:r>
            <w:rPr>
              <w:rFonts w:ascii="Times New Roman" w:hAnsi="Times New Roman" w:eastAsia="Times New Roman" w:cs="Times New Roman"/>
              <w:spacing w:val="-2"/>
            </w:rPr>
            <w:t xml:space="preserve">1.6 </w:t>
          </w:r>
          <w:r>
            <w:rPr>
              <w:spacing w:val="-2"/>
            </w:rPr>
            <w:t>生态环境保护目标</w:t>
          </w:r>
          <w:r>
            <w:rPr>
              <w:spacing w:val="-73"/>
            </w:rPr>
            <w:t xml:space="preserve"> </w:t>
          </w:r>
          <w:r>
            <w:tab/>
          </w:r>
          <w:r>
            <w:rPr>
              <w:spacing w:val="-54"/>
            </w:rPr>
            <w:t xml:space="preserve"> </w:t>
          </w:r>
          <w:r>
            <w:rPr>
              <w:rFonts w:ascii="Times New Roman" w:hAnsi="Times New Roman" w:eastAsia="Times New Roman" w:cs="Times New Roman"/>
              <w:spacing w:val="-8"/>
            </w:rPr>
            <w:t>143</w:t>
          </w:r>
          <w:r>
            <w:rPr>
              <w:rFonts w:ascii="Times New Roman" w:hAnsi="Times New Roman" w:eastAsia="Times New Roman" w:cs="Times New Roman"/>
              <w:spacing w:val="-8"/>
            </w:rPr>
            <w:fldChar w:fldCharType="end"/>
          </w:r>
        </w:p>
        <w:p w14:paraId="5CFBD59E">
          <w:pPr>
            <w:pStyle w:val="2"/>
            <w:tabs>
              <w:tab w:val="right" w:leader="dot" w:pos="9060"/>
            </w:tabs>
            <w:spacing w:before="204" w:line="200" w:lineRule="auto"/>
            <w:ind w:left="1"/>
            <w:rPr>
              <w:rFonts w:ascii="Times New Roman" w:hAnsi="Times New Roman" w:eastAsia="Times New Roman" w:cs="Times New Roman"/>
            </w:rPr>
          </w:pPr>
          <w:r>
            <w:fldChar w:fldCharType="begin"/>
          </w:r>
          <w:r>
            <w:instrText xml:space="preserve"> HYPERLINK \l "bookmark45" </w:instrText>
          </w:r>
          <w:r>
            <w:fldChar w:fldCharType="separate"/>
          </w:r>
          <w:r>
            <w:rPr>
              <w:rFonts w:ascii="Times New Roman" w:hAnsi="Times New Roman" w:eastAsia="Times New Roman" w:cs="Times New Roman"/>
              <w:spacing w:val="-1"/>
            </w:rPr>
            <w:t>2</w:t>
          </w:r>
          <w:r>
            <w:rPr>
              <w:spacing w:val="-1"/>
            </w:rPr>
            <w:t>、生态环境现状调查</w:t>
          </w:r>
          <w:r>
            <w:rPr>
              <w:spacing w:val="-67"/>
            </w:rPr>
            <w:t xml:space="preserve"> </w:t>
          </w:r>
          <w:r>
            <w:tab/>
          </w:r>
          <w:r>
            <w:rPr>
              <w:spacing w:val="-54"/>
            </w:rPr>
            <w:t xml:space="preserve"> </w:t>
          </w:r>
          <w:r>
            <w:rPr>
              <w:rFonts w:ascii="Times New Roman" w:hAnsi="Times New Roman" w:eastAsia="Times New Roman" w:cs="Times New Roman"/>
              <w:spacing w:val="-8"/>
            </w:rPr>
            <w:t>145</w:t>
          </w:r>
          <w:r>
            <w:rPr>
              <w:rFonts w:ascii="Times New Roman" w:hAnsi="Times New Roman" w:eastAsia="Times New Roman" w:cs="Times New Roman"/>
              <w:spacing w:val="-8"/>
            </w:rPr>
            <w:fldChar w:fldCharType="end"/>
          </w:r>
        </w:p>
        <w:p w14:paraId="2D188BF5">
          <w:pPr>
            <w:pStyle w:val="2"/>
            <w:tabs>
              <w:tab w:val="right" w:leader="dot" w:pos="9060"/>
            </w:tabs>
            <w:spacing w:before="206" w:line="200" w:lineRule="auto"/>
            <w:ind w:left="212"/>
            <w:rPr>
              <w:rFonts w:ascii="Times New Roman" w:hAnsi="Times New Roman" w:eastAsia="Times New Roman" w:cs="Times New Roman"/>
            </w:rPr>
          </w:pPr>
          <w:r>
            <w:fldChar w:fldCharType="begin"/>
          </w:r>
          <w:r>
            <w:instrText xml:space="preserve"> HYPERLINK \l "bookmark46" </w:instrText>
          </w:r>
          <w:r>
            <w:fldChar w:fldCharType="separate"/>
          </w:r>
          <w:r>
            <w:rPr>
              <w:rFonts w:ascii="Times New Roman" w:hAnsi="Times New Roman" w:eastAsia="Times New Roman" w:cs="Times New Roman"/>
              <w:spacing w:val="-2"/>
            </w:rPr>
            <w:t>2.1</w:t>
          </w:r>
          <w:r>
            <w:rPr>
              <w:rFonts w:ascii="Times New Roman" w:hAnsi="Times New Roman" w:eastAsia="Times New Roman" w:cs="Times New Roman"/>
              <w:spacing w:val="10"/>
            </w:rPr>
            <w:t xml:space="preserve"> </w:t>
          </w:r>
          <w:r>
            <w:rPr>
              <w:spacing w:val="-2"/>
            </w:rPr>
            <w:t>调查情况</w:t>
          </w:r>
          <w:r>
            <w:rPr>
              <w:spacing w:val="-78"/>
            </w:rPr>
            <w:t xml:space="preserve"> </w:t>
          </w:r>
          <w:r>
            <w:tab/>
          </w:r>
          <w:r>
            <w:rPr>
              <w:spacing w:val="-54"/>
            </w:rPr>
            <w:t xml:space="preserve"> </w:t>
          </w:r>
          <w:r>
            <w:rPr>
              <w:rFonts w:ascii="Times New Roman" w:hAnsi="Times New Roman" w:eastAsia="Times New Roman" w:cs="Times New Roman"/>
              <w:spacing w:val="-8"/>
            </w:rPr>
            <w:t>145</w:t>
          </w:r>
          <w:r>
            <w:rPr>
              <w:rFonts w:ascii="Times New Roman" w:hAnsi="Times New Roman" w:eastAsia="Times New Roman" w:cs="Times New Roman"/>
              <w:spacing w:val="-8"/>
            </w:rPr>
            <w:fldChar w:fldCharType="end"/>
          </w:r>
        </w:p>
        <w:p w14:paraId="6B643B64">
          <w:pPr>
            <w:pStyle w:val="2"/>
            <w:tabs>
              <w:tab w:val="right" w:leader="dot" w:pos="9060"/>
            </w:tabs>
            <w:spacing w:before="84" w:line="200" w:lineRule="auto"/>
            <w:ind w:left="212"/>
            <w:rPr>
              <w:rFonts w:ascii="Times New Roman" w:hAnsi="Times New Roman" w:eastAsia="Times New Roman" w:cs="Times New Roman"/>
            </w:rPr>
          </w:pPr>
          <w:r>
            <w:fldChar w:fldCharType="begin"/>
          </w:r>
          <w:r>
            <w:instrText xml:space="preserve"> HYPERLINK \l "bookmark47" </w:instrText>
          </w:r>
          <w:r>
            <w:fldChar w:fldCharType="separate"/>
          </w:r>
          <w:r>
            <w:rPr>
              <w:rFonts w:ascii="Times New Roman" w:hAnsi="Times New Roman" w:eastAsia="Times New Roman" w:cs="Times New Roman"/>
              <w:spacing w:val="-1"/>
            </w:rPr>
            <w:t xml:space="preserve">2.2 </w:t>
          </w:r>
          <w:r>
            <w:rPr>
              <w:spacing w:val="-1"/>
            </w:rPr>
            <w:t>现状调查结果</w:t>
          </w:r>
          <w:r>
            <w:rPr>
              <w:spacing w:val="-70"/>
            </w:rPr>
            <w:t xml:space="preserve"> </w:t>
          </w:r>
          <w:r>
            <w:tab/>
          </w:r>
          <w:r>
            <w:rPr>
              <w:spacing w:val="-54"/>
            </w:rPr>
            <w:t xml:space="preserve"> </w:t>
          </w:r>
          <w:r>
            <w:rPr>
              <w:rFonts w:ascii="Times New Roman" w:hAnsi="Times New Roman" w:eastAsia="Times New Roman" w:cs="Times New Roman"/>
              <w:spacing w:val="-8"/>
            </w:rPr>
            <w:t>149</w:t>
          </w:r>
          <w:r>
            <w:rPr>
              <w:rFonts w:ascii="Times New Roman" w:hAnsi="Times New Roman" w:eastAsia="Times New Roman" w:cs="Times New Roman"/>
              <w:spacing w:val="-8"/>
            </w:rPr>
            <w:fldChar w:fldCharType="end"/>
          </w:r>
        </w:p>
        <w:p w14:paraId="4FEF912A">
          <w:pPr>
            <w:pStyle w:val="2"/>
            <w:tabs>
              <w:tab w:val="right" w:leader="dot" w:pos="9060"/>
            </w:tabs>
            <w:spacing w:before="205" w:line="200" w:lineRule="auto"/>
            <w:ind w:left="5"/>
            <w:rPr>
              <w:rFonts w:ascii="Times New Roman" w:hAnsi="Times New Roman" w:eastAsia="Times New Roman" w:cs="Times New Roman"/>
            </w:rPr>
          </w:pPr>
          <w:r>
            <w:fldChar w:fldCharType="begin"/>
          </w:r>
          <w:r>
            <w:instrText xml:space="preserve"> HYPERLINK \l "bookmark48" </w:instrText>
          </w:r>
          <w:r>
            <w:fldChar w:fldCharType="separate"/>
          </w:r>
          <w:r>
            <w:rPr>
              <w:rFonts w:ascii="Times New Roman" w:hAnsi="Times New Roman" w:eastAsia="Times New Roman" w:cs="Times New Roman"/>
              <w:spacing w:val="-1"/>
            </w:rPr>
            <w:t>3</w:t>
          </w:r>
          <w:r>
            <w:rPr>
              <w:spacing w:val="-1"/>
            </w:rPr>
            <w:t>、生态影响预测与评价</w:t>
          </w:r>
          <w:r>
            <w:rPr>
              <w:spacing w:val="-69"/>
            </w:rPr>
            <w:t xml:space="preserve"> </w:t>
          </w:r>
          <w:r>
            <w:tab/>
          </w:r>
          <w:r>
            <w:rPr>
              <w:spacing w:val="-54"/>
            </w:rPr>
            <w:t xml:space="preserve"> </w:t>
          </w:r>
          <w:r>
            <w:rPr>
              <w:rFonts w:ascii="Times New Roman" w:hAnsi="Times New Roman" w:eastAsia="Times New Roman" w:cs="Times New Roman"/>
              <w:spacing w:val="-8"/>
            </w:rPr>
            <w:t>175</w:t>
          </w:r>
          <w:r>
            <w:rPr>
              <w:rFonts w:ascii="Times New Roman" w:hAnsi="Times New Roman" w:eastAsia="Times New Roman" w:cs="Times New Roman"/>
              <w:spacing w:val="-8"/>
            </w:rPr>
            <w:fldChar w:fldCharType="end"/>
          </w:r>
        </w:p>
        <w:p w14:paraId="7AF398D7">
          <w:pPr>
            <w:pStyle w:val="2"/>
            <w:tabs>
              <w:tab w:val="right" w:leader="dot" w:pos="9060"/>
            </w:tabs>
            <w:spacing w:before="204" w:line="200" w:lineRule="auto"/>
            <w:ind w:left="216"/>
            <w:rPr>
              <w:rFonts w:ascii="Times New Roman" w:hAnsi="Times New Roman" w:eastAsia="Times New Roman" w:cs="Times New Roman"/>
            </w:rPr>
          </w:pPr>
          <w:r>
            <w:fldChar w:fldCharType="begin"/>
          </w:r>
          <w:r>
            <w:instrText xml:space="preserve"> HYPERLINK \l "bookmark49" </w:instrText>
          </w:r>
          <w:r>
            <w:fldChar w:fldCharType="separate"/>
          </w:r>
          <w:r>
            <w:rPr>
              <w:rFonts w:ascii="Times New Roman" w:hAnsi="Times New Roman" w:eastAsia="Times New Roman" w:cs="Times New Roman"/>
              <w:spacing w:val="-1"/>
            </w:rPr>
            <w:t xml:space="preserve">3.1 </w:t>
          </w:r>
          <w:r>
            <w:rPr>
              <w:spacing w:val="-1"/>
            </w:rPr>
            <w:t>项目占地影响评价</w:t>
          </w:r>
          <w:r>
            <w:rPr>
              <w:spacing w:val="-69"/>
            </w:rPr>
            <w:t xml:space="preserve"> </w:t>
          </w:r>
          <w:r>
            <w:tab/>
          </w:r>
          <w:r>
            <w:rPr>
              <w:spacing w:val="-54"/>
            </w:rPr>
            <w:t xml:space="preserve"> </w:t>
          </w:r>
          <w:r>
            <w:rPr>
              <w:rFonts w:ascii="Times New Roman" w:hAnsi="Times New Roman" w:eastAsia="Times New Roman" w:cs="Times New Roman"/>
              <w:spacing w:val="-8"/>
            </w:rPr>
            <w:t>175</w:t>
          </w:r>
          <w:r>
            <w:rPr>
              <w:rFonts w:ascii="Times New Roman" w:hAnsi="Times New Roman" w:eastAsia="Times New Roman" w:cs="Times New Roman"/>
              <w:spacing w:val="-8"/>
            </w:rPr>
            <w:fldChar w:fldCharType="end"/>
          </w:r>
        </w:p>
        <w:p w14:paraId="4E0160C8">
          <w:pPr>
            <w:pStyle w:val="2"/>
            <w:tabs>
              <w:tab w:val="right" w:leader="dot" w:pos="9060"/>
            </w:tabs>
            <w:spacing w:before="85" w:line="200" w:lineRule="auto"/>
            <w:ind w:left="216"/>
            <w:rPr>
              <w:rFonts w:ascii="Times New Roman" w:hAnsi="Times New Roman" w:eastAsia="Times New Roman" w:cs="Times New Roman"/>
            </w:rPr>
          </w:pPr>
          <w:r>
            <w:fldChar w:fldCharType="begin"/>
          </w:r>
          <w:r>
            <w:instrText xml:space="preserve"> HYPERLINK \l "bookmark50" </w:instrText>
          </w:r>
          <w:r>
            <w:fldChar w:fldCharType="separate"/>
          </w:r>
          <w:r>
            <w:rPr>
              <w:rFonts w:ascii="Times New Roman" w:hAnsi="Times New Roman" w:eastAsia="Times New Roman" w:cs="Times New Roman"/>
              <w:spacing w:val="-1"/>
            </w:rPr>
            <w:t xml:space="preserve">3.2 </w:t>
          </w:r>
          <w:r>
            <w:rPr>
              <w:spacing w:val="-1"/>
            </w:rPr>
            <w:t>生态系统的影响分析</w:t>
          </w:r>
          <w:r>
            <w:rPr>
              <w:spacing w:val="-67"/>
            </w:rPr>
            <w:t xml:space="preserve"> </w:t>
          </w:r>
          <w:r>
            <w:tab/>
          </w:r>
          <w:r>
            <w:rPr>
              <w:spacing w:val="-54"/>
            </w:rPr>
            <w:t xml:space="preserve"> </w:t>
          </w:r>
          <w:r>
            <w:rPr>
              <w:rFonts w:ascii="Times New Roman" w:hAnsi="Times New Roman" w:eastAsia="Times New Roman" w:cs="Times New Roman"/>
              <w:spacing w:val="-8"/>
            </w:rPr>
            <w:t>176</w:t>
          </w:r>
          <w:r>
            <w:rPr>
              <w:rFonts w:ascii="Times New Roman" w:hAnsi="Times New Roman" w:eastAsia="Times New Roman" w:cs="Times New Roman"/>
              <w:spacing w:val="-8"/>
            </w:rPr>
            <w:fldChar w:fldCharType="end"/>
          </w:r>
        </w:p>
        <w:p w14:paraId="281F37E2">
          <w:pPr>
            <w:pStyle w:val="2"/>
            <w:tabs>
              <w:tab w:val="right" w:leader="dot" w:pos="9060"/>
            </w:tabs>
            <w:spacing w:before="84" w:line="200" w:lineRule="auto"/>
            <w:ind w:left="216"/>
            <w:rPr>
              <w:rFonts w:ascii="Times New Roman" w:hAnsi="Times New Roman" w:eastAsia="Times New Roman" w:cs="Times New Roman"/>
            </w:rPr>
          </w:pPr>
          <w:r>
            <w:fldChar w:fldCharType="begin"/>
          </w:r>
          <w:r>
            <w:instrText xml:space="preserve"> HYPERLINK \l "bookmark51" </w:instrText>
          </w:r>
          <w:r>
            <w:fldChar w:fldCharType="separate"/>
          </w:r>
          <w:r>
            <w:rPr>
              <w:rFonts w:ascii="Times New Roman" w:hAnsi="Times New Roman" w:eastAsia="Times New Roman" w:cs="Times New Roman"/>
              <w:spacing w:val="-1"/>
            </w:rPr>
            <w:t xml:space="preserve">3.3 </w:t>
          </w:r>
          <w:r>
            <w:rPr>
              <w:spacing w:val="-1"/>
            </w:rPr>
            <w:t>项目对植被的影响</w:t>
          </w:r>
          <w:r>
            <w:rPr>
              <w:spacing w:val="-69"/>
            </w:rPr>
            <w:t xml:space="preserve"> </w:t>
          </w:r>
          <w:r>
            <w:tab/>
          </w:r>
          <w:r>
            <w:rPr>
              <w:spacing w:val="-54"/>
            </w:rPr>
            <w:t xml:space="preserve"> </w:t>
          </w:r>
          <w:r>
            <w:rPr>
              <w:rFonts w:ascii="Times New Roman" w:hAnsi="Times New Roman" w:eastAsia="Times New Roman" w:cs="Times New Roman"/>
              <w:spacing w:val="-8"/>
            </w:rPr>
            <w:t>178</w:t>
          </w:r>
          <w:r>
            <w:rPr>
              <w:rFonts w:ascii="Times New Roman" w:hAnsi="Times New Roman" w:eastAsia="Times New Roman" w:cs="Times New Roman"/>
              <w:spacing w:val="-8"/>
            </w:rPr>
            <w:fldChar w:fldCharType="end"/>
          </w:r>
        </w:p>
        <w:p w14:paraId="61DDD63D">
          <w:pPr>
            <w:pStyle w:val="2"/>
            <w:tabs>
              <w:tab w:val="right" w:leader="dot" w:pos="9060"/>
            </w:tabs>
            <w:spacing w:before="85" w:line="200" w:lineRule="auto"/>
            <w:ind w:left="216"/>
            <w:rPr>
              <w:rFonts w:ascii="Times New Roman" w:hAnsi="Times New Roman" w:eastAsia="Times New Roman" w:cs="Times New Roman"/>
            </w:rPr>
          </w:pPr>
          <w:r>
            <w:fldChar w:fldCharType="begin"/>
          </w:r>
          <w:r>
            <w:instrText xml:space="preserve"> HYPERLINK \l "bookmark52" </w:instrText>
          </w:r>
          <w:r>
            <w:fldChar w:fldCharType="separate"/>
          </w:r>
          <w:r>
            <w:rPr>
              <w:rFonts w:ascii="Times New Roman" w:hAnsi="Times New Roman" w:eastAsia="Times New Roman" w:cs="Times New Roman"/>
              <w:spacing w:val="-1"/>
            </w:rPr>
            <w:t xml:space="preserve">3.4 </w:t>
          </w:r>
          <w:r>
            <w:rPr>
              <w:spacing w:val="-1"/>
            </w:rPr>
            <w:t>项目对陆生动物的影响</w:t>
          </w:r>
          <w:r>
            <w:rPr>
              <w:spacing w:val="-65"/>
            </w:rPr>
            <w:t xml:space="preserve"> </w:t>
          </w:r>
          <w:r>
            <w:tab/>
          </w:r>
          <w:r>
            <w:rPr>
              <w:spacing w:val="-54"/>
            </w:rPr>
            <w:t xml:space="preserve"> </w:t>
          </w:r>
          <w:r>
            <w:rPr>
              <w:rFonts w:ascii="Times New Roman" w:hAnsi="Times New Roman" w:eastAsia="Times New Roman" w:cs="Times New Roman"/>
              <w:spacing w:val="-8"/>
            </w:rPr>
            <w:t>182</w:t>
          </w:r>
          <w:r>
            <w:rPr>
              <w:rFonts w:ascii="Times New Roman" w:hAnsi="Times New Roman" w:eastAsia="Times New Roman" w:cs="Times New Roman"/>
              <w:spacing w:val="-8"/>
            </w:rPr>
            <w:fldChar w:fldCharType="end"/>
          </w:r>
        </w:p>
        <w:p w14:paraId="7CEB00AA">
          <w:pPr>
            <w:pStyle w:val="2"/>
            <w:tabs>
              <w:tab w:val="right" w:leader="dot" w:pos="9060"/>
            </w:tabs>
            <w:spacing w:before="84" w:line="200" w:lineRule="auto"/>
            <w:ind w:left="216"/>
            <w:rPr>
              <w:rFonts w:ascii="Times New Roman" w:hAnsi="Times New Roman" w:eastAsia="Times New Roman" w:cs="Times New Roman"/>
            </w:rPr>
          </w:pPr>
          <w:r>
            <w:fldChar w:fldCharType="begin"/>
          </w:r>
          <w:r>
            <w:instrText xml:space="preserve"> HYPERLINK \l "bookmark53" </w:instrText>
          </w:r>
          <w:r>
            <w:fldChar w:fldCharType="separate"/>
          </w:r>
          <w:r>
            <w:rPr>
              <w:rFonts w:ascii="Times New Roman" w:hAnsi="Times New Roman" w:eastAsia="Times New Roman" w:cs="Times New Roman"/>
              <w:spacing w:val="-1"/>
            </w:rPr>
            <w:t xml:space="preserve">3.5 </w:t>
          </w:r>
          <w:r>
            <w:rPr>
              <w:spacing w:val="-1"/>
            </w:rPr>
            <w:t>项目对生态保护红线的影响</w:t>
          </w:r>
          <w:r>
            <w:rPr>
              <w:spacing w:val="-60"/>
            </w:rPr>
            <w:t xml:space="preserve"> </w:t>
          </w:r>
          <w:r>
            <w:tab/>
          </w:r>
          <w:r>
            <w:rPr>
              <w:spacing w:val="-54"/>
            </w:rPr>
            <w:t xml:space="preserve"> </w:t>
          </w:r>
          <w:r>
            <w:rPr>
              <w:rFonts w:ascii="Times New Roman" w:hAnsi="Times New Roman" w:eastAsia="Times New Roman" w:cs="Times New Roman"/>
              <w:spacing w:val="-8"/>
            </w:rPr>
            <w:t>184</w:t>
          </w:r>
          <w:r>
            <w:rPr>
              <w:rFonts w:ascii="Times New Roman" w:hAnsi="Times New Roman" w:eastAsia="Times New Roman" w:cs="Times New Roman"/>
              <w:spacing w:val="-8"/>
            </w:rPr>
            <w:fldChar w:fldCharType="end"/>
          </w:r>
        </w:p>
        <w:p w14:paraId="2A5577A4">
          <w:pPr>
            <w:pStyle w:val="2"/>
            <w:tabs>
              <w:tab w:val="right" w:leader="dot" w:pos="9060"/>
            </w:tabs>
            <w:spacing w:before="205" w:line="200" w:lineRule="auto"/>
            <w:rPr>
              <w:rFonts w:ascii="Times New Roman" w:hAnsi="Times New Roman" w:eastAsia="Times New Roman" w:cs="Times New Roman"/>
            </w:rPr>
          </w:pPr>
          <w:r>
            <w:fldChar w:fldCharType="begin"/>
          </w:r>
          <w:r>
            <w:instrText xml:space="preserve"> HYPERLINK \l "bookmark54" </w:instrText>
          </w:r>
          <w:r>
            <w:fldChar w:fldCharType="separate"/>
          </w:r>
          <w:r>
            <w:rPr>
              <w:rFonts w:ascii="Times New Roman" w:hAnsi="Times New Roman" w:eastAsia="Times New Roman" w:cs="Times New Roman"/>
              <w:spacing w:val="-1"/>
            </w:rPr>
            <w:t>4</w:t>
          </w:r>
          <w:r>
            <w:rPr>
              <w:spacing w:val="-1"/>
            </w:rPr>
            <w:t>、生态保护与恢复措施</w:t>
          </w:r>
          <w:r>
            <w:rPr>
              <w:spacing w:val="-64"/>
            </w:rPr>
            <w:t xml:space="preserve"> </w:t>
          </w:r>
          <w:r>
            <w:tab/>
          </w:r>
          <w:r>
            <w:rPr>
              <w:spacing w:val="-54"/>
            </w:rPr>
            <w:t xml:space="preserve"> </w:t>
          </w:r>
          <w:r>
            <w:rPr>
              <w:rFonts w:ascii="Times New Roman" w:hAnsi="Times New Roman" w:eastAsia="Times New Roman" w:cs="Times New Roman"/>
              <w:spacing w:val="-8"/>
            </w:rPr>
            <w:t>186</w:t>
          </w:r>
          <w:r>
            <w:rPr>
              <w:rFonts w:ascii="Times New Roman" w:hAnsi="Times New Roman" w:eastAsia="Times New Roman" w:cs="Times New Roman"/>
              <w:spacing w:val="-8"/>
            </w:rPr>
            <w:fldChar w:fldCharType="end"/>
          </w:r>
        </w:p>
        <w:p w14:paraId="2897DADF">
          <w:pPr>
            <w:pStyle w:val="2"/>
            <w:tabs>
              <w:tab w:val="right" w:leader="dot" w:pos="9060"/>
            </w:tabs>
            <w:spacing w:before="204" w:line="200" w:lineRule="auto"/>
            <w:ind w:left="211"/>
            <w:rPr>
              <w:rFonts w:ascii="Times New Roman" w:hAnsi="Times New Roman" w:eastAsia="Times New Roman" w:cs="Times New Roman"/>
            </w:rPr>
          </w:pPr>
          <w:r>
            <w:fldChar w:fldCharType="begin"/>
          </w:r>
          <w:r>
            <w:instrText xml:space="preserve"> HYPERLINK \l "bookmark55" </w:instrText>
          </w:r>
          <w:r>
            <w:fldChar w:fldCharType="separate"/>
          </w:r>
          <w:r>
            <w:rPr>
              <w:rFonts w:ascii="Times New Roman" w:hAnsi="Times New Roman" w:eastAsia="Times New Roman" w:cs="Times New Roman"/>
              <w:spacing w:val="-1"/>
            </w:rPr>
            <w:t xml:space="preserve">4.1 </w:t>
          </w:r>
          <w:r>
            <w:rPr>
              <w:spacing w:val="-1"/>
            </w:rPr>
            <w:t>植被及植物的保护措施</w:t>
          </w:r>
          <w:r>
            <w:rPr>
              <w:spacing w:val="-59"/>
            </w:rPr>
            <w:t xml:space="preserve"> </w:t>
          </w:r>
          <w:r>
            <w:tab/>
          </w:r>
          <w:r>
            <w:rPr>
              <w:spacing w:val="-54"/>
            </w:rPr>
            <w:t xml:space="preserve"> </w:t>
          </w:r>
          <w:r>
            <w:rPr>
              <w:rFonts w:ascii="Times New Roman" w:hAnsi="Times New Roman" w:eastAsia="Times New Roman" w:cs="Times New Roman"/>
              <w:spacing w:val="-8"/>
            </w:rPr>
            <w:t>186</w:t>
          </w:r>
          <w:r>
            <w:rPr>
              <w:rFonts w:ascii="Times New Roman" w:hAnsi="Times New Roman" w:eastAsia="Times New Roman" w:cs="Times New Roman"/>
              <w:spacing w:val="-8"/>
            </w:rPr>
            <w:fldChar w:fldCharType="end"/>
          </w:r>
        </w:p>
        <w:p w14:paraId="2EE51A16">
          <w:pPr>
            <w:pStyle w:val="2"/>
            <w:tabs>
              <w:tab w:val="right" w:leader="dot" w:pos="9060"/>
            </w:tabs>
            <w:spacing w:before="85" w:line="200" w:lineRule="auto"/>
            <w:ind w:left="211"/>
            <w:rPr>
              <w:rFonts w:ascii="Times New Roman" w:hAnsi="Times New Roman" w:eastAsia="Times New Roman" w:cs="Times New Roman"/>
            </w:rPr>
          </w:pPr>
          <w:r>
            <w:fldChar w:fldCharType="begin"/>
          </w:r>
          <w:r>
            <w:instrText xml:space="preserve"> HYPERLINK \l "bookmark56" </w:instrText>
          </w:r>
          <w:r>
            <w:fldChar w:fldCharType="separate"/>
          </w:r>
          <w:r>
            <w:rPr>
              <w:rFonts w:ascii="Times New Roman" w:hAnsi="Times New Roman" w:eastAsia="Times New Roman" w:cs="Times New Roman"/>
              <w:spacing w:val="-1"/>
            </w:rPr>
            <w:t xml:space="preserve">4.2 </w:t>
          </w:r>
          <w:r>
            <w:rPr>
              <w:spacing w:val="-1"/>
            </w:rPr>
            <w:t>脊椎动物保护措施</w:t>
          </w:r>
          <w:r>
            <w:rPr>
              <w:spacing w:val="-64"/>
            </w:rPr>
            <w:t xml:space="preserve"> </w:t>
          </w:r>
          <w:r>
            <w:tab/>
          </w:r>
          <w:r>
            <w:rPr>
              <w:spacing w:val="-54"/>
            </w:rPr>
            <w:t xml:space="preserve"> </w:t>
          </w:r>
          <w:r>
            <w:rPr>
              <w:rFonts w:ascii="Times New Roman" w:hAnsi="Times New Roman" w:eastAsia="Times New Roman" w:cs="Times New Roman"/>
              <w:spacing w:val="-8"/>
            </w:rPr>
            <w:t>186</w:t>
          </w:r>
          <w:r>
            <w:rPr>
              <w:rFonts w:ascii="Times New Roman" w:hAnsi="Times New Roman" w:eastAsia="Times New Roman" w:cs="Times New Roman"/>
              <w:spacing w:val="-8"/>
            </w:rPr>
            <w:fldChar w:fldCharType="end"/>
          </w:r>
        </w:p>
        <w:p w14:paraId="4FC8D8FA">
          <w:pPr>
            <w:pStyle w:val="2"/>
            <w:tabs>
              <w:tab w:val="right" w:leader="dot" w:pos="9060"/>
            </w:tabs>
            <w:spacing w:before="84" w:line="200" w:lineRule="auto"/>
            <w:ind w:left="211"/>
            <w:rPr>
              <w:rFonts w:ascii="Times New Roman" w:hAnsi="Times New Roman" w:eastAsia="Times New Roman" w:cs="Times New Roman"/>
            </w:rPr>
          </w:pPr>
          <w:r>
            <w:fldChar w:fldCharType="begin"/>
          </w:r>
          <w:r>
            <w:instrText xml:space="preserve"> HYPERLINK \l "bookmark57" </w:instrText>
          </w:r>
          <w:r>
            <w:fldChar w:fldCharType="separate"/>
          </w:r>
          <w:r>
            <w:rPr>
              <w:rFonts w:ascii="Times New Roman" w:hAnsi="Times New Roman" w:eastAsia="Times New Roman" w:cs="Times New Roman"/>
              <w:spacing w:val="-1"/>
            </w:rPr>
            <w:t xml:space="preserve">4.3 </w:t>
          </w:r>
          <w:r>
            <w:rPr>
              <w:spacing w:val="-1"/>
            </w:rPr>
            <w:t>生态保护红线的保护措施</w:t>
          </w:r>
          <w:r>
            <w:rPr>
              <w:spacing w:val="-57"/>
            </w:rPr>
            <w:t xml:space="preserve"> </w:t>
          </w:r>
          <w:r>
            <w:tab/>
          </w:r>
          <w:r>
            <w:rPr>
              <w:spacing w:val="-54"/>
            </w:rPr>
            <w:t xml:space="preserve"> </w:t>
          </w:r>
          <w:r>
            <w:rPr>
              <w:rFonts w:ascii="Times New Roman" w:hAnsi="Times New Roman" w:eastAsia="Times New Roman" w:cs="Times New Roman"/>
              <w:spacing w:val="-8"/>
            </w:rPr>
            <w:t>187</w:t>
          </w:r>
          <w:r>
            <w:rPr>
              <w:rFonts w:ascii="Times New Roman" w:hAnsi="Times New Roman" w:eastAsia="Times New Roman" w:cs="Times New Roman"/>
              <w:spacing w:val="-8"/>
            </w:rPr>
            <w:fldChar w:fldCharType="end"/>
          </w:r>
        </w:p>
        <w:p w14:paraId="6E3065AB">
          <w:pPr>
            <w:pStyle w:val="2"/>
            <w:tabs>
              <w:tab w:val="right" w:leader="dot" w:pos="9060"/>
            </w:tabs>
            <w:spacing w:before="205" w:line="234" w:lineRule="auto"/>
            <w:ind w:left="6"/>
            <w:rPr>
              <w:rFonts w:ascii="Times New Roman" w:hAnsi="Times New Roman" w:eastAsia="Times New Roman" w:cs="Times New Roman"/>
            </w:rPr>
          </w:pPr>
          <w:r>
            <w:fldChar w:fldCharType="begin"/>
          </w:r>
          <w:r>
            <w:instrText xml:space="preserve"> HYPERLINK \l "bookmark58" </w:instrText>
          </w:r>
          <w:r>
            <w:fldChar w:fldCharType="separate"/>
          </w:r>
          <w:r>
            <w:rPr>
              <w:rFonts w:ascii="Times New Roman" w:hAnsi="Times New Roman" w:eastAsia="Times New Roman" w:cs="Times New Roman"/>
              <w:spacing w:val="-1"/>
            </w:rPr>
            <w:t>5</w:t>
          </w:r>
          <w:r>
            <w:rPr>
              <w:spacing w:val="-1"/>
            </w:rPr>
            <w:t>、生态影响评价结论</w:t>
          </w:r>
          <w:r>
            <w:rPr>
              <w:spacing w:val="-73"/>
            </w:rPr>
            <w:t xml:space="preserve"> </w:t>
          </w:r>
          <w:r>
            <w:tab/>
          </w:r>
          <w:r>
            <w:rPr>
              <w:spacing w:val="-54"/>
            </w:rPr>
            <w:t xml:space="preserve"> </w:t>
          </w:r>
          <w:r>
            <w:rPr>
              <w:rFonts w:ascii="Times New Roman" w:hAnsi="Times New Roman" w:eastAsia="Times New Roman" w:cs="Times New Roman"/>
              <w:spacing w:val="-8"/>
            </w:rPr>
            <w:t>188</w:t>
          </w:r>
          <w:r>
            <w:rPr>
              <w:rFonts w:ascii="Times New Roman" w:hAnsi="Times New Roman" w:eastAsia="Times New Roman" w:cs="Times New Roman"/>
              <w:spacing w:val="-8"/>
            </w:rPr>
            <w:fldChar w:fldCharType="end"/>
          </w:r>
        </w:p>
      </w:sdtContent>
    </w:sdt>
    <w:p w14:paraId="59272E91">
      <w:pPr>
        <w:spacing w:line="234" w:lineRule="auto"/>
        <w:rPr>
          <w:rFonts w:ascii="Times New Roman" w:hAnsi="Times New Roman" w:eastAsia="Times New Roman" w:cs="Times New Roman"/>
        </w:rPr>
        <w:sectPr>
          <w:footerReference r:id="rId141" w:type="default"/>
          <w:pgSz w:w="11907" w:h="16841"/>
          <w:pgMar w:top="400" w:right="1423" w:bottom="1126" w:left="1422" w:header="0" w:footer="925" w:gutter="0"/>
          <w:cols w:space="720" w:num="1"/>
        </w:sectPr>
      </w:pPr>
    </w:p>
    <w:p w14:paraId="0173213E">
      <w:pPr>
        <w:spacing w:line="252" w:lineRule="auto"/>
        <w:rPr>
          <w:rFonts w:ascii="Arial"/>
          <w:sz w:val="21"/>
        </w:rPr>
      </w:pPr>
    </w:p>
    <w:p w14:paraId="7CFFB014">
      <w:pPr>
        <w:spacing w:line="252" w:lineRule="auto"/>
        <w:rPr>
          <w:rFonts w:ascii="Arial"/>
          <w:sz w:val="21"/>
        </w:rPr>
      </w:pPr>
    </w:p>
    <w:p w14:paraId="2C777AAF">
      <w:pPr>
        <w:spacing w:line="252" w:lineRule="auto"/>
        <w:rPr>
          <w:rFonts w:ascii="Arial"/>
          <w:sz w:val="21"/>
        </w:rPr>
      </w:pPr>
    </w:p>
    <w:p w14:paraId="59E9BAE1">
      <w:pPr>
        <w:spacing w:line="252" w:lineRule="auto"/>
        <w:rPr>
          <w:rFonts w:ascii="Arial"/>
          <w:sz w:val="21"/>
        </w:rPr>
      </w:pPr>
    </w:p>
    <w:p w14:paraId="35871502">
      <w:pPr>
        <w:spacing w:line="252" w:lineRule="auto"/>
        <w:rPr>
          <w:rFonts w:ascii="Arial"/>
          <w:sz w:val="21"/>
        </w:rPr>
      </w:pPr>
    </w:p>
    <w:p w14:paraId="5DBBF5C5">
      <w:pPr>
        <w:spacing w:before="100"/>
        <w:ind w:left="12"/>
        <w:rPr>
          <w:rFonts w:ascii="宋体" w:hAnsi="宋体" w:eastAsia="宋体" w:cs="宋体"/>
          <w:sz w:val="31"/>
          <w:szCs w:val="31"/>
        </w:rPr>
      </w:pPr>
      <w:bookmarkStart w:id="32" w:name="bookmark39"/>
      <w:bookmarkEnd w:id="32"/>
      <w:bookmarkStart w:id="33" w:name="bookmark38"/>
      <w:bookmarkEnd w:id="33"/>
      <w:r>
        <w:rPr>
          <w:rFonts w:ascii="Times New Roman" w:hAnsi="Times New Roman" w:eastAsia="Times New Roman" w:cs="Times New Roman"/>
          <w:b/>
          <w:bCs/>
          <w:spacing w:val="-6"/>
          <w:sz w:val="31"/>
          <w:szCs w:val="31"/>
        </w:rPr>
        <w:t>1</w:t>
      </w:r>
      <w:r>
        <w:rPr>
          <w:rFonts w:ascii="宋体" w:hAnsi="宋体" w:eastAsia="宋体" w:cs="宋体"/>
          <w:b/>
          <w:bCs/>
          <w:spacing w:val="-6"/>
          <w:sz w:val="31"/>
          <w:szCs w:val="31"/>
        </w:rPr>
        <w:t>、总则</w:t>
      </w:r>
    </w:p>
    <w:p w14:paraId="736BDF08">
      <w:pPr>
        <w:spacing w:before="240" w:line="232" w:lineRule="auto"/>
        <w:ind w:left="10"/>
        <w:rPr>
          <w:rFonts w:ascii="宋体" w:hAnsi="宋体" w:eastAsia="宋体" w:cs="宋体"/>
          <w:sz w:val="28"/>
          <w:szCs w:val="28"/>
        </w:rPr>
      </w:pPr>
      <w:r>
        <w:rPr>
          <w:rFonts w:ascii="Times New Roman" w:hAnsi="Times New Roman" w:eastAsia="Times New Roman" w:cs="Times New Roman"/>
          <w:b/>
          <w:bCs/>
          <w:spacing w:val="-4"/>
          <w:sz w:val="28"/>
          <w:szCs w:val="28"/>
        </w:rPr>
        <w:t xml:space="preserve">1.1 </w:t>
      </w:r>
      <w:r>
        <w:rPr>
          <w:rFonts w:ascii="宋体" w:hAnsi="宋体" w:eastAsia="宋体" w:cs="宋体"/>
          <w:b/>
          <w:bCs/>
          <w:spacing w:val="-4"/>
          <w:sz w:val="28"/>
          <w:szCs w:val="28"/>
        </w:rPr>
        <w:t>评价目的</w:t>
      </w:r>
    </w:p>
    <w:p w14:paraId="21FF0000">
      <w:pPr>
        <w:spacing w:before="215" w:line="360" w:lineRule="auto"/>
        <w:ind w:firstLine="480"/>
        <w:rPr>
          <w:rFonts w:ascii="宋体" w:hAnsi="宋体" w:eastAsia="宋体" w:cs="宋体"/>
          <w:sz w:val="24"/>
          <w:szCs w:val="24"/>
        </w:rPr>
      </w:pPr>
      <w:r>
        <w:rPr>
          <w:rFonts w:ascii="宋体" w:hAnsi="宋体" w:eastAsia="宋体" w:cs="宋体"/>
          <w:spacing w:val="-2"/>
          <w:sz w:val="24"/>
          <w:szCs w:val="24"/>
        </w:rPr>
        <w:t>根据项目特性和所在区域特点，以及有关法律法规要求，开展本项目生态影响专题</w:t>
      </w:r>
      <w:r>
        <w:rPr>
          <w:rFonts w:ascii="宋体" w:hAnsi="宋体" w:eastAsia="宋体" w:cs="宋体"/>
          <w:spacing w:val="-15"/>
          <w:sz w:val="24"/>
          <w:szCs w:val="24"/>
        </w:rPr>
        <w:t>评价：</w:t>
      </w:r>
    </w:p>
    <w:p w14:paraId="6D9C5F73">
      <w:pPr>
        <w:spacing w:before="1" w:line="231" w:lineRule="auto"/>
        <w:ind w:left="487"/>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1</w:t>
      </w:r>
      <w:r>
        <w:rPr>
          <w:rFonts w:ascii="宋体" w:hAnsi="宋体" w:eastAsia="宋体" w:cs="宋体"/>
          <w:spacing w:val="-2"/>
          <w:sz w:val="24"/>
          <w:szCs w:val="24"/>
        </w:rPr>
        <w:t>）调查、评价项目区域生态现状及存在的主要生态问题。</w:t>
      </w:r>
    </w:p>
    <w:p w14:paraId="156ECE1F">
      <w:pPr>
        <w:spacing w:before="164" w:line="359" w:lineRule="auto"/>
        <w:ind w:left="1" w:firstLine="485"/>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2</w:t>
      </w:r>
      <w:r>
        <w:rPr>
          <w:rFonts w:ascii="宋体" w:hAnsi="宋体" w:eastAsia="宋体" w:cs="宋体"/>
          <w:spacing w:val="-5"/>
          <w:sz w:val="24"/>
          <w:szCs w:val="24"/>
        </w:rPr>
        <w:t>）开展生态影响识别；确定生态保护目标；确定评价等级与评价范围；预测、评</w:t>
      </w:r>
      <w:r>
        <w:rPr>
          <w:rFonts w:ascii="宋体" w:hAnsi="宋体" w:eastAsia="宋体" w:cs="宋体"/>
          <w:spacing w:val="-2"/>
          <w:sz w:val="24"/>
          <w:szCs w:val="24"/>
        </w:rPr>
        <w:t>价项目施工、运行等建设活动对评价区植被、维管植物、脊椎动物、生态系统等生态要</w:t>
      </w:r>
      <w:r>
        <w:rPr>
          <w:rFonts w:ascii="宋体" w:hAnsi="宋体" w:eastAsia="宋体" w:cs="宋体"/>
          <w:spacing w:val="-5"/>
          <w:sz w:val="24"/>
          <w:szCs w:val="24"/>
        </w:rPr>
        <w:t>素带来的各种影响。</w:t>
      </w:r>
    </w:p>
    <w:p w14:paraId="0FE488E1">
      <w:pPr>
        <w:spacing w:before="7" w:line="353" w:lineRule="auto"/>
        <w:ind w:right="8" w:firstLine="487"/>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）针对项目施工、运行对生态产生的不利影响，提出可行的生态保护对策和措</w:t>
      </w:r>
      <w:r>
        <w:rPr>
          <w:rFonts w:ascii="宋体" w:hAnsi="宋体" w:eastAsia="宋体" w:cs="宋体"/>
          <w:spacing w:val="-11"/>
          <w:sz w:val="24"/>
          <w:szCs w:val="24"/>
        </w:rPr>
        <w:t>施。</w:t>
      </w:r>
    </w:p>
    <w:p w14:paraId="4BA91335">
      <w:pPr>
        <w:spacing w:before="18" w:line="351" w:lineRule="auto"/>
        <w:ind w:left="1" w:right="9" w:firstLine="485"/>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4</w:t>
      </w:r>
      <w:r>
        <w:rPr>
          <w:rFonts w:ascii="宋体" w:hAnsi="宋体" w:eastAsia="宋体" w:cs="宋体"/>
          <w:spacing w:val="-5"/>
          <w:sz w:val="24"/>
          <w:szCs w:val="24"/>
        </w:rPr>
        <w:t>）结合项目生态影响特点和区域生态敏感性，制定生态监</w:t>
      </w:r>
      <w:r>
        <w:rPr>
          <w:rFonts w:ascii="宋体" w:hAnsi="宋体" w:eastAsia="宋体" w:cs="宋体"/>
          <w:spacing w:val="-6"/>
          <w:sz w:val="24"/>
          <w:szCs w:val="24"/>
        </w:rPr>
        <w:t>测计划，以及施工期环</w:t>
      </w:r>
      <w:r>
        <w:rPr>
          <w:rFonts w:ascii="宋体" w:hAnsi="宋体" w:eastAsia="宋体" w:cs="宋体"/>
          <w:spacing w:val="-1"/>
          <w:sz w:val="24"/>
          <w:szCs w:val="24"/>
        </w:rPr>
        <w:t>境监理计划，明确各方的任务和职责，为生态保护措</w:t>
      </w:r>
      <w:r>
        <w:rPr>
          <w:rFonts w:ascii="宋体" w:hAnsi="宋体" w:eastAsia="宋体" w:cs="宋体"/>
          <w:spacing w:val="-2"/>
          <w:sz w:val="24"/>
          <w:szCs w:val="24"/>
        </w:rPr>
        <w:t>施的实施提供制度保障。</w:t>
      </w:r>
    </w:p>
    <w:p w14:paraId="11E6D396">
      <w:pPr>
        <w:spacing w:before="24" w:line="351" w:lineRule="auto"/>
        <w:ind w:right="32" w:firstLine="487"/>
        <w:rPr>
          <w:rFonts w:ascii="宋体" w:hAnsi="宋体" w:eastAsia="宋体" w:cs="宋体"/>
          <w:sz w:val="24"/>
          <w:szCs w:val="24"/>
        </w:rPr>
      </w:pPr>
      <w:r>
        <w:rPr>
          <w:rFonts w:ascii="宋体" w:hAnsi="宋体" w:eastAsia="宋体" w:cs="宋体"/>
          <w:spacing w:val="-6"/>
          <w:sz w:val="24"/>
          <w:szCs w:val="24"/>
        </w:rPr>
        <w:t>（</w:t>
      </w:r>
      <w:r>
        <w:rPr>
          <w:rFonts w:ascii="Times New Roman" w:hAnsi="Times New Roman" w:eastAsia="Times New Roman" w:cs="Times New Roman"/>
          <w:spacing w:val="-6"/>
          <w:sz w:val="24"/>
          <w:szCs w:val="24"/>
        </w:rPr>
        <w:t>5</w:t>
      </w:r>
      <w:r>
        <w:rPr>
          <w:rFonts w:ascii="宋体" w:hAnsi="宋体" w:eastAsia="宋体" w:cs="宋体"/>
          <w:spacing w:val="-6"/>
          <w:sz w:val="24"/>
          <w:szCs w:val="24"/>
        </w:rPr>
        <w:t>）分析、预测生态保护措施实施后，项目区域生态总体变化趋势，从生态影响角</w:t>
      </w:r>
      <w:r>
        <w:rPr>
          <w:rFonts w:ascii="宋体" w:hAnsi="宋体" w:eastAsia="宋体" w:cs="宋体"/>
          <w:spacing w:val="-2"/>
          <w:sz w:val="24"/>
          <w:szCs w:val="24"/>
        </w:rPr>
        <w:t>度论证项目建设的可行性，为项目决策提供科学依据。</w:t>
      </w:r>
    </w:p>
    <w:p w14:paraId="7A12543A">
      <w:pPr>
        <w:spacing w:before="79" w:line="232" w:lineRule="auto"/>
        <w:ind w:left="10"/>
        <w:rPr>
          <w:rFonts w:ascii="宋体" w:hAnsi="宋体" w:eastAsia="宋体" w:cs="宋体"/>
          <w:sz w:val="28"/>
          <w:szCs w:val="28"/>
        </w:rPr>
      </w:pPr>
      <w:bookmarkStart w:id="34" w:name="bookmark40"/>
      <w:bookmarkEnd w:id="34"/>
      <w:r>
        <w:rPr>
          <w:rFonts w:ascii="Times New Roman" w:hAnsi="Times New Roman" w:eastAsia="Times New Roman" w:cs="Times New Roman"/>
          <w:b/>
          <w:bCs/>
          <w:spacing w:val="-4"/>
          <w:sz w:val="28"/>
          <w:szCs w:val="28"/>
        </w:rPr>
        <w:t xml:space="preserve">1.2 </w:t>
      </w:r>
      <w:r>
        <w:rPr>
          <w:rFonts w:ascii="宋体" w:hAnsi="宋体" w:eastAsia="宋体" w:cs="宋体"/>
          <w:b/>
          <w:bCs/>
          <w:spacing w:val="-4"/>
          <w:sz w:val="28"/>
          <w:szCs w:val="28"/>
        </w:rPr>
        <w:t>评价原则</w:t>
      </w:r>
    </w:p>
    <w:p w14:paraId="05EA972A">
      <w:pPr>
        <w:spacing w:before="216" w:line="358" w:lineRule="auto"/>
        <w:ind w:left="3" w:right="4" w:firstLine="483"/>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1</w:t>
      </w:r>
      <w:r>
        <w:rPr>
          <w:rFonts w:ascii="宋体" w:hAnsi="宋体" w:eastAsia="宋体" w:cs="宋体"/>
          <w:spacing w:val="-5"/>
          <w:sz w:val="24"/>
          <w:szCs w:val="24"/>
        </w:rPr>
        <w:t>）坚持重点与全面相结合的原则。既要突出评价项目所涉及</w:t>
      </w:r>
      <w:r>
        <w:rPr>
          <w:rFonts w:ascii="宋体" w:hAnsi="宋体" w:eastAsia="宋体" w:cs="宋体"/>
          <w:spacing w:val="-6"/>
          <w:sz w:val="24"/>
          <w:szCs w:val="24"/>
        </w:rPr>
        <w:t>的重点区域（生态红</w:t>
      </w:r>
      <w:r>
        <w:rPr>
          <w:rFonts w:ascii="宋体" w:hAnsi="宋体" w:eastAsia="宋体" w:cs="宋体"/>
          <w:spacing w:val="-2"/>
          <w:sz w:val="24"/>
          <w:szCs w:val="24"/>
        </w:rPr>
        <w:t>线）、关键时段和主导生态因子，又要从整体上兼顾评价项目所涉及的生态系统和生态因子在不同时空等级尺度上结构与功能的完整</w:t>
      </w:r>
      <w:r>
        <w:rPr>
          <w:rFonts w:ascii="宋体" w:hAnsi="宋体" w:eastAsia="宋体" w:cs="宋体"/>
          <w:spacing w:val="-3"/>
          <w:sz w:val="24"/>
          <w:szCs w:val="24"/>
        </w:rPr>
        <w:t>性。</w:t>
      </w:r>
    </w:p>
    <w:p w14:paraId="7C2F4F4F">
      <w:pPr>
        <w:spacing w:before="8" w:line="352" w:lineRule="auto"/>
        <w:ind w:left="4" w:right="11" w:firstLine="482"/>
        <w:rPr>
          <w:rFonts w:ascii="宋体" w:hAnsi="宋体" w:eastAsia="宋体" w:cs="宋体"/>
          <w:sz w:val="24"/>
          <w:szCs w:val="24"/>
        </w:rPr>
      </w:pPr>
      <w:r>
        <w:rPr>
          <w:rFonts w:ascii="宋体" w:hAnsi="宋体" w:eastAsia="宋体" w:cs="宋体"/>
          <w:spacing w:val="-8"/>
          <w:sz w:val="24"/>
          <w:szCs w:val="24"/>
        </w:rPr>
        <w:t>（</w:t>
      </w:r>
      <w:r>
        <w:rPr>
          <w:rFonts w:ascii="Times New Roman" w:hAnsi="Times New Roman" w:eastAsia="Times New Roman" w:cs="Times New Roman"/>
          <w:spacing w:val="-8"/>
          <w:sz w:val="24"/>
          <w:szCs w:val="24"/>
        </w:rPr>
        <w:t>2</w:t>
      </w:r>
      <w:r>
        <w:rPr>
          <w:rFonts w:ascii="宋体" w:hAnsi="宋体" w:eastAsia="宋体" w:cs="宋体"/>
          <w:spacing w:val="-8"/>
          <w:sz w:val="24"/>
          <w:szCs w:val="24"/>
        </w:rPr>
        <w:t>）坚持预防与恢复相结合的原则。预防优先， 恢复</w:t>
      </w:r>
      <w:r>
        <w:rPr>
          <w:rFonts w:ascii="宋体" w:hAnsi="宋体" w:eastAsia="宋体" w:cs="宋体"/>
          <w:spacing w:val="-9"/>
          <w:sz w:val="24"/>
          <w:szCs w:val="24"/>
        </w:rPr>
        <w:t>补偿为辅。恢复、补偿等措施</w:t>
      </w:r>
      <w:r>
        <w:rPr>
          <w:rFonts w:ascii="宋体" w:hAnsi="宋体" w:eastAsia="宋体" w:cs="宋体"/>
          <w:spacing w:val="-2"/>
          <w:sz w:val="24"/>
          <w:szCs w:val="24"/>
        </w:rPr>
        <w:t>必须与项目所在地的生态功能区划的要求相</w:t>
      </w:r>
      <w:r>
        <w:rPr>
          <w:rFonts w:ascii="宋体" w:hAnsi="宋体" w:eastAsia="宋体" w:cs="宋体"/>
          <w:spacing w:val="-3"/>
          <w:sz w:val="24"/>
          <w:szCs w:val="24"/>
        </w:rPr>
        <w:t>适应。</w:t>
      </w:r>
    </w:p>
    <w:p w14:paraId="3B7C122B">
      <w:pPr>
        <w:spacing w:before="20" w:line="358" w:lineRule="auto"/>
        <w:ind w:left="1" w:firstLine="485"/>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3</w:t>
      </w:r>
      <w:r>
        <w:rPr>
          <w:rFonts w:ascii="宋体" w:hAnsi="宋体" w:eastAsia="宋体" w:cs="宋体"/>
          <w:spacing w:val="2"/>
          <w:sz w:val="24"/>
          <w:szCs w:val="24"/>
        </w:rPr>
        <w:t>）坚持定量与定性相结合的原则。生态</w:t>
      </w:r>
      <w:r>
        <w:rPr>
          <w:rFonts w:ascii="宋体" w:hAnsi="宋体" w:eastAsia="宋体" w:cs="宋体"/>
          <w:spacing w:val="1"/>
          <w:sz w:val="24"/>
          <w:szCs w:val="24"/>
        </w:rPr>
        <w:t>影响评价应尽量采用定量方法进行描述</w:t>
      </w:r>
      <w:r>
        <w:rPr>
          <w:rFonts w:ascii="宋体" w:hAnsi="宋体" w:eastAsia="宋体" w:cs="宋体"/>
          <w:spacing w:val="-2"/>
          <w:sz w:val="24"/>
          <w:szCs w:val="24"/>
        </w:rPr>
        <w:t>和分析，当现有科学方法不能满足定量需要或因其他原因无法实现定量测定时，生态影响评价可通过定性或类比的方法进行描述和分析。</w:t>
      </w:r>
    </w:p>
    <w:p w14:paraId="108613FE">
      <w:pPr>
        <w:spacing w:before="65" w:line="233" w:lineRule="auto"/>
        <w:ind w:left="10"/>
        <w:rPr>
          <w:rFonts w:ascii="宋体" w:hAnsi="宋体" w:eastAsia="宋体" w:cs="宋体"/>
          <w:sz w:val="28"/>
          <w:szCs w:val="28"/>
        </w:rPr>
      </w:pPr>
      <w:bookmarkStart w:id="35" w:name="bookmark41"/>
      <w:bookmarkEnd w:id="35"/>
      <w:r>
        <w:rPr>
          <w:rFonts w:ascii="Times New Roman" w:hAnsi="Times New Roman" w:eastAsia="Times New Roman" w:cs="Times New Roman"/>
          <w:b/>
          <w:bCs/>
          <w:spacing w:val="-4"/>
          <w:sz w:val="28"/>
          <w:szCs w:val="28"/>
        </w:rPr>
        <w:t xml:space="preserve">1.3 </w:t>
      </w:r>
      <w:r>
        <w:rPr>
          <w:rFonts w:ascii="宋体" w:hAnsi="宋体" w:eastAsia="宋体" w:cs="宋体"/>
          <w:b/>
          <w:bCs/>
          <w:spacing w:val="-4"/>
          <w:sz w:val="28"/>
          <w:szCs w:val="28"/>
        </w:rPr>
        <w:t>编制依据</w:t>
      </w:r>
    </w:p>
    <w:p w14:paraId="5DB3DFA5">
      <w:pPr>
        <w:spacing w:before="215" w:line="233" w:lineRule="auto"/>
        <w:ind w:left="7"/>
        <w:rPr>
          <w:rFonts w:ascii="宋体" w:hAnsi="宋体" w:eastAsia="宋体" w:cs="宋体"/>
          <w:sz w:val="24"/>
          <w:szCs w:val="24"/>
        </w:rPr>
      </w:pPr>
      <w:r>
        <w:rPr>
          <w:rFonts w:ascii="Times New Roman" w:hAnsi="Times New Roman" w:eastAsia="Times New Roman" w:cs="Times New Roman"/>
          <w:b/>
          <w:bCs/>
          <w:spacing w:val="-3"/>
          <w:sz w:val="24"/>
          <w:szCs w:val="24"/>
        </w:rPr>
        <w:t xml:space="preserve">13.1 </w:t>
      </w:r>
      <w:r>
        <w:rPr>
          <w:rFonts w:ascii="宋体" w:hAnsi="宋体" w:eastAsia="宋体" w:cs="宋体"/>
          <w:b/>
          <w:bCs/>
          <w:spacing w:val="-3"/>
          <w:sz w:val="24"/>
          <w:szCs w:val="24"/>
        </w:rPr>
        <w:t>法律法规</w:t>
      </w:r>
    </w:p>
    <w:p w14:paraId="4192CA24">
      <w:pPr>
        <w:spacing w:before="165" w:line="233" w:lineRule="auto"/>
        <w:ind w:left="499"/>
        <w:rPr>
          <w:rFonts w:ascii="宋体" w:hAnsi="宋体" w:eastAsia="宋体" w:cs="宋体"/>
          <w:sz w:val="24"/>
          <w:szCs w:val="24"/>
        </w:rPr>
      </w:pPr>
      <w:r>
        <w:rPr>
          <w:rFonts w:ascii="Times New Roman" w:hAnsi="Times New Roman" w:eastAsia="Times New Roman" w:cs="Times New Roman"/>
          <w:spacing w:val="-14"/>
          <w:sz w:val="24"/>
          <w:szCs w:val="24"/>
        </w:rPr>
        <w:t>1</w:t>
      </w:r>
      <w:r>
        <w:rPr>
          <w:rFonts w:ascii="宋体" w:hAnsi="宋体" w:eastAsia="宋体" w:cs="宋体"/>
          <w:spacing w:val="-14"/>
          <w:sz w:val="24"/>
          <w:szCs w:val="24"/>
        </w:rPr>
        <w:t>）《中华人民共和国环境保护法》（</w:t>
      </w:r>
      <w:r>
        <w:rPr>
          <w:rFonts w:ascii="Times New Roman" w:hAnsi="Times New Roman" w:eastAsia="Times New Roman" w:cs="Times New Roman"/>
          <w:spacing w:val="-14"/>
          <w:sz w:val="24"/>
          <w:szCs w:val="24"/>
        </w:rPr>
        <w:t>2014</w:t>
      </w:r>
      <w:r>
        <w:rPr>
          <w:rFonts w:ascii="Times New Roman" w:hAnsi="Times New Roman" w:eastAsia="Times New Roman" w:cs="Times New Roman"/>
          <w:spacing w:val="10"/>
          <w:sz w:val="24"/>
          <w:szCs w:val="24"/>
        </w:rPr>
        <w:t xml:space="preserve"> </w:t>
      </w:r>
      <w:r>
        <w:rPr>
          <w:rFonts w:ascii="宋体" w:hAnsi="宋体" w:eastAsia="宋体" w:cs="宋体"/>
          <w:spacing w:val="-14"/>
          <w:sz w:val="24"/>
          <w:szCs w:val="24"/>
        </w:rPr>
        <w:t>年</w:t>
      </w:r>
      <w:r>
        <w:rPr>
          <w:rFonts w:ascii="宋体" w:hAnsi="宋体" w:eastAsia="宋体" w:cs="宋体"/>
          <w:spacing w:val="-56"/>
          <w:sz w:val="24"/>
          <w:szCs w:val="24"/>
        </w:rPr>
        <w:t xml:space="preserve"> </w:t>
      </w:r>
      <w:r>
        <w:rPr>
          <w:rFonts w:ascii="Times New Roman" w:hAnsi="Times New Roman" w:eastAsia="Times New Roman" w:cs="Times New Roman"/>
          <w:spacing w:val="-14"/>
          <w:sz w:val="24"/>
          <w:szCs w:val="24"/>
        </w:rPr>
        <w:t>4</w:t>
      </w:r>
      <w:r>
        <w:rPr>
          <w:rFonts w:ascii="Times New Roman" w:hAnsi="Times New Roman" w:eastAsia="Times New Roman" w:cs="Times New Roman"/>
          <w:spacing w:val="15"/>
          <w:w w:val="101"/>
          <w:sz w:val="24"/>
          <w:szCs w:val="24"/>
        </w:rPr>
        <w:t xml:space="preserve"> </w:t>
      </w:r>
      <w:r>
        <w:rPr>
          <w:rFonts w:ascii="宋体" w:hAnsi="宋体" w:eastAsia="宋体" w:cs="宋体"/>
          <w:spacing w:val="-14"/>
          <w:sz w:val="24"/>
          <w:szCs w:val="24"/>
        </w:rPr>
        <w:t>月修订，</w:t>
      </w:r>
      <w:r>
        <w:rPr>
          <w:rFonts w:ascii="Times New Roman" w:hAnsi="Times New Roman" w:eastAsia="Times New Roman" w:cs="Times New Roman"/>
          <w:spacing w:val="-14"/>
          <w:sz w:val="24"/>
          <w:szCs w:val="24"/>
        </w:rPr>
        <w:t>2015</w:t>
      </w:r>
      <w:r>
        <w:rPr>
          <w:rFonts w:ascii="Times New Roman" w:hAnsi="Times New Roman" w:eastAsia="Times New Roman" w:cs="Times New Roman"/>
          <w:spacing w:val="11"/>
          <w:sz w:val="24"/>
          <w:szCs w:val="24"/>
        </w:rPr>
        <w:t xml:space="preserve"> </w:t>
      </w:r>
      <w:r>
        <w:rPr>
          <w:rFonts w:ascii="宋体" w:hAnsi="宋体" w:eastAsia="宋体" w:cs="宋体"/>
          <w:spacing w:val="-14"/>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14"/>
          <w:sz w:val="24"/>
          <w:szCs w:val="24"/>
        </w:rPr>
        <w:t>1</w:t>
      </w:r>
      <w:r>
        <w:rPr>
          <w:rFonts w:ascii="Times New Roman" w:hAnsi="Times New Roman" w:eastAsia="Times New Roman" w:cs="Times New Roman"/>
          <w:spacing w:val="15"/>
          <w:sz w:val="24"/>
          <w:szCs w:val="24"/>
        </w:rPr>
        <w:t xml:space="preserve"> </w:t>
      </w:r>
      <w:r>
        <w:rPr>
          <w:rFonts w:ascii="宋体" w:hAnsi="宋体" w:eastAsia="宋体" w:cs="宋体"/>
          <w:spacing w:val="-14"/>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14"/>
          <w:sz w:val="24"/>
          <w:szCs w:val="24"/>
        </w:rPr>
        <w:t>1</w:t>
      </w:r>
      <w:r>
        <w:rPr>
          <w:rFonts w:ascii="Times New Roman" w:hAnsi="Times New Roman" w:eastAsia="Times New Roman" w:cs="Times New Roman"/>
          <w:spacing w:val="50"/>
          <w:w w:val="101"/>
          <w:sz w:val="24"/>
          <w:szCs w:val="24"/>
        </w:rPr>
        <w:t xml:space="preserve"> </w:t>
      </w:r>
      <w:r>
        <w:rPr>
          <w:rFonts w:ascii="宋体" w:hAnsi="宋体" w:eastAsia="宋体" w:cs="宋体"/>
          <w:spacing w:val="-14"/>
          <w:sz w:val="24"/>
          <w:szCs w:val="24"/>
        </w:rPr>
        <w:t>日起施行</w:t>
      </w:r>
      <w:r>
        <w:rPr>
          <w:rFonts w:ascii="宋体" w:hAnsi="宋体" w:eastAsia="宋体" w:cs="宋体"/>
          <w:spacing w:val="-10"/>
          <w:sz w:val="24"/>
          <w:szCs w:val="24"/>
        </w:rPr>
        <w:t>）；</w:t>
      </w:r>
    </w:p>
    <w:p w14:paraId="5268E7D1">
      <w:pPr>
        <w:spacing w:before="164" w:line="232" w:lineRule="auto"/>
        <w:ind w:left="476"/>
        <w:rPr>
          <w:rFonts w:ascii="宋体" w:hAnsi="宋体" w:eastAsia="宋体" w:cs="宋体"/>
          <w:sz w:val="24"/>
          <w:szCs w:val="24"/>
        </w:rPr>
      </w:pPr>
      <w:r>
        <w:rPr>
          <w:rFonts w:ascii="Times New Roman" w:hAnsi="Times New Roman" w:eastAsia="Times New Roman" w:cs="Times New Roman"/>
          <w:spacing w:val="-12"/>
          <w:sz w:val="24"/>
          <w:szCs w:val="24"/>
        </w:rPr>
        <w:t>2</w:t>
      </w:r>
      <w:r>
        <w:rPr>
          <w:rFonts w:ascii="宋体" w:hAnsi="宋体" w:eastAsia="宋体" w:cs="宋体"/>
          <w:spacing w:val="-12"/>
          <w:sz w:val="24"/>
          <w:szCs w:val="24"/>
        </w:rPr>
        <w:t>）《中华人民共和国环境影响评价法》（</w:t>
      </w:r>
      <w:r>
        <w:rPr>
          <w:rFonts w:ascii="Times New Roman" w:hAnsi="Times New Roman" w:eastAsia="Times New Roman" w:cs="Times New Roman"/>
          <w:spacing w:val="-12"/>
          <w:sz w:val="24"/>
          <w:szCs w:val="24"/>
        </w:rPr>
        <w:t xml:space="preserve">2018 </w:t>
      </w:r>
      <w:r>
        <w:rPr>
          <w:rFonts w:ascii="宋体" w:hAnsi="宋体" w:eastAsia="宋体" w:cs="宋体"/>
          <w:spacing w:val="-12"/>
          <w:sz w:val="24"/>
          <w:szCs w:val="24"/>
        </w:rPr>
        <w:t>年</w:t>
      </w:r>
      <w:r>
        <w:rPr>
          <w:rFonts w:ascii="宋体" w:hAnsi="宋体" w:eastAsia="宋体" w:cs="宋体"/>
          <w:spacing w:val="-31"/>
          <w:sz w:val="24"/>
          <w:szCs w:val="24"/>
        </w:rPr>
        <w:t xml:space="preserve"> </w:t>
      </w:r>
      <w:r>
        <w:rPr>
          <w:rFonts w:ascii="Times New Roman" w:hAnsi="Times New Roman" w:eastAsia="Times New Roman" w:cs="Times New Roman"/>
          <w:spacing w:val="-12"/>
          <w:sz w:val="24"/>
          <w:szCs w:val="24"/>
        </w:rPr>
        <w:t>12</w:t>
      </w:r>
      <w:r>
        <w:rPr>
          <w:rFonts w:ascii="Times New Roman" w:hAnsi="Times New Roman" w:eastAsia="Times New Roman" w:cs="Times New Roman"/>
          <w:spacing w:val="15"/>
          <w:sz w:val="24"/>
          <w:szCs w:val="24"/>
        </w:rPr>
        <w:t xml:space="preserve"> </w:t>
      </w:r>
      <w:r>
        <w:rPr>
          <w:rFonts w:ascii="宋体" w:hAnsi="宋体" w:eastAsia="宋体" w:cs="宋体"/>
          <w:spacing w:val="-12"/>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12"/>
          <w:sz w:val="24"/>
          <w:szCs w:val="24"/>
        </w:rPr>
        <w:t xml:space="preserve">29  </w:t>
      </w:r>
      <w:r>
        <w:rPr>
          <w:rFonts w:ascii="宋体" w:hAnsi="宋体" w:eastAsia="宋体" w:cs="宋体"/>
          <w:spacing w:val="-13"/>
          <w:sz w:val="24"/>
          <w:szCs w:val="24"/>
        </w:rPr>
        <w:t>日修订并施行</w:t>
      </w:r>
      <w:r>
        <w:rPr>
          <w:rFonts w:ascii="宋体" w:hAnsi="宋体" w:eastAsia="宋体" w:cs="宋体"/>
          <w:spacing w:val="-14"/>
          <w:sz w:val="24"/>
          <w:szCs w:val="24"/>
        </w:rPr>
        <w:t>）；</w:t>
      </w:r>
    </w:p>
    <w:p w14:paraId="00115221">
      <w:pPr>
        <w:spacing w:line="232" w:lineRule="auto"/>
        <w:rPr>
          <w:rFonts w:ascii="宋体" w:hAnsi="宋体" w:eastAsia="宋体" w:cs="宋体"/>
          <w:sz w:val="24"/>
          <w:szCs w:val="24"/>
        </w:rPr>
        <w:sectPr>
          <w:footerReference r:id="rId142" w:type="default"/>
          <w:pgSz w:w="11907" w:h="16841"/>
          <w:pgMar w:top="400" w:right="1415" w:bottom="1126" w:left="1427" w:header="0" w:footer="925" w:gutter="0"/>
          <w:cols w:space="720" w:num="1"/>
        </w:sectPr>
      </w:pPr>
    </w:p>
    <w:p w14:paraId="20631C22">
      <w:pPr>
        <w:spacing w:line="249" w:lineRule="auto"/>
        <w:rPr>
          <w:rFonts w:ascii="Arial"/>
          <w:sz w:val="21"/>
        </w:rPr>
      </w:pPr>
    </w:p>
    <w:p w14:paraId="258D0695">
      <w:pPr>
        <w:spacing w:line="249" w:lineRule="auto"/>
        <w:rPr>
          <w:rFonts w:ascii="Arial"/>
          <w:sz w:val="21"/>
        </w:rPr>
      </w:pPr>
    </w:p>
    <w:p w14:paraId="6E68F85B">
      <w:pPr>
        <w:spacing w:line="249" w:lineRule="auto"/>
        <w:rPr>
          <w:rFonts w:ascii="Arial"/>
          <w:sz w:val="21"/>
        </w:rPr>
      </w:pPr>
    </w:p>
    <w:p w14:paraId="7C881EDA">
      <w:pPr>
        <w:spacing w:line="249" w:lineRule="auto"/>
        <w:rPr>
          <w:rFonts w:ascii="Arial"/>
          <w:sz w:val="21"/>
        </w:rPr>
      </w:pPr>
    </w:p>
    <w:p w14:paraId="412D6822">
      <w:pPr>
        <w:spacing w:line="249" w:lineRule="auto"/>
        <w:rPr>
          <w:rFonts w:ascii="Arial"/>
          <w:sz w:val="21"/>
        </w:rPr>
      </w:pPr>
    </w:p>
    <w:p w14:paraId="5A6B5772">
      <w:pPr>
        <w:spacing w:before="78" w:line="233" w:lineRule="auto"/>
        <w:ind w:left="481"/>
        <w:rPr>
          <w:rFonts w:ascii="宋体" w:hAnsi="宋体" w:eastAsia="宋体" w:cs="宋体"/>
          <w:sz w:val="24"/>
          <w:szCs w:val="24"/>
        </w:rPr>
      </w:pPr>
      <w:r>
        <w:rPr>
          <w:rFonts w:ascii="Times New Roman" w:hAnsi="Times New Roman" w:eastAsia="Times New Roman" w:cs="Times New Roman"/>
          <w:spacing w:val="-15"/>
          <w:sz w:val="24"/>
          <w:szCs w:val="24"/>
        </w:rPr>
        <w:t>3</w:t>
      </w:r>
      <w:r>
        <w:rPr>
          <w:rFonts w:ascii="宋体" w:hAnsi="宋体" w:eastAsia="宋体" w:cs="宋体"/>
          <w:spacing w:val="-15"/>
          <w:sz w:val="24"/>
          <w:szCs w:val="24"/>
        </w:rPr>
        <w:t>）《中华人民共和国电力法》（</w:t>
      </w:r>
      <w:r>
        <w:rPr>
          <w:rFonts w:ascii="Times New Roman" w:hAnsi="Times New Roman" w:eastAsia="Times New Roman" w:cs="Times New Roman"/>
          <w:spacing w:val="-15"/>
          <w:sz w:val="24"/>
          <w:szCs w:val="24"/>
        </w:rPr>
        <w:t>2018</w:t>
      </w:r>
      <w:r>
        <w:rPr>
          <w:rFonts w:ascii="Times New Roman" w:hAnsi="Times New Roman" w:eastAsia="Times New Roman" w:cs="Times New Roman"/>
          <w:spacing w:val="12"/>
          <w:sz w:val="24"/>
          <w:szCs w:val="24"/>
        </w:rPr>
        <w:t xml:space="preserve"> </w:t>
      </w:r>
      <w:r>
        <w:rPr>
          <w:rFonts w:ascii="宋体" w:hAnsi="宋体" w:eastAsia="宋体" w:cs="宋体"/>
          <w:spacing w:val="-15"/>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15"/>
          <w:sz w:val="24"/>
          <w:szCs w:val="24"/>
        </w:rPr>
        <w:t>12</w:t>
      </w:r>
      <w:r>
        <w:rPr>
          <w:rFonts w:ascii="Times New Roman" w:hAnsi="Times New Roman" w:eastAsia="Times New Roman" w:cs="Times New Roman"/>
          <w:spacing w:val="15"/>
          <w:sz w:val="24"/>
          <w:szCs w:val="24"/>
        </w:rPr>
        <w:t xml:space="preserve"> </w:t>
      </w:r>
      <w:r>
        <w:rPr>
          <w:rFonts w:ascii="宋体" w:hAnsi="宋体" w:eastAsia="宋体" w:cs="宋体"/>
          <w:spacing w:val="-15"/>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15"/>
          <w:sz w:val="24"/>
          <w:szCs w:val="24"/>
        </w:rPr>
        <w:t>29</w:t>
      </w:r>
      <w:r>
        <w:rPr>
          <w:rFonts w:ascii="Times New Roman" w:hAnsi="Times New Roman" w:eastAsia="Times New Roman" w:cs="Times New Roman"/>
          <w:spacing w:val="51"/>
          <w:sz w:val="24"/>
          <w:szCs w:val="24"/>
        </w:rPr>
        <w:t xml:space="preserve"> </w:t>
      </w:r>
      <w:r>
        <w:rPr>
          <w:rFonts w:ascii="宋体" w:hAnsi="宋体" w:eastAsia="宋体" w:cs="宋体"/>
          <w:spacing w:val="-15"/>
          <w:sz w:val="24"/>
          <w:szCs w:val="24"/>
        </w:rPr>
        <w:t>日修</w:t>
      </w:r>
      <w:r>
        <w:rPr>
          <w:rFonts w:ascii="宋体" w:hAnsi="宋体" w:eastAsia="宋体" w:cs="宋体"/>
          <w:spacing w:val="-16"/>
          <w:sz w:val="24"/>
          <w:szCs w:val="24"/>
        </w:rPr>
        <w:t>订并施行</w:t>
      </w:r>
      <w:r>
        <w:rPr>
          <w:rFonts w:ascii="宋体" w:hAnsi="宋体" w:eastAsia="宋体" w:cs="宋体"/>
          <w:spacing w:val="-14"/>
          <w:sz w:val="24"/>
          <w:szCs w:val="24"/>
        </w:rPr>
        <w:t>）；</w:t>
      </w:r>
    </w:p>
    <w:p w14:paraId="1F403680">
      <w:pPr>
        <w:spacing w:before="164" w:line="352" w:lineRule="auto"/>
        <w:ind w:right="200" w:firstLine="475"/>
        <w:rPr>
          <w:rFonts w:ascii="宋体" w:hAnsi="宋体" w:eastAsia="宋体" w:cs="宋体"/>
          <w:sz w:val="24"/>
          <w:szCs w:val="24"/>
        </w:rPr>
      </w:pPr>
      <w:r>
        <w:rPr>
          <w:rFonts w:ascii="Times New Roman" w:hAnsi="Times New Roman" w:eastAsia="Times New Roman" w:cs="Times New Roman"/>
          <w:spacing w:val="-14"/>
          <w:sz w:val="24"/>
          <w:szCs w:val="24"/>
        </w:rPr>
        <w:t>4</w:t>
      </w:r>
      <w:r>
        <w:rPr>
          <w:rFonts w:ascii="宋体" w:hAnsi="宋体" w:eastAsia="宋体" w:cs="宋体"/>
          <w:spacing w:val="-14"/>
          <w:sz w:val="24"/>
          <w:szCs w:val="24"/>
        </w:rPr>
        <w:t>）《中华人民共和国森林法》（</w:t>
      </w:r>
      <w:r>
        <w:rPr>
          <w:rFonts w:ascii="Times New Roman" w:hAnsi="Times New Roman" w:eastAsia="Times New Roman" w:cs="Times New Roman"/>
          <w:spacing w:val="-14"/>
          <w:sz w:val="24"/>
          <w:szCs w:val="24"/>
        </w:rPr>
        <w:t>2019</w:t>
      </w:r>
      <w:r>
        <w:rPr>
          <w:rFonts w:ascii="Times New Roman" w:hAnsi="Times New Roman" w:eastAsia="Times New Roman" w:cs="Times New Roman"/>
          <w:spacing w:val="19"/>
          <w:sz w:val="24"/>
          <w:szCs w:val="24"/>
        </w:rPr>
        <w:t xml:space="preserve"> </w:t>
      </w:r>
      <w:r>
        <w:rPr>
          <w:rFonts w:ascii="宋体" w:hAnsi="宋体" w:eastAsia="宋体" w:cs="宋体"/>
          <w:spacing w:val="-14"/>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14"/>
          <w:sz w:val="24"/>
          <w:szCs w:val="24"/>
        </w:rPr>
        <w:t>12</w:t>
      </w:r>
      <w:r>
        <w:rPr>
          <w:rFonts w:ascii="Times New Roman" w:hAnsi="Times New Roman" w:eastAsia="Times New Roman" w:cs="Times New Roman"/>
          <w:spacing w:val="15"/>
          <w:sz w:val="24"/>
          <w:szCs w:val="24"/>
        </w:rPr>
        <w:t xml:space="preserve"> </w:t>
      </w:r>
      <w:r>
        <w:rPr>
          <w:rFonts w:ascii="宋体" w:hAnsi="宋体" w:eastAsia="宋体" w:cs="宋体"/>
          <w:spacing w:val="-14"/>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14"/>
          <w:sz w:val="24"/>
          <w:szCs w:val="24"/>
        </w:rPr>
        <w:t>28</w:t>
      </w:r>
      <w:r>
        <w:rPr>
          <w:rFonts w:ascii="Times New Roman" w:hAnsi="Times New Roman" w:eastAsia="Times New Roman" w:cs="Times New Roman"/>
          <w:spacing w:val="50"/>
          <w:w w:val="101"/>
          <w:sz w:val="24"/>
          <w:szCs w:val="24"/>
        </w:rPr>
        <w:t xml:space="preserve"> </w:t>
      </w:r>
      <w:r>
        <w:rPr>
          <w:rFonts w:ascii="宋体" w:hAnsi="宋体" w:eastAsia="宋体" w:cs="宋体"/>
          <w:spacing w:val="-14"/>
          <w:sz w:val="24"/>
          <w:szCs w:val="24"/>
        </w:rPr>
        <w:t>日修订通过，自</w:t>
      </w:r>
      <w:r>
        <w:rPr>
          <w:rFonts w:ascii="宋体" w:hAnsi="宋体" w:eastAsia="宋体" w:cs="宋体"/>
          <w:spacing w:val="-54"/>
          <w:sz w:val="24"/>
          <w:szCs w:val="24"/>
        </w:rPr>
        <w:t xml:space="preserve"> </w:t>
      </w:r>
      <w:r>
        <w:rPr>
          <w:rFonts w:ascii="Times New Roman" w:hAnsi="Times New Roman" w:eastAsia="Times New Roman" w:cs="Times New Roman"/>
          <w:spacing w:val="-14"/>
          <w:sz w:val="24"/>
          <w:szCs w:val="24"/>
        </w:rPr>
        <w:t>2020</w:t>
      </w:r>
      <w:r>
        <w:rPr>
          <w:rFonts w:ascii="Times New Roman" w:hAnsi="Times New Roman" w:eastAsia="Times New Roman" w:cs="Times New Roman"/>
          <w:spacing w:val="10"/>
          <w:sz w:val="24"/>
          <w:szCs w:val="24"/>
        </w:rPr>
        <w:t xml:space="preserve"> </w:t>
      </w:r>
      <w:r>
        <w:rPr>
          <w:rFonts w:ascii="宋体" w:hAnsi="宋体" w:eastAsia="宋体" w:cs="宋体"/>
          <w:spacing w:val="-14"/>
          <w:sz w:val="24"/>
          <w:szCs w:val="24"/>
        </w:rPr>
        <w:t>年</w:t>
      </w:r>
      <w:r>
        <w:rPr>
          <w:rFonts w:ascii="宋体" w:hAnsi="宋体" w:eastAsia="宋体" w:cs="宋体"/>
          <w:spacing w:val="-51"/>
          <w:sz w:val="24"/>
          <w:szCs w:val="24"/>
        </w:rPr>
        <w:t xml:space="preserve"> </w:t>
      </w:r>
      <w:r>
        <w:rPr>
          <w:rFonts w:ascii="Times New Roman" w:hAnsi="Times New Roman" w:eastAsia="Times New Roman" w:cs="Times New Roman"/>
          <w:spacing w:val="-14"/>
          <w:sz w:val="24"/>
          <w:szCs w:val="24"/>
        </w:rPr>
        <w:t>7</w:t>
      </w:r>
      <w:r>
        <w:rPr>
          <w:rFonts w:ascii="Times New Roman" w:hAnsi="Times New Roman" w:eastAsia="Times New Roman" w:cs="Times New Roman"/>
          <w:spacing w:val="15"/>
          <w:sz w:val="24"/>
          <w:szCs w:val="24"/>
        </w:rPr>
        <w:t xml:space="preserve"> </w:t>
      </w:r>
      <w:r>
        <w:rPr>
          <w:rFonts w:ascii="宋体" w:hAnsi="宋体" w:eastAsia="宋体" w:cs="宋体"/>
          <w:spacing w:val="-14"/>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14"/>
          <w:sz w:val="24"/>
          <w:szCs w:val="24"/>
        </w:rPr>
        <w:t>1</w:t>
      </w:r>
      <w:r>
        <w:rPr>
          <w:rFonts w:ascii="Times New Roman" w:hAnsi="Times New Roman" w:eastAsia="Times New Roman" w:cs="Times New Roman"/>
          <w:spacing w:val="51"/>
          <w:sz w:val="24"/>
          <w:szCs w:val="24"/>
        </w:rPr>
        <w:t xml:space="preserve"> </w:t>
      </w:r>
      <w:r>
        <w:rPr>
          <w:rFonts w:ascii="宋体" w:hAnsi="宋体" w:eastAsia="宋体" w:cs="宋体"/>
          <w:spacing w:val="-14"/>
          <w:sz w:val="24"/>
          <w:szCs w:val="24"/>
        </w:rPr>
        <w:t>日起</w:t>
      </w:r>
      <w:r>
        <w:rPr>
          <w:rFonts w:ascii="宋体" w:hAnsi="宋体" w:eastAsia="宋体" w:cs="宋体"/>
          <w:spacing w:val="-17"/>
          <w:w w:val="87"/>
          <w:sz w:val="24"/>
          <w:szCs w:val="24"/>
        </w:rPr>
        <w:t>施行</w:t>
      </w:r>
      <w:r>
        <w:rPr>
          <w:rFonts w:ascii="宋体" w:hAnsi="宋体" w:eastAsia="宋体" w:cs="宋体"/>
          <w:spacing w:val="-25"/>
          <w:sz w:val="24"/>
          <w:szCs w:val="24"/>
        </w:rPr>
        <w:t>）；</w:t>
      </w:r>
    </w:p>
    <w:p w14:paraId="03192F97">
      <w:pPr>
        <w:spacing w:before="19" w:line="352" w:lineRule="auto"/>
        <w:ind w:right="201" w:firstLine="482"/>
        <w:rPr>
          <w:rFonts w:ascii="宋体" w:hAnsi="宋体" w:eastAsia="宋体" w:cs="宋体"/>
          <w:sz w:val="24"/>
          <w:szCs w:val="24"/>
        </w:rPr>
      </w:pPr>
      <w:r>
        <w:rPr>
          <w:rFonts w:ascii="Times New Roman" w:hAnsi="Times New Roman" w:eastAsia="Times New Roman" w:cs="Times New Roman"/>
          <w:spacing w:val="-7"/>
          <w:sz w:val="24"/>
          <w:szCs w:val="24"/>
        </w:rPr>
        <w:t>5</w:t>
      </w:r>
      <w:r>
        <w:rPr>
          <w:rFonts w:ascii="宋体" w:hAnsi="宋体" w:eastAsia="宋体" w:cs="宋体"/>
          <w:spacing w:val="-7"/>
          <w:sz w:val="24"/>
          <w:szCs w:val="24"/>
        </w:rPr>
        <w:t>）国务院令第</w:t>
      </w:r>
      <w:r>
        <w:rPr>
          <w:rFonts w:ascii="宋体" w:hAnsi="宋体" w:eastAsia="宋体" w:cs="宋体"/>
          <w:spacing w:val="-39"/>
          <w:sz w:val="24"/>
          <w:szCs w:val="24"/>
        </w:rPr>
        <w:t xml:space="preserve"> </w:t>
      </w:r>
      <w:r>
        <w:rPr>
          <w:rFonts w:ascii="Times New Roman" w:hAnsi="Times New Roman" w:eastAsia="Times New Roman" w:cs="Times New Roman"/>
          <w:spacing w:val="-7"/>
          <w:sz w:val="24"/>
          <w:szCs w:val="24"/>
        </w:rPr>
        <w:t>666</w:t>
      </w:r>
      <w:r>
        <w:rPr>
          <w:rFonts w:ascii="Times New Roman" w:hAnsi="Times New Roman" w:eastAsia="Times New Roman" w:cs="Times New Roman"/>
          <w:spacing w:val="15"/>
          <w:sz w:val="24"/>
          <w:szCs w:val="24"/>
        </w:rPr>
        <w:t xml:space="preserve"> </w:t>
      </w:r>
      <w:r>
        <w:rPr>
          <w:rFonts w:ascii="宋体" w:hAnsi="宋体" w:eastAsia="宋体" w:cs="宋体"/>
          <w:spacing w:val="-7"/>
          <w:sz w:val="24"/>
          <w:szCs w:val="24"/>
        </w:rPr>
        <w:t>号《中华人民共和国森林法实施条例》（</w:t>
      </w:r>
      <w:r>
        <w:rPr>
          <w:rFonts w:ascii="Times New Roman" w:hAnsi="Times New Roman" w:eastAsia="Times New Roman" w:cs="Times New Roman"/>
          <w:spacing w:val="-7"/>
          <w:sz w:val="24"/>
          <w:szCs w:val="24"/>
        </w:rPr>
        <w:t xml:space="preserve">2016 </w:t>
      </w:r>
      <w:r>
        <w:rPr>
          <w:rFonts w:ascii="宋体" w:hAnsi="宋体" w:eastAsia="宋体" w:cs="宋体"/>
          <w:spacing w:val="-7"/>
          <w:sz w:val="24"/>
          <w:szCs w:val="24"/>
        </w:rPr>
        <w:t>年</w:t>
      </w:r>
      <w:r>
        <w:rPr>
          <w:rFonts w:ascii="Times New Roman" w:hAnsi="Times New Roman" w:eastAsia="Times New Roman" w:cs="Times New Roman"/>
          <w:spacing w:val="-7"/>
          <w:sz w:val="24"/>
          <w:szCs w:val="24"/>
        </w:rPr>
        <w:t>2</w:t>
      </w:r>
      <w:r>
        <w:rPr>
          <w:rFonts w:ascii="Times New Roman" w:hAnsi="Times New Roman" w:eastAsia="Times New Roman" w:cs="Times New Roman"/>
          <w:spacing w:val="15"/>
          <w:w w:val="101"/>
          <w:sz w:val="24"/>
          <w:szCs w:val="24"/>
        </w:rPr>
        <w:t xml:space="preserve"> </w:t>
      </w:r>
      <w:r>
        <w:rPr>
          <w:rFonts w:ascii="宋体" w:hAnsi="宋体" w:eastAsia="宋体" w:cs="宋体"/>
          <w:spacing w:val="-7"/>
          <w:sz w:val="24"/>
          <w:szCs w:val="24"/>
        </w:rPr>
        <w:t>月</w:t>
      </w:r>
      <w:r>
        <w:rPr>
          <w:rFonts w:ascii="宋体" w:hAnsi="宋体" w:eastAsia="宋体" w:cs="宋体"/>
          <w:spacing w:val="-50"/>
          <w:sz w:val="24"/>
          <w:szCs w:val="24"/>
        </w:rPr>
        <w:t xml:space="preserve"> </w:t>
      </w:r>
      <w:r>
        <w:rPr>
          <w:rFonts w:ascii="Times New Roman" w:hAnsi="Times New Roman" w:eastAsia="Times New Roman" w:cs="Times New Roman"/>
          <w:spacing w:val="-7"/>
          <w:sz w:val="24"/>
          <w:szCs w:val="24"/>
        </w:rPr>
        <w:t xml:space="preserve">6  </w:t>
      </w:r>
      <w:r>
        <w:rPr>
          <w:rFonts w:ascii="宋体" w:hAnsi="宋体" w:eastAsia="宋体" w:cs="宋体"/>
          <w:spacing w:val="-7"/>
          <w:sz w:val="24"/>
          <w:szCs w:val="24"/>
        </w:rPr>
        <w:t>日第二次</w:t>
      </w:r>
      <w:r>
        <w:rPr>
          <w:rFonts w:ascii="宋体" w:hAnsi="宋体" w:eastAsia="宋体" w:cs="宋体"/>
          <w:spacing w:val="-20"/>
          <w:w w:val="96"/>
          <w:sz w:val="24"/>
          <w:szCs w:val="24"/>
        </w:rPr>
        <w:t>修订实施</w:t>
      </w:r>
      <w:r>
        <w:rPr>
          <w:rFonts w:ascii="宋体" w:hAnsi="宋体" w:eastAsia="宋体" w:cs="宋体"/>
          <w:spacing w:val="-14"/>
          <w:sz w:val="24"/>
          <w:szCs w:val="24"/>
        </w:rPr>
        <w:t>）；</w:t>
      </w:r>
    </w:p>
    <w:p w14:paraId="3CDDE8E4">
      <w:pPr>
        <w:spacing w:before="21" w:line="352" w:lineRule="auto"/>
        <w:ind w:left="7" w:right="198" w:firstLine="474"/>
        <w:rPr>
          <w:rFonts w:ascii="宋体" w:hAnsi="宋体" w:eastAsia="宋体" w:cs="宋体"/>
          <w:sz w:val="24"/>
          <w:szCs w:val="24"/>
        </w:rPr>
      </w:pPr>
      <w:r>
        <w:rPr>
          <w:rFonts w:ascii="Times New Roman" w:hAnsi="Times New Roman" w:eastAsia="Times New Roman" w:cs="Times New Roman"/>
          <w:spacing w:val="-9"/>
          <w:sz w:val="24"/>
          <w:szCs w:val="24"/>
        </w:rPr>
        <w:t>6</w:t>
      </w:r>
      <w:r>
        <w:rPr>
          <w:rFonts w:ascii="宋体" w:hAnsi="宋体" w:eastAsia="宋体" w:cs="宋体"/>
          <w:spacing w:val="-9"/>
          <w:sz w:val="24"/>
          <w:szCs w:val="24"/>
        </w:rPr>
        <w:t>）《中华人民共和国野生动物保护法》（</w:t>
      </w:r>
      <w:r>
        <w:rPr>
          <w:rFonts w:ascii="Times New Roman" w:hAnsi="Times New Roman" w:eastAsia="Times New Roman" w:cs="Times New Roman"/>
          <w:spacing w:val="-9"/>
          <w:sz w:val="24"/>
          <w:szCs w:val="24"/>
        </w:rPr>
        <w:t>201</w:t>
      </w:r>
      <w:r>
        <w:rPr>
          <w:rFonts w:ascii="Times New Roman" w:hAnsi="Times New Roman" w:eastAsia="Times New Roman" w:cs="Times New Roman"/>
          <w:spacing w:val="-10"/>
          <w:sz w:val="24"/>
          <w:szCs w:val="24"/>
        </w:rPr>
        <w:t>6</w:t>
      </w:r>
      <w:r>
        <w:rPr>
          <w:rFonts w:ascii="Times New Roman" w:hAnsi="Times New Roman" w:eastAsia="Times New Roman" w:cs="Times New Roman"/>
          <w:spacing w:val="20"/>
          <w:sz w:val="24"/>
          <w:szCs w:val="24"/>
        </w:rPr>
        <w:t xml:space="preserve"> </w:t>
      </w:r>
      <w:r>
        <w:rPr>
          <w:rFonts w:ascii="宋体" w:hAnsi="宋体" w:eastAsia="宋体" w:cs="宋体"/>
          <w:spacing w:val="-10"/>
          <w:sz w:val="24"/>
          <w:szCs w:val="24"/>
        </w:rPr>
        <w:t>年</w:t>
      </w:r>
      <w:r>
        <w:rPr>
          <w:rFonts w:ascii="宋体" w:hAnsi="宋体" w:eastAsia="宋体" w:cs="宋体"/>
          <w:spacing w:val="-42"/>
          <w:sz w:val="24"/>
          <w:szCs w:val="24"/>
        </w:rPr>
        <w:t xml:space="preserve"> </w:t>
      </w:r>
      <w:r>
        <w:rPr>
          <w:rFonts w:ascii="Times New Roman" w:hAnsi="Times New Roman" w:eastAsia="Times New Roman" w:cs="Times New Roman"/>
          <w:spacing w:val="-10"/>
          <w:sz w:val="24"/>
          <w:szCs w:val="24"/>
        </w:rPr>
        <w:t>7</w:t>
      </w:r>
      <w:r>
        <w:rPr>
          <w:rFonts w:ascii="Times New Roman" w:hAnsi="Times New Roman" w:eastAsia="Times New Roman" w:cs="Times New Roman"/>
          <w:spacing w:val="25"/>
          <w:sz w:val="24"/>
          <w:szCs w:val="24"/>
        </w:rPr>
        <w:t xml:space="preserve"> </w:t>
      </w:r>
      <w:r>
        <w:rPr>
          <w:rFonts w:ascii="宋体" w:hAnsi="宋体" w:eastAsia="宋体" w:cs="宋体"/>
          <w:spacing w:val="-10"/>
          <w:sz w:val="24"/>
          <w:szCs w:val="24"/>
        </w:rPr>
        <w:t>月</w:t>
      </w:r>
      <w:r>
        <w:rPr>
          <w:rFonts w:ascii="宋体" w:hAnsi="宋体" w:eastAsia="宋体" w:cs="宋体"/>
          <w:spacing w:val="-46"/>
          <w:sz w:val="24"/>
          <w:szCs w:val="24"/>
        </w:rPr>
        <w:t xml:space="preserve"> </w:t>
      </w:r>
      <w:r>
        <w:rPr>
          <w:rFonts w:ascii="Times New Roman" w:hAnsi="Times New Roman" w:eastAsia="Times New Roman" w:cs="Times New Roman"/>
          <w:spacing w:val="-10"/>
          <w:sz w:val="24"/>
          <w:szCs w:val="24"/>
        </w:rPr>
        <w:t xml:space="preserve">2  </w:t>
      </w:r>
      <w:r>
        <w:rPr>
          <w:rFonts w:ascii="宋体" w:hAnsi="宋体" w:eastAsia="宋体" w:cs="宋体"/>
          <w:spacing w:val="-10"/>
          <w:sz w:val="24"/>
          <w:szCs w:val="24"/>
        </w:rPr>
        <w:t>日修订，</w:t>
      </w:r>
      <w:r>
        <w:rPr>
          <w:rFonts w:ascii="Times New Roman" w:hAnsi="Times New Roman" w:eastAsia="Times New Roman" w:cs="Times New Roman"/>
          <w:spacing w:val="-10"/>
          <w:sz w:val="24"/>
          <w:szCs w:val="24"/>
        </w:rPr>
        <w:t>2018</w:t>
      </w:r>
      <w:r>
        <w:rPr>
          <w:rFonts w:ascii="Times New Roman" w:hAnsi="Times New Roman" w:eastAsia="Times New Roman" w:cs="Times New Roman"/>
          <w:spacing w:val="20"/>
          <w:w w:val="101"/>
          <w:sz w:val="24"/>
          <w:szCs w:val="24"/>
        </w:rPr>
        <w:t xml:space="preserve"> </w:t>
      </w:r>
      <w:r>
        <w:rPr>
          <w:rFonts w:ascii="宋体" w:hAnsi="宋体" w:eastAsia="宋体" w:cs="宋体"/>
          <w:spacing w:val="-10"/>
          <w:sz w:val="24"/>
          <w:szCs w:val="24"/>
        </w:rPr>
        <w:t xml:space="preserve">年 </w:t>
      </w:r>
      <w:r>
        <w:rPr>
          <w:rFonts w:ascii="Times New Roman" w:hAnsi="Times New Roman" w:eastAsia="Times New Roman" w:cs="Times New Roman"/>
          <w:spacing w:val="-10"/>
          <w:sz w:val="24"/>
          <w:szCs w:val="24"/>
        </w:rPr>
        <w:t>10</w:t>
      </w:r>
      <w:r>
        <w:rPr>
          <w:rFonts w:ascii="Times New Roman" w:hAnsi="Times New Roman" w:eastAsia="Times New Roman" w:cs="Times New Roman"/>
          <w:spacing w:val="24"/>
          <w:w w:val="101"/>
          <w:sz w:val="24"/>
          <w:szCs w:val="24"/>
        </w:rPr>
        <w:t xml:space="preserve"> </w:t>
      </w:r>
      <w:r>
        <w:rPr>
          <w:rFonts w:ascii="宋体" w:hAnsi="宋体" w:eastAsia="宋体" w:cs="宋体"/>
          <w:spacing w:val="-10"/>
          <w:sz w:val="24"/>
          <w:szCs w:val="24"/>
        </w:rPr>
        <w:t>月第三</w:t>
      </w:r>
      <w:r>
        <w:rPr>
          <w:rFonts w:ascii="宋体" w:hAnsi="宋体" w:eastAsia="宋体" w:cs="宋体"/>
          <w:spacing w:val="-20"/>
          <w:w w:val="92"/>
          <w:sz w:val="24"/>
          <w:szCs w:val="24"/>
        </w:rPr>
        <w:t>次修正</w:t>
      </w:r>
      <w:r>
        <w:rPr>
          <w:rFonts w:ascii="宋体" w:hAnsi="宋体" w:eastAsia="宋体" w:cs="宋体"/>
          <w:spacing w:val="-18"/>
          <w:sz w:val="24"/>
          <w:szCs w:val="24"/>
        </w:rPr>
        <w:t>）；</w:t>
      </w:r>
    </w:p>
    <w:p w14:paraId="7BEEBE71">
      <w:pPr>
        <w:spacing w:before="22" w:line="360" w:lineRule="auto"/>
        <w:ind w:left="4" w:right="201" w:firstLine="475"/>
        <w:rPr>
          <w:rFonts w:ascii="宋体" w:hAnsi="宋体" w:eastAsia="宋体" w:cs="宋体"/>
          <w:sz w:val="24"/>
          <w:szCs w:val="24"/>
        </w:rPr>
      </w:pPr>
      <w:r>
        <w:rPr>
          <w:rFonts w:ascii="Times New Roman" w:hAnsi="Times New Roman" w:eastAsia="Times New Roman" w:cs="Times New Roman"/>
          <w:spacing w:val="-9"/>
          <w:sz w:val="24"/>
          <w:szCs w:val="24"/>
        </w:rPr>
        <w:t>7</w:t>
      </w:r>
      <w:r>
        <w:rPr>
          <w:rFonts w:ascii="宋体" w:hAnsi="宋体" w:eastAsia="宋体" w:cs="宋体"/>
          <w:spacing w:val="-9"/>
          <w:sz w:val="24"/>
          <w:szCs w:val="24"/>
        </w:rPr>
        <w:t>）国务院令第</w:t>
      </w:r>
      <w:r>
        <w:rPr>
          <w:rFonts w:ascii="宋体" w:hAnsi="宋体" w:eastAsia="宋体" w:cs="宋体"/>
          <w:spacing w:val="-54"/>
          <w:sz w:val="24"/>
          <w:szCs w:val="24"/>
        </w:rPr>
        <w:t xml:space="preserve"> </w:t>
      </w:r>
      <w:r>
        <w:rPr>
          <w:rFonts w:ascii="Times New Roman" w:hAnsi="Times New Roman" w:eastAsia="Times New Roman" w:cs="Times New Roman"/>
          <w:spacing w:val="-9"/>
          <w:sz w:val="24"/>
          <w:szCs w:val="24"/>
        </w:rPr>
        <w:t>204</w:t>
      </w:r>
      <w:r>
        <w:rPr>
          <w:rFonts w:ascii="Times New Roman" w:hAnsi="Times New Roman" w:eastAsia="Times New Roman" w:cs="Times New Roman"/>
          <w:spacing w:val="15"/>
          <w:sz w:val="24"/>
          <w:szCs w:val="24"/>
        </w:rPr>
        <w:t xml:space="preserve"> </w:t>
      </w:r>
      <w:r>
        <w:rPr>
          <w:rFonts w:ascii="宋体" w:hAnsi="宋体" w:eastAsia="宋体" w:cs="宋体"/>
          <w:spacing w:val="-9"/>
          <w:sz w:val="24"/>
          <w:szCs w:val="24"/>
        </w:rPr>
        <w:t>号《中华人民共和国野生植物保护条例》（</w:t>
      </w:r>
      <w:r>
        <w:rPr>
          <w:rFonts w:ascii="Times New Roman" w:hAnsi="Times New Roman" w:eastAsia="Times New Roman" w:cs="Times New Roman"/>
          <w:spacing w:val="-9"/>
          <w:sz w:val="24"/>
          <w:szCs w:val="24"/>
        </w:rPr>
        <w:t xml:space="preserve">1997 </w:t>
      </w:r>
      <w:r>
        <w:rPr>
          <w:rFonts w:ascii="宋体" w:hAnsi="宋体" w:eastAsia="宋体" w:cs="宋体"/>
          <w:spacing w:val="-9"/>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9"/>
          <w:sz w:val="24"/>
          <w:szCs w:val="24"/>
        </w:rPr>
        <w:t>1</w:t>
      </w:r>
      <w:r>
        <w:rPr>
          <w:rFonts w:ascii="Times New Roman" w:hAnsi="Times New Roman" w:eastAsia="Times New Roman" w:cs="Times New Roman"/>
          <w:spacing w:val="15"/>
          <w:sz w:val="24"/>
          <w:szCs w:val="24"/>
        </w:rPr>
        <w:t xml:space="preserve"> </w:t>
      </w:r>
      <w:r>
        <w:rPr>
          <w:rFonts w:ascii="宋体" w:hAnsi="宋体" w:eastAsia="宋体" w:cs="宋体"/>
          <w:spacing w:val="-9"/>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9"/>
          <w:sz w:val="24"/>
          <w:szCs w:val="24"/>
        </w:rPr>
        <w:t xml:space="preserve">1  </w:t>
      </w:r>
      <w:r>
        <w:rPr>
          <w:rFonts w:ascii="宋体" w:hAnsi="宋体" w:eastAsia="宋体" w:cs="宋体"/>
          <w:spacing w:val="-9"/>
          <w:sz w:val="24"/>
          <w:szCs w:val="24"/>
        </w:rPr>
        <w:t>日</w:t>
      </w:r>
      <w:r>
        <w:rPr>
          <w:rFonts w:ascii="宋体" w:hAnsi="宋体" w:eastAsia="宋体" w:cs="宋体"/>
          <w:spacing w:val="-10"/>
          <w:sz w:val="24"/>
          <w:szCs w:val="24"/>
        </w:rPr>
        <w:t>起施</w:t>
      </w:r>
      <w:r>
        <w:rPr>
          <w:rFonts w:ascii="宋体" w:hAnsi="宋体" w:eastAsia="宋体" w:cs="宋体"/>
          <w:spacing w:val="-15"/>
          <w:sz w:val="24"/>
          <w:szCs w:val="24"/>
        </w:rPr>
        <w:t>行，</w:t>
      </w:r>
      <w:r>
        <w:rPr>
          <w:rFonts w:ascii="Times New Roman" w:hAnsi="Times New Roman" w:eastAsia="Times New Roman" w:cs="Times New Roman"/>
          <w:spacing w:val="-15"/>
          <w:sz w:val="24"/>
          <w:szCs w:val="24"/>
        </w:rPr>
        <w:t>2017</w:t>
      </w:r>
      <w:r>
        <w:rPr>
          <w:rFonts w:ascii="Times New Roman" w:hAnsi="Times New Roman" w:eastAsia="Times New Roman" w:cs="Times New Roman"/>
          <w:spacing w:val="11"/>
          <w:sz w:val="24"/>
          <w:szCs w:val="24"/>
        </w:rPr>
        <w:t xml:space="preserve"> </w:t>
      </w:r>
      <w:r>
        <w:rPr>
          <w:rFonts w:ascii="宋体" w:hAnsi="宋体" w:eastAsia="宋体" w:cs="宋体"/>
          <w:spacing w:val="-15"/>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15"/>
          <w:sz w:val="24"/>
          <w:szCs w:val="24"/>
        </w:rPr>
        <w:t>10</w:t>
      </w:r>
      <w:r>
        <w:rPr>
          <w:rFonts w:ascii="Times New Roman" w:hAnsi="Times New Roman" w:eastAsia="Times New Roman" w:cs="Times New Roman"/>
          <w:spacing w:val="15"/>
          <w:w w:val="101"/>
          <w:sz w:val="24"/>
          <w:szCs w:val="24"/>
        </w:rPr>
        <w:t xml:space="preserve"> </w:t>
      </w:r>
      <w:r>
        <w:rPr>
          <w:rFonts w:ascii="宋体" w:hAnsi="宋体" w:eastAsia="宋体" w:cs="宋体"/>
          <w:spacing w:val="-15"/>
          <w:sz w:val="24"/>
          <w:szCs w:val="24"/>
        </w:rPr>
        <w:t>月</w:t>
      </w:r>
      <w:r>
        <w:rPr>
          <w:rFonts w:ascii="宋体" w:hAnsi="宋体" w:eastAsia="宋体" w:cs="宋体"/>
          <w:spacing w:val="-51"/>
          <w:sz w:val="24"/>
          <w:szCs w:val="24"/>
        </w:rPr>
        <w:t xml:space="preserve"> </w:t>
      </w:r>
      <w:r>
        <w:rPr>
          <w:rFonts w:ascii="Times New Roman" w:hAnsi="Times New Roman" w:eastAsia="Times New Roman" w:cs="Times New Roman"/>
          <w:spacing w:val="-15"/>
          <w:sz w:val="24"/>
          <w:szCs w:val="24"/>
        </w:rPr>
        <w:t xml:space="preserve">7  </w:t>
      </w:r>
      <w:r>
        <w:rPr>
          <w:rFonts w:ascii="宋体" w:hAnsi="宋体" w:eastAsia="宋体" w:cs="宋体"/>
          <w:spacing w:val="-15"/>
          <w:sz w:val="24"/>
          <w:szCs w:val="24"/>
        </w:rPr>
        <w:t>日修订</w:t>
      </w:r>
      <w:r>
        <w:rPr>
          <w:rFonts w:ascii="宋体" w:hAnsi="宋体" w:eastAsia="宋体" w:cs="宋体"/>
          <w:spacing w:val="-17"/>
          <w:sz w:val="24"/>
          <w:szCs w:val="24"/>
        </w:rPr>
        <w:t>）；</w:t>
      </w:r>
    </w:p>
    <w:p w14:paraId="4BA4D5E2">
      <w:pPr>
        <w:spacing w:before="3" w:line="359" w:lineRule="auto"/>
        <w:ind w:left="6" w:right="200" w:firstLine="479"/>
        <w:rPr>
          <w:rFonts w:ascii="宋体" w:hAnsi="宋体" w:eastAsia="宋体" w:cs="宋体"/>
          <w:sz w:val="24"/>
          <w:szCs w:val="24"/>
        </w:rPr>
      </w:pPr>
      <w:r>
        <w:rPr>
          <w:rFonts w:ascii="Times New Roman" w:hAnsi="Times New Roman" w:eastAsia="Times New Roman" w:cs="Times New Roman"/>
          <w:spacing w:val="-8"/>
          <w:sz w:val="24"/>
          <w:szCs w:val="24"/>
        </w:rPr>
        <w:t>8</w:t>
      </w:r>
      <w:r>
        <w:rPr>
          <w:rFonts w:ascii="宋体" w:hAnsi="宋体" w:eastAsia="宋体" w:cs="宋体"/>
          <w:spacing w:val="-8"/>
          <w:sz w:val="24"/>
          <w:szCs w:val="24"/>
        </w:rPr>
        <w:t>）国务院令第</w:t>
      </w:r>
      <w:r>
        <w:rPr>
          <w:rFonts w:ascii="宋体" w:hAnsi="宋体" w:eastAsia="宋体" w:cs="宋体"/>
          <w:spacing w:val="-34"/>
          <w:sz w:val="24"/>
          <w:szCs w:val="24"/>
        </w:rPr>
        <w:t xml:space="preserve"> </w:t>
      </w:r>
      <w:r>
        <w:rPr>
          <w:rFonts w:ascii="Times New Roman" w:hAnsi="Times New Roman" w:eastAsia="Times New Roman" w:cs="Times New Roman"/>
          <w:spacing w:val="-8"/>
          <w:sz w:val="24"/>
          <w:szCs w:val="24"/>
        </w:rPr>
        <w:t>239</w:t>
      </w:r>
      <w:r>
        <w:rPr>
          <w:rFonts w:ascii="Times New Roman" w:hAnsi="Times New Roman" w:eastAsia="Times New Roman" w:cs="Times New Roman"/>
          <w:spacing w:val="18"/>
          <w:sz w:val="24"/>
          <w:szCs w:val="24"/>
        </w:rPr>
        <w:t xml:space="preserve"> </w:t>
      </w:r>
      <w:r>
        <w:rPr>
          <w:rFonts w:ascii="宋体" w:hAnsi="宋体" w:eastAsia="宋体" w:cs="宋体"/>
          <w:spacing w:val="-8"/>
          <w:sz w:val="24"/>
          <w:szCs w:val="24"/>
        </w:rPr>
        <w:t>号《电力设施保护条例》（</w:t>
      </w:r>
      <w:r>
        <w:rPr>
          <w:rFonts w:ascii="Times New Roman" w:hAnsi="Times New Roman" w:eastAsia="Times New Roman" w:cs="Times New Roman"/>
          <w:spacing w:val="-8"/>
          <w:sz w:val="24"/>
          <w:szCs w:val="24"/>
        </w:rPr>
        <w:t>1987</w:t>
      </w:r>
      <w:r>
        <w:rPr>
          <w:rFonts w:ascii="Times New Roman" w:hAnsi="Times New Roman" w:eastAsia="Times New Roman" w:cs="Times New Roman"/>
          <w:spacing w:val="13"/>
          <w:sz w:val="24"/>
          <w:szCs w:val="24"/>
        </w:rPr>
        <w:t xml:space="preserve"> </w:t>
      </w:r>
      <w:r>
        <w:rPr>
          <w:rFonts w:ascii="宋体" w:hAnsi="宋体" w:eastAsia="宋体" w:cs="宋体"/>
          <w:spacing w:val="-8"/>
          <w:sz w:val="24"/>
          <w:szCs w:val="24"/>
        </w:rPr>
        <w:t>年</w:t>
      </w:r>
      <w:r>
        <w:rPr>
          <w:rFonts w:ascii="宋体" w:hAnsi="宋体" w:eastAsia="宋体" w:cs="宋体"/>
          <w:spacing w:val="-48"/>
          <w:sz w:val="24"/>
          <w:szCs w:val="24"/>
        </w:rPr>
        <w:t xml:space="preserve"> </w:t>
      </w:r>
      <w:r>
        <w:rPr>
          <w:rFonts w:ascii="Times New Roman" w:hAnsi="Times New Roman" w:eastAsia="Times New Roman" w:cs="Times New Roman"/>
          <w:spacing w:val="-8"/>
          <w:sz w:val="24"/>
          <w:szCs w:val="24"/>
        </w:rPr>
        <w:t>9</w:t>
      </w:r>
      <w:r>
        <w:rPr>
          <w:rFonts w:ascii="Times New Roman" w:hAnsi="Times New Roman" w:eastAsia="Times New Roman" w:cs="Times New Roman"/>
          <w:spacing w:val="18"/>
          <w:sz w:val="24"/>
          <w:szCs w:val="24"/>
        </w:rPr>
        <w:t xml:space="preserve"> </w:t>
      </w:r>
      <w:r>
        <w:rPr>
          <w:rFonts w:ascii="宋体" w:hAnsi="宋体" w:eastAsia="宋体" w:cs="宋体"/>
          <w:spacing w:val="-8"/>
          <w:sz w:val="24"/>
          <w:szCs w:val="24"/>
        </w:rPr>
        <w:t>月</w:t>
      </w:r>
      <w:r>
        <w:rPr>
          <w:rFonts w:ascii="宋体" w:hAnsi="宋体" w:eastAsia="宋体" w:cs="宋体"/>
          <w:spacing w:val="-30"/>
          <w:sz w:val="24"/>
          <w:szCs w:val="24"/>
        </w:rPr>
        <w:t xml:space="preserve"> </w:t>
      </w:r>
      <w:r>
        <w:rPr>
          <w:rFonts w:ascii="Times New Roman" w:hAnsi="Times New Roman" w:eastAsia="Times New Roman" w:cs="Times New Roman"/>
          <w:spacing w:val="-8"/>
          <w:sz w:val="24"/>
          <w:szCs w:val="24"/>
        </w:rPr>
        <w:t>15</w:t>
      </w:r>
      <w:r>
        <w:rPr>
          <w:rFonts w:ascii="Times New Roman" w:hAnsi="Times New Roman" w:eastAsia="Times New Roman" w:cs="Times New Roman"/>
          <w:spacing w:val="53"/>
          <w:w w:val="101"/>
          <w:sz w:val="24"/>
          <w:szCs w:val="24"/>
        </w:rPr>
        <w:t xml:space="preserve"> </w:t>
      </w:r>
      <w:r>
        <w:rPr>
          <w:rFonts w:ascii="宋体" w:hAnsi="宋体" w:eastAsia="宋体" w:cs="宋体"/>
          <w:spacing w:val="-8"/>
          <w:sz w:val="24"/>
          <w:szCs w:val="24"/>
        </w:rPr>
        <w:t>日起施行，</w:t>
      </w:r>
      <w:r>
        <w:rPr>
          <w:rFonts w:ascii="Times New Roman" w:hAnsi="Times New Roman" w:eastAsia="Times New Roman" w:cs="Times New Roman"/>
          <w:spacing w:val="-8"/>
          <w:sz w:val="24"/>
          <w:szCs w:val="24"/>
        </w:rPr>
        <w:t>2011</w:t>
      </w:r>
      <w:r>
        <w:rPr>
          <w:rFonts w:ascii="Times New Roman" w:hAnsi="Times New Roman" w:eastAsia="Times New Roman" w:cs="Times New Roman"/>
          <w:spacing w:val="13"/>
          <w:sz w:val="24"/>
          <w:szCs w:val="24"/>
        </w:rPr>
        <w:t xml:space="preserve"> </w:t>
      </w:r>
      <w:r>
        <w:rPr>
          <w:rFonts w:ascii="宋体" w:hAnsi="宋体" w:eastAsia="宋体" w:cs="宋体"/>
          <w:spacing w:val="-8"/>
          <w:sz w:val="24"/>
          <w:szCs w:val="24"/>
        </w:rPr>
        <w:t>年</w:t>
      </w:r>
      <w:r>
        <w:rPr>
          <w:rFonts w:ascii="宋体" w:hAnsi="宋体" w:eastAsia="宋体" w:cs="宋体"/>
          <w:spacing w:val="-30"/>
          <w:sz w:val="24"/>
          <w:szCs w:val="24"/>
        </w:rPr>
        <w:t xml:space="preserve"> </w:t>
      </w:r>
      <w:r>
        <w:rPr>
          <w:rFonts w:ascii="Times New Roman" w:hAnsi="Times New Roman" w:eastAsia="Times New Roman" w:cs="Times New Roman"/>
          <w:spacing w:val="-8"/>
          <w:sz w:val="24"/>
          <w:szCs w:val="24"/>
        </w:rPr>
        <w:t>1</w:t>
      </w:r>
      <w:r>
        <w:rPr>
          <w:rFonts w:ascii="宋体" w:hAnsi="宋体" w:eastAsia="宋体" w:cs="宋体"/>
          <w:spacing w:val="-20"/>
          <w:sz w:val="24"/>
          <w:szCs w:val="24"/>
        </w:rPr>
        <w:t>月</w:t>
      </w:r>
      <w:r>
        <w:rPr>
          <w:rFonts w:ascii="宋体" w:hAnsi="宋体" w:eastAsia="宋体" w:cs="宋体"/>
          <w:spacing w:val="-44"/>
          <w:sz w:val="24"/>
          <w:szCs w:val="24"/>
        </w:rPr>
        <w:t xml:space="preserve"> </w:t>
      </w:r>
      <w:r>
        <w:rPr>
          <w:rFonts w:ascii="Times New Roman" w:hAnsi="Times New Roman" w:eastAsia="Times New Roman" w:cs="Times New Roman"/>
          <w:spacing w:val="-20"/>
          <w:sz w:val="24"/>
          <w:szCs w:val="24"/>
        </w:rPr>
        <w:t xml:space="preserve">8  </w:t>
      </w:r>
      <w:r>
        <w:rPr>
          <w:rFonts w:ascii="宋体" w:hAnsi="宋体" w:eastAsia="宋体" w:cs="宋体"/>
          <w:spacing w:val="-20"/>
          <w:sz w:val="24"/>
          <w:szCs w:val="24"/>
        </w:rPr>
        <w:t>日第二次修订</w:t>
      </w:r>
      <w:r>
        <w:rPr>
          <w:rFonts w:ascii="宋体" w:hAnsi="宋体" w:eastAsia="宋体" w:cs="宋体"/>
          <w:spacing w:val="-14"/>
          <w:sz w:val="24"/>
          <w:szCs w:val="24"/>
        </w:rPr>
        <w:t>）；</w:t>
      </w:r>
    </w:p>
    <w:p w14:paraId="3698E536">
      <w:pPr>
        <w:spacing w:line="232" w:lineRule="auto"/>
        <w:ind w:left="481"/>
        <w:rPr>
          <w:rFonts w:ascii="宋体" w:hAnsi="宋体" w:eastAsia="宋体" w:cs="宋体"/>
          <w:sz w:val="24"/>
          <w:szCs w:val="24"/>
        </w:rPr>
      </w:pPr>
      <w:r>
        <w:rPr>
          <w:rFonts w:ascii="Times New Roman" w:hAnsi="Times New Roman" w:eastAsia="Times New Roman" w:cs="Times New Roman"/>
          <w:spacing w:val="-10"/>
          <w:sz w:val="24"/>
          <w:szCs w:val="24"/>
        </w:rPr>
        <w:t>9</w:t>
      </w:r>
      <w:r>
        <w:rPr>
          <w:rFonts w:ascii="宋体" w:hAnsi="宋体" w:eastAsia="宋体" w:cs="宋体"/>
          <w:spacing w:val="-10"/>
          <w:sz w:val="24"/>
          <w:szCs w:val="24"/>
        </w:rPr>
        <w:t>）国务院令第</w:t>
      </w:r>
      <w:r>
        <w:rPr>
          <w:rFonts w:ascii="宋体" w:hAnsi="宋体" w:eastAsia="宋体" w:cs="宋体"/>
          <w:spacing w:val="-30"/>
          <w:sz w:val="24"/>
          <w:szCs w:val="24"/>
        </w:rPr>
        <w:t xml:space="preserve"> </w:t>
      </w:r>
      <w:r>
        <w:rPr>
          <w:rFonts w:ascii="Times New Roman" w:hAnsi="Times New Roman" w:eastAsia="Times New Roman" w:cs="Times New Roman"/>
          <w:spacing w:val="-10"/>
          <w:sz w:val="24"/>
          <w:szCs w:val="24"/>
        </w:rPr>
        <w:t>682</w:t>
      </w:r>
      <w:r>
        <w:rPr>
          <w:rFonts w:ascii="Times New Roman" w:hAnsi="Times New Roman" w:eastAsia="Times New Roman" w:cs="Times New Roman"/>
          <w:spacing w:val="18"/>
          <w:sz w:val="24"/>
          <w:szCs w:val="24"/>
        </w:rPr>
        <w:t xml:space="preserve"> </w:t>
      </w:r>
      <w:r>
        <w:rPr>
          <w:rFonts w:ascii="宋体" w:hAnsi="宋体" w:eastAsia="宋体" w:cs="宋体"/>
          <w:spacing w:val="-10"/>
          <w:sz w:val="24"/>
          <w:szCs w:val="24"/>
        </w:rPr>
        <w:t>号《建设项目环境保护管理条例</w:t>
      </w:r>
      <w:r>
        <w:rPr>
          <w:rFonts w:ascii="宋体" w:hAnsi="宋体" w:eastAsia="宋体" w:cs="宋体"/>
          <w:spacing w:val="-11"/>
          <w:sz w:val="24"/>
          <w:szCs w:val="24"/>
        </w:rPr>
        <w:t>》（</w:t>
      </w:r>
      <w:r>
        <w:rPr>
          <w:rFonts w:ascii="Times New Roman" w:hAnsi="Times New Roman" w:eastAsia="Times New Roman" w:cs="Times New Roman"/>
          <w:spacing w:val="-11"/>
          <w:sz w:val="24"/>
          <w:szCs w:val="24"/>
        </w:rPr>
        <w:t>2017</w:t>
      </w:r>
      <w:r>
        <w:rPr>
          <w:rFonts w:ascii="Times New Roman" w:hAnsi="Times New Roman" w:eastAsia="Times New Roman" w:cs="Times New Roman"/>
          <w:spacing w:val="12"/>
          <w:sz w:val="24"/>
          <w:szCs w:val="24"/>
        </w:rPr>
        <w:t xml:space="preserve"> </w:t>
      </w:r>
      <w:r>
        <w:rPr>
          <w:rFonts w:ascii="宋体" w:hAnsi="宋体" w:eastAsia="宋体" w:cs="宋体"/>
          <w:spacing w:val="-11"/>
          <w:sz w:val="24"/>
          <w:szCs w:val="24"/>
        </w:rPr>
        <w:t>年</w:t>
      </w:r>
      <w:r>
        <w:rPr>
          <w:rFonts w:ascii="宋体" w:hAnsi="宋体" w:eastAsia="宋体" w:cs="宋体"/>
          <w:spacing w:val="-29"/>
          <w:sz w:val="24"/>
          <w:szCs w:val="24"/>
        </w:rPr>
        <w:t xml:space="preserve"> </w:t>
      </w:r>
      <w:r>
        <w:rPr>
          <w:rFonts w:ascii="Times New Roman" w:hAnsi="Times New Roman" w:eastAsia="Times New Roman" w:cs="Times New Roman"/>
          <w:spacing w:val="-11"/>
          <w:sz w:val="24"/>
          <w:szCs w:val="24"/>
        </w:rPr>
        <w:t>10</w:t>
      </w:r>
      <w:r>
        <w:rPr>
          <w:rFonts w:ascii="Times New Roman" w:hAnsi="Times New Roman" w:eastAsia="Times New Roman" w:cs="Times New Roman"/>
          <w:spacing w:val="15"/>
          <w:sz w:val="24"/>
          <w:szCs w:val="24"/>
        </w:rPr>
        <w:t xml:space="preserve"> </w:t>
      </w:r>
      <w:r>
        <w:rPr>
          <w:rFonts w:ascii="宋体" w:hAnsi="宋体" w:eastAsia="宋体" w:cs="宋体"/>
          <w:spacing w:val="-11"/>
          <w:sz w:val="24"/>
          <w:szCs w:val="24"/>
        </w:rPr>
        <w:t>月</w:t>
      </w:r>
      <w:r>
        <w:rPr>
          <w:rFonts w:ascii="宋体" w:hAnsi="宋体" w:eastAsia="宋体" w:cs="宋体"/>
          <w:spacing w:val="-29"/>
          <w:sz w:val="24"/>
          <w:szCs w:val="24"/>
        </w:rPr>
        <w:t xml:space="preserve"> </w:t>
      </w:r>
      <w:r>
        <w:rPr>
          <w:rFonts w:ascii="Times New Roman" w:hAnsi="Times New Roman" w:eastAsia="Times New Roman" w:cs="Times New Roman"/>
          <w:spacing w:val="-11"/>
          <w:sz w:val="24"/>
          <w:szCs w:val="24"/>
        </w:rPr>
        <w:t>1</w:t>
      </w:r>
      <w:r>
        <w:rPr>
          <w:rFonts w:ascii="Times New Roman" w:hAnsi="Times New Roman" w:eastAsia="Times New Roman" w:cs="Times New Roman"/>
          <w:spacing w:val="53"/>
          <w:sz w:val="24"/>
          <w:szCs w:val="24"/>
        </w:rPr>
        <w:t xml:space="preserve"> </w:t>
      </w:r>
      <w:r>
        <w:rPr>
          <w:rFonts w:ascii="宋体" w:hAnsi="宋体" w:eastAsia="宋体" w:cs="宋体"/>
          <w:spacing w:val="-11"/>
          <w:sz w:val="24"/>
          <w:szCs w:val="24"/>
        </w:rPr>
        <w:t>日起施行</w:t>
      </w:r>
      <w:r>
        <w:rPr>
          <w:rFonts w:ascii="宋体" w:hAnsi="宋体" w:eastAsia="宋体" w:cs="宋体"/>
          <w:spacing w:val="-19"/>
          <w:sz w:val="24"/>
          <w:szCs w:val="24"/>
        </w:rPr>
        <w:t>）；</w:t>
      </w:r>
    </w:p>
    <w:p w14:paraId="08A94B5B">
      <w:pPr>
        <w:spacing w:before="167" w:line="351" w:lineRule="auto"/>
        <w:ind w:right="201" w:firstLine="498"/>
        <w:rPr>
          <w:rFonts w:ascii="宋体" w:hAnsi="宋体" w:eastAsia="宋体" w:cs="宋体"/>
          <w:sz w:val="24"/>
          <w:szCs w:val="24"/>
        </w:rPr>
      </w:pPr>
      <w:r>
        <w:rPr>
          <w:rFonts w:ascii="Times New Roman" w:hAnsi="Times New Roman" w:eastAsia="Times New Roman" w:cs="Times New Roman"/>
          <w:spacing w:val="-1"/>
          <w:sz w:val="24"/>
          <w:szCs w:val="24"/>
        </w:rPr>
        <w:t>10</w:t>
      </w:r>
      <w:r>
        <w:rPr>
          <w:rFonts w:ascii="宋体" w:hAnsi="宋体" w:eastAsia="宋体" w:cs="宋体"/>
          <w:spacing w:val="-1"/>
          <w:sz w:val="24"/>
          <w:szCs w:val="24"/>
        </w:rPr>
        <w:t>）中共中央办公厅、国务院办公厅厅字〔</w:t>
      </w:r>
      <w:r>
        <w:rPr>
          <w:rFonts w:ascii="Times New Roman" w:hAnsi="Times New Roman" w:eastAsia="Times New Roman" w:cs="Times New Roman"/>
          <w:spacing w:val="-1"/>
          <w:sz w:val="24"/>
          <w:szCs w:val="24"/>
        </w:rPr>
        <w:t>2017</w:t>
      </w: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Times New Roman" w:hAnsi="Times New Roman" w:eastAsia="Times New Roman" w:cs="Times New Roman"/>
          <w:spacing w:val="27"/>
          <w:sz w:val="24"/>
          <w:szCs w:val="24"/>
        </w:rPr>
        <w:t xml:space="preserve"> </w:t>
      </w:r>
      <w:r>
        <w:rPr>
          <w:rFonts w:ascii="宋体" w:hAnsi="宋体" w:eastAsia="宋体" w:cs="宋体"/>
          <w:spacing w:val="-1"/>
          <w:sz w:val="24"/>
          <w:szCs w:val="24"/>
        </w:rPr>
        <w:t>号《印发〈关于划定</w:t>
      </w:r>
      <w:r>
        <w:rPr>
          <w:rFonts w:ascii="宋体" w:hAnsi="宋体" w:eastAsia="宋体" w:cs="宋体"/>
          <w:spacing w:val="-2"/>
          <w:sz w:val="24"/>
          <w:szCs w:val="24"/>
        </w:rPr>
        <w:t>并严守生</w:t>
      </w:r>
      <w:r>
        <w:rPr>
          <w:rFonts w:ascii="宋体" w:hAnsi="宋体" w:eastAsia="宋体" w:cs="宋体"/>
          <w:spacing w:val="-9"/>
          <w:sz w:val="24"/>
          <w:szCs w:val="24"/>
        </w:rPr>
        <w:t>态保护红线的若干意见〉的通知》；</w:t>
      </w:r>
    </w:p>
    <w:p w14:paraId="7511ED12">
      <w:pPr>
        <w:spacing w:before="22" w:line="352" w:lineRule="auto"/>
        <w:ind w:left="5" w:right="201" w:firstLine="493"/>
        <w:rPr>
          <w:rFonts w:ascii="宋体" w:hAnsi="宋体" w:eastAsia="宋体" w:cs="宋体"/>
          <w:sz w:val="24"/>
          <w:szCs w:val="24"/>
        </w:rPr>
      </w:pPr>
      <w:r>
        <w:rPr>
          <w:rFonts w:ascii="Times New Roman" w:hAnsi="Times New Roman" w:eastAsia="Times New Roman" w:cs="Times New Roman"/>
          <w:spacing w:val="-4"/>
          <w:sz w:val="24"/>
          <w:szCs w:val="24"/>
        </w:rPr>
        <w:t>11</w:t>
      </w:r>
      <w:r>
        <w:rPr>
          <w:rFonts w:ascii="宋体" w:hAnsi="宋体" w:eastAsia="宋体" w:cs="宋体"/>
          <w:spacing w:val="-4"/>
          <w:sz w:val="24"/>
          <w:szCs w:val="24"/>
        </w:rPr>
        <w:t>）中共中央办公厅、国务院办公厅厅字〔</w:t>
      </w:r>
      <w:r>
        <w:rPr>
          <w:rFonts w:ascii="Times New Roman" w:hAnsi="Times New Roman" w:eastAsia="Times New Roman" w:cs="Times New Roman"/>
          <w:spacing w:val="-4"/>
          <w:sz w:val="24"/>
          <w:szCs w:val="24"/>
        </w:rPr>
        <w:t>2019</w:t>
      </w:r>
      <w:r>
        <w:rPr>
          <w:rFonts w:ascii="宋体" w:hAnsi="宋体" w:eastAsia="宋体" w:cs="宋体"/>
          <w:spacing w:val="-4"/>
          <w:sz w:val="24"/>
          <w:szCs w:val="24"/>
        </w:rPr>
        <w:t>〕</w:t>
      </w:r>
      <w:r>
        <w:rPr>
          <w:rFonts w:ascii="Times New Roman" w:hAnsi="Times New Roman" w:eastAsia="Times New Roman" w:cs="Times New Roman"/>
          <w:spacing w:val="-4"/>
          <w:sz w:val="24"/>
          <w:szCs w:val="24"/>
        </w:rPr>
        <w:t>48</w:t>
      </w:r>
      <w:r>
        <w:rPr>
          <w:rFonts w:ascii="Times New Roman" w:hAnsi="Times New Roman" w:eastAsia="Times New Roman" w:cs="Times New Roman"/>
          <w:spacing w:val="23"/>
          <w:w w:val="101"/>
          <w:sz w:val="24"/>
          <w:szCs w:val="24"/>
        </w:rPr>
        <w:t xml:space="preserve"> </w:t>
      </w:r>
      <w:r>
        <w:rPr>
          <w:rFonts w:ascii="宋体" w:hAnsi="宋体" w:eastAsia="宋体" w:cs="宋体"/>
          <w:spacing w:val="-4"/>
          <w:sz w:val="24"/>
          <w:szCs w:val="24"/>
        </w:rPr>
        <w:t>号《关于在国土空间规划中统</w:t>
      </w:r>
      <w:r>
        <w:rPr>
          <w:rFonts w:ascii="宋体" w:hAnsi="宋体" w:eastAsia="宋体" w:cs="宋体"/>
          <w:spacing w:val="-9"/>
          <w:sz w:val="24"/>
          <w:szCs w:val="24"/>
        </w:rPr>
        <w:t>筹划定落实三条控制线的指导意见》。</w:t>
      </w:r>
    </w:p>
    <w:p w14:paraId="2B581D35">
      <w:pPr>
        <w:spacing w:before="21" w:line="233" w:lineRule="auto"/>
        <w:ind w:left="7"/>
        <w:rPr>
          <w:rFonts w:ascii="宋体" w:hAnsi="宋体" w:eastAsia="宋体" w:cs="宋体"/>
          <w:sz w:val="24"/>
          <w:szCs w:val="24"/>
        </w:rPr>
      </w:pPr>
      <w:r>
        <w:rPr>
          <w:rFonts w:ascii="Times New Roman" w:hAnsi="Times New Roman" w:eastAsia="Times New Roman" w:cs="Times New Roman"/>
          <w:b/>
          <w:bCs/>
          <w:spacing w:val="-3"/>
          <w:sz w:val="24"/>
          <w:szCs w:val="24"/>
        </w:rPr>
        <w:t xml:space="preserve">1.3.2 </w:t>
      </w:r>
      <w:r>
        <w:rPr>
          <w:rFonts w:ascii="宋体" w:hAnsi="宋体" w:eastAsia="宋体" w:cs="宋体"/>
          <w:b/>
          <w:bCs/>
          <w:spacing w:val="-3"/>
          <w:sz w:val="24"/>
          <w:szCs w:val="24"/>
        </w:rPr>
        <w:t>部委规章及规范性文件</w:t>
      </w:r>
    </w:p>
    <w:p w14:paraId="0DB29B3B">
      <w:pPr>
        <w:spacing w:before="165" w:line="353" w:lineRule="auto"/>
        <w:ind w:left="1" w:right="202" w:firstLine="485"/>
        <w:rPr>
          <w:rFonts w:ascii="宋体" w:hAnsi="宋体" w:eastAsia="宋体" w:cs="宋体"/>
          <w:sz w:val="24"/>
          <w:szCs w:val="24"/>
        </w:rPr>
      </w:pPr>
      <w:r>
        <w:rPr>
          <w:rFonts w:ascii="宋体" w:hAnsi="宋体" w:eastAsia="宋体" w:cs="宋体"/>
          <w:spacing w:val="-6"/>
          <w:sz w:val="24"/>
          <w:szCs w:val="24"/>
        </w:rPr>
        <w:t>（</w:t>
      </w:r>
      <w:r>
        <w:rPr>
          <w:rFonts w:ascii="Times New Roman" w:hAnsi="Times New Roman" w:eastAsia="Times New Roman" w:cs="Times New Roman"/>
          <w:spacing w:val="-6"/>
          <w:sz w:val="24"/>
          <w:szCs w:val="24"/>
        </w:rPr>
        <w:t>1</w:t>
      </w:r>
      <w:r>
        <w:rPr>
          <w:rFonts w:ascii="宋体" w:hAnsi="宋体" w:eastAsia="宋体" w:cs="宋体"/>
          <w:spacing w:val="-6"/>
          <w:sz w:val="24"/>
          <w:szCs w:val="24"/>
        </w:rPr>
        <w:t>）生态环境部（部令第</w:t>
      </w:r>
      <w:r>
        <w:rPr>
          <w:rFonts w:ascii="宋体" w:hAnsi="宋体" w:eastAsia="宋体" w:cs="宋体"/>
          <w:spacing w:val="-34"/>
          <w:sz w:val="24"/>
          <w:szCs w:val="24"/>
        </w:rPr>
        <w:t xml:space="preserve"> </w:t>
      </w:r>
      <w:r>
        <w:rPr>
          <w:rFonts w:ascii="Times New Roman" w:hAnsi="Times New Roman" w:eastAsia="Times New Roman" w:cs="Times New Roman"/>
          <w:spacing w:val="-6"/>
          <w:sz w:val="24"/>
          <w:szCs w:val="24"/>
        </w:rPr>
        <w:t>9</w:t>
      </w:r>
      <w:r>
        <w:rPr>
          <w:rFonts w:ascii="Times New Roman" w:hAnsi="Times New Roman" w:eastAsia="Times New Roman" w:cs="Times New Roman"/>
          <w:spacing w:val="15"/>
          <w:w w:val="101"/>
          <w:sz w:val="24"/>
          <w:szCs w:val="24"/>
        </w:rPr>
        <w:t xml:space="preserve"> </w:t>
      </w:r>
      <w:r>
        <w:rPr>
          <w:rFonts w:ascii="宋体" w:hAnsi="宋体" w:eastAsia="宋体" w:cs="宋体"/>
          <w:spacing w:val="-6"/>
          <w:sz w:val="24"/>
          <w:szCs w:val="24"/>
        </w:rPr>
        <w:t>号）《建设项目环境影响报告书（表）编制监</w:t>
      </w:r>
      <w:r>
        <w:rPr>
          <w:rFonts w:ascii="宋体" w:hAnsi="宋体" w:eastAsia="宋体" w:cs="宋体"/>
          <w:spacing w:val="-7"/>
          <w:sz w:val="24"/>
          <w:szCs w:val="24"/>
        </w:rPr>
        <w:t>督管理办</w:t>
      </w:r>
      <w:r>
        <w:rPr>
          <w:rFonts w:ascii="宋体" w:hAnsi="宋体" w:eastAsia="宋体" w:cs="宋体"/>
          <w:spacing w:val="-38"/>
          <w:w w:val="96"/>
          <w:sz w:val="24"/>
          <w:szCs w:val="24"/>
        </w:rPr>
        <w:t>法》；</w:t>
      </w:r>
    </w:p>
    <w:p w14:paraId="0047CCF3">
      <w:pPr>
        <w:spacing w:before="19" w:line="360" w:lineRule="auto"/>
        <w:ind w:left="7" w:right="214" w:firstLine="480"/>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2</w:t>
      </w:r>
      <w:r>
        <w:rPr>
          <w:rFonts w:ascii="宋体" w:hAnsi="宋体" w:eastAsia="宋体" w:cs="宋体"/>
          <w:spacing w:val="-5"/>
          <w:sz w:val="24"/>
          <w:szCs w:val="24"/>
        </w:rPr>
        <w:t>）生态环境部令第</w:t>
      </w:r>
      <w:r>
        <w:rPr>
          <w:rFonts w:ascii="宋体" w:hAnsi="宋体" w:eastAsia="宋体" w:cs="宋体"/>
          <w:spacing w:val="-26"/>
          <w:sz w:val="24"/>
          <w:szCs w:val="24"/>
        </w:rPr>
        <w:t xml:space="preserve"> </w:t>
      </w:r>
      <w:r>
        <w:rPr>
          <w:rFonts w:ascii="Times New Roman" w:hAnsi="Times New Roman" w:eastAsia="Times New Roman" w:cs="Times New Roman"/>
          <w:spacing w:val="-5"/>
          <w:sz w:val="24"/>
          <w:szCs w:val="24"/>
        </w:rPr>
        <w:t>16</w:t>
      </w:r>
      <w:r>
        <w:rPr>
          <w:rFonts w:ascii="Times New Roman" w:hAnsi="Times New Roman" w:eastAsia="Times New Roman" w:cs="Times New Roman"/>
          <w:spacing w:val="20"/>
          <w:sz w:val="24"/>
          <w:szCs w:val="24"/>
        </w:rPr>
        <w:t xml:space="preserve"> </w:t>
      </w:r>
      <w:r>
        <w:rPr>
          <w:rFonts w:ascii="宋体" w:hAnsi="宋体" w:eastAsia="宋体" w:cs="宋体"/>
          <w:spacing w:val="-5"/>
          <w:sz w:val="24"/>
          <w:szCs w:val="24"/>
        </w:rPr>
        <w:t>号《建设项目环境影响评价分类管理</w:t>
      </w:r>
      <w:r>
        <w:rPr>
          <w:rFonts w:ascii="宋体" w:hAnsi="宋体" w:eastAsia="宋体" w:cs="宋体"/>
          <w:spacing w:val="-6"/>
          <w:sz w:val="24"/>
          <w:szCs w:val="24"/>
        </w:rPr>
        <w:t>名录》（</w:t>
      </w:r>
      <w:r>
        <w:rPr>
          <w:rFonts w:ascii="Times New Roman" w:hAnsi="Times New Roman" w:eastAsia="Times New Roman" w:cs="Times New Roman"/>
          <w:spacing w:val="-6"/>
          <w:sz w:val="24"/>
          <w:szCs w:val="24"/>
        </w:rPr>
        <w:t>2021</w:t>
      </w:r>
      <w:r>
        <w:rPr>
          <w:rFonts w:ascii="Times New Roman" w:hAnsi="Times New Roman" w:eastAsia="Times New Roman" w:cs="Times New Roman"/>
          <w:spacing w:val="15"/>
          <w:sz w:val="24"/>
          <w:szCs w:val="24"/>
        </w:rPr>
        <w:t xml:space="preserve"> </w:t>
      </w:r>
      <w:r>
        <w:rPr>
          <w:rFonts w:ascii="宋体" w:hAnsi="宋体" w:eastAsia="宋体" w:cs="宋体"/>
          <w:spacing w:val="-6"/>
          <w:sz w:val="24"/>
          <w:szCs w:val="24"/>
        </w:rPr>
        <w:t>年版）</w:t>
      </w:r>
      <w:r>
        <w:rPr>
          <w:rFonts w:ascii="宋体" w:hAnsi="宋体" w:eastAsia="宋体" w:cs="宋体"/>
          <w:sz w:val="24"/>
          <w:szCs w:val="24"/>
        </w:rPr>
        <w:t xml:space="preserve"> </w:t>
      </w:r>
      <w:r>
        <w:rPr>
          <w:rFonts w:ascii="宋体" w:hAnsi="宋体" w:eastAsia="宋体" w:cs="宋体"/>
          <w:spacing w:val="-18"/>
          <w:sz w:val="24"/>
          <w:szCs w:val="24"/>
        </w:rPr>
        <w:t>（</w:t>
      </w:r>
      <w:r>
        <w:rPr>
          <w:rFonts w:ascii="Times New Roman" w:hAnsi="Times New Roman" w:eastAsia="Times New Roman" w:cs="Times New Roman"/>
          <w:spacing w:val="-18"/>
          <w:sz w:val="24"/>
          <w:szCs w:val="24"/>
        </w:rPr>
        <w:t>2021</w:t>
      </w:r>
      <w:r>
        <w:rPr>
          <w:rFonts w:ascii="Times New Roman" w:hAnsi="Times New Roman" w:eastAsia="Times New Roman" w:cs="Times New Roman"/>
          <w:spacing w:val="11"/>
          <w:sz w:val="24"/>
          <w:szCs w:val="24"/>
        </w:rPr>
        <w:t xml:space="preserve"> </w:t>
      </w:r>
      <w:r>
        <w:rPr>
          <w:rFonts w:ascii="宋体" w:hAnsi="宋体" w:eastAsia="宋体" w:cs="宋体"/>
          <w:spacing w:val="-18"/>
          <w:sz w:val="24"/>
          <w:szCs w:val="24"/>
        </w:rPr>
        <w:t>年</w:t>
      </w:r>
      <w:r>
        <w:rPr>
          <w:rFonts w:ascii="宋体" w:hAnsi="宋体" w:eastAsia="宋体" w:cs="宋体"/>
          <w:spacing w:val="-31"/>
          <w:sz w:val="24"/>
          <w:szCs w:val="24"/>
        </w:rPr>
        <w:t xml:space="preserve"> </w:t>
      </w:r>
      <w:r>
        <w:rPr>
          <w:rFonts w:ascii="Times New Roman" w:hAnsi="Times New Roman" w:eastAsia="Times New Roman" w:cs="Times New Roman"/>
          <w:spacing w:val="-18"/>
          <w:sz w:val="24"/>
          <w:szCs w:val="24"/>
        </w:rPr>
        <w:t>1</w:t>
      </w:r>
      <w:r>
        <w:rPr>
          <w:rFonts w:ascii="Times New Roman" w:hAnsi="Times New Roman" w:eastAsia="Times New Roman" w:cs="Times New Roman"/>
          <w:spacing w:val="15"/>
          <w:sz w:val="24"/>
          <w:szCs w:val="24"/>
        </w:rPr>
        <w:t xml:space="preserve"> </w:t>
      </w:r>
      <w:r>
        <w:rPr>
          <w:rFonts w:ascii="宋体" w:hAnsi="宋体" w:eastAsia="宋体" w:cs="宋体"/>
          <w:spacing w:val="-18"/>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18"/>
          <w:sz w:val="24"/>
          <w:szCs w:val="24"/>
        </w:rPr>
        <w:t xml:space="preserve">1  </w:t>
      </w:r>
      <w:r>
        <w:rPr>
          <w:rFonts w:ascii="宋体" w:hAnsi="宋体" w:eastAsia="宋体" w:cs="宋体"/>
          <w:spacing w:val="-18"/>
          <w:sz w:val="24"/>
          <w:szCs w:val="24"/>
        </w:rPr>
        <w:t>日起施行</w:t>
      </w:r>
      <w:r>
        <w:rPr>
          <w:rFonts w:ascii="宋体" w:hAnsi="宋体" w:eastAsia="宋体" w:cs="宋体"/>
          <w:spacing w:val="-13"/>
          <w:sz w:val="24"/>
          <w:szCs w:val="24"/>
        </w:rPr>
        <w:t>）；</w:t>
      </w:r>
    </w:p>
    <w:p w14:paraId="4B7E8A33">
      <w:pPr>
        <w:spacing w:before="1" w:line="232" w:lineRule="auto"/>
        <w:ind w:left="487"/>
        <w:rPr>
          <w:rFonts w:ascii="宋体" w:hAnsi="宋体" w:eastAsia="宋体" w:cs="宋体"/>
          <w:sz w:val="24"/>
          <w:szCs w:val="24"/>
        </w:rPr>
      </w:pPr>
      <w:r>
        <w:rPr>
          <w:rFonts w:ascii="宋体" w:hAnsi="宋体" w:eastAsia="宋体" w:cs="宋体"/>
          <w:spacing w:val="-16"/>
          <w:sz w:val="24"/>
          <w:szCs w:val="24"/>
        </w:rPr>
        <w:t>（</w:t>
      </w:r>
      <w:r>
        <w:rPr>
          <w:rFonts w:ascii="Times New Roman" w:hAnsi="Times New Roman" w:eastAsia="Times New Roman" w:cs="Times New Roman"/>
          <w:spacing w:val="-16"/>
          <w:sz w:val="24"/>
          <w:szCs w:val="24"/>
        </w:rPr>
        <w:t>3</w:t>
      </w:r>
      <w:r>
        <w:rPr>
          <w:rFonts w:ascii="宋体" w:hAnsi="宋体" w:eastAsia="宋体" w:cs="宋体"/>
          <w:spacing w:val="-16"/>
          <w:sz w:val="24"/>
          <w:szCs w:val="24"/>
        </w:rPr>
        <w:t>）《产业结构调整指导目录》（</w:t>
      </w:r>
      <w:r>
        <w:rPr>
          <w:rFonts w:ascii="Times New Roman" w:hAnsi="Times New Roman" w:eastAsia="Times New Roman" w:cs="Times New Roman"/>
          <w:spacing w:val="-16"/>
          <w:sz w:val="24"/>
          <w:szCs w:val="24"/>
        </w:rPr>
        <w:t>2024</w:t>
      </w:r>
      <w:r>
        <w:rPr>
          <w:rFonts w:ascii="Times New Roman" w:hAnsi="Times New Roman" w:eastAsia="Times New Roman" w:cs="Times New Roman"/>
          <w:spacing w:val="12"/>
          <w:sz w:val="24"/>
          <w:szCs w:val="24"/>
        </w:rPr>
        <w:t xml:space="preserve"> </w:t>
      </w:r>
      <w:r>
        <w:rPr>
          <w:rFonts w:ascii="宋体" w:hAnsi="宋体" w:eastAsia="宋体" w:cs="宋体"/>
          <w:spacing w:val="-17"/>
          <w:sz w:val="24"/>
          <w:szCs w:val="24"/>
        </w:rPr>
        <w:t>年本</w:t>
      </w:r>
      <w:r>
        <w:rPr>
          <w:rFonts w:ascii="宋体" w:hAnsi="宋体" w:eastAsia="宋体" w:cs="宋体"/>
          <w:spacing w:val="-25"/>
          <w:sz w:val="24"/>
          <w:szCs w:val="24"/>
        </w:rPr>
        <w:t>）；</w:t>
      </w:r>
    </w:p>
    <w:p w14:paraId="5D116410">
      <w:pPr>
        <w:spacing w:before="165" w:line="352" w:lineRule="auto"/>
        <w:ind w:left="6" w:right="201" w:firstLine="480"/>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4</w:t>
      </w:r>
      <w:r>
        <w:rPr>
          <w:rFonts w:ascii="宋体" w:hAnsi="宋体" w:eastAsia="宋体" w:cs="宋体"/>
          <w:spacing w:val="-1"/>
          <w:sz w:val="24"/>
          <w:szCs w:val="24"/>
        </w:rPr>
        <w:t>）原环境保护部环发〔</w:t>
      </w:r>
      <w:r>
        <w:rPr>
          <w:rFonts w:ascii="Times New Roman" w:hAnsi="Times New Roman" w:eastAsia="Times New Roman" w:cs="Times New Roman"/>
          <w:spacing w:val="-1"/>
          <w:sz w:val="24"/>
          <w:szCs w:val="24"/>
        </w:rPr>
        <w:t>2012</w:t>
      </w:r>
      <w:r>
        <w:rPr>
          <w:rFonts w:ascii="宋体" w:hAnsi="宋体" w:eastAsia="宋体" w:cs="宋体"/>
          <w:spacing w:val="-1"/>
          <w:sz w:val="24"/>
          <w:szCs w:val="24"/>
        </w:rPr>
        <w:t>〕</w:t>
      </w:r>
      <w:r>
        <w:rPr>
          <w:rFonts w:ascii="Times New Roman" w:hAnsi="Times New Roman" w:eastAsia="Times New Roman" w:cs="Times New Roman"/>
          <w:spacing w:val="-1"/>
          <w:sz w:val="24"/>
          <w:szCs w:val="24"/>
        </w:rPr>
        <w:t>98</w:t>
      </w:r>
      <w:r>
        <w:rPr>
          <w:rFonts w:ascii="Times New Roman" w:hAnsi="Times New Roman" w:eastAsia="Times New Roman" w:cs="Times New Roman"/>
          <w:spacing w:val="35"/>
          <w:sz w:val="24"/>
          <w:szCs w:val="24"/>
        </w:rPr>
        <w:t xml:space="preserve"> </w:t>
      </w:r>
      <w:r>
        <w:rPr>
          <w:rFonts w:ascii="宋体" w:hAnsi="宋体" w:eastAsia="宋体" w:cs="宋体"/>
          <w:spacing w:val="-1"/>
          <w:sz w:val="24"/>
          <w:szCs w:val="24"/>
        </w:rPr>
        <w:t>号《关于切实加强风险防范严格环境影响评价</w:t>
      </w:r>
      <w:r>
        <w:rPr>
          <w:rFonts w:ascii="宋体" w:hAnsi="宋体" w:eastAsia="宋体" w:cs="宋体"/>
          <w:spacing w:val="-21"/>
          <w:sz w:val="24"/>
          <w:szCs w:val="24"/>
        </w:rPr>
        <w:t>管理的通知》；</w:t>
      </w:r>
    </w:p>
    <w:p w14:paraId="28E1B1AA">
      <w:pPr>
        <w:spacing w:before="21" w:line="352" w:lineRule="auto"/>
        <w:ind w:left="1" w:right="201" w:firstLine="485"/>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5</w:t>
      </w:r>
      <w:r>
        <w:rPr>
          <w:rFonts w:ascii="宋体" w:hAnsi="宋体" w:eastAsia="宋体" w:cs="宋体"/>
          <w:spacing w:val="-3"/>
          <w:sz w:val="24"/>
          <w:szCs w:val="24"/>
        </w:rPr>
        <w:t>）原环境保护部环办〔</w:t>
      </w:r>
      <w:r>
        <w:rPr>
          <w:rFonts w:ascii="Times New Roman" w:hAnsi="Times New Roman" w:eastAsia="Times New Roman" w:cs="Times New Roman"/>
          <w:spacing w:val="-3"/>
          <w:sz w:val="24"/>
          <w:szCs w:val="24"/>
        </w:rPr>
        <w:t>2012</w:t>
      </w:r>
      <w:r>
        <w:rPr>
          <w:rFonts w:ascii="宋体" w:hAnsi="宋体" w:eastAsia="宋体" w:cs="宋体"/>
          <w:spacing w:val="-3"/>
          <w:sz w:val="24"/>
          <w:szCs w:val="24"/>
        </w:rPr>
        <w:t>〕</w:t>
      </w:r>
      <w:r>
        <w:rPr>
          <w:rFonts w:ascii="Times New Roman" w:hAnsi="Times New Roman" w:eastAsia="Times New Roman" w:cs="Times New Roman"/>
          <w:spacing w:val="-3"/>
          <w:sz w:val="24"/>
          <w:szCs w:val="24"/>
        </w:rPr>
        <w:t>131</w:t>
      </w:r>
      <w:r>
        <w:rPr>
          <w:rFonts w:ascii="Times New Roman" w:hAnsi="Times New Roman" w:eastAsia="Times New Roman" w:cs="Times New Roman"/>
          <w:spacing w:val="16"/>
          <w:sz w:val="24"/>
          <w:szCs w:val="24"/>
        </w:rPr>
        <w:t xml:space="preserve"> </w:t>
      </w:r>
      <w:r>
        <w:rPr>
          <w:rFonts w:ascii="宋体" w:hAnsi="宋体" w:eastAsia="宋体" w:cs="宋体"/>
          <w:spacing w:val="-4"/>
          <w:sz w:val="24"/>
          <w:szCs w:val="24"/>
        </w:rPr>
        <w:t>号《关于进一步加强输变电类建设项目环境保</w:t>
      </w:r>
      <w:r>
        <w:rPr>
          <w:rFonts w:ascii="宋体" w:hAnsi="宋体" w:eastAsia="宋体" w:cs="宋体"/>
          <w:spacing w:val="-14"/>
          <w:sz w:val="24"/>
          <w:szCs w:val="24"/>
        </w:rPr>
        <w:t>护监管工作的通知》；</w:t>
      </w:r>
    </w:p>
    <w:p w14:paraId="1F63A2DC">
      <w:pPr>
        <w:spacing w:before="20" w:line="361" w:lineRule="auto"/>
        <w:ind w:left="1" w:firstLine="486"/>
        <w:rPr>
          <w:rFonts w:ascii="宋体" w:hAnsi="宋体" w:eastAsia="宋体" w:cs="宋体"/>
          <w:sz w:val="24"/>
          <w:szCs w:val="24"/>
        </w:rPr>
      </w:pPr>
      <w:r>
        <w:rPr>
          <w:rFonts w:ascii="宋体" w:hAnsi="宋体" w:eastAsia="宋体" w:cs="宋体"/>
          <w:spacing w:val="-17"/>
          <w:sz w:val="24"/>
          <w:szCs w:val="24"/>
        </w:rPr>
        <w:t>（</w:t>
      </w:r>
      <w:r>
        <w:rPr>
          <w:rFonts w:ascii="Times New Roman" w:hAnsi="Times New Roman" w:eastAsia="Times New Roman" w:cs="Times New Roman"/>
          <w:spacing w:val="-17"/>
          <w:sz w:val="24"/>
          <w:szCs w:val="24"/>
        </w:rPr>
        <w:t>6</w:t>
      </w:r>
      <w:r>
        <w:rPr>
          <w:rFonts w:ascii="宋体" w:hAnsi="宋体" w:eastAsia="宋体" w:cs="宋体"/>
          <w:spacing w:val="-17"/>
          <w:sz w:val="24"/>
          <w:szCs w:val="24"/>
        </w:rPr>
        <w:t>）《建设项目环境影响报告表编制技术指南（生态影响类</w:t>
      </w:r>
      <w:r>
        <w:rPr>
          <w:rFonts w:ascii="宋体" w:hAnsi="宋体" w:eastAsia="宋体" w:cs="宋体"/>
          <w:spacing w:val="-26"/>
          <w:sz w:val="24"/>
          <w:szCs w:val="24"/>
        </w:rPr>
        <w:t>）（</w:t>
      </w:r>
      <w:r>
        <w:rPr>
          <w:rFonts w:ascii="宋体" w:hAnsi="宋体" w:eastAsia="宋体" w:cs="宋体"/>
          <w:spacing w:val="-17"/>
          <w:sz w:val="24"/>
          <w:szCs w:val="24"/>
        </w:rPr>
        <w:t>试行）》（生态环境部</w:t>
      </w:r>
      <w:r>
        <w:rPr>
          <w:rFonts w:ascii="宋体" w:hAnsi="宋体" w:eastAsia="宋体" w:cs="宋体"/>
          <w:spacing w:val="-13"/>
          <w:sz w:val="24"/>
          <w:szCs w:val="24"/>
        </w:rPr>
        <w:t>关于印发《建设项目环境影响报告表》内容、格式及编制</w:t>
      </w:r>
      <w:r>
        <w:rPr>
          <w:rFonts w:ascii="宋体" w:hAnsi="宋体" w:eastAsia="宋体" w:cs="宋体"/>
          <w:spacing w:val="-14"/>
          <w:sz w:val="24"/>
          <w:szCs w:val="24"/>
        </w:rPr>
        <w:t>技术指南的通知（环办环评〔</w:t>
      </w:r>
      <w:r>
        <w:rPr>
          <w:rFonts w:ascii="Times New Roman" w:hAnsi="Times New Roman" w:eastAsia="Times New Roman" w:cs="Times New Roman"/>
          <w:spacing w:val="-14"/>
          <w:sz w:val="24"/>
          <w:szCs w:val="24"/>
        </w:rPr>
        <w:t>2020</w:t>
      </w:r>
      <w:r>
        <w:rPr>
          <w:rFonts w:ascii="宋体" w:hAnsi="宋体" w:eastAsia="宋体" w:cs="宋体"/>
          <w:spacing w:val="-14"/>
          <w:sz w:val="24"/>
          <w:szCs w:val="24"/>
        </w:rPr>
        <w:t>〕</w:t>
      </w:r>
      <w:r>
        <w:rPr>
          <w:rFonts w:ascii="宋体" w:hAnsi="宋体" w:eastAsia="宋体" w:cs="宋体"/>
          <w:sz w:val="24"/>
          <w:szCs w:val="24"/>
        </w:rPr>
        <w:t xml:space="preserve"> </w:t>
      </w:r>
      <w:r>
        <w:rPr>
          <w:rFonts w:ascii="Times New Roman" w:hAnsi="Times New Roman" w:eastAsia="Times New Roman" w:cs="Times New Roman"/>
          <w:spacing w:val="-11"/>
          <w:sz w:val="24"/>
          <w:szCs w:val="24"/>
        </w:rPr>
        <w:t>33</w:t>
      </w:r>
      <w:r>
        <w:rPr>
          <w:rFonts w:ascii="Times New Roman" w:hAnsi="Times New Roman" w:eastAsia="Times New Roman" w:cs="Times New Roman"/>
          <w:spacing w:val="16"/>
          <w:w w:val="101"/>
          <w:sz w:val="24"/>
          <w:szCs w:val="24"/>
        </w:rPr>
        <w:t xml:space="preserve"> </w:t>
      </w:r>
      <w:r>
        <w:rPr>
          <w:rFonts w:ascii="宋体" w:hAnsi="宋体" w:eastAsia="宋体" w:cs="宋体"/>
          <w:spacing w:val="-11"/>
          <w:sz w:val="24"/>
          <w:szCs w:val="24"/>
        </w:rPr>
        <w:t>号</w:t>
      </w:r>
      <w:r>
        <w:rPr>
          <w:rFonts w:ascii="宋体" w:hAnsi="宋体" w:eastAsia="宋体" w:cs="宋体"/>
          <w:spacing w:val="-28"/>
          <w:sz w:val="24"/>
          <w:szCs w:val="24"/>
        </w:rPr>
        <w:t>），</w:t>
      </w:r>
      <w:r>
        <w:rPr>
          <w:rFonts w:ascii="宋体" w:hAnsi="宋体" w:eastAsia="宋体" w:cs="宋体"/>
          <w:spacing w:val="-11"/>
          <w:sz w:val="24"/>
          <w:szCs w:val="24"/>
        </w:rPr>
        <w:t>生态环境部办公厅</w:t>
      </w:r>
      <w:r>
        <w:rPr>
          <w:rFonts w:ascii="宋体" w:hAnsi="宋体" w:eastAsia="宋体" w:cs="宋体"/>
          <w:spacing w:val="-42"/>
          <w:sz w:val="24"/>
          <w:szCs w:val="24"/>
        </w:rPr>
        <w:t xml:space="preserve"> </w:t>
      </w:r>
      <w:r>
        <w:rPr>
          <w:rFonts w:ascii="Times New Roman" w:hAnsi="Times New Roman" w:eastAsia="Times New Roman" w:cs="Times New Roman"/>
          <w:spacing w:val="-11"/>
          <w:sz w:val="24"/>
          <w:szCs w:val="24"/>
        </w:rPr>
        <w:t xml:space="preserve">2020 </w:t>
      </w:r>
      <w:r>
        <w:rPr>
          <w:rFonts w:ascii="宋体" w:hAnsi="宋体" w:eastAsia="宋体" w:cs="宋体"/>
          <w:spacing w:val="-11"/>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11"/>
          <w:sz w:val="24"/>
          <w:szCs w:val="24"/>
        </w:rPr>
        <w:t>12</w:t>
      </w:r>
      <w:r>
        <w:rPr>
          <w:rFonts w:ascii="Times New Roman" w:hAnsi="Times New Roman" w:eastAsia="Times New Roman" w:cs="Times New Roman"/>
          <w:spacing w:val="15"/>
          <w:w w:val="101"/>
          <w:sz w:val="24"/>
          <w:szCs w:val="24"/>
        </w:rPr>
        <w:t xml:space="preserve"> </w:t>
      </w:r>
      <w:r>
        <w:rPr>
          <w:rFonts w:ascii="宋体" w:hAnsi="宋体" w:eastAsia="宋体" w:cs="宋体"/>
          <w:spacing w:val="-11"/>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11"/>
          <w:sz w:val="24"/>
          <w:szCs w:val="24"/>
        </w:rPr>
        <w:t xml:space="preserve">24  </w:t>
      </w:r>
      <w:r>
        <w:rPr>
          <w:rFonts w:ascii="宋体" w:hAnsi="宋体" w:eastAsia="宋体" w:cs="宋体"/>
          <w:spacing w:val="-11"/>
          <w:sz w:val="24"/>
          <w:szCs w:val="24"/>
        </w:rPr>
        <w:t>日印发</w:t>
      </w:r>
      <w:r>
        <w:rPr>
          <w:rFonts w:ascii="宋体" w:hAnsi="宋体" w:eastAsia="宋体" w:cs="宋体"/>
          <w:spacing w:val="-28"/>
          <w:sz w:val="24"/>
          <w:szCs w:val="24"/>
        </w:rPr>
        <w:t>）；</w:t>
      </w:r>
    </w:p>
    <w:p w14:paraId="79A65C28">
      <w:pPr>
        <w:spacing w:line="361" w:lineRule="auto"/>
        <w:rPr>
          <w:rFonts w:ascii="宋体" w:hAnsi="宋体" w:eastAsia="宋体" w:cs="宋体"/>
          <w:sz w:val="24"/>
          <w:szCs w:val="24"/>
        </w:rPr>
        <w:sectPr>
          <w:footerReference r:id="rId143" w:type="default"/>
          <w:pgSz w:w="11907" w:h="16841"/>
          <w:pgMar w:top="400" w:right="1212" w:bottom="1126" w:left="1427" w:header="0" w:footer="925" w:gutter="0"/>
          <w:cols w:space="720" w:num="1"/>
        </w:sectPr>
      </w:pPr>
    </w:p>
    <w:p w14:paraId="5799E85C">
      <w:pPr>
        <w:spacing w:line="249" w:lineRule="auto"/>
        <w:rPr>
          <w:rFonts w:ascii="Arial"/>
          <w:sz w:val="21"/>
        </w:rPr>
      </w:pPr>
    </w:p>
    <w:p w14:paraId="0B66D27F">
      <w:pPr>
        <w:spacing w:line="249" w:lineRule="auto"/>
        <w:rPr>
          <w:rFonts w:ascii="Arial"/>
          <w:sz w:val="21"/>
        </w:rPr>
      </w:pPr>
    </w:p>
    <w:p w14:paraId="7E6ECF16">
      <w:pPr>
        <w:spacing w:line="249" w:lineRule="auto"/>
        <w:rPr>
          <w:rFonts w:ascii="Arial"/>
          <w:sz w:val="21"/>
        </w:rPr>
      </w:pPr>
    </w:p>
    <w:p w14:paraId="5E37AC82">
      <w:pPr>
        <w:spacing w:line="249" w:lineRule="auto"/>
        <w:rPr>
          <w:rFonts w:ascii="Arial"/>
          <w:sz w:val="21"/>
        </w:rPr>
      </w:pPr>
    </w:p>
    <w:p w14:paraId="6C8EAA8E">
      <w:pPr>
        <w:spacing w:line="249" w:lineRule="auto"/>
        <w:rPr>
          <w:rFonts w:ascii="Arial"/>
          <w:sz w:val="21"/>
        </w:rPr>
      </w:pPr>
    </w:p>
    <w:p w14:paraId="1DAF4578">
      <w:pPr>
        <w:spacing w:before="78" w:line="352" w:lineRule="auto"/>
        <w:ind w:left="6" w:right="3" w:firstLine="480"/>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7</w:t>
      </w:r>
      <w:r>
        <w:rPr>
          <w:rFonts w:ascii="宋体" w:hAnsi="宋体" w:eastAsia="宋体" w:cs="宋体"/>
          <w:spacing w:val="-3"/>
          <w:sz w:val="24"/>
          <w:szCs w:val="24"/>
        </w:rPr>
        <w:t>）原环境保护部环发〔</w:t>
      </w:r>
      <w:r>
        <w:rPr>
          <w:rFonts w:ascii="Times New Roman" w:hAnsi="Times New Roman" w:eastAsia="Times New Roman" w:cs="Times New Roman"/>
          <w:spacing w:val="-3"/>
          <w:sz w:val="24"/>
          <w:szCs w:val="24"/>
        </w:rPr>
        <w:t>2015</w:t>
      </w:r>
      <w:r>
        <w:rPr>
          <w:rFonts w:ascii="宋体" w:hAnsi="宋体" w:eastAsia="宋体" w:cs="宋体"/>
          <w:spacing w:val="-3"/>
          <w:sz w:val="24"/>
          <w:szCs w:val="24"/>
        </w:rPr>
        <w:t>〕</w:t>
      </w:r>
      <w:r>
        <w:rPr>
          <w:rFonts w:ascii="Times New Roman" w:hAnsi="Times New Roman" w:eastAsia="Times New Roman" w:cs="Times New Roman"/>
          <w:spacing w:val="-3"/>
          <w:sz w:val="24"/>
          <w:szCs w:val="24"/>
        </w:rPr>
        <w:t>163</w:t>
      </w:r>
      <w:r>
        <w:rPr>
          <w:rFonts w:ascii="Times New Roman" w:hAnsi="Times New Roman" w:eastAsia="Times New Roman" w:cs="Times New Roman"/>
          <w:spacing w:val="16"/>
          <w:sz w:val="24"/>
          <w:szCs w:val="24"/>
        </w:rPr>
        <w:t xml:space="preserve"> </w:t>
      </w:r>
      <w:r>
        <w:rPr>
          <w:rFonts w:ascii="宋体" w:hAnsi="宋体" w:eastAsia="宋体" w:cs="宋体"/>
          <w:spacing w:val="-4"/>
          <w:sz w:val="24"/>
          <w:szCs w:val="24"/>
        </w:rPr>
        <w:t>号《建设项目环境保护事中事后监督管理办法</w:t>
      </w:r>
      <w:r>
        <w:rPr>
          <w:rFonts w:ascii="宋体" w:hAnsi="宋体" w:eastAsia="宋体" w:cs="宋体"/>
          <w:spacing w:val="-45"/>
          <w:sz w:val="24"/>
          <w:szCs w:val="24"/>
        </w:rPr>
        <w:t>（试行）》；</w:t>
      </w:r>
    </w:p>
    <w:p w14:paraId="3C3F7872">
      <w:pPr>
        <w:spacing w:before="20" w:line="351" w:lineRule="auto"/>
        <w:ind w:left="12" w:right="3" w:firstLine="474"/>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8</w:t>
      </w:r>
      <w:r>
        <w:rPr>
          <w:rFonts w:ascii="宋体" w:hAnsi="宋体" w:eastAsia="宋体" w:cs="宋体"/>
          <w:spacing w:val="-3"/>
          <w:sz w:val="24"/>
          <w:szCs w:val="24"/>
        </w:rPr>
        <w:t>）原环境保护部环环评〔</w:t>
      </w:r>
      <w:r>
        <w:rPr>
          <w:rFonts w:ascii="Times New Roman" w:hAnsi="Times New Roman" w:eastAsia="Times New Roman" w:cs="Times New Roman"/>
          <w:spacing w:val="-3"/>
          <w:sz w:val="24"/>
          <w:szCs w:val="24"/>
        </w:rPr>
        <w:t>2016</w:t>
      </w:r>
      <w:r>
        <w:rPr>
          <w:rFonts w:ascii="宋体" w:hAnsi="宋体" w:eastAsia="宋体" w:cs="宋体"/>
          <w:spacing w:val="-3"/>
          <w:sz w:val="24"/>
          <w:szCs w:val="24"/>
        </w:rPr>
        <w:t>〕</w:t>
      </w:r>
      <w:r>
        <w:rPr>
          <w:rFonts w:ascii="Times New Roman" w:hAnsi="Times New Roman" w:eastAsia="Times New Roman" w:cs="Times New Roman"/>
          <w:spacing w:val="-3"/>
          <w:sz w:val="24"/>
          <w:szCs w:val="24"/>
        </w:rPr>
        <w:t>15</w:t>
      </w:r>
      <w:r>
        <w:rPr>
          <w:rFonts w:ascii="Times New Roman" w:hAnsi="Times New Roman" w:eastAsia="Times New Roman" w:cs="Times New Roman"/>
          <w:spacing w:val="-4"/>
          <w:sz w:val="24"/>
          <w:szCs w:val="24"/>
        </w:rPr>
        <w:t>0</w:t>
      </w:r>
      <w:r>
        <w:rPr>
          <w:rFonts w:ascii="Times New Roman" w:hAnsi="Times New Roman" w:eastAsia="Times New Roman" w:cs="Times New Roman"/>
          <w:spacing w:val="16"/>
          <w:sz w:val="24"/>
          <w:szCs w:val="24"/>
        </w:rPr>
        <w:t xml:space="preserve"> </w:t>
      </w:r>
      <w:r>
        <w:rPr>
          <w:rFonts w:ascii="宋体" w:hAnsi="宋体" w:eastAsia="宋体" w:cs="宋体"/>
          <w:spacing w:val="-4"/>
          <w:sz w:val="24"/>
          <w:szCs w:val="24"/>
        </w:rPr>
        <w:t>号《关于以改善环境质量为核心加强环境影</w:t>
      </w:r>
      <w:r>
        <w:rPr>
          <w:rFonts w:ascii="宋体" w:hAnsi="宋体" w:eastAsia="宋体" w:cs="宋体"/>
          <w:spacing w:val="-16"/>
          <w:sz w:val="24"/>
          <w:szCs w:val="24"/>
        </w:rPr>
        <w:t>响评价管理的通知》；</w:t>
      </w:r>
    </w:p>
    <w:p w14:paraId="14E7ECA5">
      <w:pPr>
        <w:spacing w:before="22" w:line="352" w:lineRule="auto"/>
        <w:ind w:right="4" w:firstLine="485"/>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9</w:t>
      </w:r>
      <w:r>
        <w:rPr>
          <w:rFonts w:ascii="宋体" w:hAnsi="宋体" w:eastAsia="宋体" w:cs="宋体"/>
          <w:spacing w:val="-1"/>
          <w:sz w:val="24"/>
          <w:szCs w:val="24"/>
        </w:rPr>
        <w:t>）生态环境部环规财〔</w:t>
      </w:r>
      <w:r>
        <w:rPr>
          <w:rFonts w:ascii="Times New Roman" w:hAnsi="Times New Roman" w:eastAsia="Times New Roman" w:cs="Times New Roman"/>
          <w:spacing w:val="-1"/>
          <w:sz w:val="24"/>
          <w:szCs w:val="24"/>
        </w:rPr>
        <w:t>2018</w:t>
      </w:r>
      <w:r>
        <w:rPr>
          <w:rFonts w:ascii="宋体" w:hAnsi="宋体" w:eastAsia="宋体" w:cs="宋体"/>
          <w:spacing w:val="-1"/>
          <w:sz w:val="24"/>
          <w:szCs w:val="24"/>
        </w:rPr>
        <w:t>〕</w:t>
      </w:r>
      <w:r>
        <w:rPr>
          <w:rFonts w:ascii="Times New Roman" w:hAnsi="Times New Roman" w:eastAsia="Times New Roman" w:cs="Times New Roman"/>
          <w:spacing w:val="-1"/>
          <w:sz w:val="24"/>
          <w:szCs w:val="24"/>
        </w:rPr>
        <w:t>86</w:t>
      </w:r>
      <w:r>
        <w:rPr>
          <w:rFonts w:ascii="Times New Roman" w:hAnsi="Times New Roman" w:eastAsia="Times New Roman" w:cs="Times New Roman"/>
          <w:spacing w:val="54"/>
          <w:w w:val="101"/>
          <w:sz w:val="24"/>
          <w:szCs w:val="24"/>
        </w:rPr>
        <w:t xml:space="preserve"> </w:t>
      </w:r>
      <w:r>
        <w:rPr>
          <w:rFonts w:ascii="宋体" w:hAnsi="宋体" w:eastAsia="宋体" w:cs="宋体"/>
          <w:spacing w:val="-1"/>
          <w:sz w:val="24"/>
          <w:szCs w:val="24"/>
        </w:rPr>
        <w:t>号《关于生态环境领域进</w:t>
      </w:r>
      <w:r>
        <w:rPr>
          <w:rFonts w:ascii="宋体" w:hAnsi="宋体" w:eastAsia="宋体" w:cs="宋体"/>
          <w:spacing w:val="-2"/>
          <w:sz w:val="24"/>
          <w:szCs w:val="24"/>
        </w:rPr>
        <w:t>一步深化</w:t>
      </w:r>
      <w:r>
        <w:rPr>
          <w:rFonts w:ascii="Times New Roman" w:hAnsi="Times New Roman" w:eastAsia="Times New Roman" w:cs="Times New Roman"/>
          <w:spacing w:val="-2"/>
          <w:sz w:val="24"/>
          <w:szCs w:val="24"/>
        </w:rPr>
        <w:t>“</w:t>
      </w:r>
      <w:r>
        <w:rPr>
          <w:rFonts w:ascii="宋体" w:hAnsi="宋体" w:eastAsia="宋体" w:cs="宋体"/>
          <w:spacing w:val="-2"/>
          <w:sz w:val="24"/>
          <w:szCs w:val="24"/>
        </w:rPr>
        <w:t>放管服</w:t>
      </w:r>
      <w:r>
        <w:rPr>
          <w:rFonts w:ascii="Times New Roman" w:hAnsi="Times New Roman" w:eastAsia="Times New Roman" w:cs="Times New Roman"/>
          <w:spacing w:val="-2"/>
          <w:sz w:val="24"/>
          <w:szCs w:val="24"/>
        </w:rPr>
        <w:t>”</w:t>
      </w:r>
      <w:r>
        <w:rPr>
          <w:rFonts w:ascii="Times New Roman" w:hAnsi="Times New Roman" w:eastAsia="Times New Roman" w:cs="Times New Roman"/>
          <w:spacing w:val="-43"/>
          <w:sz w:val="24"/>
          <w:szCs w:val="24"/>
        </w:rPr>
        <w:t xml:space="preserve"> </w:t>
      </w:r>
      <w:r>
        <w:rPr>
          <w:rFonts w:ascii="宋体" w:hAnsi="宋体" w:eastAsia="宋体" w:cs="宋体"/>
          <w:spacing w:val="-2"/>
          <w:sz w:val="24"/>
          <w:szCs w:val="24"/>
        </w:rPr>
        <w:t>改</w:t>
      </w:r>
      <w:r>
        <w:rPr>
          <w:rFonts w:ascii="宋体" w:hAnsi="宋体" w:eastAsia="宋体" w:cs="宋体"/>
          <w:spacing w:val="-8"/>
          <w:sz w:val="24"/>
          <w:szCs w:val="24"/>
        </w:rPr>
        <w:t>革，推动经济高质量发展的指导意见》；</w:t>
      </w:r>
    </w:p>
    <w:p w14:paraId="7C2311BA">
      <w:pPr>
        <w:spacing w:before="20" w:line="352" w:lineRule="auto"/>
        <w:ind w:left="3" w:right="13" w:firstLine="482"/>
        <w:rPr>
          <w:rFonts w:ascii="宋体" w:hAnsi="宋体" w:eastAsia="宋体" w:cs="宋体"/>
          <w:sz w:val="24"/>
          <w:szCs w:val="24"/>
        </w:rPr>
      </w:pPr>
      <w:r>
        <w:rPr>
          <w:rFonts w:ascii="宋体" w:hAnsi="宋体" w:eastAsia="宋体" w:cs="宋体"/>
          <w:spacing w:val="-7"/>
          <w:sz w:val="24"/>
          <w:szCs w:val="24"/>
        </w:rPr>
        <w:t>（</w:t>
      </w:r>
      <w:r>
        <w:rPr>
          <w:rFonts w:ascii="Times New Roman" w:hAnsi="Times New Roman" w:eastAsia="Times New Roman" w:cs="Times New Roman"/>
          <w:spacing w:val="-7"/>
          <w:sz w:val="24"/>
          <w:szCs w:val="24"/>
        </w:rPr>
        <w:t>10</w:t>
      </w:r>
      <w:r>
        <w:rPr>
          <w:rFonts w:ascii="宋体" w:hAnsi="宋体" w:eastAsia="宋体" w:cs="宋体"/>
          <w:spacing w:val="-7"/>
          <w:sz w:val="24"/>
          <w:szCs w:val="24"/>
        </w:rPr>
        <w:t>）自然资源部 生态环境部</w:t>
      </w:r>
      <w:r>
        <w:rPr>
          <w:rFonts w:ascii="宋体" w:hAnsi="宋体" w:eastAsia="宋体" w:cs="宋体"/>
          <w:spacing w:val="33"/>
          <w:sz w:val="24"/>
          <w:szCs w:val="24"/>
        </w:rPr>
        <w:t xml:space="preserve"> </w:t>
      </w:r>
      <w:r>
        <w:rPr>
          <w:rFonts w:ascii="宋体" w:hAnsi="宋体" w:eastAsia="宋体" w:cs="宋体"/>
          <w:spacing w:val="-7"/>
          <w:sz w:val="24"/>
          <w:szCs w:val="24"/>
        </w:rPr>
        <w:t>国家林业和草原局（自</w:t>
      </w:r>
      <w:r>
        <w:rPr>
          <w:rFonts w:ascii="宋体" w:hAnsi="宋体" w:eastAsia="宋体" w:cs="宋体"/>
          <w:spacing w:val="-8"/>
          <w:sz w:val="24"/>
          <w:szCs w:val="24"/>
        </w:rPr>
        <w:t>然资发〔</w:t>
      </w:r>
      <w:r>
        <w:rPr>
          <w:rFonts w:ascii="Times New Roman" w:hAnsi="Times New Roman" w:eastAsia="Times New Roman" w:cs="Times New Roman"/>
          <w:spacing w:val="-8"/>
          <w:sz w:val="24"/>
          <w:szCs w:val="24"/>
        </w:rPr>
        <w:t>2022</w:t>
      </w:r>
      <w:r>
        <w:rPr>
          <w:rFonts w:ascii="宋体" w:hAnsi="宋体" w:eastAsia="宋体" w:cs="宋体"/>
          <w:spacing w:val="-8"/>
          <w:sz w:val="24"/>
          <w:szCs w:val="24"/>
        </w:rPr>
        <w:t>〕</w:t>
      </w:r>
      <w:r>
        <w:rPr>
          <w:rFonts w:ascii="Times New Roman" w:hAnsi="Times New Roman" w:eastAsia="Times New Roman" w:cs="Times New Roman"/>
          <w:spacing w:val="-8"/>
          <w:sz w:val="24"/>
          <w:szCs w:val="24"/>
        </w:rPr>
        <w:t>142</w:t>
      </w:r>
      <w:r>
        <w:rPr>
          <w:rFonts w:ascii="Times New Roman" w:hAnsi="Times New Roman" w:eastAsia="Times New Roman" w:cs="Times New Roman"/>
          <w:spacing w:val="15"/>
          <w:sz w:val="24"/>
          <w:szCs w:val="24"/>
        </w:rPr>
        <w:t xml:space="preserve"> </w:t>
      </w:r>
      <w:r>
        <w:rPr>
          <w:rFonts w:ascii="宋体" w:hAnsi="宋体" w:eastAsia="宋体" w:cs="宋体"/>
          <w:spacing w:val="-8"/>
          <w:sz w:val="24"/>
          <w:szCs w:val="24"/>
        </w:rPr>
        <w:t>号）《关</w:t>
      </w:r>
      <w:r>
        <w:rPr>
          <w:rFonts w:ascii="宋体" w:hAnsi="宋体" w:eastAsia="宋体" w:cs="宋体"/>
          <w:spacing w:val="-14"/>
          <w:sz w:val="24"/>
          <w:szCs w:val="24"/>
        </w:rPr>
        <w:t>于加强生态保护红线管理的通知（试行）》；</w:t>
      </w:r>
    </w:p>
    <w:p w14:paraId="4EF5D680">
      <w:pPr>
        <w:spacing w:before="23" w:line="233" w:lineRule="auto"/>
        <w:ind w:left="486"/>
        <w:rPr>
          <w:rFonts w:ascii="宋体" w:hAnsi="宋体" w:eastAsia="宋体" w:cs="宋体"/>
          <w:sz w:val="24"/>
          <w:szCs w:val="24"/>
        </w:rPr>
      </w:pPr>
      <w:r>
        <w:rPr>
          <w:rFonts w:ascii="宋体" w:hAnsi="宋体" w:eastAsia="宋体" w:cs="宋体"/>
          <w:spacing w:val="-13"/>
          <w:sz w:val="24"/>
          <w:szCs w:val="24"/>
        </w:rPr>
        <w:t>（</w:t>
      </w:r>
      <w:r>
        <w:rPr>
          <w:rFonts w:ascii="Times New Roman" w:hAnsi="Times New Roman" w:eastAsia="Times New Roman" w:cs="Times New Roman"/>
          <w:spacing w:val="-13"/>
          <w:sz w:val="24"/>
          <w:szCs w:val="24"/>
        </w:rPr>
        <w:t>11</w:t>
      </w:r>
      <w:r>
        <w:rPr>
          <w:rFonts w:ascii="宋体" w:hAnsi="宋体" w:eastAsia="宋体" w:cs="宋体"/>
          <w:spacing w:val="-13"/>
          <w:sz w:val="24"/>
          <w:szCs w:val="24"/>
        </w:rPr>
        <w:t>）《国家重点保护野生植物名录》（</w:t>
      </w:r>
      <w:r>
        <w:rPr>
          <w:rFonts w:ascii="Times New Roman" w:hAnsi="Times New Roman" w:eastAsia="Times New Roman" w:cs="Times New Roman"/>
          <w:spacing w:val="-13"/>
          <w:sz w:val="24"/>
          <w:szCs w:val="24"/>
        </w:rPr>
        <w:t>2021</w:t>
      </w:r>
      <w:r>
        <w:rPr>
          <w:rFonts w:ascii="宋体" w:hAnsi="宋体" w:eastAsia="宋体" w:cs="宋体"/>
          <w:spacing w:val="-13"/>
          <w:sz w:val="24"/>
          <w:szCs w:val="24"/>
        </w:rPr>
        <w:t>年版</w:t>
      </w:r>
      <w:r>
        <w:rPr>
          <w:rFonts w:ascii="宋体" w:hAnsi="宋体" w:eastAsia="宋体" w:cs="宋体"/>
          <w:spacing w:val="-9"/>
          <w:sz w:val="24"/>
          <w:szCs w:val="24"/>
        </w:rPr>
        <w:t>）；</w:t>
      </w:r>
    </w:p>
    <w:p w14:paraId="2103E13F">
      <w:pPr>
        <w:spacing w:before="165" w:line="233" w:lineRule="auto"/>
        <w:ind w:left="486"/>
        <w:rPr>
          <w:rFonts w:ascii="宋体" w:hAnsi="宋体" w:eastAsia="宋体" w:cs="宋体"/>
          <w:sz w:val="24"/>
          <w:szCs w:val="24"/>
        </w:rPr>
      </w:pPr>
      <w:r>
        <w:rPr>
          <w:rFonts w:ascii="宋体" w:hAnsi="宋体" w:eastAsia="宋体" w:cs="宋体"/>
          <w:spacing w:val="-11"/>
          <w:sz w:val="24"/>
          <w:szCs w:val="24"/>
        </w:rPr>
        <w:t>（</w:t>
      </w:r>
      <w:r>
        <w:rPr>
          <w:rFonts w:ascii="Times New Roman" w:hAnsi="Times New Roman" w:eastAsia="Times New Roman" w:cs="Times New Roman"/>
          <w:spacing w:val="-11"/>
          <w:sz w:val="24"/>
          <w:szCs w:val="24"/>
        </w:rPr>
        <w:t>12</w:t>
      </w:r>
      <w:r>
        <w:rPr>
          <w:rFonts w:ascii="宋体" w:hAnsi="宋体" w:eastAsia="宋体" w:cs="宋体"/>
          <w:spacing w:val="-11"/>
          <w:sz w:val="24"/>
          <w:szCs w:val="24"/>
        </w:rPr>
        <w:t>）《国家重点保护野生动物名录》（</w:t>
      </w:r>
      <w:r>
        <w:rPr>
          <w:rFonts w:ascii="Times New Roman" w:hAnsi="Times New Roman" w:eastAsia="Times New Roman" w:cs="Times New Roman"/>
          <w:spacing w:val="-11"/>
          <w:sz w:val="24"/>
          <w:szCs w:val="24"/>
        </w:rPr>
        <w:t>2021</w:t>
      </w:r>
      <w:r>
        <w:rPr>
          <w:rFonts w:ascii="宋体" w:hAnsi="宋体" w:eastAsia="宋体" w:cs="宋体"/>
          <w:spacing w:val="-11"/>
          <w:sz w:val="24"/>
          <w:szCs w:val="24"/>
        </w:rPr>
        <w:t>年版</w:t>
      </w:r>
      <w:r>
        <w:rPr>
          <w:rFonts w:ascii="宋体" w:hAnsi="宋体" w:eastAsia="宋体" w:cs="宋体"/>
          <w:spacing w:val="-5"/>
          <w:sz w:val="24"/>
          <w:szCs w:val="24"/>
        </w:rPr>
        <w:t>）；</w:t>
      </w:r>
    </w:p>
    <w:p w14:paraId="04F74A31">
      <w:pPr>
        <w:spacing w:before="164" w:line="233" w:lineRule="auto"/>
        <w:ind w:left="486"/>
        <w:rPr>
          <w:rFonts w:ascii="宋体" w:hAnsi="宋体" w:eastAsia="宋体" w:cs="宋体"/>
          <w:sz w:val="24"/>
          <w:szCs w:val="24"/>
        </w:rPr>
      </w:pPr>
      <w:r>
        <w:rPr>
          <w:rFonts w:ascii="宋体" w:hAnsi="宋体" w:eastAsia="宋体" w:cs="宋体"/>
          <w:spacing w:val="-12"/>
          <w:sz w:val="24"/>
          <w:szCs w:val="24"/>
        </w:rPr>
        <w:t>（</w:t>
      </w:r>
      <w:r>
        <w:rPr>
          <w:rFonts w:ascii="Times New Roman" w:hAnsi="Times New Roman" w:eastAsia="Times New Roman" w:cs="Times New Roman"/>
          <w:spacing w:val="-12"/>
          <w:sz w:val="24"/>
          <w:szCs w:val="24"/>
        </w:rPr>
        <w:t>13</w:t>
      </w:r>
      <w:r>
        <w:rPr>
          <w:rFonts w:ascii="宋体" w:hAnsi="宋体" w:eastAsia="宋体" w:cs="宋体"/>
          <w:spacing w:val="-12"/>
          <w:sz w:val="24"/>
          <w:szCs w:val="24"/>
        </w:rPr>
        <w:t>）《中国生物多样性红色名录</w:t>
      </w:r>
      <w:r>
        <w:rPr>
          <w:rFonts w:ascii="宋体" w:hAnsi="宋体" w:eastAsia="宋体" w:cs="宋体"/>
          <w:spacing w:val="22"/>
          <w:sz w:val="24"/>
          <w:szCs w:val="24"/>
        </w:rPr>
        <w:t xml:space="preserve"> </w:t>
      </w:r>
      <w:r>
        <w:rPr>
          <w:rFonts w:ascii="宋体" w:hAnsi="宋体" w:eastAsia="宋体" w:cs="宋体"/>
          <w:spacing w:val="-12"/>
          <w:sz w:val="24"/>
          <w:szCs w:val="24"/>
        </w:rPr>
        <w:t>脊椎动物卷</w:t>
      </w:r>
      <w:r>
        <w:rPr>
          <w:rFonts w:ascii="宋体" w:hAnsi="宋体" w:eastAsia="宋体" w:cs="宋体"/>
          <w:spacing w:val="-13"/>
          <w:sz w:val="24"/>
          <w:szCs w:val="24"/>
        </w:rPr>
        <w:t>（</w:t>
      </w:r>
      <w:r>
        <w:rPr>
          <w:rFonts w:ascii="Times New Roman" w:hAnsi="Times New Roman" w:eastAsia="Times New Roman" w:cs="Times New Roman"/>
          <w:spacing w:val="-13"/>
          <w:sz w:val="24"/>
          <w:szCs w:val="24"/>
        </w:rPr>
        <w:t>2020</w:t>
      </w:r>
      <w:r>
        <w:rPr>
          <w:rFonts w:ascii="宋体" w:hAnsi="宋体" w:eastAsia="宋体" w:cs="宋体"/>
          <w:spacing w:val="-13"/>
          <w:sz w:val="24"/>
          <w:szCs w:val="24"/>
        </w:rPr>
        <w:t>）》；</w:t>
      </w:r>
    </w:p>
    <w:p w14:paraId="70073D6C">
      <w:pPr>
        <w:spacing w:before="166" w:line="233" w:lineRule="auto"/>
        <w:ind w:left="486"/>
        <w:rPr>
          <w:rFonts w:ascii="宋体" w:hAnsi="宋体" w:eastAsia="宋体" w:cs="宋体"/>
          <w:sz w:val="24"/>
          <w:szCs w:val="24"/>
        </w:rPr>
      </w:pPr>
      <w:r>
        <w:rPr>
          <w:rFonts w:ascii="宋体" w:hAnsi="宋体" w:eastAsia="宋体" w:cs="宋体"/>
          <w:spacing w:val="-13"/>
          <w:sz w:val="24"/>
          <w:szCs w:val="24"/>
        </w:rPr>
        <w:t>（</w:t>
      </w:r>
      <w:r>
        <w:rPr>
          <w:rFonts w:ascii="Times New Roman" w:hAnsi="Times New Roman" w:eastAsia="Times New Roman" w:cs="Times New Roman"/>
          <w:spacing w:val="-13"/>
          <w:sz w:val="24"/>
          <w:szCs w:val="24"/>
        </w:rPr>
        <w:t>14</w:t>
      </w:r>
      <w:r>
        <w:rPr>
          <w:rFonts w:ascii="宋体" w:hAnsi="宋体" w:eastAsia="宋体" w:cs="宋体"/>
          <w:spacing w:val="-13"/>
          <w:sz w:val="24"/>
          <w:szCs w:val="24"/>
        </w:rPr>
        <w:t>）《中国生物多样性红色名录</w:t>
      </w:r>
      <w:r>
        <w:rPr>
          <w:rFonts w:ascii="宋体" w:hAnsi="宋体" w:eastAsia="宋体" w:cs="宋体"/>
          <w:spacing w:val="43"/>
          <w:sz w:val="24"/>
          <w:szCs w:val="24"/>
        </w:rPr>
        <w:t xml:space="preserve"> </w:t>
      </w:r>
      <w:r>
        <w:rPr>
          <w:rFonts w:ascii="宋体" w:hAnsi="宋体" w:eastAsia="宋体" w:cs="宋体"/>
          <w:spacing w:val="-13"/>
          <w:sz w:val="24"/>
          <w:szCs w:val="24"/>
        </w:rPr>
        <w:t>高等植物卷（</w:t>
      </w:r>
      <w:r>
        <w:rPr>
          <w:rFonts w:ascii="Times New Roman" w:hAnsi="Times New Roman" w:eastAsia="Times New Roman" w:cs="Times New Roman"/>
          <w:spacing w:val="-13"/>
          <w:sz w:val="24"/>
          <w:szCs w:val="24"/>
        </w:rPr>
        <w:t>2020</w:t>
      </w:r>
      <w:r>
        <w:rPr>
          <w:rFonts w:ascii="宋体" w:hAnsi="宋体" w:eastAsia="宋体" w:cs="宋体"/>
          <w:spacing w:val="-13"/>
          <w:sz w:val="24"/>
          <w:szCs w:val="24"/>
        </w:rPr>
        <w:t>）》；</w:t>
      </w:r>
    </w:p>
    <w:p w14:paraId="785C19C4">
      <w:pPr>
        <w:spacing w:before="165" w:line="360" w:lineRule="auto"/>
        <w:ind w:left="5" w:right="18" w:firstLine="480"/>
        <w:rPr>
          <w:rFonts w:ascii="宋体" w:hAnsi="宋体" w:eastAsia="宋体" w:cs="宋体"/>
          <w:sz w:val="24"/>
          <w:szCs w:val="24"/>
        </w:rPr>
      </w:pPr>
      <w:r>
        <w:rPr>
          <w:rFonts w:ascii="宋体" w:hAnsi="宋体" w:eastAsia="宋体" w:cs="宋体"/>
          <w:spacing w:val="-8"/>
          <w:sz w:val="24"/>
          <w:szCs w:val="24"/>
        </w:rPr>
        <w:t>（</w:t>
      </w:r>
      <w:r>
        <w:rPr>
          <w:rFonts w:ascii="Times New Roman" w:hAnsi="Times New Roman" w:eastAsia="Times New Roman" w:cs="Times New Roman"/>
          <w:spacing w:val="-8"/>
          <w:sz w:val="24"/>
          <w:szCs w:val="24"/>
        </w:rPr>
        <w:t>15</w:t>
      </w:r>
      <w:r>
        <w:rPr>
          <w:rFonts w:ascii="宋体" w:hAnsi="宋体" w:eastAsia="宋体" w:cs="宋体"/>
          <w:spacing w:val="-8"/>
          <w:sz w:val="24"/>
          <w:szCs w:val="24"/>
        </w:rPr>
        <w:t>）《有重要生态、科学、社会价值的陆生野</w:t>
      </w:r>
      <w:r>
        <w:rPr>
          <w:rFonts w:ascii="宋体" w:hAnsi="宋体" w:eastAsia="宋体" w:cs="宋体"/>
          <w:spacing w:val="-9"/>
          <w:sz w:val="24"/>
          <w:szCs w:val="24"/>
        </w:rPr>
        <w:t>生动物名录》（国家林业和草原局公</w:t>
      </w:r>
      <w:r>
        <w:rPr>
          <w:rFonts w:ascii="宋体" w:hAnsi="宋体" w:eastAsia="宋体" w:cs="宋体"/>
          <w:spacing w:val="-14"/>
          <w:sz w:val="24"/>
          <w:szCs w:val="24"/>
        </w:rPr>
        <w:t>告</w:t>
      </w:r>
      <w:r>
        <w:rPr>
          <w:rFonts w:ascii="宋体" w:hAnsi="宋体" w:eastAsia="宋体" w:cs="宋体"/>
          <w:spacing w:val="-54"/>
          <w:sz w:val="24"/>
          <w:szCs w:val="24"/>
        </w:rPr>
        <w:t xml:space="preserve"> </w:t>
      </w:r>
      <w:r>
        <w:rPr>
          <w:rFonts w:ascii="Times New Roman" w:hAnsi="Times New Roman" w:eastAsia="Times New Roman" w:cs="Times New Roman"/>
          <w:spacing w:val="-14"/>
          <w:sz w:val="24"/>
          <w:szCs w:val="24"/>
        </w:rPr>
        <w:t>2023</w:t>
      </w:r>
      <w:r>
        <w:rPr>
          <w:rFonts w:ascii="Times New Roman" w:hAnsi="Times New Roman" w:eastAsia="Times New Roman" w:cs="Times New Roman"/>
          <w:spacing w:val="10"/>
          <w:sz w:val="24"/>
          <w:szCs w:val="24"/>
        </w:rPr>
        <w:t xml:space="preserve"> </w:t>
      </w:r>
      <w:r>
        <w:rPr>
          <w:rFonts w:ascii="宋体" w:hAnsi="宋体" w:eastAsia="宋体" w:cs="宋体"/>
          <w:spacing w:val="-14"/>
          <w:sz w:val="24"/>
          <w:szCs w:val="24"/>
        </w:rPr>
        <w:t>年第</w:t>
      </w:r>
      <w:r>
        <w:rPr>
          <w:rFonts w:ascii="宋体" w:hAnsi="宋体" w:eastAsia="宋体" w:cs="宋体"/>
          <w:spacing w:val="-32"/>
          <w:sz w:val="24"/>
          <w:szCs w:val="24"/>
        </w:rPr>
        <w:t xml:space="preserve"> </w:t>
      </w:r>
      <w:r>
        <w:rPr>
          <w:rFonts w:ascii="Times New Roman" w:hAnsi="Times New Roman" w:eastAsia="Times New Roman" w:cs="Times New Roman"/>
          <w:spacing w:val="-14"/>
          <w:sz w:val="24"/>
          <w:szCs w:val="24"/>
        </w:rPr>
        <w:t>17</w:t>
      </w:r>
      <w:r>
        <w:rPr>
          <w:rFonts w:ascii="Times New Roman" w:hAnsi="Times New Roman" w:eastAsia="Times New Roman" w:cs="Times New Roman"/>
          <w:spacing w:val="15"/>
          <w:w w:val="101"/>
          <w:sz w:val="24"/>
          <w:szCs w:val="24"/>
        </w:rPr>
        <w:t xml:space="preserve"> </w:t>
      </w:r>
      <w:r>
        <w:rPr>
          <w:rFonts w:ascii="宋体" w:hAnsi="宋体" w:eastAsia="宋体" w:cs="宋体"/>
          <w:spacing w:val="-14"/>
          <w:sz w:val="24"/>
          <w:szCs w:val="24"/>
        </w:rPr>
        <w:t>号</w:t>
      </w:r>
      <w:r>
        <w:rPr>
          <w:rFonts w:ascii="宋体" w:hAnsi="宋体" w:eastAsia="宋体" w:cs="宋体"/>
          <w:spacing w:val="-36"/>
          <w:sz w:val="24"/>
          <w:szCs w:val="24"/>
        </w:rPr>
        <w:t>）；</w:t>
      </w:r>
    </w:p>
    <w:p w14:paraId="2E0AAE82">
      <w:pPr>
        <w:spacing w:line="360" w:lineRule="auto"/>
        <w:ind w:right="4" w:firstLine="486"/>
        <w:rPr>
          <w:rFonts w:ascii="宋体" w:hAnsi="宋体" w:eastAsia="宋体" w:cs="宋体"/>
          <w:sz w:val="24"/>
          <w:szCs w:val="24"/>
        </w:rPr>
      </w:pPr>
      <w:r>
        <w:rPr>
          <w:rFonts w:ascii="宋体" w:hAnsi="宋体" w:eastAsia="宋体" w:cs="宋体"/>
          <w:spacing w:val="-11"/>
          <w:sz w:val="24"/>
          <w:szCs w:val="24"/>
        </w:rPr>
        <w:t>（</w:t>
      </w:r>
      <w:r>
        <w:rPr>
          <w:rFonts w:ascii="Times New Roman" w:hAnsi="Times New Roman" w:eastAsia="Times New Roman" w:cs="Times New Roman"/>
          <w:spacing w:val="-11"/>
          <w:sz w:val="24"/>
          <w:szCs w:val="24"/>
        </w:rPr>
        <w:t>16</w:t>
      </w:r>
      <w:r>
        <w:rPr>
          <w:rFonts w:ascii="宋体" w:hAnsi="宋体" w:eastAsia="宋体" w:cs="宋体"/>
          <w:spacing w:val="-11"/>
          <w:sz w:val="24"/>
          <w:szCs w:val="24"/>
        </w:rPr>
        <w:t>）《陆生野生动物重要栖息地名录（第一批）》（国家林业和草原局公告</w:t>
      </w:r>
      <w:r>
        <w:rPr>
          <w:rFonts w:ascii="宋体" w:hAnsi="宋体" w:eastAsia="宋体" w:cs="宋体"/>
          <w:spacing w:val="-35"/>
          <w:sz w:val="24"/>
          <w:szCs w:val="24"/>
        </w:rPr>
        <w:t xml:space="preserve"> </w:t>
      </w:r>
      <w:r>
        <w:rPr>
          <w:rFonts w:ascii="Times New Roman" w:hAnsi="Times New Roman" w:eastAsia="Times New Roman" w:cs="Times New Roman"/>
          <w:spacing w:val="-11"/>
          <w:sz w:val="24"/>
          <w:szCs w:val="24"/>
        </w:rPr>
        <w:t xml:space="preserve">2023 </w:t>
      </w:r>
      <w:r>
        <w:rPr>
          <w:rFonts w:ascii="宋体" w:hAnsi="宋体" w:eastAsia="宋体" w:cs="宋体"/>
          <w:spacing w:val="-11"/>
          <w:sz w:val="24"/>
          <w:szCs w:val="24"/>
        </w:rPr>
        <w:t>年</w:t>
      </w:r>
      <w:r>
        <w:rPr>
          <w:rFonts w:ascii="宋体" w:hAnsi="宋体" w:eastAsia="宋体" w:cs="宋体"/>
          <w:spacing w:val="-28"/>
          <w:sz w:val="24"/>
          <w:szCs w:val="24"/>
        </w:rPr>
        <w:t>第</w:t>
      </w:r>
      <w:r>
        <w:rPr>
          <w:rFonts w:ascii="宋体" w:hAnsi="宋体" w:eastAsia="宋体" w:cs="宋体"/>
          <w:spacing w:val="-54"/>
          <w:sz w:val="24"/>
          <w:szCs w:val="24"/>
        </w:rPr>
        <w:t xml:space="preserve"> </w:t>
      </w:r>
      <w:r>
        <w:rPr>
          <w:rFonts w:ascii="Times New Roman" w:hAnsi="Times New Roman" w:eastAsia="Times New Roman" w:cs="Times New Roman"/>
          <w:spacing w:val="-28"/>
          <w:sz w:val="24"/>
          <w:szCs w:val="24"/>
        </w:rPr>
        <w:t>23</w:t>
      </w:r>
      <w:r>
        <w:rPr>
          <w:rFonts w:ascii="Times New Roman" w:hAnsi="Times New Roman" w:eastAsia="Times New Roman" w:cs="Times New Roman"/>
          <w:spacing w:val="15"/>
          <w:w w:val="101"/>
          <w:sz w:val="24"/>
          <w:szCs w:val="24"/>
        </w:rPr>
        <w:t xml:space="preserve"> </w:t>
      </w:r>
      <w:r>
        <w:rPr>
          <w:rFonts w:ascii="宋体" w:hAnsi="宋体" w:eastAsia="宋体" w:cs="宋体"/>
          <w:spacing w:val="-28"/>
          <w:sz w:val="24"/>
          <w:szCs w:val="24"/>
        </w:rPr>
        <w:t>号）。</w:t>
      </w:r>
    </w:p>
    <w:p w14:paraId="0BFE6E5E">
      <w:pPr>
        <w:spacing w:before="1" w:line="234" w:lineRule="auto"/>
        <w:ind w:left="6"/>
        <w:rPr>
          <w:rFonts w:ascii="宋体" w:hAnsi="宋体" w:eastAsia="宋体" w:cs="宋体"/>
          <w:sz w:val="24"/>
          <w:szCs w:val="24"/>
        </w:rPr>
      </w:pPr>
      <w:r>
        <w:rPr>
          <w:rFonts w:ascii="Times New Roman" w:hAnsi="Times New Roman" w:eastAsia="Times New Roman" w:cs="Times New Roman"/>
          <w:b/>
          <w:bCs/>
          <w:spacing w:val="-3"/>
          <w:sz w:val="24"/>
          <w:szCs w:val="24"/>
        </w:rPr>
        <w:t xml:space="preserve">1.3.3 </w:t>
      </w:r>
      <w:r>
        <w:rPr>
          <w:rFonts w:ascii="宋体" w:hAnsi="宋体" w:eastAsia="宋体" w:cs="宋体"/>
          <w:b/>
          <w:bCs/>
          <w:spacing w:val="-3"/>
          <w:sz w:val="24"/>
          <w:szCs w:val="24"/>
        </w:rPr>
        <w:t>地方性法规及规划</w:t>
      </w:r>
    </w:p>
    <w:p w14:paraId="5C78F1F2">
      <w:pPr>
        <w:spacing w:before="163" w:line="233" w:lineRule="auto"/>
        <w:ind w:left="486"/>
        <w:rPr>
          <w:rFonts w:ascii="宋体" w:hAnsi="宋体" w:eastAsia="宋体" w:cs="宋体"/>
          <w:sz w:val="24"/>
          <w:szCs w:val="24"/>
        </w:rPr>
      </w:pPr>
      <w:r>
        <w:rPr>
          <w:rFonts w:ascii="宋体" w:hAnsi="宋体" w:eastAsia="宋体" w:cs="宋体"/>
          <w:spacing w:val="-16"/>
          <w:sz w:val="24"/>
          <w:szCs w:val="24"/>
        </w:rPr>
        <w:t>（</w:t>
      </w:r>
      <w:r>
        <w:rPr>
          <w:rFonts w:ascii="Times New Roman" w:hAnsi="Times New Roman" w:eastAsia="Times New Roman" w:cs="Times New Roman"/>
          <w:spacing w:val="-16"/>
          <w:sz w:val="24"/>
          <w:szCs w:val="24"/>
        </w:rPr>
        <w:t>1</w:t>
      </w:r>
      <w:r>
        <w:rPr>
          <w:rFonts w:ascii="宋体" w:hAnsi="宋体" w:eastAsia="宋体" w:cs="宋体"/>
          <w:spacing w:val="-16"/>
          <w:sz w:val="24"/>
          <w:szCs w:val="24"/>
        </w:rPr>
        <w:t>）《云南省生态环境保护条例》（</w:t>
      </w:r>
      <w:r>
        <w:rPr>
          <w:rFonts w:ascii="Times New Roman" w:hAnsi="Times New Roman" w:eastAsia="Times New Roman" w:cs="Times New Roman"/>
          <w:spacing w:val="-16"/>
          <w:sz w:val="24"/>
          <w:szCs w:val="24"/>
        </w:rPr>
        <w:t>2024</w:t>
      </w:r>
      <w:r>
        <w:rPr>
          <w:rFonts w:ascii="Times New Roman" w:hAnsi="Times New Roman" w:eastAsia="Times New Roman" w:cs="Times New Roman"/>
          <w:spacing w:val="11"/>
          <w:sz w:val="24"/>
          <w:szCs w:val="24"/>
        </w:rPr>
        <w:t xml:space="preserve"> </w:t>
      </w:r>
      <w:r>
        <w:rPr>
          <w:rFonts w:ascii="宋体" w:hAnsi="宋体" w:eastAsia="宋体" w:cs="宋体"/>
          <w:spacing w:val="-16"/>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16"/>
          <w:sz w:val="24"/>
          <w:szCs w:val="24"/>
        </w:rPr>
        <w:t>11</w:t>
      </w:r>
      <w:r>
        <w:rPr>
          <w:rFonts w:ascii="Times New Roman" w:hAnsi="Times New Roman" w:eastAsia="Times New Roman" w:cs="Times New Roman"/>
          <w:spacing w:val="15"/>
          <w:sz w:val="24"/>
          <w:szCs w:val="24"/>
        </w:rPr>
        <w:t xml:space="preserve"> </w:t>
      </w:r>
      <w:r>
        <w:rPr>
          <w:rFonts w:ascii="宋体" w:hAnsi="宋体" w:eastAsia="宋体" w:cs="宋体"/>
          <w:spacing w:val="-16"/>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16"/>
          <w:sz w:val="24"/>
          <w:szCs w:val="24"/>
        </w:rPr>
        <w:t xml:space="preserve">1  </w:t>
      </w:r>
      <w:r>
        <w:rPr>
          <w:rFonts w:ascii="宋体" w:hAnsi="宋体" w:eastAsia="宋体" w:cs="宋体"/>
          <w:spacing w:val="-16"/>
          <w:sz w:val="24"/>
          <w:szCs w:val="24"/>
        </w:rPr>
        <w:t>日起施行）；</w:t>
      </w:r>
    </w:p>
    <w:p w14:paraId="3AFFA6F2">
      <w:pPr>
        <w:spacing w:before="165" w:line="233" w:lineRule="auto"/>
        <w:ind w:left="486"/>
        <w:rPr>
          <w:rFonts w:ascii="宋体" w:hAnsi="宋体" w:eastAsia="宋体" w:cs="宋体"/>
          <w:sz w:val="24"/>
          <w:szCs w:val="24"/>
        </w:rPr>
      </w:pPr>
      <w:r>
        <w:rPr>
          <w:rFonts w:ascii="宋体" w:hAnsi="宋体" w:eastAsia="宋体" w:cs="宋体"/>
          <w:spacing w:val="-16"/>
          <w:sz w:val="24"/>
          <w:szCs w:val="24"/>
        </w:rPr>
        <w:t>（</w:t>
      </w:r>
      <w:r>
        <w:rPr>
          <w:rFonts w:ascii="Times New Roman" w:hAnsi="Times New Roman" w:eastAsia="Times New Roman" w:cs="Times New Roman"/>
          <w:spacing w:val="-16"/>
          <w:sz w:val="24"/>
          <w:szCs w:val="24"/>
        </w:rPr>
        <w:t>2</w:t>
      </w:r>
      <w:r>
        <w:rPr>
          <w:rFonts w:ascii="宋体" w:hAnsi="宋体" w:eastAsia="宋体" w:cs="宋体"/>
          <w:spacing w:val="-16"/>
          <w:sz w:val="24"/>
          <w:szCs w:val="24"/>
        </w:rPr>
        <w:t>）《云南省珍贵树种保护条例》（</w:t>
      </w:r>
      <w:r>
        <w:rPr>
          <w:rFonts w:ascii="Times New Roman" w:hAnsi="Times New Roman" w:eastAsia="Times New Roman" w:cs="Times New Roman"/>
          <w:spacing w:val="-16"/>
          <w:sz w:val="24"/>
          <w:szCs w:val="24"/>
        </w:rPr>
        <w:t>2002</w:t>
      </w:r>
      <w:r>
        <w:rPr>
          <w:rFonts w:ascii="Times New Roman" w:hAnsi="Times New Roman" w:eastAsia="Times New Roman" w:cs="Times New Roman"/>
          <w:spacing w:val="11"/>
          <w:sz w:val="24"/>
          <w:szCs w:val="24"/>
        </w:rPr>
        <w:t xml:space="preserve"> </w:t>
      </w:r>
      <w:r>
        <w:rPr>
          <w:rFonts w:ascii="宋体" w:hAnsi="宋体" w:eastAsia="宋体" w:cs="宋体"/>
          <w:spacing w:val="-16"/>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16"/>
          <w:sz w:val="24"/>
          <w:szCs w:val="24"/>
        </w:rPr>
        <w:t>1</w:t>
      </w:r>
      <w:r>
        <w:rPr>
          <w:rFonts w:ascii="Times New Roman" w:hAnsi="Times New Roman" w:eastAsia="Times New Roman" w:cs="Times New Roman"/>
          <w:spacing w:val="15"/>
          <w:sz w:val="24"/>
          <w:szCs w:val="24"/>
        </w:rPr>
        <w:t xml:space="preserve"> </w:t>
      </w:r>
      <w:r>
        <w:rPr>
          <w:rFonts w:ascii="宋体" w:hAnsi="宋体" w:eastAsia="宋体" w:cs="宋体"/>
          <w:spacing w:val="-16"/>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16"/>
          <w:sz w:val="24"/>
          <w:szCs w:val="24"/>
        </w:rPr>
        <w:t>21</w:t>
      </w:r>
      <w:r>
        <w:rPr>
          <w:rFonts w:ascii="Times New Roman" w:hAnsi="Times New Roman" w:eastAsia="Times New Roman" w:cs="Times New Roman"/>
          <w:spacing w:val="51"/>
          <w:sz w:val="24"/>
          <w:szCs w:val="24"/>
        </w:rPr>
        <w:t xml:space="preserve"> </w:t>
      </w:r>
      <w:r>
        <w:rPr>
          <w:rFonts w:ascii="宋体" w:hAnsi="宋体" w:eastAsia="宋体" w:cs="宋体"/>
          <w:spacing w:val="-16"/>
          <w:sz w:val="24"/>
          <w:szCs w:val="24"/>
        </w:rPr>
        <w:t>日起施行</w:t>
      </w:r>
      <w:r>
        <w:rPr>
          <w:rFonts w:ascii="宋体" w:hAnsi="宋体" w:eastAsia="宋体" w:cs="宋体"/>
          <w:spacing w:val="-11"/>
          <w:sz w:val="24"/>
          <w:szCs w:val="24"/>
        </w:rPr>
        <w:t>）；</w:t>
      </w:r>
    </w:p>
    <w:p w14:paraId="0E164B6C">
      <w:pPr>
        <w:spacing w:before="164" w:line="352" w:lineRule="auto"/>
        <w:ind w:left="41" w:right="4" w:firstLine="445"/>
        <w:rPr>
          <w:rFonts w:ascii="宋体" w:hAnsi="宋体" w:eastAsia="宋体" w:cs="宋体"/>
          <w:sz w:val="24"/>
          <w:szCs w:val="24"/>
        </w:rPr>
      </w:pPr>
      <w:r>
        <w:rPr>
          <w:rFonts w:ascii="宋体" w:hAnsi="宋体" w:eastAsia="宋体" w:cs="宋体"/>
          <w:spacing w:val="-10"/>
          <w:sz w:val="24"/>
          <w:szCs w:val="24"/>
        </w:rPr>
        <w:t>（</w:t>
      </w:r>
      <w:r>
        <w:rPr>
          <w:rFonts w:ascii="Times New Roman" w:hAnsi="Times New Roman" w:eastAsia="Times New Roman" w:cs="Times New Roman"/>
          <w:spacing w:val="-10"/>
          <w:sz w:val="24"/>
          <w:szCs w:val="24"/>
        </w:rPr>
        <w:t>3</w:t>
      </w:r>
      <w:r>
        <w:rPr>
          <w:rFonts w:ascii="宋体" w:hAnsi="宋体" w:eastAsia="宋体" w:cs="宋体"/>
          <w:spacing w:val="-10"/>
          <w:sz w:val="24"/>
          <w:szCs w:val="24"/>
        </w:rPr>
        <w:t>）《云南省陆生野生动物保护条例》（</w:t>
      </w:r>
      <w:r>
        <w:rPr>
          <w:rFonts w:ascii="Times New Roman" w:hAnsi="Times New Roman" w:eastAsia="Times New Roman" w:cs="Times New Roman"/>
          <w:spacing w:val="-10"/>
          <w:sz w:val="24"/>
          <w:szCs w:val="24"/>
        </w:rPr>
        <w:t>1997</w:t>
      </w:r>
      <w:r>
        <w:rPr>
          <w:rFonts w:ascii="Times New Roman" w:hAnsi="Times New Roman" w:eastAsia="Times New Roman" w:cs="Times New Roman"/>
          <w:spacing w:val="24"/>
          <w:w w:val="101"/>
          <w:sz w:val="24"/>
          <w:szCs w:val="24"/>
        </w:rPr>
        <w:t xml:space="preserve"> </w:t>
      </w:r>
      <w:r>
        <w:rPr>
          <w:rFonts w:ascii="宋体" w:hAnsi="宋体" w:eastAsia="宋体" w:cs="宋体"/>
          <w:spacing w:val="-10"/>
          <w:sz w:val="24"/>
          <w:szCs w:val="24"/>
        </w:rPr>
        <w:t xml:space="preserve">年 </w:t>
      </w:r>
      <w:r>
        <w:rPr>
          <w:rFonts w:ascii="Times New Roman" w:hAnsi="Times New Roman" w:eastAsia="Times New Roman" w:cs="Times New Roman"/>
          <w:spacing w:val="-10"/>
          <w:sz w:val="24"/>
          <w:szCs w:val="24"/>
        </w:rPr>
        <w:t>1</w:t>
      </w:r>
      <w:r>
        <w:rPr>
          <w:rFonts w:ascii="Times New Roman" w:hAnsi="Times New Roman" w:eastAsia="Times New Roman" w:cs="Times New Roman"/>
          <w:spacing w:val="29"/>
          <w:w w:val="101"/>
          <w:sz w:val="24"/>
          <w:szCs w:val="24"/>
        </w:rPr>
        <w:t xml:space="preserve"> </w:t>
      </w:r>
      <w:r>
        <w:rPr>
          <w:rFonts w:ascii="宋体" w:hAnsi="宋体" w:eastAsia="宋体" w:cs="宋体"/>
          <w:spacing w:val="-10"/>
          <w:sz w:val="24"/>
          <w:szCs w:val="24"/>
        </w:rPr>
        <w:t xml:space="preserve">月 </w:t>
      </w:r>
      <w:r>
        <w:rPr>
          <w:rFonts w:ascii="Times New Roman" w:hAnsi="Times New Roman" w:eastAsia="Times New Roman" w:cs="Times New Roman"/>
          <w:spacing w:val="-10"/>
          <w:sz w:val="24"/>
          <w:szCs w:val="24"/>
        </w:rPr>
        <w:t xml:space="preserve">1  </w:t>
      </w:r>
      <w:r>
        <w:rPr>
          <w:rFonts w:ascii="宋体" w:hAnsi="宋体" w:eastAsia="宋体" w:cs="宋体"/>
          <w:spacing w:val="-10"/>
          <w:sz w:val="24"/>
          <w:szCs w:val="24"/>
        </w:rPr>
        <w:t>日起施行，</w:t>
      </w:r>
      <w:r>
        <w:rPr>
          <w:rFonts w:ascii="Times New Roman" w:hAnsi="Times New Roman" w:eastAsia="Times New Roman" w:cs="Times New Roman"/>
          <w:spacing w:val="-10"/>
          <w:sz w:val="24"/>
          <w:szCs w:val="24"/>
        </w:rPr>
        <w:t>20</w:t>
      </w:r>
      <w:r>
        <w:rPr>
          <w:rFonts w:ascii="Times New Roman" w:hAnsi="Times New Roman" w:eastAsia="Times New Roman" w:cs="Times New Roman"/>
          <w:spacing w:val="-11"/>
          <w:sz w:val="24"/>
          <w:szCs w:val="24"/>
        </w:rPr>
        <w:t>14</w:t>
      </w:r>
      <w:r>
        <w:rPr>
          <w:rFonts w:ascii="Times New Roman" w:hAnsi="Times New Roman" w:eastAsia="Times New Roman" w:cs="Times New Roman"/>
          <w:spacing w:val="24"/>
          <w:w w:val="101"/>
          <w:sz w:val="24"/>
          <w:szCs w:val="24"/>
        </w:rPr>
        <w:t xml:space="preserve"> </w:t>
      </w:r>
      <w:r>
        <w:rPr>
          <w:rFonts w:ascii="宋体" w:hAnsi="宋体" w:eastAsia="宋体" w:cs="宋体"/>
          <w:spacing w:val="-11"/>
          <w:sz w:val="24"/>
          <w:szCs w:val="24"/>
        </w:rPr>
        <w:t>年</w:t>
      </w:r>
      <w:r>
        <w:rPr>
          <w:rFonts w:ascii="宋体" w:hAnsi="宋体" w:eastAsia="宋体" w:cs="宋体"/>
          <w:spacing w:val="-37"/>
          <w:sz w:val="24"/>
          <w:szCs w:val="24"/>
        </w:rPr>
        <w:t xml:space="preserve"> </w:t>
      </w:r>
      <w:r>
        <w:rPr>
          <w:rFonts w:ascii="Times New Roman" w:hAnsi="Times New Roman" w:eastAsia="Times New Roman" w:cs="Times New Roman"/>
          <w:spacing w:val="-11"/>
          <w:sz w:val="24"/>
          <w:szCs w:val="24"/>
        </w:rPr>
        <w:t>7</w:t>
      </w:r>
      <w:r>
        <w:rPr>
          <w:rFonts w:ascii="Times New Roman" w:hAnsi="Times New Roman" w:eastAsia="Times New Roman" w:cs="Times New Roman"/>
          <w:spacing w:val="30"/>
          <w:sz w:val="24"/>
          <w:szCs w:val="24"/>
        </w:rPr>
        <w:t xml:space="preserve"> </w:t>
      </w:r>
      <w:r>
        <w:rPr>
          <w:rFonts w:ascii="宋体" w:hAnsi="宋体" w:eastAsia="宋体" w:cs="宋体"/>
          <w:spacing w:val="-11"/>
          <w:sz w:val="24"/>
          <w:szCs w:val="24"/>
        </w:rPr>
        <w:t>月</w:t>
      </w:r>
      <w:r>
        <w:rPr>
          <w:rFonts w:ascii="宋体" w:hAnsi="宋体" w:eastAsia="宋体" w:cs="宋体"/>
          <w:spacing w:val="-41"/>
          <w:sz w:val="24"/>
          <w:szCs w:val="24"/>
        </w:rPr>
        <w:t xml:space="preserve"> </w:t>
      </w:r>
      <w:r>
        <w:rPr>
          <w:rFonts w:ascii="Times New Roman" w:hAnsi="Times New Roman" w:eastAsia="Times New Roman" w:cs="Times New Roman"/>
          <w:spacing w:val="-11"/>
          <w:sz w:val="24"/>
          <w:szCs w:val="24"/>
        </w:rPr>
        <w:t>27</w:t>
      </w:r>
      <w:r>
        <w:rPr>
          <w:rFonts w:ascii="宋体" w:hAnsi="宋体" w:eastAsia="宋体" w:cs="宋体"/>
          <w:spacing w:val="-27"/>
          <w:sz w:val="24"/>
          <w:szCs w:val="24"/>
        </w:rPr>
        <w:t>日第二次修正</w:t>
      </w:r>
      <w:r>
        <w:rPr>
          <w:rFonts w:ascii="宋体" w:hAnsi="宋体" w:eastAsia="宋体" w:cs="宋体"/>
          <w:spacing w:val="-13"/>
          <w:sz w:val="24"/>
          <w:szCs w:val="24"/>
        </w:rPr>
        <w:t>）；</w:t>
      </w:r>
    </w:p>
    <w:p w14:paraId="0BD37CBD">
      <w:pPr>
        <w:spacing w:before="21" w:line="353" w:lineRule="auto"/>
        <w:ind w:left="4" w:right="2" w:firstLine="481"/>
        <w:rPr>
          <w:rFonts w:ascii="宋体" w:hAnsi="宋体" w:eastAsia="宋体" w:cs="宋体"/>
          <w:sz w:val="24"/>
          <w:szCs w:val="24"/>
        </w:rPr>
      </w:pPr>
      <w:r>
        <w:rPr>
          <w:rFonts w:ascii="宋体" w:hAnsi="宋体" w:eastAsia="宋体" w:cs="宋体"/>
          <w:spacing w:val="-10"/>
          <w:sz w:val="24"/>
          <w:szCs w:val="24"/>
        </w:rPr>
        <w:t>（</w:t>
      </w:r>
      <w:r>
        <w:rPr>
          <w:rFonts w:ascii="Times New Roman" w:hAnsi="Times New Roman" w:eastAsia="Times New Roman" w:cs="Times New Roman"/>
          <w:spacing w:val="-10"/>
          <w:sz w:val="24"/>
          <w:szCs w:val="24"/>
        </w:rPr>
        <w:t>4</w:t>
      </w:r>
      <w:r>
        <w:rPr>
          <w:rFonts w:ascii="宋体" w:hAnsi="宋体" w:eastAsia="宋体" w:cs="宋体"/>
          <w:spacing w:val="-10"/>
          <w:sz w:val="24"/>
          <w:szCs w:val="24"/>
        </w:rPr>
        <w:t>）《云南省森林条例》（</w:t>
      </w:r>
      <w:r>
        <w:rPr>
          <w:rFonts w:ascii="Times New Roman" w:hAnsi="Times New Roman" w:eastAsia="Times New Roman" w:cs="Times New Roman"/>
          <w:spacing w:val="-10"/>
          <w:sz w:val="24"/>
          <w:szCs w:val="24"/>
        </w:rPr>
        <w:t>2003</w:t>
      </w:r>
      <w:r>
        <w:rPr>
          <w:rFonts w:ascii="Times New Roman" w:hAnsi="Times New Roman" w:eastAsia="Times New Roman" w:cs="Times New Roman"/>
          <w:spacing w:val="29"/>
          <w:w w:val="101"/>
          <w:sz w:val="24"/>
          <w:szCs w:val="24"/>
        </w:rPr>
        <w:t xml:space="preserve"> </w:t>
      </w:r>
      <w:r>
        <w:rPr>
          <w:rFonts w:ascii="宋体" w:hAnsi="宋体" w:eastAsia="宋体" w:cs="宋体"/>
          <w:spacing w:val="-10"/>
          <w:sz w:val="24"/>
          <w:szCs w:val="24"/>
        </w:rPr>
        <w:t>年</w:t>
      </w:r>
      <w:r>
        <w:rPr>
          <w:rFonts w:ascii="宋体" w:hAnsi="宋体" w:eastAsia="宋体" w:cs="宋体"/>
          <w:spacing w:val="-36"/>
          <w:sz w:val="24"/>
          <w:szCs w:val="24"/>
        </w:rPr>
        <w:t xml:space="preserve"> </w:t>
      </w:r>
      <w:r>
        <w:rPr>
          <w:rFonts w:ascii="Times New Roman" w:hAnsi="Times New Roman" w:eastAsia="Times New Roman" w:cs="Times New Roman"/>
          <w:spacing w:val="-10"/>
          <w:sz w:val="24"/>
          <w:szCs w:val="24"/>
        </w:rPr>
        <w:t>2</w:t>
      </w:r>
      <w:r>
        <w:rPr>
          <w:rFonts w:ascii="Times New Roman" w:hAnsi="Times New Roman" w:eastAsia="Times New Roman" w:cs="Times New Roman"/>
          <w:spacing w:val="34"/>
          <w:w w:val="101"/>
          <w:sz w:val="24"/>
          <w:szCs w:val="24"/>
        </w:rPr>
        <w:t xml:space="preserve"> </w:t>
      </w:r>
      <w:r>
        <w:rPr>
          <w:rFonts w:ascii="宋体" w:hAnsi="宋体" w:eastAsia="宋体" w:cs="宋体"/>
          <w:spacing w:val="-10"/>
          <w:sz w:val="24"/>
          <w:szCs w:val="24"/>
        </w:rPr>
        <w:t xml:space="preserve">月 </w:t>
      </w:r>
      <w:r>
        <w:rPr>
          <w:rFonts w:ascii="Times New Roman" w:hAnsi="Times New Roman" w:eastAsia="Times New Roman" w:cs="Times New Roman"/>
          <w:spacing w:val="-10"/>
          <w:sz w:val="24"/>
          <w:szCs w:val="24"/>
        </w:rPr>
        <w:t xml:space="preserve">1  </w:t>
      </w:r>
      <w:r>
        <w:rPr>
          <w:rFonts w:ascii="宋体" w:hAnsi="宋体" w:eastAsia="宋体" w:cs="宋体"/>
          <w:spacing w:val="-10"/>
          <w:sz w:val="24"/>
          <w:szCs w:val="24"/>
        </w:rPr>
        <w:t>日起施行，</w:t>
      </w:r>
      <w:r>
        <w:rPr>
          <w:rFonts w:ascii="Times New Roman" w:hAnsi="Times New Roman" w:eastAsia="Times New Roman" w:cs="Times New Roman"/>
          <w:spacing w:val="-10"/>
          <w:sz w:val="24"/>
          <w:szCs w:val="24"/>
        </w:rPr>
        <w:t>2018</w:t>
      </w:r>
      <w:r>
        <w:rPr>
          <w:rFonts w:ascii="Times New Roman" w:hAnsi="Times New Roman" w:eastAsia="Times New Roman" w:cs="Times New Roman"/>
          <w:spacing w:val="30"/>
          <w:sz w:val="24"/>
          <w:szCs w:val="24"/>
        </w:rPr>
        <w:t xml:space="preserve"> </w:t>
      </w:r>
      <w:r>
        <w:rPr>
          <w:rFonts w:ascii="宋体" w:hAnsi="宋体" w:eastAsia="宋体" w:cs="宋体"/>
          <w:spacing w:val="-10"/>
          <w:sz w:val="24"/>
          <w:szCs w:val="24"/>
        </w:rPr>
        <w:t>年</w:t>
      </w:r>
      <w:r>
        <w:rPr>
          <w:rFonts w:ascii="宋体" w:hAnsi="宋体" w:eastAsia="宋体" w:cs="宋体"/>
          <w:spacing w:val="-11"/>
          <w:sz w:val="24"/>
          <w:szCs w:val="24"/>
        </w:rPr>
        <w:t xml:space="preserve"> </w:t>
      </w:r>
      <w:r>
        <w:rPr>
          <w:rFonts w:ascii="Times New Roman" w:hAnsi="Times New Roman" w:eastAsia="Times New Roman" w:cs="Times New Roman"/>
          <w:spacing w:val="-11"/>
          <w:sz w:val="24"/>
          <w:szCs w:val="24"/>
        </w:rPr>
        <w:t>11</w:t>
      </w:r>
      <w:r>
        <w:rPr>
          <w:rFonts w:ascii="Times New Roman" w:hAnsi="Times New Roman" w:eastAsia="Times New Roman" w:cs="Times New Roman"/>
          <w:spacing w:val="37"/>
          <w:sz w:val="24"/>
          <w:szCs w:val="24"/>
        </w:rPr>
        <w:t xml:space="preserve"> </w:t>
      </w:r>
      <w:r>
        <w:rPr>
          <w:rFonts w:ascii="宋体" w:hAnsi="宋体" w:eastAsia="宋体" w:cs="宋体"/>
          <w:spacing w:val="-11"/>
          <w:sz w:val="24"/>
          <w:szCs w:val="24"/>
        </w:rPr>
        <w:t>月</w:t>
      </w:r>
      <w:r>
        <w:rPr>
          <w:rFonts w:ascii="宋体" w:hAnsi="宋体" w:eastAsia="宋体" w:cs="宋体"/>
          <w:spacing w:val="-36"/>
          <w:sz w:val="24"/>
          <w:szCs w:val="24"/>
        </w:rPr>
        <w:t xml:space="preserve"> </w:t>
      </w:r>
      <w:r>
        <w:rPr>
          <w:rFonts w:ascii="Times New Roman" w:hAnsi="Times New Roman" w:eastAsia="Times New Roman" w:cs="Times New Roman"/>
          <w:spacing w:val="-11"/>
          <w:sz w:val="24"/>
          <w:szCs w:val="24"/>
        </w:rPr>
        <w:t xml:space="preserve">29  </w:t>
      </w:r>
      <w:r>
        <w:rPr>
          <w:rFonts w:ascii="宋体" w:hAnsi="宋体" w:eastAsia="宋体" w:cs="宋体"/>
          <w:spacing w:val="-11"/>
          <w:sz w:val="24"/>
          <w:szCs w:val="24"/>
        </w:rPr>
        <w:t>日第二次修</w:t>
      </w:r>
      <w:r>
        <w:rPr>
          <w:rFonts w:ascii="宋体" w:hAnsi="宋体" w:eastAsia="宋体" w:cs="宋体"/>
          <w:spacing w:val="-21"/>
          <w:w w:val="77"/>
          <w:sz w:val="24"/>
          <w:szCs w:val="24"/>
        </w:rPr>
        <w:t>正</w:t>
      </w:r>
      <w:r>
        <w:rPr>
          <w:rFonts w:ascii="宋体" w:hAnsi="宋体" w:eastAsia="宋体" w:cs="宋体"/>
          <w:spacing w:val="-38"/>
          <w:sz w:val="24"/>
          <w:szCs w:val="24"/>
        </w:rPr>
        <w:t>）；</w:t>
      </w:r>
    </w:p>
    <w:p w14:paraId="4B27947B">
      <w:pPr>
        <w:spacing w:before="18" w:line="353" w:lineRule="auto"/>
        <w:ind w:left="3" w:firstLine="482"/>
        <w:rPr>
          <w:rFonts w:ascii="宋体" w:hAnsi="宋体" w:eastAsia="宋体" w:cs="宋体"/>
          <w:sz w:val="24"/>
          <w:szCs w:val="24"/>
        </w:rPr>
      </w:pPr>
      <w:r>
        <w:rPr>
          <w:rFonts w:ascii="宋体" w:hAnsi="宋体" w:eastAsia="宋体" w:cs="宋体"/>
          <w:spacing w:val="-11"/>
          <w:sz w:val="24"/>
          <w:szCs w:val="24"/>
        </w:rPr>
        <w:t>（</w:t>
      </w:r>
      <w:r>
        <w:rPr>
          <w:rFonts w:ascii="Times New Roman" w:hAnsi="Times New Roman" w:eastAsia="Times New Roman" w:cs="Times New Roman"/>
          <w:spacing w:val="-11"/>
          <w:sz w:val="24"/>
          <w:szCs w:val="24"/>
        </w:rPr>
        <w:t>5</w:t>
      </w:r>
      <w:r>
        <w:rPr>
          <w:rFonts w:ascii="宋体" w:hAnsi="宋体" w:eastAsia="宋体" w:cs="宋体"/>
          <w:spacing w:val="-11"/>
          <w:sz w:val="24"/>
          <w:szCs w:val="24"/>
        </w:rPr>
        <w:t>）《云南省林地管理办法》（</w:t>
      </w:r>
      <w:r>
        <w:rPr>
          <w:rFonts w:ascii="Times New Roman" w:hAnsi="Times New Roman" w:eastAsia="Times New Roman" w:cs="Times New Roman"/>
          <w:spacing w:val="-11"/>
          <w:sz w:val="24"/>
          <w:szCs w:val="24"/>
        </w:rPr>
        <w:t>2018</w:t>
      </w:r>
      <w:r>
        <w:rPr>
          <w:rFonts w:ascii="Times New Roman" w:hAnsi="Times New Roman" w:eastAsia="Times New Roman" w:cs="Times New Roman"/>
          <w:spacing w:val="47"/>
          <w:sz w:val="24"/>
          <w:szCs w:val="24"/>
        </w:rPr>
        <w:t xml:space="preserve"> </w:t>
      </w:r>
      <w:r>
        <w:rPr>
          <w:rFonts w:ascii="宋体" w:hAnsi="宋体" w:eastAsia="宋体" w:cs="宋体"/>
          <w:spacing w:val="-11"/>
          <w:sz w:val="24"/>
          <w:szCs w:val="24"/>
        </w:rPr>
        <w:t xml:space="preserve">年 </w:t>
      </w:r>
      <w:r>
        <w:rPr>
          <w:rFonts w:ascii="Times New Roman" w:hAnsi="Times New Roman" w:eastAsia="Times New Roman" w:cs="Times New Roman"/>
          <w:spacing w:val="-11"/>
          <w:sz w:val="24"/>
          <w:szCs w:val="24"/>
        </w:rPr>
        <w:t>5</w:t>
      </w:r>
      <w:r>
        <w:rPr>
          <w:rFonts w:ascii="Times New Roman" w:hAnsi="Times New Roman" w:eastAsia="Times New Roman" w:cs="Times New Roman"/>
          <w:spacing w:val="37"/>
          <w:sz w:val="24"/>
          <w:szCs w:val="24"/>
        </w:rPr>
        <w:t xml:space="preserve"> </w:t>
      </w:r>
      <w:r>
        <w:rPr>
          <w:rFonts w:ascii="宋体" w:hAnsi="宋体" w:eastAsia="宋体" w:cs="宋体"/>
          <w:spacing w:val="-11"/>
          <w:sz w:val="24"/>
          <w:szCs w:val="24"/>
        </w:rPr>
        <w:t xml:space="preserve">月 </w:t>
      </w:r>
      <w:r>
        <w:rPr>
          <w:rFonts w:ascii="Times New Roman" w:hAnsi="Times New Roman" w:eastAsia="Times New Roman" w:cs="Times New Roman"/>
          <w:spacing w:val="-11"/>
          <w:sz w:val="24"/>
          <w:szCs w:val="24"/>
        </w:rPr>
        <w:t xml:space="preserve">14  </w:t>
      </w:r>
      <w:r>
        <w:rPr>
          <w:rFonts w:ascii="宋体" w:hAnsi="宋体" w:eastAsia="宋体" w:cs="宋体"/>
          <w:spacing w:val="-11"/>
          <w:sz w:val="24"/>
          <w:szCs w:val="24"/>
        </w:rPr>
        <w:t>日修订，自</w:t>
      </w:r>
      <w:r>
        <w:rPr>
          <w:rFonts w:ascii="宋体" w:hAnsi="宋体" w:eastAsia="宋体" w:cs="宋体"/>
          <w:spacing w:val="-31"/>
          <w:sz w:val="24"/>
          <w:szCs w:val="24"/>
        </w:rPr>
        <w:t xml:space="preserve"> </w:t>
      </w:r>
      <w:r>
        <w:rPr>
          <w:rFonts w:ascii="Times New Roman" w:hAnsi="Times New Roman" w:eastAsia="Times New Roman" w:cs="Times New Roman"/>
          <w:spacing w:val="-11"/>
          <w:sz w:val="24"/>
          <w:szCs w:val="24"/>
        </w:rPr>
        <w:t>2018</w:t>
      </w:r>
      <w:r>
        <w:rPr>
          <w:rFonts w:ascii="Times New Roman" w:hAnsi="Times New Roman" w:eastAsia="Times New Roman" w:cs="Times New Roman"/>
          <w:spacing w:val="32"/>
          <w:w w:val="101"/>
          <w:sz w:val="24"/>
          <w:szCs w:val="24"/>
        </w:rPr>
        <w:t xml:space="preserve"> </w:t>
      </w:r>
      <w:r>
        <w:rPr>
          <w:rFonts w:ascii="宋体" w:hAnsi="宋体" w:eastAsia="宋体" w:cs="宋体"/>
          <w:spacing w:val="-11"/>
          <w:sz w:val="24"/>
          <w:szCs w:val="24"/>
        </w:rPr>
        <w:t>年</w:t>
      </w:r>
      <w:r>
        <w:rPr>
          <w:rFonts w:ascii="宋体" w:hAnsi="宋体" w:eastAsia="宋体" w:cs="宋体"/>
          <w:spacing w:val="-29"/>
          <w:sz w:val="24"/>
          <w:szCs w:val="24"/>
        </w:rPr>
        <w:t xml:space="preserve"> </w:t>
      </w:r>
      <w:r>
        <w:rPr>
          <w:rFonts w:ascii="Times New Roman" w:hAnsi="Times New Roman" w:eastAsia="Times New Roman" w:cs="Times New Roman"/>
          <w:spacing w:val="-11"/>
          <w:sz w:val="24"/>
          <w:szCs w:val="24"/>
        </w:rPr>
        <w:t>9</w:t>
      </w:r>
      <w:r>
        <w:rPr>
          <w:rFonts w:ascii="Times New Roman" w:hAnsi="Times New Roman" w:eastAsia="Times New Roman" w:cs="Times New Roman"/>
          <w:spacing w:val="39"/>
          <w:sz w:val="24"/>
          <w:szCs w:val="24"/>
        </w:rPr>
        <w:t xml:space="preserve"> </w:t>
      </w:r>
      <w:r>
        <w:rPr>
          <w:rFonts w:ascii="宋体" w:hAnsi="宋体" w:eastAsia="宋体" w:cs="宋体"/>
          <w:spacing w:val="-11"/>
          <w:sz w:val="24"/>
          <w:szCs w:val="24"/>
        </w:rPr>
        <w:t xml:space="preserve">月 </w:t>
      </w:r>
      <w:r>
        <w:rPr>
          <w:rFonts w:ascii="Times New Roman" w:hAnsi="Times New Roman" w:eastAsia="Times New Roman" w:cs="Times New Roman"/>
          <w:spacing w:val="-11"/>
          <w:sz w:val="24"/>
          <w:szCs w:val="24"/>
        </w:rPr>
        <w:t xml:space="preserve">1  </w:t>
      </w:r>
      <w:r>
        <w:rPr>
          <w:rFonts w:ascii="宋体" w:hAnsi="宋体" w:eastAsia="宋体" w:cs="宋体"/>
          <w:spacing w:val="-11"/>
          <w:sz w:val="24"/>
          <w:szCs w:val="24"/>
        </w:rPr>
        <w:t>日起施</w:t>
      </w:r>
      <w:r>
        <w:rPr>
          <w:rFonts w:ascii="宋体" w:hAnsi="宋体" w:eastAsia="宋体" w:cs="宋体"/>
          <w:spacing w:val="-18"/>
          <w:w w:val="76"/>
          <w:sz w:val="24"/>
          <w:szCs w:val="24"/>
        </w:rPr>
        <w:t>行</w:t>
      </w:r>
      <w:r>
        <w:rPr>
          <w:rFonts w:ascii="宋体" w:hAnsi="宋体" w:eastAsia="宋体" w:cs="宋体"/>
          <w:spacing w:val="-38"/>
          <w:sz w:val="24"/>
          <w:szCs w:val="24"/>
        </w:rPr>
        <w:t>）；</w:t>
      </w:r>
    </w:p>
    <w:p w14:paraId="4A11BFCC">
      <w:pPr>
        <w:spacing w:before="20" w:line="233" w:lineRule="auto"/>
        <w:ind w:left="486"/>
        <w:rPr>
          <w:rFonts w:ascii="宋体" w:hAnsi="宋体" w:eastAsia="宋体" w:cs="宋体"/>
          <w:sz w:val="24"/>
          <w:szCs w:val="24"/>
        </w:rPr>
      </w:pPr>
      <w:r>
        <w:rPr>
          <w:rFonts w:ascii="宋体" w:hAnsi="宋体" w:eastAsia="宋体" w:cs="宋体"/>
          <w:spacing w:val="-17"/>
          <w:sz w:val="24"/>
          <w:szCs w:val="24"/>
        </w:rPr>
        <w:t>（</w:t>
      </w:r>
      <w:r>
        <w:rPr>
          <w:rFonts w:ascii="Times New Roman" w:hAnsi="Times New Roman" w:eastAsia="Times New Roman" w:cs="Times New Roman"/>
          <w:spacing w:val="-17"/>
          <w:sz w:val="24"/>
          <w:szCs w:val="24"/>
        </w:rPr>
        <w:t>6</w:t>
      </w:r>
      <w:r>
        <w:rPr>
          <w:rFonts w:ascii="宋体" w:hAnsi="宋体" w:eastAsia="宋体" w:cs="宋体"/>
          <w:spacing w:val="-17"/>
          <w:sz w:val="24"/>
          <w:szCs w:val="24"/>
        </w:rPr>
        <w:t xml:space="preserve">）《云南省林地管理条例》（自 </w:t>
      </w:r>
      <w:r>
        <w:rPr>
          <w:rFonts w:ascii="Times New Roman" w:hAnsi="Times New Roman" w:eastAsia="Times New Roman" w:cs="Times New Roman"/>
          <w:spacing w:val="-17"/>
          <w:sz w:val="24"/>
          <w:szCs w:val="24"/>
        </w:rPr>
        <w:t>20</w:t>
      </w:r>
      <w:r>
        <w:rPr>
          <w:rFonts w:ascii="Times New Roman" w:hAnsi="Times New Roman" w:eastAsia="Times New Roman" w:cs="Times New Roman"/>
          <w:spacing w:val="-18"/>
          <w:sz w:val="24"/>
          <w:szCs w:val="24"/>
        </w:rPr>
        <w:t>10</w:t>
      </w:r>
      <w:r>
        <w:rPr>
          <w:rFonts w:ascii="Times New Roman" w:hAnsi="Times New Roman" w:eastAsia="Times New Roman" w:cs="Times New Roman"/>
          <w:spacing w:val="11"/>
          <w:sz w:val="24"/>
          <w:szCs w:val="24"/>
        </w:rPr>
        <w:t xml:space="preserve"> </w:t>
      </w:r>
      <w:r>
        <w:rPr>
          <w:rFonts w:ascii="宋体" w:hAnsi="宋体" w:eastAsia="宋体" w:cs="宋体"/>
          <w:spacing w:val="-18"/>
          <w:sz w:val="24"/>
          <w:szCs w:val="24"/>
        </w:rPr>
        <w:t>年</w:t>
      </w:r>
      <w:r>
        <w:rPr>
          <w:rFonts w:ascii="宋体" w:hAnsi="宋体" w:eastAsia="宋体" w:cs="宋体"/>
          <w:spacing w:val="-31"/>
          <w:sz w:val="24"/>
          <w:szCs w:val="24"/>
        </w:rPr>
        <w:t xml:space="preserve"> </w:t>
      </w:r>
      <w:r>
        <w:rPr>
          <w:rFonts w:ascii="Times New Roman" w:hAnsi="Times New Roman" w:eastAsia="Times New Roman" w:cs="Times New Roman"/>
          <w:spacing w:val="-18"/>
          <w:sz w:val="24"/>
          <w:szCs w:val="24"/>
        </w:rPr>
        <w:t>10</w:t>
      </w:r>
      <w:r>
        <w:rPr>
          <w:rFonts w:ascii="Times New Roman" w:hAnsi="Times New Roman" w:eastAsia="Times New Roman" w:cs="Times New Roman"/>
          <w:spacing w:val="15"/>
          <w:sz w:val="24"/>
          <w:szCs w:val="24"/>
        </w:rPr>
        <w:t xml:space="preserve"> </w:t>
      </w:r>
      <w:r>
        <w:rPr>
          <w:rFonts w:ascii="宋体" w:hAnsi="宋体" w:eastAsia="宋体" w:cs="宋体"/>
          <w:spacing w:val="-18"/>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18"/>
          <w:sz w:val="24"/>
          <w:szCs w:val="24"/>
        </w:rPr>
        <w:t xml:space="preserve">1  </w:t>
      </w:r>
      <w:r>
        <w:rPr>
          <w:rFonts w:ascii="宋体" w:hAnsi="宋体" w:eastAsia="宋体" w:cs="宋体"/>
          <w:spacing w:val="-18"/>
          <w:sz w:val="24"/>
          <w:szCs w:val="24"/>
        </w:rPr>
        <w:t>日起施行</w:t>
      </w:r>
      <w:r>
        <w:rPr>
          <w:rFonts w:ascii="宋体" w:hAnsi="宋体" w:eastAsia="宋体" w:cs="宋体"/>
          <w:spacing w:val="-19"/>
          <w:sz w:val="24"/>
          <w:szCs w:val="24"/>
        </w:rPr>
        <w:t>）；</w:t>
      </w:r>
    </w:p>
    <w:p w14:paraId="5582FDE4">
      <w:pPr>
        <w:spacing w:before="165" w:line="233" w:lineRule="auto"/>
        <w:ind w:left="486"/>
        <w:rPr>
          <w:rFonts w:ascii="宋体" w:hAnsi="宋体" w:eastAsia="宋体" w:cs="宋体"/>
          <w:sz w:val="24"/>
          <w:szCs w:val="24"/>
        </w:rPr>
      </w:pPr>
      <w:r>
        <w:rPr>
          <w:rFonts w:ascii="宋体" w:hAnsi="宋体" w:eastAsia="宋体" w:cs="宋体"/>
          <w:spacing w:val="-15"/>
          <w:sz w:val="24"/>
          <w:szCs w:val="24"/>
        </w:rPr>
        <w:t>（</w:t>
      </w:r>
      <w:r>
        <w:rPr>
          <w:rFonts w:ascii="Times New Roman" w:hAnsi="Times New Roman" w:eastAsia="Times New Roman" w:cs="Times New Roman"/>
          <w:spacing w:val="-15"/>
          <w:sz w:val="24"/>
          <w:szCs w:val="24"/>
        </w:rPr>
        <w:t>7</w:t>
      </w:r>
      <w:r>
        <w:rPr>
          <w:rFonts w:ascii="宋体" w:hAnsi="宋体" w:eastAsia="宋体" w:cs="宋体"/>
          <w:spacing w:val="-15"/>
          <w:sz w:val="24"/>
          <w:szCs w:val="24"/>
        </w:rPr>
        <w:t>）《云南省建设项目环境保护管理规定》（</w:t>
      </w:r>
      <w:r>
        <w:rPr>
          <w:rFonts w:ascii="Times New Roman" w:hAnsi="Times New Roman" w:eastAsia="Times New Roman" w:cs="Times New Roman"/>
          <w:spacing w:val="-15"/>
          <w:sz w:val="24"/>
          <w:szCs w:val="24"/>
        </w:rPr>
        <w:t>2002</w:t>
      </w:r>
      <w:r>
        <w:rPr>
          <w:rFonts w:ascii="Times New Roman" w:hAnsi="Times New Roman" w:eastAsia="Times New Roman" w:cs="Times New Roman"/>
          <w:spacing w:val="11"/>
          <w:sz w:val="24"/>
          <w:szCs w:val="24"/>
        </w:rPr>
        <w:t xml:space="preserve"> </w:t>
      </w:r>
      <w:r>
        <w:rPr>
          <w:rFonts w:ascii="宋体" w:hAnsi="宋体" w:eastAsia="宋体" w:cs="宋体"/>
          <w:spacing w:val="-15"/>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15"/>
          <w:sz w:val="24"/>
          <w:szCs w:val="24"/>
        </w:rPr>
        <w:t>1</w:t>
      </w:r>
      <w:r>
        <w:rPr>
          <w:rFonts w:ascii="Times New Roman" w:hAnsi="Times New Roman" w:eastAsia="Times New Roman" w:cs="Times New Roman"/>
          <w:spacing w:val="15"/>
          <w:sz w:val="24"/>
          <w:szCs w:val="24"/>
        </w:rPr>
        <w:t xml:space="preserve"> </w:t>
      </w:r>
      <w:r>
        <w:rPr>
          <w:rFonts w:ascii="宋体" w:hAnsi="宋体" w:eastAsia="宋体" w:cs="宋体"/>
          <w:spacing w:val="-15"/>
          <w:sz w:val="24"/>
          <w:szCs w:val="24"/>
        </w:rPr>
        <w:t>月</w:t>
      </w:r>
      <w:r>
        <w:rPr>
          <w:rFonts w:ascii="宋体" w:hAnsi="宋体" w:eastAsia="宋体" w:cs="宋体"/>
          <w:spacing w:val="-31"/>
          <w:sz w:val="24"/>
          <w:szCs w:val="24"/>
        </w:rPr>
        <w:t xml:space="preserve"> </w:t>
      </w:r>
      <w:r>
        <w:rPr>
          <w:rFonts w:ascii="Times New Roman" w:hAnsi="Times New Roman" w:eastAsia="Times New Roman" w:cs="Times New Roman"/>
          <w:spacing w:val="-15"/>
          <w:sz w:val="24"/>
          <w:szCs w:val="24"/>
        </w:rPr>
        <w:t>1</w:t>
      </w:r>
      <w:r>
        <w:rPr>
          <w:rFonts w:ascii="Times New Roman" w:hAnsi="Times New Roman" w:eastAsia="Times New Roman" w:cs="Times New Roman"/>
          <w:spacing w:val="50"/>
          <w:w w:val="101"/>
          <w:sz w:val="24"/>
          <w:szCs w:val="24"/>
        </w:rPr>
        <w:t xml:space="preserve"> </w:t>
      </w:r>
      <w:r>
        <w:rPr>
          <w:rFonts w:ascii="宋体" w:hAnsi="宋体" w:eastAsia="宋体" w:cs="宋体"/>
          <w:spacing w:val="-15"/>
          <w:sz w:val="24"/>
          <w:szCs w:val="24"/>
        </w:rPr>
        <w:t>日起施行）；</w:t>
      </w:r>
    </w:p>
    <w:p w14:paraId="245DD720">
      <w:pPr>
        <w:spacing w:before="166" w:line="233" w:lineRule="auto"/>
        <w:ind w:left="486"/>
        <w:rPr>
          <w:rFonts w:ascii="宋体" w:hAnsi="宋体" w:eastAsia="宋体" w:cs="宋体"/>
          <w:sz w:val="24"/>
          <w:szCs w:val="24"/>
        </w:rPr>
      </w:pPr>
      <w:r>
        <w:rPr>
          <w:rFonts w:ascii="宋体" w:hAnsi="宋体" w:eastAsia="宋体" w:cs="宋体"/>
          <w:spacing w:val="-15"/>
          <w:sz w:val="24"/>
          <w:szCs w:val="24"/>
        </w:rPr>
        <w:t>（</w:t>
      </w:r>
      <w:r>
        <w:rPr>
          <w:rFonts w:ascii="Times New Roman" w:hAnsi="Times New Roman" w:eastAsia="Times New Roman" w:cs="Times New Roman"/>
          <w:spacing w:val="-15"/>
          <w:sz w:val="24"/>
          <w:szCs w:val="24"/>
        </w:rPr>
        <w:t>8</w:t>
      </w:r>
      <w:r>
        <w:rPr>
          <w:rFonts w:ascii="宋体" w:hAnsi="宋体" w:eastAsia="宋体" w:cs="宋体"/>
          <w:spacing w:val="-15"/>
          <w:sz w:val="24"/>
          <w:szCs w:val="24"/>
        </w:rPr>
        <w:t>）《云南省电力设施保护条例》（</w:t>
      </w:r>
      <w:r>
        <w:rPr>
          <w:rFonts w:ascii="Times New Roman" w:hAnsi="Times New Roman" w:eastAsia="Times New Roman" w:cs="Times New Roman"/>
          <w:spacing w:val="-15"/>
          <w:sz w:val="24"/>
          <w:szCs w:val="24"/>
        </w:rPr>
        <w:t>2024</w:t>
      </w:r>
      <w:r>
        <w:rPr>
          <w:rFonts w:ascii="Times New Roman" w:hAnsi="Times New Roman" w:eastAsia="Times New Roman" w:cs="Times New Roman"/>
          <w:spacing w:val="11"/>
          <w:sz w:val="24"/>
          <w:szCs w:val="24"/>
        </w:rPr>
        <w:t xml:space="preserve"> </w:t>
      </w:r>
      <w:r>
        <w:rPr>
          <w:rFonts w:ascii="宋体" w:hAnsi="宋体" w:eastAsia="宋体" w:cs="宋体"/>
          <w:spacing w:val="-15"/>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16"/>
          <w:sz w:val="24"/>
          <w:szCs w:val="24"/>
        </w:rPr>
        <w:t>11</w:t>
      </w:r>
      <w:r>
        <w:rPr>
          <w:rFonts w:ascii="Times New Roman" w:hAnsi="Times New Roman" w:eastAsia="Times New Roman" w:cs="Times New Roman"/>
          <w:spacing w:val="15"/>
          <w:w w:val="101"/>
          <w:sz w:val="24"/>
          <w:szCs w:val="24"/>
        </w:rPr>
        <w:t xml:space="preserve"> </w:t>
      </w:r>
      <w:r>
        <w:rPr>
          <w:rFonts w:ascii="宋体" w:hAnsi="宋体" w:eastAsia="宋体" w:cs="宋体"/>
          <w:spacing w:val="-16"/>
          <w:sz w:val="24"/>
          <w:szCs w:val="24"/>
        </w:rPr>
        <w:t>月</w:t>
      </w:r>
      <w:r>
        <w:rPr>
          <w:rFonts w:ascii="宋体" w:hAnsi="宋体" w:eastAsia="宋体" w:cs="宋体"/>
          <w:spacing w:val="-55"/>
          <w:sz w:val="24"/>
          <w:szCs w:val="24"/>
        </w:rPr>
        <w:t xml:space="preserve"> </w:t>
      </w:r>
      <w:r>
        <w:rPr>
          <w:rFonts w:ascii="Times New Roman" w:hAnsi="Times New Roman" w:eastAsia="Times New Roman" w:cs="Times New Roman"/>
          <w:spacing w:val="-16"/>
          <w:sz w:val="24"/>
          <w:szCs w:val="24"/>
        </w:rPr>
        <w:t>28</w:t>
      </w:r>
      <w:r>
        <w:rPr>
          <w:rFonts w:ascii="Times New Roman" w:hAnsi="Times New Roman" w:eastAsia="Times New Roman" w:cs="Times New Roman"/>
          <w:spacing w:val="51"/>
          <w:sz w:val="24"/>
          <w:szCs w:val="24"/>
        </w:rPr>
        <w:t xml:space="preserve"> </w:t>
      </w:r>
      <w:r>
        <w:rPr>
          <w:rFonts w:ascii="宋体" w:hAnsi="宋体" w:eastAsia="宋体" w:cs="宋体"/>
          <w:spacing w:val="-16"/>
          <w:sz w:val="24"/>
          <w:szCs w:val="24"/>
        </w:rPr>
        <w:t>日起施行</w:t>
      </w:r>
      <w:r>
        <w:rPr>
          <w:rFonts w:ascii="宋体" w:hAnsi="宋体" w:eastAsia="宋体" w:cs="宋体"/>
          <w:spacing w:val="-19"/>
          <w:sz w:val="24"/>
          <w:szCs w:val="24"/>
        </w:rPr>
        <w:t>）；</w:t>
      </w:r>
    </w:p>
    <w:p w14:paraId="774FECD5">
      <w:pPr>
        <w:spacing w:before="165" w:line="233" w:lineRule="auto"/>
        <w:ind w:left="486"/>
        <w:rPr>
          <w:rFonts w:ascii="宋体" w:hAnsi="宋体" w:eastAsia="宋体" w:cs="宋体"/>
          <w:sz w:val="24"/>
          <w:szCs w:val="24"/>
        </w:rPr>
      </w:pPr>
      <w:r>
        <w:rPr>
          <w:rFonts w:ascii="宋体" w:hAnsi="宋体" w:eastAsia="宋体" w:cs="宋体"/>
          <w:spacing w:val="-16"/>
          <w:sz w:val="24"/>
          <w:szCs w:val="24"/>
        </w:rPr>
        <w:t>（</w:t>
      </w:r>
      <w:r>
        <w:rPr>
          <w:rFonts w:ascii="Times New Roman" w:hAnsi="Times New Roman" w:eastAsia="Times New Roman" w:cs="Times New Roman"/>
          <w:spacing w:val="-16"/>
          <w:sz w:val="24"/>
          <w:szCs w:val="24"/>
        </w:rPr>
        <w:t>9</w:t>
      </w:r>
      <w:r>
        <w:rPr>
          <w:rFonts w:ascii="宋体" w:hAnsi="宋体" w:eastAsia="宋体" w:cs="宋体"/>
          <w:spacing w:val="-16"/>
          <w:sz w:val="24"/>
          <w:szCs w:val="24"/>
        </w:rPr>
        <w:t>）《云南省生物多样性保护条例》（</w:t>
      </w:r>
      <w:r>
        <w:rPr>
          <w:rFonts w:ascii="Times New Roman" w:hAnsi="Times New Roman" w:eastAsia="Times New Roman" w:cs="Times New Roman"/>
          <w:spacing w:val="-16"/>
          <w:sz w:val="24"/>
          <w:szCs w:val="24"/>
        </w:rPr>
        <w:t>2019</w:t>
      </w:r>
      <w:r>
        <w:rPr>
          <w:rFonts w:ascii="Times New Roman" w:hAnsi="Times New Roman" w:eastAsia="Times New Roman" w:cs="Times New Roman"/>
          <w:spacing w:val="11"/>
          <w:sz w:val="24"/>
          <w:szCs w:val="24"/>
        </w:rPr>
        <w:t xml:space="preserve"> </w:t>
      </w:r>
      <w:r>
        <w:rPr>
          <w:rFonts w:ascii="宋体" w:hAnsi="宋体" w:eastAsia="宋体" w:cs="宋体"/>
          <w:spacing w:val="-16"/>
          <w:sz w:val="24"/>
          <w:szCs w:val="24"/>
        </w:rPr>
        <w:t>年</w:t>
      </w:r>
      <w:r>
        <w:rPr>
          <w:rFonts w:ascii="宋体" w:hAnsi="宋体" w:eastAsia="宋体" w:cs="宋体"/>
          <w:spacing w:val="-32"/>
          <w:sz w:val="24"/>
          <w:szCs w:val="24"/>
        </w:rPr>
        <w:t xml:space="preserve"> </w:t>
      </w:r>
      <w:r>
        <w:rPr>
          <w:rFonts w:ascii="Times New Roman" w:hAnsi="Times New Roman" w:eastAsia="Times New Roman" w:cs="Times New Roman"/>
          <w:spacing w:val="-17"/>
          <w:sz w:val="24"/>
          <w:szCs w:val="24"/>
        </w:rPr>
        <w:t>1</w:t>
      </w:r>
      <w:r>
        <w:rPr>
          <w:rFonts w:ascii="Times New Roman" w:hAnsi="Times New Roman" w:eastAsia="Times New Roman" w:cs="Times New Roman"/>
          <w:spacing w:val="15"/>
          <w:sz w:val="24"/>
          <w:szCs w:val="24"/>
        </w:rPr>
        <w:t xml:space="preserve"> </w:t>
      </w:r>
      <w:r>
        <w:rPr>
          <w:rFonts w:ascii="宋体" w:hAnsi="宋体" w:eastAsia="宋体" w:cs="宋体"/>
          <w:spacing w:val="-17"/>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17"/>
          <w:sz w:val="24"/>
          <w:szCs w:val="24"/>
        </w:rPr>
        <w:t>1</w:t>
      </w:r>
      <w:r>
        <w:rPr>
          <w:rFonts w:ascii="Times New Roman" w:hAnsi="Times New Roman" w:eastAsia="Times New Roman" w:cs="Times New Roman"/>
          <w:spacing w:val="51"/>
          <w:sz w:val="24"/>
          <w:szCs w:val="24"/>
        </w:rPr>
        <w:t xml:space="preserve"> </w:t>
      </w:r>
      <w:r>
        <w:rPr>
          <w:rFonts w:ascii="宋体" w:hAnsi="宋体" w:eastAsia="宋体" w:cs="宋体"/>
          <w:spacing w:val="-17"/>
          <w:sz w:val="24"/>
          <w:szCs w:val="24"/>
        </w:rPr>
        <w:t>日起施行</w:t>
      </w:r>
      <w:r>
        <w:rPr>
          <w:rFonts w:ascii="宋体" w:hAnsi="宋体" w:eastAsia="宋体" w:cs="宋体"/>
          <w:spacing w:val="-19"/>
          <w:sz w:val="24"/>
          <w:szCs w:val="24"/>
        </w:rPr>
        <w:t>）；</w:t>
      </w:r>
    </w:p>
    <w:p w14:paraId="52800679">
      <w:pPr>
        <w:spacing w:line="233" w:lineRule="auto"/>
        <w:rPr>
          <w:rFonts w:ascii="宋体" w:hAnsi="宋体" w:eastAsia="宋体" w:cs="宋体"/>
          <w:sz w:val="24"/>
          <w:szCs w:val="24"/>
        </w:rPr>
        <w:sectPr>
          <w:footerReference r:id="rId144" w:type="default"/>
          <w:pgSz w:w="11907" w:h="16841"/>
          <w:pgMar w:top="400" w:right="1411" w:bottom="1126" w:left="1428" w:header="0" w:footer="925" w:gutter="0"/>
          <w:cols w:space="720" w:num="1"/>
        </w:sectPr>
      </w:pPr>
    </w:p>
    <w:p w14:paraId="42E7BA09">
      <w:pPr>
        <w:spacing w:line="249" w:lineRule="auto"/>
        <w:rPr>
          <w:rFonts w:ascii="Arial"/>
          <w:sz w:val="21"/>
        </w:rPr>
      </w:pPr>
    </w:p>
    <w:p w14:paraId="30957074">
      <w:pPr>
        <w:spacing w:line="249" w:lineRule="auto"/>
        <w:rPr>
          <w:rFonts w:ascii="Arial"/>
          <w:sz w:val="21"/>
        </w:rPr>
      </w:pPr>
    </w:p>
    <w:p w14:paraId="6D0D8FC7">
      <w:pPr>
        <w:spacing w:line="249" w:lineRule="auto"/>
        <w:rPr>
          <w:rFonts w:ascii="Arial"/>
          <w:sz w:val="21"/>
        </w:rPr>
      </w:pPr>
    </w:p>
    <w:p w14:paraId="25DA955A">
      <w:pPr>
        <w:spacing w:line="249" w:lineRule="auto"/>
        <w:rPr>
          <w:rFonts w:ascii="Arial"/>
          <w:sz w:val="21"/>
        </w:rPr>
      </w:pPr>
    </w:p>
    <w:p w14:paraId="13DC5137">
      <w:pPr>
        <w:spacing w:line="249" w:lineRule="auto"/>
        <w:rPr>
          <w:rFonts w:ascii="Arial"/>
          <w:sz w:val="21"/>
        </w:rPr>
      </w:pPr>
    </w:p>
    <w:p w14:paraId="6E6A65F4">
      <w:pPr>
        <w:spacing w:before="78" w:line="233" w:lineRule="auto"/>
        <w:ind w:left="490"/>
        <w:rPr>
          <w:rFonts w:ascii="宋体" w:hAnsi="宋体" w:eastAsia="宋体" w:cs="宋体"/>
          <w:sz w:val="24"/>
          <w:szCs w:val="24"/>
        </w:rPr>
      </w:pPr>
      <w:r>
        <w:rPr>
          <w:rFonts w:ascii="宋体" w:hAnsi="宋体" w:eastAsia="宋体" w:cs="宋体"/>
          <w:spacing w:val="-10"/>
          <w:sz w:val="24"/>
          <w:szCs w:val="24"/>
        </w:rPr>
        <w:t>（</w:t>
      </w:r>
      <w:r>
        <w:rPr>
          <w:rFonts w:ascii="Times New Roman" w:hAnsi="Times New Roman" w:eastAsia="Times New Roman" w:cs="Times New Roman"/>
          <w:spacing w:val="-10"/>
          <w:sz w:val="24"/>
          <w:szCs w:val="24"/>
        </w:rPr>
        <w:t>10</w:t>
      </w:r>
      <w:r>
        <w:rPr>
          <w:rFonts w:ascii="宋体" w:hAnsi="宋体" w:eastAsia="宋体" w:cs="宋体"/>
          <w:spacing w:val="-10"/>
          <w:sz w:val="24"/>
          <w:szCs w:val="24"/>
        </w:rPr>
        <w:t>）《云南省重点保护野生植物名录》（</w:t>
      </w:r>
      <w:r>
        <w:rPr>
          <w:rFonts w:ascii="Times New Roman" w:hAnsi="Times New Roman" w:eastAsia="Times New Roman" w:cs="Times New Roman"/>
          <w:spacing w:val="-10"/>
          <w:sz w:val="24"/>
          <w:szCs w:val="24"/>
        </w:rPr>
        <w:t xml:space="preserve">2023 </w:t>
      </w:r>
      <w:r>
        <w:rPr>
          <w:rFonts w:ascii="宋体" w:hAnsi="宋体" w:eastAsia="宋体" w:cs="宋体"/>
          <w:spacing w:val="-10"/>
          <w:sz w:val="24"/>
          <w:szCs w:val="24"/>
        </w:rPr>
        <w:t>年第</w:t>
      </w:r>
      <w:r>
        <w:rPr>
          <w:rFonts w:ascii="宋体" w:hAnsi="宋体" w:eastAsia="宋体" w:cs="宋体"/>
          <w:spacing w:val="-31"/>
          <w:sz w:val="24"/>
          <w:szCs w:val="24"/>
        </w:rPr>
        <w:t xml:space="preserve"> </w:t>
      </w:r>
      <w:r>
        <w:rPr>
          <w:rFonts w:ascii="Times New Roman" w:hAnsi="Times New Roman" w:eastAsia="Times New Roman" w:cs="Times New Roman"/>
          <w:spacing w:val="-10"/>
          <w:sz w:val="24"/>
          <w:szCs w:val="24"/>
        </w:rPr>
        <w:t>11</w:t>
      </w:r>
      <w:r>
        <w:rPr>
          <w:rFonts w:ascii="Times New Roman" w:hAnsi="Times New Roman" w:eastAsia="Times New Roman" w:cs="Times New Roman"/>
          <w:spacing w:val="15"/>
          <w:sz w:val="24"/>
          <w:szCs w:val="24"/>
        </w:rPr>
        <w:t xml:space="preserve"> </w:t>
      </w:r>
      <w:r>
        <w:rPr>
          <w:rFonts w:ascii="宋体" w:hAnsi="宋体" w:eastAsia="宋体" w:cs="宋体"/>
          <w:spacing w:val="-10"/>
          <w:sz w:val="24"/>
          <w:szCs w:val="24"/>
        </w:rPr>
        <w:t>号）</w:t>
      </w:r>
    </w:p>
    <w:p w14:paraId="3AACB00D">
      <w:pPr>
        <w:spacing w:before="165" w:line="233" w:lineRule="auto"/>
        <w:ind w:left="490"/>
        <w:rPr>
          <w:rFonts w:ascii="宋体" w:hAnsi="宋体" w:eastAsia="宋体" w:cs="宋体"/>
          <w:sz w:val="24"/>
          <w:szCs w:val="24"/>
        </w:rPr>
      </w:pPr>
      <w:r>
        <w:rPr>
          <w:rFonts w:ascii="宋体" w:hAnsi="宋体" w:eastAsia="宋体" w:cs="宋体"/>
          <w:spacing w:val="-9"/>
          <w:sz w:val="24"/>
          <w:szCs w:val="24"/>
        </w:rPr>
        <w:t>（</w:t>
      </w:r>
      <w:r>
        <w:rPr>
          <w:rFonts w:ascii="Times New Roman" w:hAnsi="Times New Roman" w:eastAsia="Times New Roman" w:cs="Times New Roman"/>
          <w:spacing w:val="-9"/>
          <w:sz w:val="24"/>
          <w:szCs w:val="24"/>
        </w:rPr>
        <w:t>11</w:t>
      </w:r>
      <w:r>
        <w:rPr>
          <w:rFonts w:ascii="宋体" w:hAnsi="宋体" w:eastAsia="宋体" w:cs="宋体"/>
          <w:spacing w:val="-9"/>
          <w:sz w:val="24"/>
          <w:szCs w:val="24"/>
        </w:rPr>
        <w:t>）《云南省重点保护陆生野生动物名录》（</w:t>
      </w:r>
      <w:r>
        <w:rPr>
          <w:rFonts w:ascii="Times New Roman" w:hAnsi="Times New Roman" w:eastAsia="Times New Roman" w:cs="Times New Roman"/>
          <w:spacing w:val="-9"/>
          <w:sz w:val="24"/>
          <w:szCs w:val="24"/>
        </w:rPr>
        <w:t xml:space="preserve">2023 </w:t>
      </w:r>
      <w:r>
        <w:rPr>
          <w:rFonts w:ascii="宋体" w:hAnsi="宋体" w:eastAsia="宋体" w:cs="宋体"/>
          <w:spacing w:val="-9"/>
          <w:sz w:val="24"/>
          <w:szCs w:val="24"/>
        </w:rPr>
        <w:t>年第</w:t>
      </w:r>
      <w:r>
        <w:rPr>
          <w:rFonts w:ascii="宋体" w:hAnsi="宋体" w:eastAsia="宋体" w:cs="宋体"/>
          <w:spacing w:val="-50"/>
          <w:sz w:val="24"/>
          <w:szCs w:val="24"/>
        </w:rPr>
        <w:t xml:space="preserve"> </w:t>
      </w:r>
      <w:r>
        <w:rPr>
          <w:rFonts w:ascii="Times New Roman" w:hAnsi="Times New Roman" w:eastAsia="Times New Roman" w:cs="Times New Roman"/>
          <w:spacing w:val="-10"/>
          <w:sz w:val="24"/>
          <w:szCs w:val="24"/>
        </w:rPr>
        <w:t>9</w:t>
      </w:r>
      <w:r>
        <w:rPr>
          <w:rFonts w:ascii="Times New Roman" w:hAnsi="Times New Roman" w:eastAsia="Times New Roman" w:cs="Times New Roman"/>
          <w:spacing w:val="16"/>
          <w:sz w:val="24"/>
          <w:szCs w:val="24"/>
        </w:rPr>
        <w:t xml:space="preserve"> </w:t>
      </w:r>
      <w:r>
        <w:rPr>
          <w:rFonts w:ascii="宋体" w:hAnsi="宋体" w:eastAsia="宋体" w:cs="宋体"/>
          <w:spacing w:val="-10"/>
          <w:sz w:val="24"/>
          <w:szCs w:val="24"/>
        </w:rPr>
        <w:t>号）</w:t>
      </w:r>
    </w:p>
    <w:p w14:paraId="6558BF54">
      <w:pPr>
        <w:spacing w:before="165" w:line="233" w:lineRule="auto"/>
        <w:ind w:left="490"/>
        <w:rPr>
          <w:rFonts w:ascii="宋体" w:hAnsi="宋体" w:eastAsia="宋体" w:cs="宋体"/>
          <w:sz w:val="24"/>
          <w:szCs w:val="24"/>
        </w:rPr>
      </w:pPr>
      <w:r>
        <w:rPr>
          <w:rFonts w:ascii="宋体" w:hAnsi="宋体" w:eastAsia="宋体" w:cs="宋体"/>
          <w:spacing w:val="-11"/>
          <w:sz w:val="24"/>
          <w:szCs w:val="24"/>
        </w:rPr>
        <w:t>（</w:t>
      </w:r>
      <w:r>
        <w:rPr>
          <w:rFonts w:ascii="Times New Roman" w:hAnsi="Times New Roman" w:eastAsia="Times New Roman" w:cs="Times New Roman"/>
          <w:spacing w:val="-11"/>
          <w:sz w:val="24"/>
          <w:szCs w:val="24"/>
        </w:rPr>
        <w:t>12</w:t>
      </w:r>
      <w:r>
        <w:rPr>
          <w:rFonts w:ascii="宋体" w:hAnsi="宋体" w:eastAsia="宋体" w:cs="宋体"/>
          <w:spacing w:val="-11"/>
          <w:sz w:val="24"/>
          <w:szCs w:val="24"/>
        </w:rPr>
        <w:t>）《云南省古树名木名录》（</w:t>
      </w:r>
      <w:r>
        <w:rPr>
          <w:rFonts w:ascii="Times New Roman" w:hAnsi="Times New Roman" w:eastAsia="Times New Roman" w:cs="Times New Roman"/>
          <w:spacing w:val="-11"/>
          <w:sz w:val="24"/>
          <w:szCs w:val="24"/>
        </w:rPr>
        <w:t>2022</w:t>
      </w:r>
      <w:r>
        <w:rPr>
          <w:rFonts w:ascii="Times New Roman" w:hAnsi="Times New Roman" w:eastAsia="Times New Roman" w:cs="Times New Roman"/>
          <w:spacing w:val="-12"/>
          <w:sz w:val="24"/>
          <w:szCs w:val="24"/>
        </w:rPr>
        <w:t xml:space="preserve"> </w:t>
      </w:r>
      <w:r>
        <w:rPr>
          <w:rFonts w:ascii="宋体" w:hAnsi="宋体" w:eastAsia="宋体" w:cs="宋体"/>
          <w:spacing w:val="-12"/>
          <w:sz w:val="24"/>
          <w:szCs w:val="24"/>
        </w:rPr>
        <w:t>年）</w:t>
      </w:r>
    </w:p>
    <w:p w14:paraId="5148441C">
      <w:pPr>
        <w:spacing w:before="164" w:line="360" w:lineRule="auto"/>
        <w:ind w:left="5" w:right="4" w:firstLine="485"/>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13</w:t>
      </w:r>
      <w:r>
        <w:rPr>
          <w:rFonts w:ascii="宋体" w:hAnsi="宋体" w:eastAsia="宋体" w:cs="宋体"/>
          <w:spacing w:val="-2"/>
          <w:sz w:val="24"/>
          <w:szCs w:val="24"/>
        </w:rPr>
        <w:t>）《云南省环境保护厅转发环境保护部〈关于进一步加强输变电类建设项目环</w:t>
      </w:r>
      <w:r>
        <w:rPr>
          <w:rFonts w:ascii="宋体" w:hAnsi="宋体" w:eastAsia="宋体" w:cs="宋体"/>
          <w:spacing w:val="-5"/>
          <w:sz w:val="24"/>
          <w:szCs w:val="24"/>
        </w:rPr>
        <w:t>境保护监管工作的通知〉的通知》（云环发〔</w:t>
      </w:r>
      <w:r>
        <w:rPr>
          <w:rFonts w:ascii="Times New Roman" w:hAnsi="Times New Roman" w:eastAsia="Times New Roman" w:cs="Times New Roman"/>
          <w:spacing w:val="-5"/>
          <w:sz w:val="24"/>
          <w:szCs w:val="24"/>
        </w:rPr>
        <w:t>20</w:t>
      </w:r>
      <w:r>
        <w:rPr>
          <w:rFonts w:ascii="Times New Roman" w:hAnsi="Times New Roman" w:eastAsia="Times New Roman" w:cs="Times New Roman"/>
          <w:spacing w:val="-6"/>
          <w:sz w:val="24"/>
          <w:szCs w:val="24"/>
        </w:rPr>
        <w:t>13</w:t>
      </w:r>
      <w:r>
        <w:rPr>
          <w:rFonts w:ascii="宋体" w:hAnsi="宋体" w:eastAsia="宋体" w:cs="宋体"/>
          <w:spacing w:val="-6"/>
          <w:sz w:val="24"/>
          <w:szCs w:val="24"/>
        </w:rPr>
        <w:t>〕</w:t>
      </w:r>
      <w:r>
        <w:rPr>
          <w:rFonts w:ascii="Times New Roman" w:hAnsi="Times New Roman" w:eastAsia="Times New Roman" w:cs="Times New Roman"/>
          <w:spacing w:val="-6"/>
          <w:sz w:val="24"/>
          <w:szCs w:val="24"/>
        </w:rPr>
        <w:t>48</w:t>
      </w:r>
      <w:r>
        <w:rPr>
          <w:rFonts w:ascii="Times New Roman" w:hAnsi="Times New Roman" w:eastAsia="Times New Roman" w:cs="Times New Roman"/>
          <w:spacing w:val="15"/>
          <w:sz w:val="24"/>
          <w:szCs w:val="24"/>
        </w:rPr>
        <w:t xml:space="preserve"> </w:t>
      </w:r>
      <w:r>
        <w:rPr>
          <w:rFonts w:ascii="宋体" w:hAnsi="宋体" w:eastAsia="宋体" w:cs="宋体"/>
          <w:spacing w:val="-6"/>
          <w:sz w:val="24"/>
          <w:szCs w:val="24"/>
        </w:rPr>
        <w:t>号</w:t>
      </w:r>
      <w:r>
        <w:rPr>
          <w:rFonts w:ascii="宋体" w:hAnsi="宋体" w:eastAsia="宋体" w:cs="宋体"/>
          <w:spacing w:val="-45"/>
          <w:sz w:val="24"/>
          <w:szCs w:val="24"/>
        </w:rPr>
        <w:t>）；</w:t>
      </w:r>
    </w:p>
    <w:p w14:paraId="78C9BCB5">
      <w:pPr>
        <w:spacing w:before="1" w:line="352" w:lineRule="auto"/>
        <w:ind w:left="10" w:firstLine="480"/>
        <w:rPr>
          <w:rFonts w:ascii="宋体" w:hAnsi="宋体" w:eastAsia="宋体" w:cs="宋体"/>
          <w:sz w:val="24"/>
          <w:szCs w:val="24"/>
        </w:rPr>
      </w:pPr>
      <w:r>
        <w:rPr>
          <w:rFonts w:ascii="宋体" w:hAnsi="宋体" w:eastAsia="宋体" w:cs="宋体"/>
          <w:spacing w:val="-7"/>
          <w:sz w:val="24"/>
          <w:szCs w:val="24"/>
        </w:rPr>
        <w:t>（</w:t>
      </w:r>
      <w:r>
        <w:rPr>
          <w:rFonts w:ascii="Times New Roman" w:hAnsi="Times New Roman" w:eastAsia="Times New Roman" w:cs="Times New Roman"/>
          <w:spacing w:val="-7"/>
          <w:sz w:val="24"/>
          <w:szCs w:val="24"/>
        </w:rPr>
        <w:t>14</w:t>
      </w:r>
      <w:r>
        <w:rPr>
          <w:rFonts w:ascii="宋体" w:hAnsi="宋体" w:eastAsia="宋体" w:cs="宋体"/>
          <w:spacing w:val="-7"/>
          <w:sz w:val="24"/>
          <w:szCs w:val="24"/>
        </w:rPr>
        <w:t>）《云南省人民政府关于发布云南省生态保护红线</w:t>
      </w:r>
      <w:r>
        <w:rPr>
          <w:rFonts w:ascii="宋体" w:hAnsi="宋体" w:eastAsia="宋体" w:cs="宋体"/>
          <w:spacing w:val="-8"/>
          <w:sz w:val="24"/>
          <w:szCs w:val="24"/>
        </w:rPr>
        <w:t>的通知》（云政发〔</w:t>
      </w:r>
      <w:r>
        <w:rPr>
          <w:rFonts w:ascii="Times New Roman" w:hAnsi="Times New Roman" w:eastAsia="Times New Roman" w:cs="Times New Roman"/>
          <w:spacing w:val="-8"/>
          <w:sz w:val="24"/>
          <w:szCs w:val="24"/>
        </w:rPr>
        <w:t>2018</w:t>
      </w:r>
      <w:r>
        <w:rPr>
          <w:rFonts w:ascii="宋体" w:hAnsi="宋体" w:eastAsia="宋体" w:cs="宋体"/>
          <w:spacing w:val="-8"/>
          <w:sz w:val="24"/>
          <w:szCs w:val="24"/>
        </w:rPr>
        <w:t>〕</w:t>
      </w:r>
      <w:r>
        <w:rPr>
          <w:rFonts w:ascii="Times New Roman" w:hAnsi="Times New Roman" w:eastAsia="Times New Roman" w:cs="Times New Roman"/>
          <w:spacing w:val="-8"/>
          <w:sz w:val="24"/>
          <w:szCs w:val="24"/>
        </w:rPr>
        <w:t>32</w:t>
      </w:r>
      <w:r>
        <w:rPr>
          <w:rFonts w:ascii="宋体" w:hAnsi="宋体" w:eastAsia="宋体" w:cs="宋体"/>
          <w:spacing w:val="-16"/>
          <w:sz w:val="24"/>
          <w:szCs w:val="24"/>
        </w:rPr>
        <w:t>号</w:t>
      </w:r>
      <w:r>
        <w:rPr>
          <w:rFonts w:ascii="宋体" w:hAnsi="宋体" w:eastAsia="宋体" w:cs="宋体"/>
          <w:spacing w:val="-45"/>
          <w:sz w:val="24"/>
          <w:szCs w:val="24"/>
        </w:rPr>
        <w:t>）；</w:t>
      </w:r>
    </w:p>
    <w:p w14:paraId="78DB1029">
      <w:pPr>
        <w:spacing w:before="20" w:line="360" w:lineRule="auto"/>
        <w:ind w:left="5" w:right="2" w:firstLine="485"/>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15</w:t>
      </w:r>
      <w:r>
        <w:rPr>
          <w:rFonts w:ascii="宋体" w:hAnsi="宋体" w:eastAsia="宋体" w:cs="宋体"/>
          <w:spacing w:val="-2"/>
          <w:sz w:val="24"/>
          <w:szCs w:val="24"/>
        </w:rPr>
        <w:t>）云南省自然资源厅云南省生态环境厅云南省林业和草原局《关于加强生态保</w:t>
      </w:r>
      <w:r>
        <w:rPr>
          <w:rFonts w:ascii="宋体" w:hAnsi="宋体" w:eastAsia="宋体" w:cs="宋体"/>
          <w:spacing w:val="-6"/>
          <w:sz w:val="24"/>
          <w:szCs w:val="24"/>
        </w:rPr>
        <w:t>护红线管理工作的通知》（云自然资〔</w:t>
      </w:r>
      <w:r>
        <w:rPr>
          <w:rFonts w:ascii="Times New Roman" w:hAnsi="Times New Roman" w:eastAsia="Times New Roman" w:cs="Times New Roman"/>
          <w:spacing w:val="-6"/>
          <w:sz w:val="24"/>
          <w:szCs w:val="24"/>
        </w:rPr>
        <w:t>2023</w:t>
      </w:r>
      <w:r>
        <w:rPr>
          <w:rFonts w:ascii="宋体" w:hAnsi="宋体" w:eastAsia="宋体" w:cs="宋体"/>
          <w:spacing w:val="-6"/>
          <w:sz w:val="24"/>
          <w:szCs w:val="24"/>
        </w:rPr>
        <w:t>〕</w:t>
      </w:r>
      <w:r>
        <w:rPr>
          <w:rFonts w:ascii="Times New Roman" w:hAnsi="Times New Roman" w:eastAsia="Times New Roman" w:cs="Times New Roman"/>
          <w:spacing w:val="-6"/>
          <w:sz w:val="24"/>
          <w:szCs w:val="24"/>
        </w:rPr>
        <w:t>98</w:t>
      </w:r>
      <w:r>
        <w:rPr>
          <w:rFonts w:ascii="Times New Roman" w:hAnsi="Times New Roman" w:eastAsia="Times New Roman" w:cs="Times New Roman"/>
          <w:spacing w:val="15"/>
          <w:sz w:val="24"/>
          <w:szCs w:val="24"/>
        </w:rPr>
        <w:t xml:space="preserve"> </w:t>
      </w:r>
      <w:r>
        <w:rPr>
          <w:rFonts w:ascii="宋体" w:hAnsi="宋体" w:eastAsia="宋体" w:cs="宋体"/>
          <w:spacing w:val="-6"/>
          <w:sz w:val="24"/>
          <w:szCs w:val="24"/>
        </w:rPr>
        <w:t>号</w:t>
      </w:r>
      <w:r>
        <w:rPr>
          <w:rFonts w:ascii="宋体" w:hAnsi="宋体" w:eastAsia="宋体" w:cs="宋体"/>
          <w:spacing w:val="-43"/>
          <w:sz w:val="24"/>
          <w:szCs w:val="24"/>
        </w:rPr>
        <w:t>）；</w:t>
      </w:r>
    </w:p>
    <w:p w14:paraId="4CE55261">
      <w:pPr>
        <w:spacing w:before="2" w:line="359" w:lineRule="auto"/>
        <w:ind w:left="31" w:firstLine="459"/>
        <w:rPr>
          <w:rFonts w:ascii="宋体" w:hAnsi="宋体" w:eastAsia="宋体" w:cs="宋体"/>
          <w:sz w:val="24"/>
          <w:szCs w:val="24"/>
        </w:rPr>
      </w:pPr>
      <w:r>
        <w:rPr>
          <w:rFonts w:ascii="宋体" w:hAnsi="宋体" w:eastAsia="宋体" w:cs="宋体"/>
          <w:spacing w:val="-9"/>
          <w:sz w:val="24"/>
          <w:szCs w:val="24"/>
        </w:rPr>
        <w:t>（</w:t>
      </w:r>
      <w:r>
        <w:rPr>
          <w:rFonts w:ascii="Times New Roman" w:hAnsi="Times New Roman" w:eastAsia="Times New Roman" w:cs="Times New Roman"/>
          <w:spacing w:val="-9"/>
          <w:sz w:val="24"/>
          <w:szCs w:val="24"/>
        </w:rPr>
        <w:t>16</w:t>
      </w:r>
      <w:r>
        <w:rPr>
          <w:rFonts w:ascii="宋体" w:hAnsi="宋体" w:eastAsia="宋体" w:cs="宋体"/>
          <w:spacing w:val="-9"/>
          <w:sz w:val="24"/>
          <w:szCs w:val="24"/>
        </w:rPr>
        <w:t>）《云南省人民政府关于实施“三线一单</w:t>
      </w:r>
      <w:r>
        <w:rPr>
          <w:rFonts w:ascii="宋体" w:hAnsi="宋体" w:eastAsia="宋体" w:cs="宋体"/>
          <w:spacing w:val="-82"/>
          <w:sz w:val="24"/>
          <w:szCs w:val="24"/>
        </w:rPr>
        <w:t xml:space="preserve"> </w:t>
      </w:r>
      <w:r>
        <w:rPr>
          <w:rFonts w:ascii="宋体" w:hAnsi="宋体" w:eastAsia="宋体" w:cs="宋体"/>
          <w:spacing w:val="-9"/>
          <w:sz w:val="24"/>
          <w:szCs w:val="24"/>
        </w:rPr>
        <w:t>”生态环境分区管控的意见》（云政发</w:t>
      </w:r>
      <w:r>
        <w:rPr>
          <w:rFonts w:ascii="宋体" w:hAnsi="宋体" w:eastAsia="宋体" w:cs="宋体"/>
          <w:spacing w:val="-6"/>
          <w:sz w:val="24"/>
          <w:szCs w:val="24"/>
        </w:rPr>
        <w:t>〔</w:t>
      </w:r>
      <w:r>
        <w:rPr>
          <w:rFonts w:ascii="Times New Roman" w:hAnsi="Times New Roman" w:eastAsia="Times New Roman" w:cs="Times New Roman"/>
          <w:spacing w:val="-6"/>
          <w:sz w:val="24"/>
          <w:szCs w:val="24"/>
        </w:rPr>
        <w:t>2020</w:t>
      </w:r>
      <w:r>
        <w:rPr>
          <w:rFonts w:ascii="宋体" w:hAnsi="宋体" w:eastAsia="宋体" w:cs="宋体"/>
          <w:spacing w:val="-6"/>
          <w:sz w:val="24"/>
          <w:szCs w:val="24"/>
        </w:rPr>
        <w:t>〕</w:t>
      </w:r>
      <w:r>
        <w:rPr>
          <w:rFonts w:ascii="Times New Roman" w:hAnsi="Times New Roman" w:eastAsia="Times New Roman" w:cs="Times New Roman"/>
          <w:spacing w:val="-6"/>
          <w:sz w:val="24"/>
          <w:szCs w:val="24"/>
        </w:rPr>
        <w:t>29</w:t>
      </w:r>
      <w:r>
        <w:rPr>
          <w:rFonts w:ascii="Times New Roman" w:hAnsi="Times New Roman" w:eastAsia="Times New Roman" w:cs="Times New Roman"/>
          <w:spacing w:val="16"/>
          <w:sz w:val="24"/>
          <w:szCs w:val="24"/>
        </w:rPr>
        <w:t xml:space="preserve"> </w:t>
      </w:r>
      <w:r>
        <w:rPr>
          <w:rFonts w:ascii="宋体" w:hAnsi="宋体" w:eastAsia="宋体" w:cs="宋体"/>
          <w:spacing w:val="-6"/>
          <w:sz w:val="24"/>
          <w:szCs w:val="24"/>
        </w:rPr>
        <w:t>号</w:t>
      </w:r>
      <w:r>
        <w:rPr>
          <w:rFonts w:ascii="宋体" w:hAnsi="宋体" w:eastAsia="宋体" w:cs="宋体"/>
          <w:spacing w:val="-45"/>
          <w:sz w:val="24"/>
          <w:szCs w:val="24"/>
        </w:rPr>
        <w:t>）；</w:t>
      </w:r>
    </w:p>
    <w:p w14:paraId="2C2026C9">
      <w:pPr>
        <w:spacing w:before="2" w:line="351" w:lineRule="auto"/>
        <w:ind w:left="7" w:firstLine="483"/>
        <w:rPr>
          <w:rFonts w:ascii="宋体" w:hAnsi="宋体" w:eastAsia="宋体" w:cs="宋体"/>
          <w:sz w:val="24"/>
          <w:szCs w:val="24"/>
        </w:rPr>
      </w:pPr>
      <w:r>
        <w:rPr>
          <w:rFonts w:ascii="宋体" w:hAnsi="宋体" w:eastAsia="宋体" w:cs="宋体"/>
          <w:spacing w:val="-3"/>
          <w:sz w:val="24"/>
          <w:szCs w:val="24"/>
        </w:rPr>
        <w:t>（</w:t>
      </w:r>
      <w:r>
        <w:rPr>
          <w:rFonts w:ascii="Times New Roman" w:hAnsi="Times New Roman" w:eastAsia="Times New Roman" w:cs="Times New Roman"/>
          <w:spacing w:val="-3"/>
          <w:sz w:val="24"/>
          <w:szCs w:val="24"/>
        </w:rPr>
        <w:t>17</w:t>
      </w:r>
      <w:r>
        <w:rPr>
          <w:rFonts w:ascii="宋体" w:hAnsi="宋体" w:eastAsia="宋体" w:cs="宋体"/>
          <w:spacing w:val="-3"/>
          <w:sz w:val="24"/>
          <w:szCs w:val="24"/>
        </w:rPr>
        <w:t>）云南省人民政府办公厅云政发〔</w:t>
      </w:r>
      <w:r>
        <w:rPr>
          <w:rFonts w:ascii="Times New Roman" w:hAnsi="Times New Roman" w:eastAsia="Times New Roman" w:cs="Times New Roman"/>
          <w:spacing w:val="-3"/>
          <w:sz w:val="24"/>
          <w:szCs w:val="24"/>
        </w:rPr>
        <w:t>202</w:t>
      </w:r>
      <w:r>
        <w:rPr>
          <w:rFonts w:ascii="Times New Roman" w:hAnsi="Times New Roman" w:eastAsia="Times New Roman" w:cs="Times New Roman"/>
          <w:spacing w:val="-4"/>
          <w:sz w:val="24"/>
          <w:szCs w:val="24"/>
        </w:rPr>
        <w:t>0</w:t>
      </w:r>
      <w:r>
        <w:rPr>
          <w:rFonts w:ascii="宋体" w:hAnsi="宋体" w:eastAsia="宋体" w:cs="宋体"/>
          <w:spacing w:val="-4"/>
          <w:sz w:val="24"/>
          <w:szCs w:val="24"/>
        </w:rPr>
        <w:t>〕</w:t>
      </w:r>
      <w:r>
        <w:rPr>
          <w:rFonts w:ascii="Times New Roman" w:hAnsi="Times New Roman" w:eastAsia="Times New Roman" w:cs="Times New Roman"/>
          <w:spacing w:val="-4"/>
          <w:sz w:val="24"/>
          <w:szCs w:val="24"/>
        </w:rPr>
        <w:t>29</w:t>
      </w:r>
      <w:r>
        <w:rPr>
          <w:rFonts w:ascii="Times New Roman" w:hAnsi="Times New Roman" w:eastAsia="Times New Roman" w:cs="Times New Roman"/>
          <w:spacing w:val="16"/>
          <w:sz w:val="24"/>
          <w:szCs w:val="24"/>
        </w:rPr>
        <w:t xml:space="preserve"> </w:t>
      </w:r>
      <w:r>
        <w:rPr>
          <w:rFonts w:ascii="宋体" w:hAnsi="宋体" w:eastAsia="宋体" w:cs="宋体"/>
          <w:spacing w:val="-4"/>
          <w:sz w:val="24"/>
          <w:szCs w:val="24"/>
        </w:rPr>
        <w:t>号《云南省人民政府关于实施“三</w:t>
      </w:r>
      <w:r>
        <w:rPr>
          <w:rFonts w:ascii="宋体" w:hAnsi="宋体" w:eastAsia="宋体" w:cs="宋体"/>
          <w:spacing w:val="-11"/>
          <w:sz w:val="24"/>
          <w:szCs w:val="24"/>
        </w:rPr>
        <w:t>线一单</w:t>
      </w:r>
      <w:r>
        <w:rPr>
          <w:rFonts w:ascii="宋体" w:hAnsi="宋体" w:eastAsia="宋体" w:cs="宋体"/>
          <w:spacing w:val="-76"/>
          <w:sz w:val="24"/>
          <w:szCs w:val="24"/>
        </w:rPr>
        <w:t xml:space="preserve"> </w:t>
      </w:r>
      <w:r>
        <w:rPr>
          <w:rFonts w:ascii="宋体" w:hAnsi="宋体" w:eastAsia="宋体" w:cs="宋体"/>
          <w:spacing w:val="-11"/>
          <w:sz w:val="24"/>
          <w:szCs w:val="24"/>
        </w:rPr>
        <w:t>”生态环境分区管控的意见》；</w:t>
      </w:r>
    </w:p>
    <w:p w14:paraId="1F60F213">
      <w:pPr>
        <w:spacing w:before="21" w:line="233" w:lineRule="auto"/>
        <w:jc w:val="right"/>
        <w:rPr>
          <w:rFonts w:ascii="宋体" w:hAnsi="宋体" w:eastAsia="宋体" w:cs="宋体"/>
          <w:sz w:val="24"/>
          <w:szCs w:val="24"/>
        </w:rPr>
      </w:pPr>
      <w:r>
        <w:rPr>
          <w:rFonts w:ascii="宋体" w:hAnsi="宋体" w:eastAsia="宋体" w:cs="宋体"/>
          <w:spacing w:val="-13"/>
          <w:sz w:val="24"/>
          <w:szCs w:val="24"/>
        </w:rPr>
        <w:t>（</w:t>
      </w:r>
      <w:r>
        <w:rPr>
          <w:rFonts w:ascii="Times New Roman" w:hAnsi="Times New Roman" w:eastAsia="Times New Roman" w:cs="Times New Roman"/>
          <w:spacing w:val="-13"/>
          <w:sz w:val="24"/>
          <w:szCs w:val="24"/>
        </w:rPr>
        <w:t>18</w:t>
      </w:r>
      <w:r>
        <w:rPr>
          <w:rFonts w:ascii="宋体" w:hAnsi="宋体" w:eastAsia="宋体" w:cs="宋体"/>
          <w:spacing w:val="-13"/>
          <w:sz w:val="24"/>
          <w:szCs w:val="24"/>
        </w:rPr>
        <w:t>）《曲靖市“三线一单</w:t>
      </w:r>
      <w:r>
        <w:rPr>
          <w:rFonts w:ascii="宋体" w:hAnsi="宋体" w:eastAsia="宋体" w:cs="宋体"/>
          <w:spacing w:val="-87"/>
          <w:sz w:val="24"/>
          <w:szCs w:val="24"/>
        </w:rPr>
        <w:t xml:space="preserve"> </w:t>
      </w:r>
      <w:r>
        <w:rPr>
          <w:rFonts w:ascii="宋体" w:hAnsi="宋体" w:eastAsia="宋体" w:cs="宋体"/>
          <w:spacing w:val="-13"/>
          <w:sz w:val="24"/>
          <w:szCs w:val="24"/>
        </w:rPr>
        <w:t>”生态环境分区管控实施方案》</w:t>
      </w:r>
      <w:r>
        <w:rPr>
          <w:rFonts w:ascii="宋体" w:hAnsi="宋体" w:eastAsia="宋体" w:cs="宋体"/>
          <w:spacing w:val="-14"/>
          <w:sz w:val="24"/>
          <w:szCs w:val="24"/>
        </w:rPr>
        <w:t>（曲政发〔</w:t>
      </w:r>
      <w:r>
        <w:rPr>
          <w:rFonts w:ascii="Times New Roman" w:hAnsi="Times New Roman" w:eastAsia="Times New Roman" w:cs="Times New Roman"/>
          <w:spacing w:val="-14"/>
          <w:sz w:val="24"/>
          <w:szCs w:val="24"/>
        </w:rPr>
        <w:t>2021</w:t>
      </w:r>
      <w:r>
        <w:rPr>
          <w:rFonts w:ascii="宋体" w:hAnsi="宋体" w:eastAsia="宋体" w:cs="宋体"/>
          <w:spacing w:val="-14"/>
          <w:sz w:val="24"/>
          <w:szCs w:val="24"/>
        </w:rPr>
        <w:t>〕</w:t>
      </w:r>
      <w:r>
        <w:rPr>
          <w:rFonts w:ascii="Times New Roman" w:hAnsi="Times New Roman" w:eastAsia="Times New Roman" w:cs="Times New Roman"/>
          <w:spacing w:val="-14"/>
          <w:sz w:val="24"/>
          <w:szCs w:val="24"/>
        </w:rPr>
        <w:t>27</w:t>
      </w:r>
      <w:r>
        <w:rPr>
          <w:rFonts w:ascii="Times New Roman" w:hAnsi="Times New Roman" w:eastAsia="Times New Roman" w:cs="Times New Roman"/>
          <w:spacing w:val="15"/>
          <w:w w:val="101"/>
          <w:sz w:val="24"/>
          <w:szCs w:val="24"/>
        </w:rPr>
        <w:t xml:space="preserve"> </w:t>
      </w:r>
      <w:r>
        <w:rPr>
          <w:rFonts w:ascii="宋体" w:hAnsi="宋体" w:eastAsia="宋体" w:cs="宋体"/>
          <w:spacing w:val="-14"/>
          <w:sz w:val="24"/>
          <w:szCs w:val="24"/>
        </w:rPr>
        <w:t>号</w:t>
      </w:r>
      <w:r>
        <w:rPr>
          <w:rFonts w:ascii="宋体" w:hAnsi="宋体" w:eastAsia="宋体" w:cs="宋体"/>
          <w:spacing w:val="-55"/>
          <w:w w:val="86"/>
          <w:sz w:val="24"/>
          <w:szCs w:val="24"/>
        </w:rPr>
        <w:t>）；</w:t>
      </w:r>
    </w:p>
    <w:p w14:paraId="79B26EF9">
      <w:pPr>
        <w:spacing w:before="166" w:line="233" w:lineRule="auto"/>
        <w:ind w:left="490"/>
        <w:rPr>
          <w:rFonts w:ascii="宋体" w:hAnsi="宋体" w:eastAsia="宋体" w:cs="宋体"/>
          <w:sz w:val="24"/>
          <w:szCs w:val="24"/>
        </w:rPr>
      </w:pPr>
      <w:r>
        <w:rPr>
          <w:rFonts w:ascii="宋体" w:hAnsi="宋体" w:eastAsia="宋体" w:cs="宋体"/>
          <w:spacing w:val="-10"/>
          <w:sz w:val="24"/>
          <w:szCs w:val="24"/>
        </w:rPr>
        <w:t>（</w:t>
      </w:r>
      <w:r>
        <w:rPr>
          <w:rFonts w:ascii="Times New Roman" w:hAnsi="Times New Roman" w:eastAsia="Times New Roman" w:cs="Times New Roman"/>
          <w:spacing w:val="-10"/>
          <w:sz w:val="24"/>
          <w:szCs w:val="24"/>
        </w:rPr>
        <w:t>19</w:t>
      </w:r>
      <w:r>
        <w:rPr>
          <w:rFonts w:ascii="宋体" w:hAnsi="宋体" w:eastAsia="宋体" w:cs="宋体"/>
          <w:spacing w:val="-10"/>
          <w:sz w:val="24"/>
          <w:szCs w:val="24"/>
        </w:rPr>
        <w:t>）《云南省公益林管理办法》（云林规〔</w:t>
      </w:r>
      <w:r>
        <w:rPr>
          <w:rFonts w:ascii="Times New Roman" w:hAnsi="Times New Roman" w:eastAsia="Times New Roman" w:cs="Times New Roman"/>
          <w:spacing w:val="-10"/>
          <w:sz w:val="24"/>
          <w:szCs w:val="24"/>
        </w:rPr>
        <w:t>2019</w:t>
      </w:r>
      <w:r>
        <w:rPr>
          <w:rFonts w:ascii="宋体" w:hAnsi="宋体" w:eastAsia="宋体" w:cs="宋体"/>
          <w:spacing w:val="-10"/>
          <w:sz w:val="24"/>
          <w:szCs w:val="24"/>
        </w:rPr>
        <w:t>〕</w:t>
      </w:r>
      <w:r>
        <w:rPr>
          <w:rFonts w:ascii="Times New Roman" w:hAnsi="Times New Roman" w:eastAsia="Times New Roman" w:cs="Times New Roman"/>
          <w:spacing w:val="-10"/>
          <w:sz w:val="24"/>
          <w:szCs w:val="24"/>
        </w:rPr>
        <w:t>2</w:t>
      </w:r>
      <w:r>
        <w:rPr>
          <w:rFonts w:ascii="Times New Roman" w:hAnsi="Times New Roman" w:eastAsia="Times New Roman" w:cs="Times New Roman"/>
          <w:spacing w:val="16"/>
          <w:sz w:val="24"/>
          <w:szCs w:val="24"/>
        </w:rPr>
        <w:t xml:space="preserve"> </w:t>
      </w:r>
      <w:r>
        <w:rPr>
          <w:rFonts w:ascii="宋体" w:hAnsi="宋体" w:eastAsia="宋体" w:cs="宋体"/>
          <w:spacing w:val="-10"/>
          <w:sz w:val="24"/>
          <w:szCs w:val="24"/>
        </w:rPr>
        <w:t>号</w:t>
      </w:r>
      <w:r>
        <w:rPr>
          <w:rFonts w:ascii="宋体" w:hAnsi="宋体" w:eastAsia="宋体" w:cs="宋体"/>
          <w:spacing w:val="-41"/>
          <w:sz w:val="24"/>
          <w:szCs w:val="24"/>
        </w:rPr>
        <w:t>）；</w:t>
      </w:r>
    </w:p>
    <w:p w14:paraId="637683D8">
      <w:pPr>
        <w:spacing w:before="165" w:line="233" w:lineRule="auto"/>
        <w:ind w:left="490"/>
        <w:rPr>
          <w:rFonts w:ascii="宋体" w:hAnsi="宋体" w:eastAsia="宋体" w:cs="宋体"/>
          <w:sz w:val="24"/>
          <w:szCs w:val="24"/>
        </w:rPr>
      </w:pPr>
      <w:r>
        <w:rPr>
          <w:rFonts w:ascii="宋体" w:hAnsi="宋体" w:eastAsia="宋体" w:cs="宋体"/>
          <w:spacing w:val="-9"/>
          <w:sz w:val="24"/>
          <w:szCs w:val="24"/>
        </w:rPr>
        <w:t>（</w:t>
      </w:r>
      <w:r>
        <w:rPr>
          <w:rFonts w:ascii="Times New Roman" w:hAnsi="Times New Roman" w:eastAsia="Times New Roman" w:cs="Times New Roman"/>
          <w:spacing w:val="-9"/>
          <w:sz w:val="24"/>
          <w:szCs w:val="24"/>
        </w:rPr>
        <w:t>20</w:t>
      </w:r>
      <w:r>
        <w:rPr>
          <w:rFonts w:ascii="宋体" w:hAnsi="宋体" w:eastAsia="宋体" w:cs="宋体"/>
          <w:spacing w:val="-9"/>
          <w:sz w:val="24"/>
          <w:szCs w:val="24"/>
        </w:rPr>
        <w:t>）《云南省地方公益林管理办法》（云政发〔</w:t>
      </w:r>
      <w:r>
        <w:rPr>
          <w:rFonts w:ascii="Times New Roman" w:hAnsi="Times New Roman" w:eastAsia="Times New Roman" w:cs="Times New Roman"/>
          <w:spacing w:val="-9"/>
          <w:sz w:val="24"/>
          <w:szCs w:val="24"/>
        </w:rPr>
        <w:t>2009</w:t>
      </w:r>
      <w:r>
        <w:rPr>
          <w:rFonts w:ascii="宋体" w:hAnsi="宋体" w:eastAsia="宋体" w:cs="宋体"/>
          <w:spacing w:val="-9"/>
          <w:sz w:val="24"/>
          <w:szCs w:val="24"/>
        </w:rPr>
        <w:t>〕</w:t>
      </w:r>
      <w:r>
        <w:rPr>
          <w:rFonts w:ascii="Times New Roman" w:hAnsi="Times New Roman" w:eastAsia="Times New Roman" w:cs="Times New Roman"/>
          <w:spacing w:val="-9"/>
          <w:sz w:val="24"/>
          <w:szCs w:val="24"/>
        </w:rPr>
        <w:t>58</w:t>
      </w:r>
      <w:r>
        <w:rPr>
          <w:rFonts w:ascii="Times New Roman" w:hAnsi="Times New Roman" w:eastAsia="Times New Roman" w:cs="Times New Roman"/>
          <w:spacing w:val="15"/>
          <w:w w:val="101"/>
          <w:sz w:val="24"/>
          <w:szCs w:val="24"/>
        </w:rPr>
        <w:t xml:space="preserve"> </w:t>
      </w:r>
      <w:r>
        <w:rPr>
          <w:rFonts w:ascii="宋体" w:hAnsi="宋体" w:eastAsia="宋体" w:cs="宋体"/>
          <w:spacing w:val="-9"/>
          <w:sz w:val="24"/>
          <w:szCs w:val="24"/>
        </w:rPr>
        <w:t>号</w:t>
      </w:r>
      <w:r>
        <w:rPr>
          <w:rFonts w:ascii="宋体" w:hAnsi="宋体" w:eastAsia="宋体" w:cs="宋体"/>
          <w:spacing w:val="-41"/>
          <w:sz w:val="24"/>
          <w:szCs w:val="24"/>
        </w:rPr>
        <w:t>）；</w:t>
      </w:r>
    </w:p>
    <w:p w14:paraId="40132443">
      <w:pPr>
        <w:spacing w:before="166" w:line="233" w:lineRule="auto"/>
        <w:ind w:left="490"/>
        <w:rPr>
          <w:rFonts w:ascii="宋体" w:hAnsi="宋体" w:eastAsia="宋体" w:cs="宋体"/>
          <w:sz w:val="24"/>
          <w:szCs w:val="24"/>
        </w:rPr>
      </w:pPr>
      <w:r>
        <w:rPr>
          <w:rFonts w:ascii="宋体" w:hAnsi="宋体" w:eastAsia="宋体" w:cs="宋体"/>
          <w:spacing w:val="-10"/>
          <w:sz w:val="24"/>
          <w:szCs w:val="24"/>
        </w:rPr>
        <w:t>（</w:t>
      </w:r>
      <w:r>
        <w:rPr>
          <w:rFonts w:ascii="Times New Roman" w:hAnsi="Times New Roman" w:eastAsia="Times New Roman" w:cs="Times New Roman"/>
          <w:spacing w:val="-10"/>
          <w:sz w:val="24"/>
          <w:szCs w:val="24"/>
        </w:rPr>
        <w:t>21</w:t>
      </w:r>
      <w:r>
        <w:rPr>
          <w:rFonts w:ascii="宋体" w:hAnsi="宋体" w:eastAsia="宋体" w:cs="宋体"/>
          <w:spacing w:val="-10"/>
          <w:sz w:val="24"/>
          <w:szCs w:val="24"/>
        </w:rPr>
        <w:t>）《云南省极小种群野生植物拯救保护规</w:t>
      </w:r>
      <w:r>
        <w:rPr>
          <w:rFonts w:ascii="宋体" w:hAnsi="宋体" w:eastAsia="宋体" w:cs="宋体"/>
          <w:spacing w:val="-11"/>
          <w:sz w:val="24"/>
          <w:szCs w:val="24"/>
        </w:rPr>
        <w:t>划（</w:t>
      </w:r>
      <w:r>
        <w:rPr>
          <w:rFonts w:ascii="Times New Roman" w:hAnsi="Times New Roman" w:eastAsia="Times New Roman" w:cs="Times New Roman"/>
          <w:spacing w:val="-11"/>
          <w:sz w:val="24"/>
          <w:szCs w:val="24"/>
        </w:rPr>
        <w:t xml:space="preserve">2021-2030 </w:t>
      </w:r>
      <w:r>
        <w:rPr>
          <w:rFonts w:ascii="宋体" w:hAnsi="宋体" w:eastAsia="宋体" w:cs="宋体"/>
          <w:spacing w:val="-11"/>
          <w:sz w:val="24"/>
          <w:szCs w:val="24"/>
        </w:rPr>
        <w:t>年）》；</w:t>
      </w:r>
    </w:p>
    <w:p w14:paraId="4422A75B">
      <w:pPr>
        <w:spacing w:before="165" w:line="233" w:lineRule="auto"/>
        <w:ind w:left="490"/>
        <w:rPr>
          <w:rFonts w:ascii="宋体" w:hAnsi="宋体" w:eastAsia="宋体" w:cs="宋体"/>
          <w:sz w:val="24"/>
          <w:szCs w:val="24"/>
        </w:rPr>
      </w:pPr>
      <w:r>
        <w:rPr>
          <w:rFonts w:ascii="宋体" w:hAnsi="宋体" w:eastAsia="宋体" w:cs="宋体"/>
          <w:spacing w:val="-13"/>
          <w:sz w:val="24"/>
          <w:szCs w:val="24"/>
        </w:rPr>
        <w:t>（</w:t>
      </w:r>
      <w:r>
        <w:rPr>
          <w:rFonts w:ascii="Times New Roman" w:hAnsi="Times New Roman" w:eastAsia="Times New Roman" w:cs="Times New Roman"/>
          <w:spacing w:val="-13"/>
          <w:sz w:val="24"/>
          <w:szCs w:val="24"/>
        </w:rPr>
        <w:t>22</w:t>
      </w:r>
      <w:r>
        <w:rPr>
          <w:rFonts w:ascii="宋体" w:hAnsi="宋体" w:eastAsia="宋体" w:cs="宋体"/>
          <w:spacing w:val="-13"/>
          <w:sz w:val="24"/>
          <w:szCs w:val="24"/>
        </w:rPr>
        <w:t>）《云南省极小种群野生植物保护名录（</w:t>
      </w:r>
      <w:r>
        <w:rPr>
          <w:rFonts w:ascii="Times New Roman" w:hAnsi="Times New Roman" w:eastAsia="Times New Roman" w:cs="Times New Roman"/>
          <w:spacing w:val="-13"/>
          <w:sz w:val="24"/>
          <w:szCs w:val="24"/>
        </w:rPr>
        <w:t xml:space="preserve">2022 </w:t>
      </w:r>
      <w:r>
        <w:rPr>
          <w:rFonts w:ascii="宋体" w:hAnsi="宋体" w:eastAsia="宋体" w:cs="宋体"/>
          <w:spacing w:val="-13"/>
          <w:sz w:val="24"/>
          <w:szCs w:val="24"/>
        </w:rPr>
        <w:t>年版）》；</w:t>
      </w:r>
    </w:p>
    <w:p w14:paraId="6D815D2A">
      <w:pPr>
        <w:spacing w:before="165" w:line="233" w:lineRule="auto"/>
        <w:ind w:left="490"/>
        <w:rPr>
          <w:rFonts w:ascii="宋体" w:hAnsi="宋体" w:eastAsia="宋体" w:cs="宋体"/>
          <w:sz w:val="24"/>
          <w:szCs w:val="24"/>
        </w:rPr>
      </w:pPr>
      <w:r>
        <w:rPr>
          <w:rFonts w:ascii="宋体" w:hAnsi="宋体" w:eastAsia="宋体" w:cs="宋体"/>
          <w:spacing w:val="-10"/>
          <w:sz w:val="24"/>
          <w:szCs w:val="24"/>
        </w:rPr>
        <w:t>（</w:t>
      </w:r>
      <w:r>
        <w:rPr>
          <w:rFonts w:ascii="Times New Roman" w:hAnsi="Times New Roman" w:eastAsia="Times New Roman" w:cs="Times New Roman"/>
          <w:spacing w:val="-10"/>
          <w:sz w:val="24"/>
          <w:szCs w:val="24"/>
        </w:rPr>
        <w:t>23</w:t>
      </w:r>
      <w:r>
        <w:rPr>
          <w:rFonts w:ascii="宋体" w:hAnsi="宋体" w:eastAsia="宋体" w:cs="宋体"/>
          <w:spacing w:val="-10"/>
          <w:sz w:val="24"/>
          <w:szCs w:val="24"/>
        </w:rPr>
        <w:t>）《云南省生物多样性保护战略与行动计</w:t>
      </w:r>
      <w:r>
        <w:rPr>
          <w:rFonts w:ascii="宋体" w:hAnsi="宋体" w:eastAsia="宋体" w:cs="宋体"/>
          <w:spacing w:val="-11"/>
          <w:sz w:val="24"/>
          <w:szCs w:val="24"/>
        </w:rPr>
        <w:t>划（</w:t>
      </w:r>
      <w:r>
        <w:rPr>
          <w:rFonts w:ascii="Times New Roman" w:hAnsi="Times New Roman" w:eastAsia="Times New Roman" w:cs="Times New Roman"/>
          <w:spacing w:val="-11"/>
          <w:sz w:val="24"/>
          <w:szCs w:val="24"/>
        </w:rPr>
        <w:t xml:space="preserve">2024-2030 </w:t>
      </w:r>
      <w:r>
        <w:rPr>
          <w:rFonts w:ascii="宋体" w:hAnsi="宋体" w:eastAsia="宋体" w:cs="宋体"/>
          <w:spacing w:val="-11"/>
          <w:sz w:val="24"/>
          <w:szCs w:val="24"/>
        </w:rPr>
        <w:t>年）》；</w:t>
      </w:r>
    </w:p>
    <w:p w14:paraId="6278A3CE">
      <w:pPr>
        <w:spacing w:before="165" w:line="233" w:lineRule="auto"/>
        <w:ind w:left="490"/>
        <w:rPr>
          <w:rFonts w:ascii="宋体" w:hAnsi="宋体" w:eastAsia="宋体" w:cs="宋体"/>
          <w:sz w:val="24"/>
          <w:szCs w:val="24"/>
        </w:rPr>
      </w:pPr>
      <w:r>
        <w:rPr>
          <w:rFonts w:ascii="宋体" w:hAnsi="宋体" w:eastAsia="宋体" w:cs="宋体"/>
          <w:spacing w:val="-16"/>
          <w:sz w:val="24"/>
          <w:szCs w:val="24"/>
        </w:rPr>
        <w:t>（</w:t>
      </w:r>
      <w:r>
        <w:rPr>
          <w:rFonts w:ascii="Times New Roman" w:hAnsi="Times New Roman" w:eastAsia="Times New Roman" w:cs="Times New Roman"/>
          <w:spacing w:val="-16"/>
          <w:sz w:val="24"/>
          <w:szCs w:val="24"/>
        </w:rPr>
        <w:t>24</w:t>
      </w:r>
      <w:r>
        <w:rPr>
          <w:rFonts w:ascii="宋体" w:hAnsi="宋体" w:eastAsia="宋体" w:cs="宋体"/>
          <w:spacing w:val="-16"/>
          <w:sz w:val="24"/>
          <w:szCs w:val="24"/>
        </w:rPr>
        <w:t>）《云南省外来入侵物种名录（</w:t>
      </w:r>
      <w:r>
        <w:rPr>
          <w:rFonts w:ascii="Times New Roman" w:hAnsi="Times New Roman" w:eastAsia="Times New Roman" w:cs="Times New Roman"/>
          <w:spacing w:val="-16"/>
          <w:sz w:val="24"/>
          <w:szCs w:val="24"/>
        </w:rPr>
        <w:t>2019</w:t>
      </w:r>
      <w:r>
        <w:rPr>
          <w:rFonts w:ascii="Times New Roman" w:hAnsi="Times New Roman" w:eastAsia="Times New Roman" w:cs="Times New Roman"/>
          <w:spacing w:val="14"/>
          <w:sz w:val="24"/>
          <w:szCs w:val="24"/>
        </w:rPr>
        <w:t xml:space="preserve"> </w:t>
      </w:r>
      <w:r>
        <w:rPr>
          <w:rFonts w:ascii="宋体" w:hAnsi="宋体" w:eastAsia="宋体" w:cs="宋体"/>
          <w:spacing w:val="-16"/>
          <w:sz w:val="24"/>
          <w:szCs w:val="24"/>
        </w:rPr>
        <w:t>版）》；</w:t>
      </w:r>
    </w:p>
    <w:p w14:paraId="397B9400">
      <w:pPr>
        <w:spacing w:before="165" w:line="360" w:lineRule="auto"/>
        <w:ind w:right="7" w:firstLine="490"/>
        <w:rPr>
          <w:rFonts w:ascii="宋体" w:hAnsi="宋体" w:eastAsia="宋体" w:cs="宋体"/>
          <w:sz w:val="24"/>
          <w:szCs w:val="24"/>
        </w:rPr>
      </w:pPr>
      <w:r>
        <w:rPr>
          <w:rFonts w:ascii="宋体" w:hAnsi="宋体" w:eastAsia="宋体" w:cs="宋体"/>
          <w:spacing w:val="-8"/>
          <w:sz w:val="24"/>
          <w:szCs w:val="24"/>
        </w:rPr>
        <w:t>（</w:t>
      </w:r>
      <w:r>
        <w:rPr>
          <w:rFonts w:ascii="Times New Roman" w:hAnsi="Times New Roman" w:eastAsia="Times New Roman" w:cs="Times New Roman"/>
          <w:spacing w:val="-8"/>
          <w:sz w:val="24"/>
          <w:szCs w:val="24"/>
        </w:rPr>
        <w:t>25</w:t>
      </w:r>
      <w:r>
        <w:rPr>
          <w:rFonts w:ascii="宋体" w:hAnsi="宋体" w:eastAsia="宋体" w:cs="宋体"/>
          <w:spacing w:val="-8"/>
          <w:sz w:val="24"/>
          <w:szCs w:val="24"/>
        </w:rPr>
        <w:t>）《云南省候鸟迁徙通道重点区域范围（第一批）》（云南省林</w:t>
      </w:r>
      <w:r>
        <w:rPr>
          <w:rFonts w:ascii="宋体" w:hAnsi="宋体" w:eastAsia="宋体" w:cs="宋体"/>
          <w:spacing w:val="-9"/>
          <w:sz w:val="24"/>
          <w:szCs w:val="24"/>
        </w:rPr>
        <w:t>业和草原局公告</w:t>
      </w:r>
      <w:r>
        <w:rPr>
          <w:rFonts w:ascii="Times New Roman" w:hAnsi="Times New Roman" w:eastAsia="Times New Roman" w:cs="Times New Roman"/>
          <w:spacing w:val="-14"/>
          <w:sz w:val="24"/>
          <w:szCs w:val="24"/>
        </w:rPr>
        <w:t>2023</w:t>
      </w:r>
      <w:r>
        <w:rPr>
          <w:rFonts w:ascii="Times New Roman" w:hAnsi="Times New Roman" w:eastAsia="Times New Roman" w:cs="Times New Roman"/>
          <w:spacing w:val="17"/>
          <w:w w:val="101"/>
          <w:sz w:val="24"/>
          <w:szCs w:val="24"/>
        </w:rPr>
        <w:t xml:space="preserve"> </w:t>
      </w:r>
      <w:r>
        <w:rPr>
          <w:rFonts w:ascii="宋体" w:hAnsi="宋体" w:eastAsia="宋体" w:cs="宋体"/>
          <w:spacing w:val="-14"/>
          <w:sz w:val="24"/>
          <w:szCs w:val="24"/>
        </w:rPr>
        <w:t>年第</w:t>
      </w:r>
      <w:r>
        <w:rPr>
          <w:rFonts w:ascii="宋体" w:hAnsi="宋体" w:eastAsia="宋体" w:cs="宋体"/>
          <w:spacing w:val="-32"/>
          <w:sz w:val="24"/>
          <w:szCs w:val="24"/>
        </w:rPr>
        <w:t xml:space="preserve"> </w:t>
      </w:r>
      <w:r>
        <w:rPr>
          <w:rFonts w:ascii="Times New Roman" w:hAnsi="Times New Roman" w:eastAsia="Times New Roman" w:cs="Times New Roman"/>
          <w:spacing w:val="-14"/>
          <w:sz w:val="24"/>
          <w:szCs w:val="24"/>
        </w:rPr>
        <w:t>10</w:t>
      </w:r>
      <w:r>
        <w:rPr>
          <w:rFonts w:ascii="Times New Roman" w:hAnsi="Times New Roman" w:eastAsia="Times New Roman" w:cs="Times New Roman"/>
          <w:spacing w:val="15"/>
          <w:sz w:val="24"/>
          <w:szCs w:val="24"/>
        </w:rPr>
        <w:t xml:space="preserve"> </w:t>
      </w:r>
      <w:r>
        <w:rPr>
          <w:rFonts w:ascii="宋体" w:hAnsi="宋体" w:eastAsia="宋体" w:cs="宋体"/>
          <w:spacing w:val="-14"/>
          <w:sz w:val="24"/>
          <w:szCs w:val="24"/>
        </w:rPr>
        <w:t>号）。</w:t>
      </w:r>
    </w:p>
    <w:p w14:paraId="6FCCE164">
      <w:pPr>
        <w:spacing w:before="1" w:line="231" w:lineRule="auto"/>
        <w:ind w:left="10"/>
        <w:rPr>
          <w:rFonts w:ascii="宋体" w:hAnsi="宋体" w:eastAsia="宋体" w:cs="宋体"/>
          <w:sz w:val="24"/>
          <w:szCs w:val="24"/>
        </w:rPr>
      </w:pPr>
      <w:r>
        <w:rPr>
          <w:rFonts w:ascii="Times New Roman" w:hAnsi="Times New Roman" w:eastAsia="Times New Roman" w:cs="Times New Roman"/>
          <w:b/>
          <w:bCs/>
          <w:spacing w:val="-2"/>
          <w:sz w:val="24"/>
          <w:szCs w:val="24"/>
        </w:rPr>
        <w:t xml:space="preserve">1.3.4 </w:t>
      </w:r>
      <w:r>
        <w:rPr>
          <w:rFonts w:ascii="宋体" w:hAnsi="宋体" w:eastAsia="宋体" w:cs="宋体"/>
          <w:b/>
          <w:bCs/>
          <w:spacing w:val="-2"/>
          <w:sz w:val="24"/>
          <w:szCs w:val="24"/>
        </w:rPr>
        <w:t>环境影响评价技术导则、环境保护标准及技术规范</w:t>
      </w:r>
    </w:p>
    <w:p w14:paraId="1758EABA">
      <w:pPr>
        <w:spacing w:before="166" w:line="232" w:lineRule="auto"/>
        <w:ind w:left="503"/>
        <w:rPr>
          <w:rFonts w:ascii="宋体" w:hAnsi="宋体" w:eastAsia="宋体" w:cs="宋体"/>
          <w:sz w:val="24"/>
          <w:szCs w:val="24"/>
        </w:rPr>
      </w:pPr>
      <w:r>
        <w:rPr>
          <w:rFonts w:ascii="Times New Roman" w:hAnsi="Times New Roman" w:eastAsia="Times New Roman" w:cs="Times New Roman"/>
          <w:spacing w:val="-9"/>
          <w:sz w:val="24"/>
          <w:szCs w:val="24"/>
        </w:rPr>
        <w:t>1</w:t>
      </w:r>
      <w:r>
        <w:rPr>
          <w:rFonts w:ascii="宋体" w:hAnsi="宋体" w:eastAsia="宋体" w:cs="宋体"/>
          <w:spacing w:val="-9"/>
          <w:sz w:val="24"/>
          <w:szCs w:val="24"/>
        </w:rPr>
        <w:t>）《建设项目环境影响评价技术导则  总纲》（</w:t>
      </w:r>
      <w:r>
        <w:rPr>
          <w:rFonts w:ascii="Times New Roman" w:hAnsi="Times New Roman" w:eastAsia="Times New Roman" w:cs="Times New Roman"/>
          <w:spacing w:val="-9"/>
          <w:sz w:val="24"/>
          <w:szCs w:val="24"/>
        </w:rPr>
        <w:t>HJ2.</w:t>
      </w:r>
      <w:r>
        <w:rPr>
          <w:rFonts w:ascii="Times New Roman" w:hAnsi="Times New Roman" w:eastAsia="Times New Roman" w:cs="Times New Roman"/>
          <w:spacing w:val="-30"/>
          <w:sz w:val="24"/>
          <w:szCs w:val="24"/>
        </w:rPr>
        <w:t xml:space="preserve"> </w:t>
      </w:r>
      <w:r>
        <w:rPr>
          <w:rFonts w:ascii="Times New Roman" w:hAnsi="Times New Roman" w:eastAsia="Times New Roman" w:cs="Times New Roman"/>
          <w:spacing w:val="-9"/>
          <w:sz w:val="24"/>
          <w:szCs w:val="24"/>
        </w:rPr>
        <w:t>1-2016</w:t>
      </w:r>
      <w:r>
        <w:rPr>
          <w:rFonts w:ascii="宋体" w:hAnsi="宋体" w:eastAsia="宋体" w:cs="宋体"/>
          <w:spacing w:val="-62"/>
          <w:w w:val="97"/>
          <w:sz w:val="24"/>
          <w:szCs w:val="24"/>
        </w:rPr>
        <w:t>）；</w:t>
      </w:r>
    </w:p>
    <w:p w14:paraId="219541A5">
      <w:pPr>
        <w:spacing w:before="167" w:line="232" w:lineRule="auto"/>
        <w:ind w:left="480"/>
        <w:rPr>
          <w:rFonts w:ascii="宋体" w:hAnsi="宋体" w:eastAsia="宋体" w:cs="宋体"/>
          <w:sz w:val="24"/>
          <w:szCs w:val="24"/>
        </w:rPr>
      </w:pPr>
      <w:r>
        <w:rPr>
          <w:rFonts w:ascii="Times New Roman" w:hAnsi="Times New Roman" w:eastAsia="Times New Roman" w:cs="Times New Roman"/>
          <w:spacing w:val="-9"/>
          <w:sz w:val="24"/>
          <w:szCs w:val="24"/>
        </w:rPr>
        <w:t>2</w:t>
      </w:r>
      <w:r>
        <w:rPr>
          <w:rFonts w:ascii="宋体" w:hAnsi="宋体" w:eastAsia="宋体" w:cs="宋体"/>
          <w:spacing w:val="-9"/>
          <w:sz w:val="24"/>
          <w:szCs w:val="24"/>
        </w:rPr>
        <w:t>）《环境影响评价技术导则  输变电》（</w:t>
      </w:r>
      <w:r>
        <w:rPr>
          <w:rFonts w:ascii="Times New Roman" w:hAnsi="Times New Roman" w:eastAsia="Times New Roman" w:cs="Times New Roman"/>
          <w:spacing w:val="-9"/>
          <w:sz w:val="24"/>
          <w:szCs w:val="24"/>
        </w:rPr>
        <w:t>HJ24-2020</w:t>
      </w:r>
      <w:r>
        <w:rPr>
          <w:rFonts w:ascii="宋体" w:hAnsi="宋体" w:eastAsia="宋体" w:cs="宋体"/>
          <w:spacing w:val="-60"/>
          <w:sz w:val="24"/>
          <w:szCs w:val="24"/>
        </w:rPr>
        <w:t>）；</w:t>
      </w:r>
    </w:p>
    <w:p w14:paraId="24A1EFAB">
      <w:pPr>
        <w:spacing w:before="167" w:line="232" w:lineRule="auto"/>
        <w:ind w:left="484"/>
        <w:rPr>
          <w:rFonts w:ascii="宋体" w:hAnsi="宋体" w:eastAsia="宋体" w:cs="宋体"/>
          <w:sz w:val="24"/>
          <w:szCs w:val="24"/>
        </w:rPr>
      </w:pPr>
      <w:r>
        <w:rPr>
          <w:rFonts w:ascii="Times New Roman" w:hAnsi="Times New Roman" w:eastAsia="Times New Roman" w:cs="Times New Roman"/>
          <w:spacing w:val="-8"/>
          <w:sz w:val="24"/>
          <w:szCs w:val="24"/>
        </w:rPr>
        <w:t>3</w:t>
      </w:r>
      <w:r>
        <w:rPr>
          <w:rFonts w:ascii="宋体" w:hAnsi="宋体" w:eastAsia="宋体" w:cs="宋体"/>
          <w:spacing w:val="-8"/>
          <w:sz w:val="24"/>
          <w:szCs w:val="24"/>
        </w:rPr>
        <w:t>）《环境影响评价技术导则  生态影响</w:t>
      </w:r>
      <w:r>
        <w:rPr>
          <w:rFonts w:ascii="宋体" w:hAnsi="宋体" w:eastAsia="宋体" w:cs="宋体"/>
          <w:spacing w:val="-9"/>
          <w:sz w:val="24"/>
          <w:szCs w:val="24"/>
        </w:rPr>
        <w:t>》（</w:t>
      </w:r>
      <w:r>
        <w:rPr>
          <w:rFonts w:ascii="Times New Roman" w:hAnsi="Times New Roman" w:eastAsia="Times New Roman" w:cs="Times New Roman"/>
          <w:spacing w:val="-9"/>
          <w:sz w:val="24"/>
          <w:szCs w:val="24"/>
        </w:rPr>
        <w:t>HJ19-2022</w:t>
      </w:r>
      <w:r>
        <w:rPr>
          <w:rFonts w:ascii="宋体" w:hAnsi="宋体" w:eastAsia="宋体" w:cs="宋体"/>
          <w:spacing w:val="-62"/>
          <w:w w:val="97"/>
          <w:sz w:val="24"/>
          <w:szCs w:val="24"/>
        </w:rPr>
        <w:t>）；</w:t>
      </w:r>
    </w:p>
    <w:p w14:paraId="0D9FC1DC">
      <w:pPr>
        <w:spacing w:before="167" w:line="233" w:lineRule="auto"/>
        <w:ind w:left="478"/>
        <w:rPr>
          <w:rFonts w:ascii="宋体" w:hAnsi="宋体" w:eastAsia="宋体" w:cs="宋体"/>
          <w:sz w:val="24"/>
          <w:szCs w:val="24"/>
        </w:rPr>
      </w:pPr>
      <w:r>
        <w:rPr>
          <w:rFonts w:ascii="Times New Roman" w:hAnsi="Times New Roman" w:eastAsia="Times New Roman" w:cs="Times New Roman"/>
          <w:spacing w:val="-8"/>
          <w:sz w:val="24"/>
          <w:szCs w:val="24"/>
        </w:rPr>
        <w:t>4</w:t>
      </w:r>
      <w:r>
        <w:rPr>
          <w:rFonts w:ascii="宋体" w:hAnsi="宋体" w:eastAsia="宋体" w:cs="宋体"/>
          <w:spacing w:val="-8"/>
          <w:sz w:val="24"/>
          <w:szCs w:val="24"/>
        </w:rPr>
        <w:t>）《生物多样性观测技术导则 陆生维管植物》（</w:t>
      </w:r>
      <w:r>
        <w:rPr>
          <w:rFonts w:ascii="Times New Roman" w:hAnsi="Times New Roman" w:eastAsia="Times New Roman" w:cs="Times New Roman"/>
          <w:spacing w:val="-8"/>
          <w:sz w:val="24"/>
          <w:szCs w:val="24"/>
        </w:rPr>
        <w:t>HJ710.</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8"/>
          <w:sz w:val="24"/>
          <w:szCs w:val="24"/>
        </w:rPr>
        <w:t>1-2014</w:t>
      </w:r>
      <w:r>
        <w:rPr>
          <w:rFonts w:ascii="宋体" w:hAnsi="宋体" w:eastAsia="宋体" w:cs="宋体"/>
          <w:spacing w:val="-65"/>
          <w:sz w:val="24"/>
          <w:szCs w:val="24"/>
        </w:rPr>
        <w:t>）；</w:t>
      </w:r>
    </w:p>
    <w:p w14:paraId="1C503377">
      <w:pPr>
        <w:spacing w:before="165" w:line="233" w:lineRule="auto"/>
        <w:ind w:left="486"/>
        <w:rPr>
          <w:rFonts w:ascii="宋体" w:hAnsi="宋体" w:eastAsia="宋体" w:cs="宋体"/>
          <w:sz w:val="24"/>
          <w:szCs w:val="24"/>
        </w:rPr>
      </w:pPr>
      <w:r>
        <w:rPr>
          <w:rFonts w:ascii="Times New Roman" w:hAnsi="Times New Roman" w:eastAsia="Times New Roman" w:cs="Times New Roman"/>
          <w:spacing w:val="-7"/>
          <w:sz w:val="24"/>
          <w:szCs w:val="24"/>
        </w:rPr>
        <w:t>5</w:t>
      </w:r>
      <w:r>
        <w:rPr>
          <w:rFonts w:ascii="宋体" w:hAnsi="宋体" w:eastAsia="宋体" w:cs="宋体"/>
          <w:spacing w:val="-7"/>
          <w:sz w:val="24"/>
          <w:szCs w:val="24"/>
        </w:rPr>
        <w:t>）《生物多样性观测技术导则 陆生哺乳动物》（</w:t>
      </w:r>
      <w:r>
        <w:rPr>
          <w:rFonts w:ascii="Times New Roman" w:hAnsi="Times New Roman" w:eastAsia="Times New Roman" w:cs="Times New Roman"/>
          <w:spacing w:val="-7"/>
          <w:sz w:val="24"/>
          <w:szCs w:val="24"/>
        </w:rPr>
        <w:t>HJ71</w:t>
      </w:r>
      <w:r>
        <w:rPr>
          <w:rFonts w:ascii="Times New Roman" w:hAnsi="Times New Roman" w:eastAsia="Times New Roman" w:cs="Times New Roman"/>
          <w:spacing w:val="-8"/>
          <w:sz w:val="24"/>
          <w:szCs w:val="24"/>
        </w:rPr>
        <w:t>0.3-2014</w:t>
      </w:r>
      <w:r>
        <w:rPr>
          <w:rFonts w:ascii="宋体" w:hAnsi="宋体" w:eastAsia="宋体" w:cs="宋体"/>
          <w:spacing w:val="-62"/>
          <w:w w:val="97"/>
          <w:sz w:val="24"/>
          <w:szCs w:val="24"/>
        </w:rPr>
        <w:t>）；</w:t>
      </w:r>
    </w:p>
    <w:p w14:paraId="70DBE7FD">
      <w:pPr>
        <w:spacing w:before="165" w:line="233" w:lineRule="auto"/>
        <w:ind w:left="485"/>
        <w:rPr>
          <w:rFonts w:ascii="宋体" w:hAnsi="宋体" w:eastAsia="宋体" w:cs="宋体"/>
          <w:sz w:val="24"/>
          <w:szCs w:val="24"/>
        </w:rPr>
      </w:pPr>
      <w:r>
        <w:rPr>
          <w:rFonts w:ascii="Times New Roman" w:hAnsi="Times New Roman" w:eastAsia="Times New Roman" w:cs="Times New Roman"/>
          <w:spacing w:val="-8"/>
          <w:sz w:val="24"/>
          <w:szCs w:val="24"/>
        </w:rPr>
        <w:t>6</w:t>
      </w:r>
      <w:r>
        <w:rPr>
          <w:rFonts w:ascii="宋体" w:hAnsi="宋体" w:eastAsia="宋体" w:cs="宋体"/>
          <w:spacing w:val="-8"/>
          <w:sz w:val="24"/>
          <w:szCs w:val="24"/>
        </w:rPr>
        <w:t>）《生物多样性观测技术导则 鸟类》（</w:t>
      </w:r>
      <w:r>
        <w:rPr>
          <w:rFonts w:ascii="Times New Roman" w:hAnsi="Times New Roman" w:eastAsia="Times New Roman" w:cs="Times New Roman"/>
          <w:spacing w:val="-8"/>
          <w:sz w:val="24"/>
          <w:szCs w:val="24"/>
        </w:rPr>
        <w:t>HJ710.4-</w:t>
      </w:r>
      <w:r>
        <w:rPr>
          <w:rFonts w:ascii="Times New Roman" w:hAnsi="Times New Roman" w:eastAsia="Times New Roman" w:cs="Times New Roman"/>
          <w:spacing w:val="-9"/>
          <w:sz w:val="24"/>
          <w:szCs w:val="24"/>
        </w:rPr>
        <w:t>2014</w:t>
      </w:r>
      <w:r>
        <w:rPr>
          <w:rFonts w:ascii="宋体" w:hAnsi="宋体" w:eastAsia="宋体" w:cs="宋体"/>
          <w:spacing w:val="-62"/>
          <w:w w:val="97"/>
          <w:sz w:val="24"/>
          <w:szCs w:val="24"/>
        </w:rPr>
        <w:t>）；</w:t>
      </w:r>
    </w:p>
    <w:p w14:paraId="01BB1FF1">
      <w:pPr>
        <w:spacing w:line="233" w:lineRule="auto"/>
        <w:rPr>
          <w:rFonts w:ascii="宋体" w:hAnsi="宋体" w:eastAsia="宋体" w:cs="宋体"/>
          <w:sz w:val="24"/>
          <w:szCs w:val="24"/>
        </w:rPr>
        <w:sectPr>
          <w:footerReference r:id="rId145" w:type="default"/>
          <w:pgSz w:w="11907" w:h="16841"/>
          <w:pgMar w:top="400" w:right="1413" w:bottom="1126" w:left="1423" w:header="0" w:footer="925" w:gutter="0"/>
          <w:cols w:space="720" w:num="1"/>
        </w:sectPr>
      </w:pPr>
    </w:p>
    <w:p w14:paraId="64D31A91">
      <w:pPr>
        <w:spacing w:line="249" w:lineRule="auto"/>
        <w:rPr>
          <w:rFonts w:ascii="Arial"/>
          <w:sz w:val="21"/>
        </w:rPr>
      </w:pPr>
    </w:p>
    <w:p w14:paraId="6D172C78">
      <w:pPr>
        <w:spacing w:line="249" w:lineRule="auto"/>
        <w:rPr>
          <w:rFonts w:ascii="Arial"/>
          <w:sz w:val="21"/>
        </w:rPr>
      </w:pPr>
    </w:p>
    <w:p w14:paraId="04FC6BE9">
      <w:pPr>
        <w:spacing w:line="249" w:lineRule="auto"/>
        <w:rPr>
          <w:rFonts w:ascii="Arial"/>
          <w:sz w:val="21"/>
        </w:rPr>
      </w:pPr>
    </w:p>
    <w:p w14:paraId="50F77C28">
      <w:pPr>
        <w:spacing w:line="249" w:lineRule="auto"/>
        <w:rPr>
          <w:rFonts w:ascii="Arial"/>
          <w:sz w:val="21"/>
        </w:rPr>
      </w:pPr>
    </w:p>
    <w:p w14:paraId="62D8683C">
      <w:pPr>
        <w:spacing w:line="249" w:lineRule="auto"/>
        <w:rPr>
          <w:rFonts w:ascii="Arial"/>
          <w:sz w:val="21"/>
        </w:rPr>
      </w:pPr>
    </w:p>
    <w:p w14:paraId="1513A3F1">
      <w:pPr>
        <w:spacing w:before="78" w:line="233" w:lineRule="auto"/>
        <w:ind w:left="481"/>
        <w:rPr>
          <w:rFonts w:ascii="宋体" w:hAnsi="宋体" w:eastAsia="宋体" w:cs="宋体"/>
          <w:sz w:val="24"/>
          <w:szCs w:val="24"/>
        </w:rPr>
      </w:pPr>
      <w:r>
        <w:rPr>
          <w:rFonts w:ascii="Times New Roman" w:hAnsi="Times New Roman" w:eastAsia="Times New Roman" w:cs="Times New Roman"/>
          <w:spacing w:val="-9"/>
          <w:sz w:val="24"/>
          <w:szCs w:val="24"/>
        </w:rPr>
        <w:t>7</w:t>
      </w:r>
      <w:r>
        <w:rPr>
          <w:rFonts w:ascii="宋体" w:hAnsi="宋体" w:eastAsia="宋体" w:cs="宋体"/>
          <w:spacing w:val="-9"/>
          <w:sz w:val="24"/>
          <w:szCs w:val="24"/>
        </w:rPr>
        <w:t>）《生物多样性观测技术导则</w:t>
      </w:r>
      <w:r>
        <w:rPr>
          <w:rFonts w:ascii="宋体" w:hAnsi="宋体" w:eastAsia="宋体" w:cs="宋体"/>
          <w:spacing w:val="32"/>
          <w:sz w:val="24"/>
          <w:szCs w:val="24"/>
        </w:rPr>
        <w:t xml:space="preserve"> </w:t>
      </w:r>
      <w:r>
        <w:rPr>
          <w:rFonts w:ascii="宋体" w:hAnsi="宋体" w:eastAsia="宋体" w:cs="宋体"/>
          <w:spacing w:val="-9"/>
          <w:sz w:val="24"/>
          <w:szCs w:val="24"/>
        </w:rPr>
        <w:t>爬行动物》（</w:t>
      </w:r>
      <w:r>
        <w:rPr>
          <w:rFonts w:ascii="Times New Roman" w:hAnsi="Times New Roman" w:eastAsia="Times New Roman" w:cs="Times New Roman"/>
          <w:spacing w:val="-9"/>
          <w:sz w:val="24"/>
          <w:szCs w:val="24"/>
        </w:rPr>
        <w:t>HJ710.5-2014</w:t>
      </w:r>
      <w:r>
        <w:rPr>
          <w:rFonts w:ascii="宋体" w:hAnsi="宋体" w:eastAsia="宋体" w:cs="宋体"/>
          <w:spacing w:val="-41"/>
          <w:sz w:val="24"/>
          <w:szCs w:val="24"/>
        </w:rPr>
        <w:t>）；</w:t>
      </w:r>
    </w:p>
    <w:p w14:paraId="7F9B6DDF">
      <w:pPr>
        <w:spacing w:before="165" w:line="233" w:lineRule="auto"/>
        <w:ind w:left="487"/>
        <w:rPr>
          <w:rFonts w:ascii="宋体" w:hAnsi="宋体" w:eastAsia="宋体" w:cs="宋体"/>
          <w:sz w:val="24"/>
          <w:szCs w:val="24"/>
        </w:rPr>
      </w:pPr>
      <w:r>
        <w:rPr>
          <w:rFonts w:ascii="Times New Roman" w:hAnsi="Times New Roman" w:eastAsia="Times New Roman" w:cs="Times New Roman"/>
          <w:spacing w:val="-9"/>
          <w:sz w:val="24"/>
          <w:szCs w:val="24"/>
        </w:rPr>
        <w:t>8</w:t>
      </w:r>
      <w:r>
        <w:rPr>
          <w:rFonts w:ascii="宋体" w:hAnsi="宋体" w:eastAsia="宋体" w:cs="宋体"/>
          <w:spacing w:val="-9"/>
          <w:sz w:val="24"/>
          <w:szCs w:val="24"/>
        </w:rPr>
        <w:t>）《生物多样性观测技术导则</w:t>
      </w:r>
      <w:r>
        <w:rPr>
          <w:rFonts w:ascii="宋体" w:hAnsi="宋体" w:eastAsia="宋体" w:cs="宋体"/>
          <w:spacing w:val="32"/>
          <w:sz w:val="24"/>
          <w:szCs w:val="24"/>
        </w:rPr>
        <w:t xml:space="preserve"> </w:t>
      </w:r>
      <w:r>
        <w:rPr>
          <w:rFonts w:ascii="宋体" w:hAnsi="宋体" w:eastAsia="宋体" w:cs="宋体"/>
          <w:spacing w:val="-9"/>
          <w:sz w:val="24"/>
          <w:szCs w:val="24"/>
        </w:rPr>
        <w:t>两栖动物》（</w:t>
      </w:r>
      <w:r>
        <w:rPr>
          <w:rFonts w:ascii="Times New Roman" w:hAnsi="Times New Roman" w:eastAsia="Times New Roman" w:cs="Times New Roman"/>
          <w:spacing w:val="-9"/>
          <w:sz w:val="24"/>
          <w:szCs w:val="24"/>
        </w:rPr>
        <w:t>HJ710.6-2014</w:t>
      </w:r>
      <w:r>
        <w:rPr>
          <w:rFonts w:ascii="宋体" w:hAnsi="宋体" w:eastAsia="宋体" w:cs="宋体"/>
          <w:spacing w:val="-44"/>
          <w:sz w:val="24"/>
          <w:szCs w:val="24"/>
        </w:rPr>
        <w:t>）；</w:t>
      </w:r>
    </w:p>
    <w:p w14:paraId="4D1E609A">
      <w:pPr>
        <w:spacing w:before="164" w:line="360" w:lineRule="auto"/>
        <w:ind w:left="2" w:firstLine="479"/>
        <w:rPr>
          <w:rFonts w:ascii="宋体" w:hAnsi="宋体" w:eastAsia="宋体" w:cs="宋体"/>
          <w:sz w:val="24"/>
          <w:szCs w:val="24"/>
        </w:rPr>
      </w:pPr>
      <w:r>
        <w:rPr>
          <w:rFonts w:ascii="Times New Roman" w:hAnsi="Times New Roman" w:eastAsia="Times New Roman" w:cs="Times New Roman"/>
          <w:spacing w:val="-19"/>
          <w:sz w:val="24"/>
          <w:szCs w:val="24"/>
        </w:rPr>
        <w:t>9</w:t>
      </w:r>
      <w:r>
        <w:rPr>
          <w:rFonts w:ascii="宋体" w:hAnsi="宋体" w:eastAsia="宋体" w:cs="宋体"/>
          <w:spacing w:val="-19"/>
          <w:sz w:val="24"/>
          <w:szCs w:val="24"/>
        </w:rPr>
        <w:t>）《云南省环境影响评价维管植物及植被现状</w:t>
      </w:r>
      <w:r>
        <w:rPr>
          <w:rFonts w:ascii="宋体" w:hAnsi="宋体" w:eastAsia="宋体" w:cs="宋体"/>
          <w:spacing w:val="-20"/>
          <w:sz w:val="24"/>
          <w:szCs w:val="24"/>
        </w:rPr>
        <w:t>调查技术要求（试行）》（云环发〔</w:t>
      </w:r>
      <w:r>
        <w:rPr>
          <w:rFonts w:ascii="Times New Roman" w:hAnsi="Times New Roman" w:eastAsia="Times New Roman" w:cs="Times New Roman"/>
          <w:spacing w:val="-20"/>
          <w:sz w:val="24"/>
          <w:szCs w:val="24"/>
        </w:rPr>
        <w:t>2022</w:t>
      </w:r>
      <w:r>
        <w:rPr>
          <w:rFonts w:ascii="宋体" w:hAnsi="宋体" w:eastAsia="宋体" w:cs="宋体"/>
          <w:spacing w:val="-20"/>
          <w:sz w:val="24"/>
          <w:szCs w:val="24"/>
        </w:rPr>
        <w:t>〕</w:t>
      </w:r>
      <w:r>
        <w:rPr>
          <w:rFonts w:ascii="宋体" w:hAnsi="宋体" w:eastAsia="宋体" w:cs="宋体"/>
          <w:sz w:val="24"/>
          <w:szCs w:val="24"/>
        </w:rPr>
        <w:t xml:space="preserve"> </w:t>
      </w:r>
      <w:r>
        <w:rPr>
          <w:rFonts w:ascii="Times New Roman" w:hAnsi="Times New Roman" w:eastAsia="Times New Roman" w:cs="Times New Roman"/>
          <w:spacing w:val="-33"/>
          <w:sz w:val="24"/>
          <w:szCs w:val="24"/>
        </w:rPr>
        <w:t>34</w:t>
      </w:r>
      <w:r>
        <w:rPr>
          <w:rFonts w:ascii="Times New Roman" w:hAnsi="Times New Roman" w:eastAsia="Times New Roman" w:cs="Times New Roman"/>
          <w:spacing w:val="18"/>
          <w:sz w:val="24"/>
          <w:szCs w:val="24"/>
        </w:rPr>
        <w:t xml:space="preserve"> </w:t>
      </w:r>
      <w:r>
        <w:rPr>
          <w:rFonts w:ascii="宋体" w:hAnsi="宋体" w:eastAsia="宋体" w:cs="宋体"/>
          <w:spacing w:val="-33"/>
          <w:sz w:val="24"/>
          <w:szCs w:val="24"/>
        </w:rPr>
        <w:t>号）。</w:t>
      </w:r>
    </w:p>
    <w:p w14:paraId="3BA2E3AA">
      <w:pPr>
        <w:spacing w:line="233" w:lineRule="auto"/>
        <w:ind w:left="500"/>
        <w:rPr>
          <w:rFonts w:ascii="宋体" w:hAnsi="宋体" w:eastAsia="宋体" w:cs="宋体"/>
          <w:sz w:val="24"/>
          <w:szCs w:val="24"/>
        </w:rPr>
      </w:pPr>
      <w:r>
        <w:rPr>
          <w:rFonts w:ascii="Times New Roman" w:hAnsi="Times New Roman" w:eastAsia="Times New Roman" w:cs="Times New Roman"/>
          <w:spacing w:val="-7"/>
          <w:sz w:val="24"/>
          <w:szCs w:val="24"/>
        </w:rPr>
        <w:t>10</w:t>
      </w:r>
      <w:r>
        <w:rPr>
          <w:rFonts w:ascii="宋体" w:hAnsi="宋体" w:eastAsia="宋体" w:cs="宋体"/>
          <w:spacing w:val="-7"/>
          <w:sz w:val="24"/>
          <w:szCs w:val="24"/>
        </w:rPr>
        <w:t>）《</w:t>
      </w:r>
      <w:r>
        <w:rPr>
          <w:rFonts w:ascii="Times New Roman" w:hAnsi="Times New Roman" w:eastAsia="Times New Roman" w:cs="Times New Roman"/>
          <w:spacing w:val="-7"/>
          <w:sz w:val="24"/>
          <w:szCs w:val="24"/>
        </w:rPr>
        <w:t>110kV</w:t>
      </w:r>
      <w:r>
        <w:rPr>
          <w:rFonts w:ascii="宋体" w:hAnsi="宋体" w:eastAsia="宋体" w:cs="宋体"/>
          <w:spacing w:val="-7"/>
          <w:sz w:val="24"/>
          <w:szCs w:val="24"/>
        </w:rPr>
        <w:t>～</w:t>
      </w:r>
      <w:r>
        <w:rPr>
          <w:rFonts w:ascii="Times New Roman" w:hAnsi="Times New Roman" w:eastAsia="Times New Roman" w:cs="Times New Roman"/>
          <w:spacing w:val="-7"/>
          <w:sz w:val="24"/>
          <w:szCs w:val="24"/>
        </w:rPr>
        <w:t xml:space="preserve">750kV </w:t>
      </w:r>
      <w:r>
        <w:rPr>
          <w:rFonts w:ascii="宋体" w:hAnsi="宋体" w:eastAsia="宋体" w:cs="宋体"/>
          <w:spacing w:val="-7"/>
          <w:sz w:val="24"/>
          <w:szCs w:val="24"/>
        </w:rPr>
        <w:t>架空输电线路设计规范》（</w:t>
      </w:r>
      <w:r>
        <w:rPr>
          <w:rFonts w:ascii="Times New Roman" w:hAnsi="Times New Roman" w:eastAsia="Times New Roman" w:cs="Times New Roman"/>
          <w:spacing w:val="-7"/>
          <w:sz w:val="24"/>
          <w:szCs w:val="24"/>
        </w:rPr>
        <w:t>GB50545-2010</w:t>
      </w:r>
      <w:r>
        <w:rPr>
          <w:rFonts w:ascii="宋体" w:hAnsi="宋体" w:eastAsia="宋体" w:cs="宋体"/>
          <w:spacing w:val="-43"/>
          <w:sz w:val="24"/>
          <w:szCs w:val="24"/>
        </w:rPr>
        <w:t>）；</w:t>
      </w:r>
    </w:p>
    <w:p w14:paraId="545E4344">
      <w:pPr>
        <w:spacing w:before="165" w:line="233" w:lineRule="auto"/>
        <w:ind w:left="500"/>
        <w:rPr>
          <w:rFonts w:ascii="宋体" w:hAnsi="宋体" w:eastAsia="宋体" w:cs="宋体"/>
          <w:sz w:val="24"/>
          <w:szCs w:val="24"/>
        </w:rPr>
      </w:pPr>
      <w:r>
        <w:rPr>
          <w:rFonts w:ascii="Times New Roman" w:hAnsi="Times New Roman" w:eastAsia="Times New Roman" w:cs="Times New Roman"/>
          <w:spacing w:val="-12"/>
          <w:sz w:val="24"/>
          <w:szCs w:val="24"/>
        </w:rPr>
        <w:t>11</w:t>
      </w:r>
      <w:r>
        <w:rPr>
          <w:rFonts w:ascii="宋体" w:hAnsi="宋体" w:eastAsia="宋体" w:cs="宋体"/>
          <w:spacing w:val="-12"/>
          <w:sz w:val="24"/>
          <w:szCs w:val="24"/>
        </w:rPr>
        <w:t>）《土地利用现状分类》（</w:t>
      </w:r>
      <w:r>
        <w:rPr>
          <w:rFonts w:ascii="Times New Roman" w:hAnsi="Times New Roman" w:eastAsia="Times New Roman" w:cs="Times New Roman"/>
          <w:spacing w:val="-12"/>
          <w:sz w:val="24"/>
          <w:szCs w:val="24"/>
        </w:rPr>
        <w:t>GB/T21010-2017</w:t>
      </w:r>
      <w:r>
        <w:rPr>
          <w:rFonts w:ascii="宋体" w:hAnsi="宋体" w:eastAsia="宋体" w:cs="宋体"/>
          <w:spacing w:val="-12"/>
          <w:sz w:val="24"/>
          <w:szCs w:val="24"/>
        </w:rPr>
        <w:t>）。</w:t>
      </w:r>
    </w:p>
    <w:p w14:paraId="07F874A5">
      <w:pPr>
        <w:spacing w:before="221" w:line="232" w:lineRule="auto"/>
        <w:ind w:left="11"/>
        <w:rPr>
          <w:rFonts w:ascii="宋体" w:hAnsi="宋体" w:eastAsia="宋体" w:cs="宋体"/>
          <w:sz w:val="28"/>
          <w:szCs w:val="28"/>
        </w:rPr>
      </w:pPr>
      <w:bookmarkStart w:id="36" w:name="bookmark42"/>
      <w:bookmarkEnd w:id="36"/>
      <w:r>
        <w:rPr>
          <w:rFonts w:ascii="Times New Roman" w:hAnsi="Times New Roman" w:eastAsia="Times New Roman" w:cs="Times New Roman"/>
          <w:b/>
          <w:bCs/>
          <w:spacing w:val="-3"/>
          <w:sz w:val="28"/>
          <w:szCs w:val="28"/>
        </w:rPr>
        <w:t xml:space="preserve">1.4 </w:t>
      </w:r>
      <w:r>
        <w:rPr>
          <w:rFonts w:ascii="宋体" w:hAnsi="宋体" w:eastAsia="宋体" w:cs="宋体"/>
          <w:b/>
          <w:bCs/>
          <w:spacing w:val="-3"/>
          <w:sz w:val="28"/>
          <w:szCs w:val="28"/>
        </w:rPr>
        <w:t>评价因子、评价内容及生态评价重点</w:t>
      </w:r>
    </w:p>
    <w:p w14:paraId="12499340">
      <w:pPr>
        <w:spacing w:before="215" w:line="232" w:lineRule="auto"/>
        <w:ind w:left="8"/>
        <w:rPr>
          <w:rFonts w:ascii="宋体" w:hAnsi="宋体" w:eastAsia="宋体" w:cs="宋体"/>
          <w:sz w:val="24"/>
          <w:szCs w:val="24"/>
        </w:rPr>
      </w:pPr>
      <w:r>
        <w:rPr>
          <w:rFonts w:ascii="Times New Roman" w:hAnsi="Times New Roman" w:eastAsia="Times New Roman" w:cs="Times New Roman"/>
          <w:b/>
          <w:bCs/>
          <w:spacing w:val="-3"/>
          <w:sz w:val="24"/>
          <w:szCs w:val="24"/>
        </w:rPr>
        <w:t xml:space="preserve">1.4.1 </w:t>
      </w:r>
      <w:r>
        <w:rPr>
          <w:rFonts w:ascii="宋体" w:hAnsi="宋体" w:eastAsia="宋体" w:cs="宋体"/>
          <w:b/>
          <w:bCs/>
          <w:spacing w:val="-3"/>
          <w:sz w:val="24"/>
          <w:szCs w:val="24"/>
        </w:rPr>
        <w:t>评价因子</w:t>
      </w:r>
    </w:p>
    <w:p w14:paraId="6DD24B6E">
      <w:pPr>
        <w:spacing w:before="167" w:line="360" w:lineRule="auto"/>
        <w:ind w:left="4" w:right="80" w:firstLine="477"/>
        <w:rPr>
          <w:rFonts w:ascii="宋体" w:hAnsi="宋体" w:eastAsia="宋体" w:cs="宋体"/>
          <w:sz w:val="24"/>
          <w:szCs w:val="24"/>
        </w:rPr>
      </w:pPr>
      <w:r>
        <w:rPr>
          <w:rFonts w:ascii="宋体" w:hAnsi="宋体" w:eastAsia="宋体" w:cs="宋体"/>
          <w:spacing w:val="-2"/>
          <w:sz w:val="24"/>
          <w:szCs w:val="24"/>
        </w:rPr>
        <w:t>根据同类型项目的调查经验，输变电类型的项目对生态环境的影响分施工期和运行期两个时段进行评价，特点主要为：施工期影响较大，运行期影响较小。</w:t>
      </w:r>
    </w:p>
    <w:p w14:paraId="659E1AB2">
      <w:pPr>
        <w:spacing w:before="1" w:line="218" w:lineRule="auto"/>
        <w:ind w:left="484"/>
        <w:rPr>
          <w:rFonts w:ascii="宋体" w:hAnsi="宋体" w:eastAsia="宋体" w:cs="宋体"/>
          <w:sz w:val="24"/>
          <w:szCs w:val="24"/>
        </w:rPr>
      </w:pPr>
      <w:r>
        <w:rPr>
          <w:rFonts w:ascii="宋体" w:hAnsi="宋体" w:eastAsia="宋体" w:cs="宋体"/>
          <w:spacing w:val="-3"/>
          <w:sz w:val="24"/>
          <w:szCs w:val="24"/>
        </w:rPr>
        <w:t>工程建设对生态环境的影响主要表现在以下几个方面：</w:t>
      </w:r>
    </w:p>
    <w:p w14:paraId="63711C4D">
      <w:pPr>
        <w:spacing w:before="183" w:line="359" w:lineRule="auto"/>
        <w:ind w:right="79" w:firstLine="487"/>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1</w:t>
      </w:r>
      <w:r>
        <w:rPr>
          <w:rFonts w:ascii="宋体" w:hAnsi="宋体" w:eastAsia="宋体" w:cs="宋体"/>
          <w:spacing w:val="-1"/>
          <w:sz w:val="24"/>
          <w:szCs w:val="24"/>
        </w:rPr>
        <w:t xml:space="preserve">）项目施工过程中，输电线路施工过程中，塔基 </w:t>
      </w:r>
      <w:r>
        <w:rPr>
          <w:rFonts w:ascii="Times New Roman" w:hAnsi="Times New Roman" w:eastAsia="Times New Roman" w:cs="Times New Roman"/>
          <w:spacing w:val="-2"/>
          <w:sz w:val="24"/>
          <w:szCs w:val="24"/>
        </w:rPr>
        <w:t>4</w:t>
      </w:r>
      <w:r>
        <w:rPr>
          <w:rFonts w:ascii="Times New Roman" w:hAnsi="Times New Roman" w:eastAsia="Times New Roman" w:cs="Times New Roman"/>
          <w:spacing w:val="46"/>
          <w:sz w:val="24"/>
          <w:szCs w:val="24"/>
        </w:rPr>
        <w:t xml:space="preserve"> </w:t>
      </w:r>
      <w:r>
        <w:rPr>
          <w:rFonts w:ascii="宋体" w:hAnsi="宋体" w:eastAsia="宋体" w:cs="宋体"/>
          <w:spacing w:val="-2"/>
          <w:sz w:val="24"/>
          <w:szCs w:val="24"/>
        </w:rPr>
        <w:t>个塔脚处需要永久占地，从而使局部地表状态及场地地表植被发生改变，对局部生态造成不同程度影响，具有不可</w:t>
      </w:r>
      <w:r>
        <w:rPr>
          <w:rFonts w:ascii="宋体" w:hAnsi="宋体" w:eastAsia="宋体" w:cs="宋体"/>
          <w:spacing w:val="-10"/>
          <w:sz w:val="24"/>
          <w:szCs w:val="24"/>
        </w:rPr>
        <w:t>逆性。</w:t>
      </w:r>
    </w:p>
    <w:p w14:paraId="1E993DEB">
      <w:pPr>
        <w:spacing w:before="5" w:line="360" w:lineRule="auto"/>
        <w:ind w:right="80" w:firstLine="487"/>
        <w:rPr>
          <w:rFonts w:ascii="宋体" w:hAnsi="宋体" w:eastAsia="宋体" w:cs="宋体"/>
          <w:sz w:val="24"/>
          <w:szCs w:val="24"/>
        </w:rPr>
      </w:pPr>
      <w:r>
        <w:rPr>
          <w:rFonts w:ascii="宋体" w:hAnsi="宋体" w:eastAsia="宋体" w:cs="宋体"/>
          <w:spacing w:val="2"/>
          <w:sz w:val="24"/>
          <w:szCs w:val="24"/>
        </w:rPr>
        <w:t>（</w:t>
      </w:r>
      <w:r>
        <w:rPr>
          <w:rFonts w:ascii="Times New Roman" w:hAnsi="Times New Roman" w:eastAsia="Times New Roman" w:cs="Times New Roman"/>
          <w:spacing w:val="2"/>
          <w:sz w:val="24"/>
          <w:szCs w:val="24"/>
        </w:rPr>
        <w:t>2</w:t>
      </w:r>
      <w:r>
        <w:rPr>
          <w:rFonts w:ascii="宋体" w:hAnsi="宋体" w:eastAsia="宋体" w:cs="宋体"/>
          <w:spacing w:val="2"/>
          <w:sz w:val="24"/>
          <w:szCs w:val="24"/>
        </w:rPr>
        <w:t>）施工过程中杆塔的现场组立及牵张放</w:t>
      </w:r>
      <w:r>
        <w:rPr>
          <w:rFonts w:ascii="宋体" w:hAnsi="宋体" w:eastAsia="宋体" w:cs="宋体"/>
          <w:spacing w:val="1"/>
          <w:sz w:val="24"/>
          <w:szCs w:val="24"/>
        </w:rPr>
        <w:t>线需占用临时用地，因施工需要工程材</w:t>
      </w:r>
      <w:r>
        <w:rPr>
          <w:rFonts w:ascii="宋体" w:hAnsi="宋体" w:eastAsia="宋体" w:cs="宋体"/>
          <w:spacing w:val="-2"/>
          <w:sz w:val="24"/>
          <w:szCs w:val="24"/>
        </w:rPr>
        <w:t>料、土石方的临时堆放也会占用少量场地。这些临时占地将使区域地表状态及地表植被</w:t>
      </w:r>
      <w:r>
        <w:rPr>
          <w:rFonts w:ascii="宋体" w:hAnsi="宋体" w:eastAsia="宋体" w:cs="宋体"/>
          <w:spacing w:val="-6"/>
          <w:sz w:val="24"/>
          <w:szCs w:val="24"/>
        </w:rPr>
        <w:t>遭到短期破坏，导致生产力下降和生物量损失。对区域生态造成不同程度影响，</w:t>
      </w:r>
      <w:r>
        <w:rPr>
          <w:rFonts w:ascii="宋体" w:hAnsi="宋体" w:eastAsia="宋体" w:cs="宋体"/>
          <w:spacing w:val="48"/>
          <w:sz w:val="24"/>
          <w:szCs w:val="24"/>
        </w:rPr>
        <w:t xml:space="preserve"> </w:t>
      </w:r>
      <w:r>
        <w:rPr>
          <w:rFonts w:ascii="宋体" w:hAnsi="宋体" w:eastAsia="宋体" w:cs="宋体"/>
          <w:spacing w:val="-6"/>
          <w:sz w:val="24"/>
          <w:szCs w:val="24"/>
        </w:rPr>
        <w:t>但具有</w:t>
      </w:r>
      <w:r>
        <w:rPr>
          <w:rFonts w:ascii="宋体" w:hAnsi="宋体" w:eastAsia="宋体" w:cs="宋体"/>
          <w:spacing w:val="-9"/>
          <w:sz w:val="24"/>
          <w:szCs w:val="24"/>
        </w:rPr>
        <w:t>可逆性。</w:t>
      </w:r>
    </w:p>
    <w:p w14:paraId="571E892B">
      <w:pPr>
        <w:spacing w:before="2" w:line="358" w:lineRule="auto"/>
        <w:ind w:left="2" w:right="77" w:firstLine="485"/>
        <w:rPr>
          <w:rFonts w:ascii="宋体" w:hAnsi="宋体" w:eastAsia="宋体" w:cs="宋体"/>
          <w:sz w:val="24"/>
          <w:szCs w:val="24"/>
        </w:rPr>
      </w:pPr>
      <w:r>
        <w:rPr>
          <w:rFonts w:ascii="宋体" w:hAnsi="宋体" w:eastAsia="宋体" w:cs="宋体"/>
          <w:spacing w:val="-6"/>
          <w:sz w:val="24"/>
          <w:szCs w:val="24"/>
        </w:rPr>
        <w:t>（</w:t>
      </w:r>
      <w:r>
        <w:rPr>
          <w:rFonts w:ascii="Times New Roman" w:hAnsi="Times New Roman" w:eastAsia="Times New Roman" w:cs="Times New Roman"/>
          <w:spacing w:val="-6"/>
          <w:sz w:val="24"/>
          <w:szCs w:val="24"/>
        </w:rPr>
        <w:t>3</w:t>
      </w:r>
      <w:r>
        <w:rPr>
          <w:rFonts w:ascii="宋体" w:hAnsi="宋体" w:eastAsia="宋体" w:cs="宋体"/>
          <w:spacing w:val="-6"/>
          <w:sz w:val="24"/>
          <w:szCs w:val="24"/>
        </w:rPr>
        <w:t>）输电线路塔基施工需进行挖方、填方等活动，</w:t>
      </w:r>
      <w:r>
        <w:rPr>
          <w:rFonts w:ascii="宋体" w:hAnsi="宋体" w:eastAsia="宋体" w:cs="宋体"/>
          <w:spacing w:val="-67"/>
          <w:sz w:val="24"/>
          <w:szCs w:val="24"/>
        </w:rPr>
        <w:t xml:space="preserve"> </w:t>
      </w:r>
      <w:r>
        <w:rPr>
          <w:rFonts w:ascii="宋体" w:hAnsi="宋体" w:eastAsia="宋体" w:cs="宋体"/>
          <w:spacing w:val="-7"/>
          <w:sz w:val="24"/>
          <w:szCs w:val="24"/>
        </w:rPr>
        <w:t>会对附近原生地貌和植被造成一</w:t>
      </w:r>
      <w:r>
        <w:rPr>
          <w:rFonts w:ascii="宋体" w:hAnsi="宋体" w:eastAsia="宋体" w:cs="宋体"/>
          <w:spacing w:val="-2"/>
          <w:sz w:val="24"/>
          <w:szCs w:val="24"/>
        </w:rPr>
        <w:t>定程度破坏，降低覆盖度，可能形成裸露疏松表土，导致土壤侵蚀，加剧土壤侵蚀与水土流失，及时实施植被恢复，则影响具有可逆性。</w:t>
      </w:r>
    </w:p>
    <w:p w14:paraId="07F2B017">
      <w:pPr>
        <w:spacing w:before="4" w:line="359" w:lineRule="auto"/>
        <w:ind w:right="96" w:firstLine="488"/>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4</w:t>
      </w:r>
      <w:r>
        <w:rPr>
          <w:rFonts w:ascii="宋体" w:hAnsi="宋体" w:eastAsia="宋体" w:cs="宋体"/>
          <w:spacing w:val="-5"/>
          <w:sz w:val="24"/>
          <w:szCs w:val="24"/>
        </w:rPr>
        <w:t>）施工期间，施工人员出入现场、运输车辆</w:t>
      </w:r>
      <w:r>
        <w:rPr>
          <w:rFonts w:ascii="宋体" w:hAnsi="宋体" w:eastAsia="宋体" w:cs="宋体"/>
          <w:spacing w:val="-6"/>
          <w:sz w:val="24"/>
          <w:szCs w:val="24"/>
        </w:rPr>
        <w:t>来往、施工机械运行等活动会对施工</w:t>
      </w:r>
      <w:r>
        <w:rPr>
          <w:rFonts w:ascii="宋体" w:hAnsi="宋体" w:eastAsia="宋体" w:cs="宋体"/>
          <w:spacing w:val="-8"/>
          <w:sz w:val="24"/>
          <w:szCs w:val="24"/>
        </w:rPr>
        <w:t>场地周边觅食、停留的动物产生干扰，有可</w:t>
      </w:r>
      <w:r>
        <w:rPr>
          <w:rFonts w:ascii="宋体" w:hAnsi="宋体" w:eastAsia="宋体" w:cs="宋体"/>
          <w:spacing w:val="-9"/>
          <w:sz w:val="24"/>
          <w:szCs w:val="24"/>
        </w:rPr>
        <w:t>能限制其活动区域、觅食范围、栖息空间等。</w:t>
      </w:r>
      <w:r>
        <w:rPr>
          <w:rFonts w:ascii="宋体" w:hAnsi="宋体" w:eastAsia="宋体" w:cs="宋体"/>
          <w:spacing w:val="-2"/>
          <w:sz w:val="24"/>
          <w:szCs w:val="24"/>
        </w:rPr>
        <w:t>但影响是短暂的，施工结束人员撤离后，影响可消除。</w:t>
      </w:r>
    </w:p>
    <w:p w14:paraId="03CAFF59">
      <w:pPr>
        <w:spacing w:before="5" w:line="359" w:lineRule="auto"/>
        <w:ind w:left="3" w:right="82" w:firstLine="484"/>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5</w:t>
      </w:r>
      <w:r>
        <w:rPr>
          <w:rFonts w:ascii="宋体" w:hAnsi="宋体" w:eastAsia="宋体" w:cs="宋体"/>
          <w:spacing w:val="1"/>
          <w:sz w:val="24"/>
          <w:szCs w:val="24"/>
        </w:rPr>
        <w:t>）输电线路运行期的运行维护活动主要为线路例行安全巡检，巡检人员主要沿</w:t>
      </w:r>
      <w:r>
        <w:rPr>
          <w:rFonts w:ascii="宋体" w:hAnsi="宋体" w:eastAsia="宋体" w:cs="宋体"/>
          <w:spacing w:val="-6"/>
          <w:sz w:val="24"/>
          <w:szCs w:val="24"/>
        </w:rPr>
        <w:t>已有道路活动，对线路周边生态环境基本不产生影响。塔基建立后，</w:t>
      </w:r>
      <w:r>
        <w:rPr>
          <w:rFonts w:ascii="宋体" w:hAnsi="宋体" w:eastAsia="宋体" w:cs="宋体"/>
          <w:spacing w:val="45"/>
          <w:sz w:val="24"/>
          <w:szCs w:val="24"/>
        </w:rPr>
        <w:t xml:space="preserve"> </w:t>
      </w:r>
      <w:r>
        <w:rPr>
          <w:rFonts w:ascii="宋体" w:hAnsi="宋体" w:eastAsia="宋体" w:cs="宋体"/>
          <w:spacing w:val="-6"/>
          <w:sz w:val="24"/>
          <w:szCs w:val="24"/>
        </w:rPr>
        <w:t>会造成景观体系组</w:t>
      </w:r>
      <w:r>
        <w:rPr>
          <w:rFonts w:ascii="宋体" w:hAnsi="宋体" w:eastAsia="宋体" w:cs="宋体"/>
          <w:spacing w:val="-7"/>
          <w:sz w:val="24"/>
          <w:szCs w:val="24"/>
        </w:rPr>
        <w:t>成发生变化。</w:t>
      </w:r>
    </w:p>
    <w:p w14:paraId="734B468C">
      <w:pPr>
        <w:spacing w:before="5" w:line="232" w:lineRule="auto"/>
        <w:ind w:left="481"/>
        <w:rPr>
          <w:rFonts w:ascii="宋体" w:hAnsi="宋体" w:eastAsia="宋体" w:cs="宋体"/>
          <w:sz w:val="24"/>
          <w:szCs w:val="24"/>
        </w:rPr>
      </w:pPr>
      <w:r>
        <w:rPr>
          <w:rFonts w:ascii="宋体" w:hAnsi="宋体" w:eastAsia="宋体" w:cs="宋体"/>
          <w:spacing w:val="-4"/>
          <w:sz w:val="24"/>
          <w:szCs w:val="24"/>
        </w:rPr>
        <w:t>根据《环境影响评价技术导则生态影响》（</w:t>
      </w:r>
      <w:r>
        <w:rPr>
          <w:rFonts w:ascii="Times New Roman" w:hAnsi="Times New Roman" w:eastAsia="Times New Roman" w:cs="Times New Roman"/>
          <w:spacing w:val="-4"/>
          <w:sz w:val="24"/>
          <w:szCs w:val="24"/>
        </w:rPr>
        <w:t>HJ19-2022</w:t>
      </w:r>
      <w:r>
        <w:rPr>
          <w:rFonts w:ascii="宋体" w:hAnsi="宋体" w:eastAsia="宋体" w:cs="宋体"/>
          <w:spacing w:val="-4"/>
          <w:sz w:val="24"/>
          <w:szCs w:val="24"/>
        </w:rPr>
        <w:t>）附录</w:t>
      </w:r>
      <w:r>
        <w:rPr>
          <w:rFonts w:ascii="宋体" w:hAnsi="宋体" w:eastAsia="宋体" w:cs="宋体"/>
          <w:spacing w:val="-57"/>
          <w:sz w:val="24"/>
          <w:szCs w:val="24"/>
        </w:rPr>
        <w:t xml:space="preserve"> </w:t>
      </w:r>
      <w:r>
        <w:rPr>
          <w:rFonts w:ascii="Times New Roman" w:hAnsi="Times New Roman" w:eastAsia="Times New Roman" w:cs="Times New Roman"/>
          <w:spacing w:val="-4"/>
          <w:sz w:val="24"/>
          <w:szCs w:val="24"/>
        </w:rPr>
        <w:t>A</w:t>
      </w:r>
      <w:r>
        <w:rPr>
          <w:rFonts w:ascii="宋体" w:hAnsi="宋体" w:eastAsia="宋体" w:cs="宋体"/>
          <w:spacing w:val="-4"/>
          <w:sz w:val="24"/>
          <w:szCs w:val="24"/>
        </w:rPr>
        <w:t>，对</w:t>
      </w:r>
      <w:r>
        <w:rPr>
          <w:rFonts w:ascii="宋体" w:hAnsi="宋体" w:eastAsia="宋体" w:cs="宋体"/>
          <w:spacing w:val="-5"/>
          <w:sz w:val="24"/>
          <w:szCs w:val="24"/>
        </w:rPr>
        <w:t>生态评价因子筛</w:t>
      </w:r>
    </w:p>
    <w:p w14:paraId="7BCCD3E8">
      <w:pPr>
        <w:spacing w:line="232" w:lineRule="auto"/>
        <w:rPr>
          <w:rFonts w:ascii="宋体" w:hAnsi="宋体" w:eastAsia="宋体" w:cs="宋体"/>
          <w:sz w:val="24"/>
          <w:szCs w:val="24"/>
        </w:rPr>
        <w:sectPr>
          <w:footerReference r:id="rId146" w:type="default"/>
          <w:pgSz w:w="11907" w:h="16841"/>
          <w:pgMar w:top="400" w:right="1335" w:bottom="1126" w:left="1426" w:header="0" w:footer="925" w:gutter="0"/>
          <w:cols w:space="720" w:num="1"/>
        </w:sectPr>
      </w:pPr>
    </w:p>
    <w:p w14:paraId="76143660">
      <w:pPr>
        <w:spacing w:line="249" w:lineRule="auto"/>
        <w:rPr>
          <w:rFonts w:ascii="Arial"/>
          <w:sz w:val="21"/>
        </w:rPr>
      </w:pPr>
    </w:p>
    <w:p w14:paraId="7995A956">
      <w:pPr>
        <w:spacing w:line="249" w:lineRule="auto"/>
        <w:rPr>
          <w:rFonts w:ascii="Arial"/>
          <w:sz w:val="21"/>
        </w:rPr>
      </w:pPr>
    </w:p>
    <w:p w14:paraId="62BFB9E3">
      <w:pPr>
        <w:spacing w:line="249" w:lineRule="auto"/>
        <w:rPr>
          <w:rFonts w:ascii="Arial"/>
          <w:sz w:val="21"/>
        </w:rPr>
      </w:pPr>
    </w:p>
    <w:p w14:paraId="0F9F3988">
      <w:pPr>
        <w:spacing w:line="249" w:lineRule="auto"/>
        <w:rPr>
          <w:rFonts w:ascii="Arial"/>
          <w:sz w:val="21"/>
        </w:rPr>
      </w:pPr>
    </w:p>
    <w:p w14:paraId="49D26A0A">
      <w:pPr>
        <w:spacing w:line="249" w:lineRule="auto"/>
        <w:rPr>
          <w:rFonts w:ascii="Arial"/>
          <w:sz w:val="21"/>
        </w:rPr>
      </w:pPr>
    </w:p>
    <w:p w14:paraId="7C113DA6">
      <w:pPr>
        <w:spacing w:before="78" w:line="220" w:lineRule="auto"/>
        <w:ind w:left="8"/>
        <w:rPr>
          <w:rFonts w:ascii="宋体" w:hAnsi="宋体" w:eastAsia="宋体" w:cs="宋体"/>
          <w:sz w:val="24"/>
          <w:szCs w:val="24"/>
        </w:rPr>
      </w:pPr>
      <w:r>
        <w:rPr>
          <w:rFonts w:ascii="宋体" w:hAnsi="宋体" w:eastAsia="宋体" w:cs="宋体"/>
          <w:spacing w:val="-3"/>
          <w:sz w:val="24"/>
          <w:szCs w:val="24"/>
        </w:rPr>
        <w:t>选如下。</w:t>
      </w:r>
    </w:p>
    <w:p w14:paraId="2EC8422A">
      <w:pPr>
        <w:spacing w:before="117" w:line="229" w:lineRule="auto"/>
        <w:ind w:left="3005"/>
        <w:rPr>
          <w:rFonts w:ascii="宋体" w:hAnsi="宋体" w:eastAsia="宋体" w:cs="宋体"/>
          <w:sz w:val="21"/>
          <w:szCs w:val="21"/>
        </w:rPr>
      </w:pPr>
      <w:r>
        <w:rPr>
          <w:rFonts w:ascii="宋体" w:hAnsi="宋体" w:eastAsia="宋体" w:cs="宋体"/>
          <w:b/>
          <w:bCs/>
          <w:spacing w:val="-3"/>
          <w:sz w:val="21"/>
          <w:szCs w:val="21"/>
        </w:rPr>
        <w:t>表</w:t>
      </w:r>
      <w:r>
        <w:rPr>
          <w:rFonts w:ascii="宋体" w:hAnsi="宋体" w:eastAsia="宋体" w:cs="宋体"/>
          <w:spacing w:val="-19"/>
          <w:sz w:val="21"/>
          <w:szCs w:val="21"/>
        </w:rPr>
        <w:t xml:space="preserve"> </w:t>
      </w:r>
      <w:r>
        <w:rPr>
          <w:rFonts w:ascii="Times New Roman" w:hAnsi="Times New Roman" w:eastAsia="Times New Roman" w:cs="Times New Roman"/>
          <w:b/>
          <w:bCs/>
          <w:spacing w:val="-3"/>
          <w:sz w:val="21"/>
          <w:szCs w:val="21"/>
        </w:rPr>
        <w:t xml:space="preserve">1-1    </w:t>
      </w:r>
      <w:r>
        <w:rPr>
          <w:rFonts w:ascii="宋体" w:hAnsi="宋体" w:eastAsia="宋体" w:cs="宋体"/>
          <w:b/>
          <w:bCs/>
          <w:spacing w:val="-3"/>
          <w:sz w:val="21"/>
          <w:szCs w:val="21"/>
        </w:rPr>
        <w:t>生态影响评价因子筛选表</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6"/>
        <w:gridCol w:w="873"/>
        <w:gridCol w:w="1598"/>
        <w:gridCol w:w="4359"/>
        <w:gridCol w:w="727"/>
        <w:gridCol w:w="785"/>
      </w:tblGrid>
      <w:tr w14:paraId="74F1B5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26" w:type="dxa"/>
            <w:vAlign w:val="top"/>
          </w:tcPr>
          <w:p w14:paraId="09EAEF15">
            <w:pPr>
              <w:pStyle w:val="6"/>
              <w:spacing w:before="56" w:line="219" w:lineRule="auto"/>
              <w:ind w:left="155"/>
            </w:pPr>
            <w:r>
              <w:rPr>
                <w:b/>
                <w:bCs/>
                <w:spacing w:val="-4"/>
              </w:rPr>
              <w:t>评价</w:t>
            </w:r>
          </w:p>
          <w:p w14:paraId="2D720809">
            <w:pPr>
              <w:pStyle w:val="6"/>
              <w:spacing w:before="62" w:line="222" w:lineRule="auto"/>
              <w:ind w:left="165"/>
            </w:pPr>
            <w:r>
              <w:rPr>
                <w:b/>
                <w:bCs/>
                <w:spacing w:val="-6"/>
              </w:rPr>
              <w:t>阶段</w:t>
            </w:r>
          </w:p>
        </w:tc>
        <w:tc>
          <w:tcPr>
            <w:tcW w:w="873" w:type="dxa"/>
            <w:vAlign w:val="top"/>
          </w:tcPr>
          <w:p w14:paraId="5E399B6F">
            <w:pPr>
              <w:pStyle w:val="6"/>
              <w:spacing w:before="56" w:line="249" w:lineRule="auto"/>
              <w:ind w:left="228" w:right="118" w:hanging="100"/>
            </w:pPr>
            <w:r>
              <w:rPr>
                <w:b/>
                <w:bCs/>
                <w:spacing w:val="-6"/>
              </w:rPr>
              <w:t>受影响</w:t>
            </w:r>
            <w:r>
              <w:rPr>
                <w:b/>
                <w:bCs/>
                <w:spacing w:val="-4"/>
              </w:rPr>
              <w:t>对象</w:t>
            </w:r>
          </w:p>
        </w:tc>
        <w:tc>
          <w:tcPr>
            <w:tcW w:w="1598" w:type="dxa"/>
            <w:vAlign w:val="top"/>
          </w:tcPr>
          <w:p w14:paraId="014BECBE">
            <w:pPr>
              <w:pStyle w:val="6"/>
              <w:spacing w:before="212" w:line="219" w:lineRule="auto"/>
              <w:ind w:left="379"/>
            </w:pPr>
            <w:r>
              <w:rPr>
                <w:b/>
                <w:bCs/>
                <w:spacing w:val="-3"/>
              </w:rPr>
              <w:t>评价因子</w:t>
            </w:r>
          </w:p>
        </w:tc>
        <w:tc>
          <w:tcPr>
            <w:tcW w:w="4359" w:type="dxa"/>
            <w:vAlign w:val="top"/>
          </w:tcPr>
          <w:p w14:paraId="38383241">
            <w:pPr>
              <w:pStyle w:val="6"/>
              <w:spacing w:before="211" w:line="221" w:lineRule="auto"/>
              <w:ind w:left="1237"/>
            </w:pPr>
            <w:r>
              <w:rPr>
                <w:b/>
                <w:bCs/>
                <w:spacing w:val="-3"/>
              </w:rPr>
              <w:t>工程内容及影响方式</w:t>
            </w:r>
          </w:p>
        </w:tc>
        <w:tc>
          <w:tcPr>
            <w:tcW w:w="727" w:type="dxa"/>
            <w:vAlign w:val="top"/>
          </w:tcPr>
          <w:p w14:paraId="757707D9">
            <w:pPr>
              <w:pStyle w:val="6"/>
              <w:spacing w:before="55" w:line="223" w:lineRule="auto"/>
              <w:ind w:left="159"/>
            </w:pPr>
            <w:r>
              <w:rPr>
                <w:b/>
                <w:bCs/>
                <w:spacing w:val="-4"/>
              </w:rPr>
              <w:t>影响</w:t>
            </w:r>
          </w:p>
          <w:p w14:paraId="033C34B3">
            <w:pPr>
              <w:pStyle w:val="6"/>
              <w:spacing w:before="58" w:line="221" w:lineRule="auto"/>
              <w:ind w:left="162"/>
            </w:pPr>
            <w:r>
              <w:rPr>
                <w:b/>
                <w:bCs/>
                <w:spacing w:val="-5"/>
              </w:rPr>
              <w:t>性质</w:t>
            </w:r>
          </w:p>
        </w:tc>
        <w:tc>
          <w:tcPr>
            <w:tcW w:w="785" w:type="dxa"/>
            <w:vAlign w:val="top"/>
          </w:tcPr>
          <w:p w14:paraId="7B3841A2">
            <w:pPr>
              <w:pStyle w:val="6"/>
              <w:spacing w:before="55" w:line="223" w:lineRule="auto"/>
              <w:ind w:left="186"/>
            </w:pPr>
            <w:r>
              <w:rPr>
                <w:b/>
                <w:bCs/>
                <w:spacing w:val="-4"/>
              </w:rPr>
              <w:t>影响</w:t>
            </w:r>
          </w:p>
          <w:p w14:paraId="6638A9BB">
            <w:pPr>
              <w:pStyle w:val="6"/>
              <w:spacing w:before="58" w:line="221" w:lineRule="auto"/>
              <w:ind w:left="186"/>
            </w:pPr>
            <w:r>
              <w:rPr>
                <w:b/>
                <w:bCs/>
                <w:spacing w:val="-4"/>
              </w:rPr>
              <w:t>程度</w:t>
            </w:r>
          </w:p>
        </w:tc>
      </w:tr>
      <w:tr w14:paraId="4E3441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4" w:hRule="atLeast"/>
        </w:trPr>
        <w:tc>
          <w:tcPr>
            <w:tcW w:w="726" w:type="dxa"/>
            <w:vMerge w:val="restart"/>
            <w:tcBorders>
              <w:bottom w:val="nil"/>
            </w:tcBorders>
            <w:vAlign w:val="top"/>
          </w:tcPr>
          <w:p w14:paraId="41F4584A">
            <w:pPr>
              <w:spacing w:line="259" w:lineRule="auto"/>
              <w:rPr>
                <w:rFonts w:ascii="Arial"/>
                <w:sz w:val="21"/>
              </w:rPr>
            </w:pPr>
          </w:p>
          <w:p w14:paraId="1ABF2483">
            <w:pPr>
              <w:spacing w:line="259" w:lineRule="auto"/>
              <w:rPr>
                <w:rFonts w:ascii="Arial"/>
                <w:sz w:val="21"/>
              </w:rPr>
            </w:pPr>
          </w:p>
          <w:p w14:paraId="17C8D501">
            <w:pPr>
              <w:spacing w:line="259" w:lineRule="auto"/>
              <w:rPr>
                <w:rFonts w:ascii="Arial"/>
                <w:sz w:val="21"/>
              </w:rPr>
            </w:pPr>
          </w:p>
          <w:p w14:paraId="5AF974FE">
            <w:pPr>
              <w:spacing w:line="259" w:lineRule="auto"/>
              <w:rPr>
                <w:rFonts w:ascii="Arial"/>
                <w:sz w:val="21"/>
              </w:rPr>
            </w:pPr>
          </w:p>
          <w:p w14:paraId="68EA8116">
            <w:pPr>
              <w:spacing w:line="259" w:lineRule="auto"/>
              <w:rPr>
                <w:rFonts w:ascii="Arial"/>
                <w:sz w:val="21"/>
              </w:rPr>
            </w:pPr>
          </w:p>
          <w:p w14:paraId="3B403775">
            <w:pPr>
              <w:spacing w:line="259" w:lineRule="auto"/>
              <w:rPr>
                <w:rFonts w:ascii="Arial"/>
                <w:sz w:val="21"/>
              </w:rPr>
            </w:pPr>
          </w:p>
          <w:p w14:paraId="2A271781">
            <w:pPr>
              <w:spacing w:line="259" w:lineRule="auto"/>
              <w:rPr>
                <w:rFonts w:ascii="Arial"/>
                <w:sz w:val="21"/>
              </w:rPr>
            </w:pPr>
          </w:p>
          <w:p w14:paraId="30D80DC9">
            <w:pPr>
              <w:spacing w:line="259" w:lineRule="auto"/>
              <w:rPr>
                <w:rFonts w:ascii="Arial"/>
                <w:sz w:val="21"/>
              </w:rPr>
            </w:pPr>
          </w:p>
          <w:p w14:paraId="64C1026C">
            <w:pPr>
              <w:spacing w:line="259" w:lineRule="auto"/>
              <w:rPr>
                <w:rFonts w:ascii="Arial"/>
                <w:sz w:val="21"/>
              </w:rPr>
            </w:pPr>
          </w:p>
          <w:p w14:paraId="4A132137">
            <w:pPr>
              <w:spacing w:line="259" w:lineRule="auto"/>
              <w:rPr>
                <w:rFonts w:ascii="Arial"/>
                <w:sz w:val="21"/>
              </w:rPr>
            </w:pPr>
          </w:p>
          <w:p w14:paraId="71230883">
            <w:pPr>
              <w:spacing w:line="260" w:lineRule="auto"/>
              <w:rPr>
                <w:rFonts w:ascii="Arial"/>
                <w:sz w:val="21"/>
              </w:rPr>
            </w:pPr>
          </w:p>
          <w:p w14:paraId="1A0A5519">
            <w:pPr>
              <w:spacing w:line="260" w:lineRule="auto"/>
              <w:rPr>
                <w:rFonts w:ascii="Arial"/>
                <w:sz w:val="21"/>
              </w:rPr>
            </w:pPr>
          </w:p>
          <w:p w14:paraId="6C715C99">
            <w:pPr>
              <w:pStyle w:val="6"/>
              <w:spacing w:before="68" w:line="277" w:lineRule="auto"/>
              <w:ind w:left="264" w:right="147" w:hanging="106"/>
            </w:pPr>
            <w:r>
              <w:rPr>
                <w:spacing w:val="-3"/>
              </w:rPr>
              <w:t>施工</w:t>
            </w:r>
            <w:r>
              <w:t>期</w:t>
            </w:r>
          </w:p>
        </w:tc>
        <w:tc>
          <w:tcPr>
            <w:tcW w:w="873" w:type="dxa"/>
            <w:vAlign w:val="top"/>
          </w:tcPr>
          <w:p w14:paraId="40E2875E">
            <w:pPr>
              <w:spacing w:line="451" w:lineRule="auto"/>
              <w:rPr>
                <w:rFonts w:ascii="Arial"/>
                <w:sz w:val="21"/>
              </w:rPr>
            </w:pPr>
          </w:p>
          <w:p w14:paraId="3AC2F221">
            <w:pPr>
              <w:pStyle w:val="6"/>
              <w:spacing w:before="68" w:line="221" w:lineRule="auto"/>
              <w:ind w:left="229"/>
            </w:pPr>
            <w:r>
              <w:rPr>
                <w:spacing w:val="-2"/>
              </w:rPr>
              <w:t>物种</w:t>
            </w:r>
          </w:p>
        </w:tc>
        <w:tc>
          <w:tcPr>
            <w:tcW w:w="1598" w:type="dxa"/>
            <w:vAlign w:val="top"/>
          </w:tcPr>
          <w:p w14:paraId="5E1E5079">
            <w:pPr>
              <w:pStyle w:val="6"/>
              <w:spacing w:before="208" w:line="276" w:lineRule="auto"/>
              <w:ind w:left="170" w:right="168" w:firstLine="2"/>
              <w:jc w:val="both"/>
            </w:pPr>
            <w:r>
              <w:rPr>
                <w:spacing w:val="-2"/>
              </w:rPr>
              <w:t>分布范围、种</w:t>
            </w:r>
            <w:r>
              <w:rPr>
                <w:spacing w:val="-1"/>
              </w:rPr>
              <w:t>群数量、种群结构、行为等</w:t>
            </w:r>
          </w:p>
        </w:tc>
        <w:tc>
          <w:tcPr>
            <w:tcW w:w="4359" w:type="dxa"/>
            <w:vAlign w:val="top"/>
          </w:tcPr>
          <w:p w14:paraId="6815CAE4">
            <w:pPr>
              <w:pStyle w:val="6"/>
              <w:spacing w:before="53" w:line="220" w:lineRule="auto"/>
              <w:ind w:left="190"/>
            </w:pPr>
            <w:r>
              <w:rPr>
                <w:spacing w:val="-1"/>
              </w:rPr>
              <w:t>线路施工时杆塔的永久占地及牵张场、跨越</w:t>
            </w:r>
          </w:p>
          <w:p w14:paraId="55C72FC9">
            <w:pPr>
              <w:pStyle w:val="6"/>
              <w:spacing w:before="61" w:line="220" w:lineRule="auto"/>
              <w:ind w:left="187"/>
            </w:pPr>
            <w:r>
              <w:rPr>
                <w:spacing w:val="-1"/>
              </w:rPr>
              <w:t>场等临时占地，都会损坏沿线植被，塔基永</w:t>
            </w:r>
          </w:p>
          <w:p w14:paraId="0F343C56">
            <w:pPr>
              <w:pStyle w:val="6"/>
              <w:spacing w:before="61" w:line="221" w:lineRule="auto"/>
              <w:ind w:left="190"/>
            </w:pPr>
            <w:r>
              <w:rPr>
                <w:spacing w:val="-1"/>
              </w:rPr>
              <w:t>久占地处需砍伐树木，种群数量有所减少，</w:t>
            </w:r>
          </w:p>
          <w:p w14:paraId="7FED7A4B">
            <w:pPr>
              <w:pStyle w:val="6"/>
              <w:spacing w:before="61" w:line="221" w:lineRule="auto"/>
              <w:ind w:left="1132"/>
            </w:pPr>
            <w:r>
              <w:rPr>
                <w:spacing w:val="-1"/>
              </w:rPr>
              <w:t>但影响不大，直接影响</w:t>
            </w:r>
          </w:p>
        </w:tc>
        <w:tc>
          <w:tcPr>
            <w:tcW w:w="727" w:type="dxa"/>
            <w:vAlign w:val="top"/>
          </w:tcPr>
          <w:p w14:paraId="39780306">
            <w:pPr>
              <w:spacing w:line="451" w:lineRule="auto"/>
              <w:rPr>
                <w:rFonts w:ascii="Arial"/>
                <w:sz w:val="21"/>
              </w:rPr>
            </w:pPr>
          </w:p>
          <w:p w14:paraId="59142E24">
            <w:pPr>
              <w:pStyle w:val="6"/>
              <w:spacing w:before="68" w:line="224" w:lineRule="auto"/>
              <w:ind w:left="164"/>
            </w:pPr>
            <w:r>
              <w:rPr>
                <w:spacing w:val="-2"/>
              </w:rPr>
              <w:t>可逆</w:t>
            </w:r>
          </w:p>
        </w:tc>
        <w:tc>
          <w:tcPr>
            <w:tcW w:w="785" w:type="dxa"/>
            <w:vAlign w:val="top"/>
          </w:tcPr>
          <w:p w14:paraId="3D018978">
            <w:pPr>
              <w:spacing w:line="450" w:lineRule="auto"/>
              <w:rPr>
                <w:rFonts w:ascii="Arial"/>
                <w:sz w:val="21"/>
              </w:rPr>
            </w:pPr>
          </w:p>
          <w:p w14:paraId="18A933DE">
            <w:pPr>
              <w:pStyle w:val="6"/>
              <w:spacing w:before="69" w:line="222" w:lineRule="auto"/>
              <w:ind w:left="295"/>
            </w:pPr>
            <w:r>
              <w:t>弱</w:t>
            </w:r>
          </w:p>
        </w:tc>
      </w:tr>
      <w:tr w14:paraId="34D658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64" w:hRule="atLeast"/>
        </w:trPr>
        <w:tc>
          <w:tcPr>
            <w:tcW w:w="726" w:type="dxa"/>
            <w:vMerge w:val="continue"/>
            <w:tcBorders>
              <w:top w:val="nil"/>
              <w:bottom w:val="nil"/>
            </w:tcBorders>
            <w:vAlign w:val="top"/>
          </w:tcPr>
          <w:p w14:paraId="68FDE088">
            <w:pPr>
              <w:rPr>
                <w:rFonts w:ascii="Arial"/>
                <w:sz w:val="21"/>
              </w:rPr>
            </w:pPr>
          </w:p>
        </w:tc>
        <w:tc>
          <w:tcPr>
            <w:tcW w:w="873" w:type="dxa"/>
            <w:vAlign w:val="top"/>
          </w:tcPr>
          <w:p w14:paraId="1029459D">
            <w:pPr>
              <w:spacing w:line="302" w:lineRule="auto"/>
              <w:rPr>
                <w:rFonts w:ascii="Arial"/>
                <w:sz w:val="21"/>
              </w:rPr>
            </w:pPr>
          </w:p>
          <w:p w14:paraId="5B940574">
            <w:pPr>
              <w:spacing w:line="302" w:lineRule="auto"/>
              <w:rPr>
                <w:rFonts w:ascii="Arial"/>
                <w:sz w:val="21"/>
              </w:rPr>
            </w:pPr>
          </w:p>
          <w:p w14:paraId="421D04E6">
            <w:pPr>
              <w:pStyle w:val="6"/>
              <w:spacing w:before="69" w:line="221" w:lineRule="auto"/>
              <w:ind w:left="231"/>
            </w:pPr>
            <w:r>
              <w:rPr>
                <w:spacing w:val="-2"/>
              </w:rPr>
              <w:t>生境</w:t>
            </w:r>
          </w:p>
        </w:tc>
        <w:tc>
          <w:tcPr>
            <w:tcW w:w="1598" w:type="dxa"/>
            <w:vAlign w:val="top"/>
          </w:tcPr>
          <w:p w14:paraId="62104563">
            <w:pPr>
              <w:spacing w:line="450" w:lineRule="auto"/>
              <w:rPr>
                <w:rFonts w:ascii="Arial"/>
                <w:sz w:val="21"/>
              </w:rPr>
            </w:pPr>
          </w:p>
          <w:p w14:paraId="5811103D">
            <w:pPr>
              <w:pStyle w:val="6"/>
              <w:spacing w:before="68" w:line="276" w:lineRule="auto"/>
              <w:ind w:left="170" w:right="168" w:firstLine="1"/>
            </w:pPr>
            <w:r>
              <w:rPr>
                <w:spacing w:val="-2"/>
              </w:rPr>
              <w:t>生境面积、质</w:t>
            </w:r>
            <w:r>
              <w:rPr>
                <w:spacing w:val="-1"/>
              </w:rPr>
              <w:t>量、连通性等</w:t>
            </w:r>
          </w:p>
        </w:tc>
        <w:tc>
          <w:tcPr>
            <w:tcW w:w="4359" w:type="dxa"/>
            <w:vAlign w:val="top"/>
          </w:tcPr>
          <w:p w14:paraId="54F185C9">
            <w:pPr>
              <w:pStyle w:val="6"/>
              <w:spacing w:before="52" w:line="220" w:lineRule="auto"/>
              <w:ind w:left="199"/>
            </w:pPr>
            <w:r>
              <w:rPr>
                <w:spacing w:val="-1"/>
              </w:rPr>
              <w:t>随着工程的开工，施工机械、施工人员陆续</w:t>
            </w:r>
          </w:p>
          <w:p w14:paraId="092668AB">
            <w:pPr>
              <w:pStyle w:val="6"/>
              <w:spacing w:before="61" w:line="221" w:lineRule="auto"/>
              <w:ind w:left="186"/>
            </w:pPr>
            <w:r>
              <w:rPr>
                <w:spacing w:val="-1"/>
              </w:rPr>
              <w:t>进场，将破坏和改变局部原有野生动物的生</w:t>
            </w:r>
          </w:p>
          <w:p w14:paraId="6319FFD5">
            <w:pPr>
              <w:pStyle w:val="6"/>
              <w:spacing w:before="60" w:line="220" w:lineRule="auto"/>
              <w:ind w:left="187"/>
            </w:pPr>
            <w:r>
              <w:t>存环境，施工机械噪声会驱赶野生动物，使</w:t>
            </w:r>
          </w:p>
          <w:p w14:paraId="535F21DA">
            <w:pPr>
              <w:pStyle w:val="6"/>
              <w:spacing w:before="62" w:line="221" w:lineRule="auto"/>
              <w:ind w:left="190"/>
            </w:pPr>
            <w:r>
              <w:rPr>
                <w:spacing w:val="-1"/>
              </w:rPr>
              <w:t>生境质量降低，但工期较短，施工结束后可</w:t>
            </w:r>
          </w:p>
          <w:p w14:paraId="1D61EC04">
            <w:pPr>
              <w:pStyle w:val="6"/>
              <w:spacing w:before="61" w:line="221" w:lineRule="auto"/>
              <w:ind w:left="1030"/>
            </w:pPr>
            <w:r>
              <w:rPr>
                <w:spacing w:val="-1"/>
              </w:rPr>
              <w:t>恢复生境质量，直接影响</w:t>
            </w:r>
          </w:p>
        </w:tc>
        <w:tc>
          <w:tcPr>
            <w:tcW w:w="727" w:type="dxa"/>
            <w:vAlign w:val="top"/>
          </w:tcPr>
          <w:p w14:paraId="54250D8F">
            <w:pPr>
              <w:spacing w:line="302" w:lineRule="auto"/>
              <w:rPr>
                <w:rFonts w:ascii="Arial"/>
                <w:sz w:val="21"/>
              </w:rPr>
            </w:pPr>
          </w:p>
          <w:p w14:paraId="2B95A4BB">
            <w:pPr>
              <w:spacing w:line="302" w:lineRule="auto"/>
              <w:rPr>
                <w:rFonts w:ascii="Arial"/>
                <w:sz w:val="21"/>
              </w:rPr>
            </w:pPr>
          </w:p>
          <w:p w14:paraId="334C90B1">
            <w:pPr>
              <w:pStyle w:val="6"/>
              <w:spacing w:before="69" w:line="221" w:lineRule="auto"/>
              <w:ind w:left="164"/>
            </w:pPr>
            <w:r>
              <w:rPr>
                <w:spacing w:val="-3"/>
              </w:rPr>
              <w:t>短期</w:t>
            </w:r>
          </w:p>
        </w:tc>
        <w:tc>
          <w:tcPr>
            <w:tcW w:w="785" w:type="dxa"/>
            <w:vAlign w:val="top"/>
          </w:tcPr>
          <w:p w14:paraId="39878DAB">
            <w:pPr>
              <w:spacing w:line="302" w:lineRule="auto"/>
              <w:rPr>
                <w:rFonts w:ascii="Arial"/>
                <w:sz w:val="21"/>
              </w:rPr>
            </w:pPr>
          </w:p>
          <w:p w14:paraId="1480A485">
            <w:pPr>
              <w:spacing w:line="302" w:lineRule="auto"/>
              <w:rPr>
                <w:rFonts w:ascii="Arial"/>
                <w:sz w:val="21"/>
              </w:rPr>
            </w:pPr>
          </w:p>
          <w:p w14:paraId="1D5AB3DC">
            <w:pPr>
              <w:pStyle w:val="6"/>
              <w:spacing w:before="68" w:line="222" w:lineRule="auto"/>
              <w:ind w:left="295"/>
            </w:pPr>
            <w:r>
              <w:t>弱</w:t>
            </w:r>
          </w:p>
        </w:tc>
      </w:tr>
      <w:tr w14:paraId="60D3A5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26" w:type="dxa"/>
            <w:vMerge w:val="continue"/>
            <w:tcBorders>
              <w:top w:val="nil"/>
              <w:bottom w:val="nil"/>
            </w:tcBorders>
            <w:vAlign w:val="top"/>
          </w:tcPr>
          <w:p w14:paraId="0E3F9886">
            <w:pPr>
              <w:rPr>
                <w:rFonts w:ascii="Arial"/>
                <w:sz w:val="21"/>
              </w:rPr>
            </w:pPr>
          </w:p>
        </w:tc>
        <w:tc>
          <w:tcPr>
            <w:tcW w:w="873" w:type="dxa"/>
            <w:vAlign w:val="top"/>
          </w:tcPr>
          <w:p w14:paraId="6D4D97C7">
            <w:pPr>
              <w:pStyle w:val="6"/>
              <w:spacing w:before="209" w:line="277" w:lineRule="auto"/>
              <w:ind w:left="337" w:right="118" w:hanging="211"/>
            </w:pPr>
            <w:r>
              <w:rPr>
                <w:spacing w:val="-3"/>
              </w:rPr>
              <w:t>生物群</w:t>
            </w:r>
            <w:r>
              <w:t>落</w:t>
            </w:r>
          </w:p>
        </w:tc>
        <w:tc>
          <w:tcPr>
            <w:tcW w:w="1598" w:type="dxa"/>
            <w:vAlign w:val="top"/>
          </w:tcPr>
          <w:p w14:paraId="1372A621">
            <w:pPr>
              <w:pStyle w:val="6"/>
              <w:spacing w:before="210" w:line="276" w:lineRule="auto"/>
              <w:ind w:left="383" w:right="168" w:hanging="213"/>
            </w:pPr>
            <w:r>
              <w:rPr>
                <w:spacing w:val="-1"/>
              </w:rPr>
              <w:t>物种组成、群</w:t>
            </w:r>
            <w:r>
              <w:rPr>
                <w:spacing w:val="-2"/>
              </w:rPr>
              <w:t>落结构等</w:t>
            </w:r>
          </w:p>
        </w:tc>
        <w:tc>
          <w:tcPr>
            <w:tcW w:w="4359" w:type="dxa"/>
            <w:vAlign w:val="top"/>
          </w:tcPr>
          <w:p w14:paraId="39286CB4">
            <w:pPr>
              <w:pStyle w:val="6"/>
              <w:spacing w:before="53" w:line="221" w:lineRule="auto"/>
              <w:ind w:left="188"/>
            </w:pPr>
            <w:r>
              <w:rPr>
                <w:spacing w:val="-1"/>
              </w:rPr>
              <w:t>塔基处树木被砍伐，但砍伐的树木为当地分</w:t>
            </w:r>
          </w:p>
          <w:p w14:paraId="22BC8542">
            <w:pPr>
              <w:pStyle w:val="6"/>
              <w:spacing w:before="60" w:line="220" w:lineRule="auto"/>
              <w:ind w:left="188"/>
            </w:pPr>
            <w:r>
              <w:rPr>
                <w:spacing w:val="-1"/>
              </w:rPr>
              <w:t>布较广的树种，不会改变物种组成和群落结</w:t>
            </w:r>
          </w:p>
          <w:p w14:paraId="54CCFFBC">
            <w:pPr>
              <w:pStyle w:val="6"/>
              <w:spacing w:before="62" w:line="221" w:lineRule="auto"/>
              <w:ind w:left="1556"/>
            </w:pPr>
            <w:r>
              <w:rPr>
                <w:spacing w:val="-2"/>
              </w:rPr>
              <w:t>构，直接影响</w:t>
            </w:r>
          </w:p>
        </w:tc>
        <w:tc>
          <w:tcPr>
            <w:tcW w:w="727" w:type="dxa"/>
            <w:vAlign w:val="top"/>
          </w:tcPr>
          <w:p w14:paraId="53A23D0F">
            <w:pPr>
              <w:spacing w:line="295" w:lineRule="auto"/>
              <w:rPr>
                <w:rFonts w:ascii="Arial"/>
                <w:sz w:val="21"/>
              </w:rPr>
            </w:pPr>
          </w:p>
          <w:p w14:paraId="6AA2D60C">
            <w:pPr>
              <w:pStyle w:val="6"/>
              <w:spacing w:before="69" w:line="224" w:lineRule="auto"/>
              <w:ind w:left="164"/>
            </w:pPr>
            <w:r>
              <w:rPr>
                <w:spacing w:val="-2"/>
              </w:rPr>
              <w:t>可逆</w:t>
            </w:r>
          </w:p>
        </w:tc>
        <w:tc>
          <w:tcPr>
            <w:tcW w:w="785" w:type="dxa"/>
            <w:vAlign w:val="top"/>
          </w:tcPr>
          <w:p w14:paraId="55F7523D">
            <w:pPr>
              <w:spacing w:line="295" w:lineRule="auto"/>
              <w:rPr>
                <w:rFonts w:ascii="Arial"/>
                <w:sz w:val="21"/>
              </w:rPr>
            </w:pPr>
          </w:p>
          <w:p w14:paraId="143F545C">
            <w:pPr>
              <w:pStyle w:val="6"/>
              <w:spacing w:before="68" w:line="222" w:lineRule="auto"/>
              <w:ind w:left="295"/>
            </w:pPr>
            <w:r>
              <w:t>弱</w:t>
            </w:r>
          </w:p>
        </w:tc>
      </w:tr>
      <w:tr w14:paraId="6FF590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726" w:type="dxa"/>
            <w:vMerge w:val="continue"/>
            <w:tcBorders>
              <w:top w:val="nil"/>
              <w:bottom w:val="nil"/>
            </w:tcBorders>
            <w:vAlign w:val="top"/>
          </w:tcPr>
          <w:p w14:paraId="69CE1644">
            <w:pPr>
              <w:rPr>
                <w:rFonts w:ascii="Arial"/>
                <w:sz w:val="21"/>
              </w:rPr>
            </w:pPr>
          </w:p>
        </w:tc>
        <w:tc>
          <w:tcPr>
            <w:tcW w:w="873" w:type="dxa"/>
            <w:vAlign w:val="top"/>
          </w:tcPr>
          <w:p w14:paraId="5278A1BB">
            <w:pPr>
              <w:spacing w:line="296" w:lineRule="auto"/>
              <w:rPr>
                <w:rFonts w:ascii="Arial"/>
                <w:sz w:val="21"/>
              </w:rPr>
            </w:pPr>
          </w:p>
          <w:p w14:paraId="5D8E2D98">
            <w:pPr>
              <w:pStyle w:val="6"/>
              <w:spacing w:before="68" w:line="277" w:lineRule="auto"/>
              <w:ind w:left="340" w:right="118" w:hanging="214"/>
            </w:pPr>
            <w:r>
              <w:rPr>
                <w:spacing w:val="-3"/>
              </w:rPr>
              <w:t>生态系</w:t>
            </w:r>
            <w:r>
              <w:t>统</w:t>
            </w:r>
          </w:p>
        </w:tc>
        <w:tc>
          <w:tcPr>
            <w:tcW w:w="1598" w:type="dxa"/>
            <w:vAlign w:val="top"/>
          </w:tcPr>
          <w:p w14:paraId="4CF3ACAC">
            <w:pPr>
              <w:pStyle w:val="6"/>
              <w:spacing w:before="53" w:line="221" w:lineRule="auto"/>
              <w:ind w:left="171"/>
            </w:pPr>
            <w:r>
              <w:rPr>
                <w:spacing w:val="-1"/>
              </w:rPr>
              <w:t>植被覆盖度、</w:t>
            </w:r>
          </w:p>
          <w:p w14:paraId="413AF3A9">
            <w:pPr>
              <w:pStyle w:val="6"/>
              <w:spacing w:before="60" w:line="221" w:lineRule="auto"/>
              <w:ind w:left="172"/>
            </w:pPr>
            <w:r>
              <w:rPr>
                <w:spacing w:val="-2"/>
              </w:rPr>
              <w:t>生产力、生物</w:t>
            </w:r>
          </w:p>
          <w:p w14:paraId="25A18F3D">
            <w:pPr>
              <w:pStyle w:val="6"/>
              <w:spacing w:before="61" w:line="222" w:lineRule="auto"/>
              <w:ind w:left="170"/>
            </w:pPr>
            <w:r>
              <w:rPr>
                <w:spacing w:val="-1"/>
              </w:rPr>
              <w:t>量、生态系统</w:t>
            </w:r>
          </w:p>
          <w:p w14:paraId="58FED72F">
            <w:pPr>
              <w:pStyle w:val="6"/>
              <w:spacing w:before="58" w:line="221" w:lineRule="auto"/>
              <w:ind w:left="488"/>
            </w:pPr>
            <w:r>
              <w:rPr>
                <w:spacing w:val="-2"/>
              </w:rPr>
              <w:t>功能等</w:t>
            </w:r>
          </w:p>
        </w:tc>
        <w:tc>
          <w:tcPr>
            <w:tcW w:w="4359" w:type="dxa"/>
            <w:vAlign w:val="top"/>
          </w:tcPr>
          <w:p w14:paraId="4D90E4B5">
            <w:pPr>
              <w:pStyle w:val="6"/>
              <w:spacing w:before="53" w:line="221" w:lineRule="auto"/>
              <w:ind w:left="188"/>
            </w:pPr>
            <w:r>
              <w:rPr>
                <w:spacing w:val="-1"/>
              </w:rPr>
              <w:t>塔基处树木被砍伐，引起植被覆盖度、生产</w:t>
            </w:r>
          </w:p>
          <w:p w14:paraId="40017F78">
            <w:pPr>
              <w:pStyle w:val="6"/>
              <w:spacing w:before="60" w:line="221" w:lineRule="auto"/>
              <w:ind w:left="191"/>
            </w:pPr>
            <w:r>
              <w:rPr>
                <w:spacing w:val="-1"/>
              </w:rPr>
              <w:t>力、生物量有一定程度降低，但砍伐的树木</w:t>
            </w:r>
          </w:p>
          <w:p w14:paraId="7B962E25">
            <w:pPr>
              <w:pStyle w:val="6"/>
              <w:spacing w:before="60" w:line="220" w:lineRule="auto"/>
              <w:ind w:left="190"/>
            </w:pPr>
            <w:r>
              <w:rPr>
                <w:spacing w:val="-1"/>
              </w:rPr>
              <w:t>为当地分布较广的树种，不会引起生态系统</w:t>
            </w:r>
          </w:p>
          <w:p w14:paraId="698D046D">
            <w:pPr>
              <w:pStyle w:val="6"/>
              <w:spacing w:before="61" w:line="221" w:lineRule="auto"/>
              <w:ind w:left="928"/>
            </w:pPr>
            <w:r>
              <w:rPr>
                <w:spacing w:val="-1"/>
              </w:rPr>
              <w:t>结构和功能改变，直接影响</w:t>
            </w:r>
          </w:p>
        </w:tc>
        <w:tc>
          <w:tcPr>
            <w:tcW w:w="727" w:type="dxa"/>
            <w:vAlign w:val="top"/>
          </w:tcPr>
          <w:p w14:paraId="26F2ACB2">
            <w:pPr>
              <w:spacing w:line="451" w:lineRule="auto"/>
              <w:rPr>
                <w:rFonts w:ascii="Arial"/>
                <w:sz w:val="21"/>
              </w:rPr>
            </w:pPr>
          </w:p>
          <w:p w14:paraId="5610E0CE">
            <w:pPr>
              <w:pStyle w:val="6"/>
              <w:spacing w:before="68" w:line="224" w:lineRule="auto"/>
              <w:ind w:left="164"/>
            </w:pPr>
            <w:r>
              <w:rPr>
                <w:spacing w:val="-2"/>
              </w:rPr>
              <w:t>可逆</w:t>
            </w:r>
          </w:p>
        </w:tc>
        <w:tc>
          <w:tcPr>
            <w:tcW w:w="785" w:type="dxa"/>
            <w:vAlign w:val="top"/>
          </w:tcPr>
          <w:p w14:paraId="5455D650">
            <w:pPr>
              <w:spacing w:line="451" w:lineRule="auto"/>
              <w:rPr>
                <w:rFonts w:ascii="Arial"/>
                <w:sz w:val="21"/>
              </w:rPr>
            </w:pPr>
          </w:p>
          <w:p w14:paraId="0C77D0AB">
            <w:pPr>
              <w:pStyle w:val="6"/>
              <w:spacing w:before="68" w:line="222" w:lineRule="auto"/>
              <w:ind w:left="295"/>
            </w:pPr>
            <w:r>
              <w:t>弱</w:t>
            </w:r>
          </w:p>
        </w:tc>
      </w:tr>
      <w:tr w14:paraId="49C84D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26" w:type="dxa"/>
            <w:vMerge w:val="continue"/>
            <w:tcBorders>
              <w:top w:val="nil"/>
              <w:bottom w:val="nil"/>
            </w:tcBorders>
            <w:vAlign w:val="top"/>
          </w:tcPr>
          <w:p w14:paraId="5655061E">
            <w:pPr>
              <w:rPr>
                <w:rFonts w:ascii="Arial"/>
                <w:sz w:val="21"/>
              </w:rPr>
            </w:pPr>
          </w:p>
        </w:tc>
        <w:tc>
          <w:tcPr>
            <w:tcW w:w="873" w:type="dxa"/>
            <w:vAlign w:val="top"/>
          </w:tcPr>
          <w:p w14:paraId="558328F9">
            <w:pPr>
              <w:pStyle w:val="6"/>
              <w:spacing w:before="211" w:line="276" w:lineRule="auto"/>
              <w:ind w:left="229" w:right="118" w:hanging="103"/>
            </w:pPr>
            <w:r>
              <w:rPr>
                <w:spacing w:val="-3"/>
              </w:rPr>
              <w:t>生物多</w:t>
            </w:r>
            <w:r>
              <w:rPr>
                <w:spacing w:val="-2"/>
              </w:rPr>
              <w:t>样性</w:t>
            </w:r>
          </w:p>
        </w:tc>
        <w:tc>
          <w:tcPr>
            <w:tcW w:w="1598" w:type="dxa"/>
            <w:vAlign w:val="top"/>
          </w:tcPr>
          <w:p w14:paraId="202913BA">
            <w:pPr>
              <w:pStyle w:val="6"/>
              <w:spacing w:before="55" w:line="221" w:lineRule="auto"/>
              <w:ind w:left="170"/>
            </w:pPr>
            <w:r>
              <w:rPr>
                <w:spacing w:val="-1"/>
              </w:rPr>
              <w:t>物种丰富度、</w:t>
            </w:r>
          </w:p>
          <w:p w14:paraId="5B393022">
            <w:pPr>
              <w:pStyle w:val="6"/>
              <w:spacing w:before="61" w:line="247" w:lineRule="auto"/>
              <w:ind w:left="589" w:right="168" w:hanging="418"/>
            </w:pPr>
            <w:r>
              <w:rPr>
                <w:spacing w:val="-2"/>
              </w:rPr>
              <w:t>均匀度、优势度等</w:t>
            </w:r>
          </w:p>
        </w:tc>
        <w:tc>
          <w:tcPr>
            <w:tcW w:w="4359" w:type="dxa"/>
            <w:vAlign w:val="top"/>
          </w:tcPr>
          <w:p w14:paraId="12D9676A">
            <w:pPr>
              <w:pStyle w:val="6"/>
              <w:spacing w:before="54" w:line="220" w:lineRule="auto"/>
              <w:ind w:left="188"/>
            </w:pPr>
            <w:r>
              <w:rPr>
                <w:spacing w:val="-1"/>
              </w:rPr>
              <w:t>塔基永久占地处被砍伐的树木均为当地分布</w:t>
            </w:r>
          </w:p>
          <w:p w14:paraId="5CA961EA">
            <w:pPr>
              <w:pStyle w:val="6"/>
              <w:spacing w:before="61" w:line="220" w:lineRule="auto"/>
              <w:ind w:left="188"/>
            </w:pPr>
            <w:r>
              <w:rPr>
                <w:spacing w:val="-1"/>
              </w:rPr>
              <w:t>较广的树种，不会改变物种优势度，生物多</w:t>
            </w:r>
          </w:p>
          <w:p w14:paraId="7B4FA08E">
            <w:pPr>
              <w:pStyle w:val="6"/>
              <w:spacing w:before="61" w:line="221" w:lineRule="auto"/>
              <w:ind w:left="818"/>
            </w:pPr>
            <w:r>
              <w:rPr>
                <w:spacing w:val="-1"/>
              </w:rPr>
              <w:t>样性能够维持现状，直接影响</w:t>
            </w:r>
          </w:p>
        </w:tc>
        <w:tc>
          <w:tcPr>
            <w:tcW w:w="727" w:type="dxa"/>
            <w:vAlign w:val="top"/>
          </w:tcPr>
          <w:p w14:paraId="782FE681">
            <w:pPr>
              <w:spacing w:line="297" w:lineRule="auto"/>
              <w:rPr>
                <w:rFonts w:ascii="Arial"/>
                <w:sz w:val="21"/>
              </w:rPr>
            </w:pPr>
          </w:p>
          <w:p w14:paraId="647B0539">
            <w:pPr>
              <w:pStyle w:val="6"/>
              <w:spacing w:before="68" w:line="224" w:lineRule="auto"/>
              <w:ind w:left="164"/>
            </w:pPr>
            <w:r>
              <w:rPr>
                <w:spacing w:val="-2"/>
              </w:rPr>
              <w:t>可逆</w:t>
            </w:r>
          </w:p>
        </w:tc>
        <w:tc>
          <w:tcPr>
            <w:tcW w:w="785" w:type="dxa"/>
            <w:vAlign w:val="top"/>
          </w:tcPr>
          <w:p w14:paraId="7E9B6FAF">
            <w:pPr>
              <w:spacing w:line="297" w:lineRule="auto"/>
              <w:rPr>
                <w:rFonts w:ascii="Arial"/>
                <w:sz w:val="21"/>
              </w:rPr>
            </w:pPr>
          </w:p>
          <w:p w14:paraId="3DAA84EA">
            <w:pPr>
              <w:pStyle w:val="6"/>
              <w:spacing w:before="68" w:line="221" w:lineRule="auto"/>
              <w:ind w:left="294"/>
            </w:pPr>
            <w:r>
              <w:t>无</w:t>
            </w:r>
          </w:p>
        </w:tc>
      </w:tr>
      <w:tr w14:paraId="54D3D2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726" w:type="dxa"/>
            <w:vMerge w:val="continue"/>
            <w:tcBorders>
              <w:top w:val="nil"/>
            </w:tcBorders>
            <w:vAlign w:val="top"/>
          </w:tcPr>
          <w:p w14:paraId="74286D8F">
            <w:pPr>
              <w:rPr>
                <w:rFonts w:ascii="Arial"/>
                <w:sz w:val="21"/>
              </w:rPr>
            </w:pPr>
          </w:p>
        </w:tc>
        <w:tc>
          <w:tcPr>
            <w:tcW w:w="873" w:type="dxa"/>
            <w:vAlign w:val="top"/>
          </w:tcPr>
          <w:p w14:paraId="3C38423B">
            <w:pPr>
              <w:pStyle w:val="6"/>
              <w:spacing w:before="212" w:line="278" w:lineRule="auto"/>
              <w:ind w:left="230" w:right="118" w:hanging="104"/>
            </w:pPr>
            <w:r>
              <w:rPr>
                <w:spacing w:val="-3"/>
              </w:rPr>
              <w:t>生态敏</w:t>
            </w:r>
            <w:r>
              <w:rPr>
                <w:spacing w:val="-2"/>
              </w:rPr>
              <w:t>感区</w:t>
            </w:r>
          </w:p>
        </w:tc>
        <w:tc>
          <w:tcPr>
            <w:tcW w:w="1598" w:type="dxa"/>
            <w:vAlign w:val="top"/>
          </w:tcPr>
          <w:p w14:paraId="51DCD2CE">
            <w:pPr>
              <w:pStyle w:val="6"/>
              <w:spacing w:before="56" w:line="221" w:lineRule="auto"/>
              <w:ind w:left="278"/>
            </w:pPr>
            <w:r>
              <w:rPr>
                <w:spacing w:val="-2"/>
              </w:rPr>
              <w:t>主要保护对</w:t>
            </w:r>
          </w:p>
          <w:p w14:paraId="1F8743EC">
            <w:pPr>
              <w:pStyle w:val="6"/>
              <w:spacing w:before="59" w:line="221" w:lineRule="auto"/>
              <w:ind w:left="177"/>
            </w:pPr>
            <w:r>
              <w:rPr>
                <w:spacing w:val="-2"/>
              </w:rPr>
              <w:t>象、生态功能</w:t>
            </w:r>
          </w:p>
          <w:p w14:paraId="0933B335">
            <w:pPr>
              <w:pStyle w:val="6"/>
              <w:spacing w:before="60" w:line="221" w:lineRule="auto"/>
              <w:ind w:left="698"/>
            </w:pPr>
            <w:r>
              <w:t>等</w:t>
            </w:r>
          </w:p>
        </w:tc>
        <w:tc>
          <w:tcPr>
            <w:tcW w:w="4359" w:type="dxa"/>
            <w:vAlign w:val="top"/>
          </w:tcPr>
          <w:p w14:paraId="713963DB">
            <w:pPr>
              <w:pStyle w:val="6"/>
              <w:spacing w:before="212" w:line="276" w:lineRule="auto"/>
              <w:ind w:left="615" w:right="188" w:hanging="427"/>
            </w:pPr>
            <w:r>
              <w:rPr>
                <w:spacing w:val="-1"/>
              </w:rPr>
              <w:t>塔基占用生态保护红线，占地面积小，不会改变原有生态环境功能，直接影响</w:t>
            </w:r>
          </w:p>
        </w:tc>
        <w:tc>
          <w:tcPr>
            <w:tcW w:w="727" w:type="dxa"/>
            <w:vAlign w:val="top"/>
          </w:tcPr>
          <w:p w14:paraId="69EC5BA2">
            <w:pPr>
              <w:pStyle w:val="6"/>
              <w:spacing w:before="211" w:line="279" w:lineRule="auto"/>
              <w:ind w:left="263" w:right="145" w:hanging="98"/>
            </w:pPr>
            <w:r>
              <w:rPr>
                <w:spacing w:val="-5"/>
              </w:rPr>
              <w:t>不可</w:t>
            </w:r>
            <w:r>
              <w:t>逆</w:t>
            </w:r>
          </w:p>
        </w:tc>
        <w:tc>
          <w:tcPr>
            <w:tcW w:w="785" w:type="dxa"/>
            <w:vAlign w:val="top"/>
          </w:tcPr>
          <w:p w14:paraId="494D502E">
            <w:pPr>
              <w:spacing w:line="297" w:lineRule="auto"/>
              <w:rPr>
                <w:rFonts w:ascii="Arial"/>
                <w:sz w:val="21"/>
              </w:rPr>
            </w:pPr>
          </w:p>
          <w:p w14:paraId="039C0CC4">
            <w:pPr>
              <w:pStyle w:val="6"/>
              <w:spacing w:before="69" w:line="222" w:lineRule="auto"/>
              <w:ind w:left="295"/>
            </w:pPr>
            <w:r>
              <w:t>弱</w:t>
            </w:r>
          </w:p>
        </w:tc>
      </w:tr>
      <w:tr w14:paraId="37517F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726" w:type="dxa"/>
            <w:vAlign w:val="top"/>
          </w:tcPr>
          <w:p w14:paraId="55D360C4">
            <w:pPr>
              <w:pStyle w:val="6"/>
              <w:spacing w:before="58" w:line="249" w:lineRule="auto"/>
              <w:ind w:left="264" w:right="147" w:hanging="105"/>
            </w:pPr>
            <w:r>
              <w:rPr>
                <w:spacing w:val="-3"/>
              </w:rPr>
              <w:t>运行</w:t>
            </w:r>
            <w:r>
              <w:t>期</w:t>
            </w:r>
          </w:p>
        </w:tc>
        <w:tc>
          <w:tcPr>
            <w:tcW w:w="873" w:type="dxa"/>
            <w:vAlign w:val="top"/>
          </w:tcPr>
          <w:p w14:paraId="3E95635A">
            <w:pPr>
              <w:pStyle w:val="6"/>
              <w:spacing w:before="58" w:line="249" w:lineRule="auto"/>
              <w:ind w:left="334" w:right="118" w:hanging="176"/>
            </w:pPr>
            <w:r>
              <w:rPr>
                <w:spacing w:val="-14"/>
              </w:rPr>
              <w:t>自然景</w:t>
            </w:r>
            <w:r>
              <w:t>观</w:t>
            </w:r>
          </w:p>
        </w:tc>
        <w:tc>
          <w:tcPr>
            <w:tcW w:w="1598" w:type="dxa"/>
            <w:vAlign w:val="top"/>
          </w:tcPr>
          <w:p w14:paraId="0111BD3C">
            <w:pPr>
              <w:pStyle w:val="6"/>
              <w:spacing w:before="58" w:line="249" w:lineRule="auto"/>
              <w:ind w:left="383" w:right="199" w:hanging="210"/>
            </w:pPr>
            <w:r>
              <w:rPr>
                <w:spacing w:val="-7"/>
              </w:rPr>
              <w:t>景观多样性、</w:t>
            </w:r>
            <w:r>
              <w:rPr>
                <w:spacing w:val="-2"/>
              </w:rPr>
              <w:t>完整性等</w:t>
            </w:r>
          </w:p>
        </w:tc>
        <w:tc>
          <w:tcPr>
            <w:tcW w:w="4359" w:type="dxa"/>
            <w:vAlign w:val="top"/>
          </w:tcPr>
          <w:p w14:paraId="16C9433E">
            <w:pPr>
              <w:pStyle w:val="6"/>
              <w:spacing w:before="213" w:line="220" w:lineRule="auto"/>
              <w:ind w:left="293"/>
            </w:pPr>
            <w:r>
              <w:rPr>
                <w:spacing w:val="-1"/>
              </w:rPr>
              <w:t>会造成景观体系组成发生变化，直接影响</w:t>
            </w:r>
          </w:p>
        </w:tc>
        <w:tc>
          <w:tcPr>
            <w:tcW w:w="727" w:type="dxa"/>
            <w:vAlign w:val="top"/>
          </w:tcPr>
          <w:p w14:paraId="3CC91940">
            <w:pPr>
              <w:pStyle w:val="6"/>
              <w:spacing w:before="58" w:line="249" w:lineRule="auto"/>
              <w:ind w:left="263" w:right="145" w:hanging="98"/>
            </w:pPr>
            <w:r>
              <w:rPr>
                <w:spacing w:val="-5"/>
              </w:rPr>
              <w:t>不可</w:t>
            </w:r>
            <w:r>
              <w:t>逆</w:t>
            </w:r>
          </w:p>
        </w:tc>
        <w:tc>
          <w:tcPr>
            <w:tcW w:w="785" w:type="dxa"/>
            <w:vAlign w:val="top"/>
          </w:tcPr>
          <w:p w14:paraId="09DC59DE">
            <w:pPr>
              <w:pStyle w:val="6"/>
              <w:spacing w:before="213" w:line="222" w:lineRule="auto"/>
              <w:ind w:left="295"/>
            </w:pPr>
            <w:r>
              <w:t>弱</w:t>
            </w:r>
          </w:p>
        </w:tc>
      </w:tr>
    </w:tbl>
    <w:p w14:paraId="2A3E8036">
      <w:pPr>
        <w:spacing w:before="172" w:line="232" w:lineRule="auto"/>
        <w:ind w:left="18"/>
        <w:rPr>
          <w:rFonts w:ascii="宋体" w:hAnsi="宋体" w:eastAsia="宋体" w:cs="宋体"/>
          <w:sz w:val="28"/>
          <w:szCs w:val="28"/>
        </w:rPr>
      </w:pPr>
      <w:bookmarkStart w:id="37" w:name="bookmark43"/>
      <w:bookmarkEnd w:id="37"/>
      <w:r>
        <w:rPr>
          <w:rFonts w:ascii="Times New Roman" w:hAnsi="Times New Roman" w:eastAsia="Times New Roman" w:cs="Times New Roman"/>
          <w:b/>
          <w:bCs/>
          <w:spacing w:val="-3"/>
          <w:sz w:val="28"/>
          <w:szCs w:val="28"/>
        </w:rPr>
        <w:t xml:space="preserve">1.5 </w:t>
      </w:r>
      <w:r>
        <w:rPr>
          <w:rFonts w:ascii="宋体" w:hAnsi="宋体" w:eastAsia="宋体" w:cs="宋体"/>
          <w:b/>
          <w:bCs/>
          <w:spacing w:val="-3"/>
          <w:sz w:val="28"/>
          <w:szCs w:val="28"/>
        </w:rPr>
        <w:t>评价等级和范围</w:t>
      </w:r>
    </w:p>
    <w:p w14:paraId="422047A0">
      <w:pPr>
        <w:spacing w:before="215" w:line="232" w:lineRule="auto"/>
        <w:ind w:left="15"/>
        <w:rPr>
          <w:rFonts w:ascii="宋体" w:hAnsi="宋体" w:eastAsia="宋体" w:cs="宋体"/>
          <w:sz w:val="24"/>
          <w:szCs w:val="24"/>
        </w:rPr>
      </w:pPr>
      <w:r>
        <w:rPr>
          <w:rFonts w:ascii="Times New Roman" w:hAnsi="Times New Roman" w:eastAsia="Times New Roman" w:cs="Times New Roman"/>
          <w:b/>
          <w:bCs/>
          <w:spacing w:val="-3"/>
          <w:sz w:val="24"/>
          <w:szCs w:val="24"/>
        </w:rPr>
        <w:t xml:space="preserve">1.5.1 </w:t>
      </w:r>
      <w:r>
        <w:rPr>
          <w:rFonts w:ascii="宋体" w:hAnsi="宋体" w:eastAsia="宋体" w:cs="宋体"/>
          <w:b/>
          <w:bCs/>
          <w:spacing w:val="-3"/>
          <w:sz w:val="24"/>
          <w:szCs w:val="24"/>
        </w:rPr>
        <w:t>评价等级</w:t>
      </w:r>
    </w:p>
    <w:p w14:paraId="6ED7875F">
      <w:pPr>
        <w:spacing w:before="165" w:line="336" w:lineRule="auto"/>
        <w:ind w:left="11" w:right="22" w:firstLine="478"/>
        <w:rPr>
          <w:rFonts w:ascii="宋体" w:hAnsi="宋体" w:eastAsia="宋体" w:cs="宋体"/>
          <w:sz w:val="24"/>
          <w:szCs w:val="24"/>
        </w:rPr>
      </w:pPr>
      <w:r>
        <w:rPr>
          <w:rFonts w:ascii="宋体" w:hAnsi="宋体" w:eastAsia="宋体" w:cs="宋体"/>
          <w:spacing w:val="-6"/>
          <w:sz w:val="24"/>
          <w:szCs w:val="24"/>
        </w:rPr>
        <w:t>根据《环境影响评价技术导则</w:t>
      </w:r>
      <w:r>
        <w:rPr>
          <w:rFonts w:ascii="宋体" w:hAnsi="宋体" w:eastAsia="宋体" w:cs="宋体"/>
          <w:spacing w:val="34"/>
          <w:sz w:val="24"/>
          <w:szCs w:val="24"/>
        </w:rPr>
        <w:t xml:space="preserve"> </w:t>
      </w:r>
      <w:r>
        <w:rPr>
          <w:rFonts w:ascii="宋体" w:hAnsi="宋体" w:eastAsia="宋体" w:cs="宋体"/>
          <w:spacing w:val="-6"/>
          <w:sz w:val="24"/>
          <w:szCs w:val="24"/>
        </w:rPr>
        <w:t>生态影响》（</w:t>
      </w:r>
      <w:r>
        <w:rPr>
          <w:rFonts w:ascii="Times New Roman" w:hAnsi="Times New Roman" w:eastAsia="Times New Roman" w:cs="Times New Roman"/>
          <w:spacing w:val="-6"/>
          <w:sz w:val="24"/>
          <w:szCs w:val="24"/>
        </w:rPr>
        <w:t>HJ19-2022</w:t>
      </w:r>
      <w:r>
        <w:rPr>
          <w:rFonts w:ascii="宋体" w:hAnsi="宋体" w:eastAsia="宋体" w:cs="宋体"/>
          <w:spacing w:val="-53"/>
          <w:sz w:val="24"/>
          <w:szCs w:val="24"/>
        </w:rPr>
        <w:t>），</w:t>
      </w:r>
      <w:r>
        <w:rPr>
          <w:rFonts w:ascii="宋体" w:hAnsi="宋体" w:eastAsia="宋体" w:cs="宋体"/>
          <w:spacing w:val="-6"/>
          <w:sz w:val="24"/>
          <w:szCs w:val="24"/>
        </w:rPr>
        <w:t>依据建设项目影响区域的</w:t>
      </w:r>
      <w:r>
        <w:rPr>
          <w:rFonts w:ascii="宋体" w:hAnsi="宋体" w:eastAsia="宋体" w:cs="宋体"/>
          <w:spacing w:val="-1"/>
          <w:sz w:val="24"/>
          <w:szCs w:val="24"/>
        </w:rPr>
        <w:t>生态敏感性和影响程度划分生态评价等级，生态影响评</w:t>
      </w:r>
      <w:r>
        <w:rPr>
          <w:rFonts w:ascii="宋体" w:hAnsi="宋体" w:eastAsia="宋体" w:cs="宋体"/>
          <w:spacing w:val="-2"/>
          <w:sz w:val="24"/>
          <w:szCs w:val="24"/>
        </w:rPr>
        <w:t>价工作等级划分表如下。</w:t>
      </w:r>
    </w:p>
    <w:p w14:paraId="6B7F815C">
      <w:pPr>
        <w:spacing w:line="229" w:lineRule="auto"/>
        <w:ind w:left="3322"/>
        <w:rPr>
          <w:rFonts w:ascii="宋体" w:hAnsi="宋体" w:eastAsia="宋体" w:cs="宋体"/>
          <w:sz w:val="21"/>
          <w:szCs w:val="21"/>
        </w:rPr>
      </w:pPr>
      <w:r>
        <w:rPr>
          <w:rFonts w:ascii="宋体" w:hAnsi="宋体" w:eastAsia="宋体" w:cs="宋体"/>
          <w:b/>
          <w:bCs/>
          <w:spacing w:val="-3"/>
          <w:sz w:val="21"/>
          <w:szCs w:val="21"/>
        </w:rPr>
        <w:t>表</w:t>
      </w:r>
      <w:r>
        <w:rPr>
          <w:rFonts w:ascii="宋体" w:hAnsi="宋体" w:eastAsia="宋体" w:cs="宋体"/>
          <w:spacing w:val="-22"/>
          <w:sz w:val="21"/>
          <w:szCs w:val="21"/>
        </w:rPr>
        <w:t xml:space="preserve"> </w:t>
      </w:r>
      <w:r>
        <w:rPr>
          <w:rFonts w:ascii="Times New Roman" w:hAnsi="Times New Roman" w:eastAsia="Times New Roman" w:cs="Times New Roman"/>
          <w:b/>
          <w:bCs/>
          <w:spacing w:val="-3"/>
          <w:sz w:val="21"/>
          <w:szCs w:val="21"/>
        </w:rPr>
        <w:t xml:space="preserve">1-2    </w:t>
      </w:r>
      <w:r>
        <w:rPr>
          <w:rFonts w:ascii="宋体" w:hAnsi="宋体" w:eastAsia="宋体" w:cs="宋体"/>
          <w:b/>
          <w:bCs/>
          <w:spacing w:val="-3"/>
          <w:sz w:val="21"/>
          <w:szCs w:val="21"/>
        </w:rPr>
        <w:t>生态评价等级判定</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2"/>
        <w:gridCol w:w="4762"/>
        <w:gridCol w:w="2229"/>
        <w:gridCol w:w="1305"/>
      </w:tblGrid>
      <w:tr w14:paraId="03EF04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632" w:hRule="atLeast"/>
        </w:trPr>
        <w:tc>
          <w:tcPr>
            <w:tcW w:w="772" w:type="dxa"/>
            <w:vAlign w:val="top"/>
          </w:tcPr>
          <w:p w14:paraId="1BB95631">
            <w:pPr>
              <w:pStyle w:val="6"/>
              <w:spacing w:before="56" w:line="221" w:lineRule="auto"/>
              <w:ind w:left="180"/>
            </w:pPr>
            <w:r>
              <w:rPr>
                <w:b/>
                <w:bCs/>
                <w:spacing w:val="-4"/>
              </w:rPr>
              <w:t>判定</w:t>
            </w:r>
          </w:p>
          <w:p w14:paraId="6566B3B7">
            <w:pPr>
              <w:pStyle w:val="6"/>
              <w:spacing w:before="60" w:line="220" w:lineRule="auto"/>
              <w:ind w:left="182"/>
            </w:pPr>
            <w:r>
              <w:rPr>
                <w:b/>
                <w:bCs/>
                <w:spacing w:val="-5"/>
              </w:rPr>
              <w:t>依据</w:t>
            </w:r>
          </w:p>
        </w:tc>
        <w:tc>
          <w:tcPr>
            <w:tcW w:w="4762" w:type="dxa"/>
            <w:vAlign w:val="top"/>
          </w:tcPr>
          <w:p w14:paraId="7997FBEE">
            <w:pPr>
              <w:pStyle w:val="6"/>
              <w:spacing w:before="211" w:line="221" w:lineRule="auto"/>
              <w:ind w:left="2199"/>
            </w:pPr>
            <w:r>
              <w:rPr>
                <w:b/>
                <w:bCs/>
                <w:spacing w:val="-11"/>
              </w:rPr>
              <w:t>内容</w:t>
            </w:r>
          </w:p>
        </w:tc>
        <w:tc>
          <w:tcPr>
            <w:tcW w:w="2229" w:type="dxa"/>
            <w:vAlign w:val="top"/>
          </w:tcPr>
          <w:p w14:paraId="748CDF14">
            <w:pPr>
              <w:pStyle w:val="6"/>
              <w:spacing w:before="212" w:line="221" w:lineRule="auto"/>
              <w:ind w:left="698"/>
            </w:pPr>
            <w:r>
              <w:rPr>
                <w:b/>
                <w:bCs/>
                <w:spacing w:val="-3"/>
              </w:rPr>
              <w:t>判定分析</w:t>
            </w:r>
          </w:p>
        </w:tc>
        <w:tc>
          <w:tcPr>
            <w:tcW w:w="1305" w:type="dxa"/>
            <w:vAlign w:val="top"/>
          </w:tcPr>
          <w:p w14:paraId="1283E90A">
            <w:pPr>
              <w:pStyle w:val="6"/>
              <w:spacing w:before="212" w:line="219" w:lineRule="auto"/>
              <w:ind w:left="235"/>
            </w:pPr>
            <w:r>
              <w:rPr>
                <w:b/>
                <w:bCs/>
                <w:spacing w:val="-3"/>
              </w:rPr>
              <w:t>评价等级</w:t>
            </w:r>
          </w:p>
        </w:tc>
      </w:tr>
      <w:tr w14:paraId="1F00BB3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7" w:hRule="atLeast"/>
        </w:trPr>
        <w:tc>
          <w:tcPr>
            <w:tcW w:w="772" w:type="dxa"/>
            <w:vMerge w:val="restart"/>
            <w:tcBorders>
              <w:bottom w:val="nil"/>
            </w:tcBorders>
            <w:vAlign w:val="top"/>
          </w:tcPr>
          <w:p w14:paraId="41EE1F88">
            <w:pPr>
              <w:spacing w:line="382" w:lineRule="auto"/>
              <w:rPr>
                <w:rFonts w:ascii="Arial"/>
                <w:sz w:val="21"/>
              </w:rPr>
            </w:pPr>
          </w:p>
          <w:p w14:paraId="6D1DEACB">
            <w:pPr>
              <w:pStyle w:val="6"/>
              <w:spacing w:before="69" w:line="163" w:lineRule="exact"/>
              <w:ind w:left="184"/>
            </w:pPr>
            <w:r>
              <w:rPr>
                <w:spacing w:val="-6"/>
              </w:rPr>
              <w:t>一、</w:t>
            </w:r>
          </w:p>
          <w:p w14:paraId="00EDFB82">
            <w:pPr>
              <w:pStyle w:val="6"/>
              <w:spacing w:before="68" w:line="277" w:lineRule="auto"/>
              <w:ind w:left="185" w:right="171" w:hanging="5"/>
            </w:pPr>
            <w:r>
              <w:rPr>
                <w:spacing w:val="-3"/>
              </w:rPr>
              <w:t>确定</w:t>
            </w:r>
            <w:r>
              <w:rPr>
                <w:spacing w:val="-6"/>
              </w:rPr>
              <w:t>原则</w:t>
            </w:r>
          </w:p>
        </w:tc>
        <w:tc>
          <w:tcPr>
            <w:tcW w:w="4762" w:type="dxa"/>
            <w:vAlign w:val="top"/>
          </w:tcPr>
          <w:p w14:paraId="39BEF531">
            <w:pPr>
              <w:pStyle w:val="6"/>
              <w:spacing w:before="52" w:line="248" w:lineRule="auto"/>
              <w:ind w:left="112" w:right="178" w:hanging="1"/>
            </w:pPr>
            <w:r>
              <w:rPr>
                <w:rFonts w:ascii="Times New Roman" w:hAnsi="Times New Roman" w:eastAsia="Times New Roman" w:cs="Times New Roman"/>
                <w:spacing w:val="-2"/>
              </w:rPr>
              <w:t>a</w:t>
            </w:r>
            <w:r>
              <w:rPr>
                <w:spacing w:val="-2"/>
              </w:rPr>
              <w:t>）涉及国家公园、自然保护区、世界自然遗产、</w:t>
            </w:r>
            <w:r>
              <w:rPr>
                <w:spacing w:val="-3"/>
              </w:rPr>
              <w:t>重要生境时，评价等级为一级；</w:t>
            </w:r>
          </w:p>
        </w:tc>
        <w:tc>
          <w:tcPr>
            <w:tcW w:w="2229" w:type="dxa"/>
            <w:vAlign w:val="top"/>
          </w:tcPr>
          <w:p w14:paraId="56E7B482">
            <w:pPr>
              <w:pStyle w:val="6"/>
              <w:spacing w:before="208" w:line="220" w:lineRule="auto"/>
              <w:ind w:left="490"/>
            </w:pPr>
            <w:r>
              <w:rPr>
                <w:spacing w:val="-1"/>
              </w:rPr>
              <w:t>本项目不涉及</w:t>
            </w:r>
          </w:p>
        </w:tc>
        <w:tc>
          <w:tcPr>
            <w:tcW w:w="1305" w:type="dxa"/>
            <w:vAlign w:val="top"/>
          </w:tcPr>
          <w:p w14:paraId="60BF00F1">
            <w:pPr>
              <w:spacing w:before="241" w:line="233" w:lineRule="auto"/>
              <w:ind w:left="62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5F5154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72" w:type="dxa"/>
            <w:vMerge w:val="continue"/>
            <w:tcBorders>
              <w:top w:val="nil"/>
              <w:bottom w:val="nil"/>
            </w:tcBorders>
            <w:vAlign w:val="top"/>
          </w:tcPr>
          <w:p w14:paraId="1B44F666">
            <w:pPr>
              <w:rPr>
                <w:rFonts w:ascii="Arial"/>
                <w:sz w:val="21"/>
              </w:rPr>
            </w:pPr>
          </w:p>
        </w:tc>
        <w:tc>
          <w:tcPr>
            <w:tcW w:w="4762" w:type="dxa"/>
            <w:vAlign w:val="top"/>
          </w:tcPr>
          <w:p w14:paraId="0ED9C4C3">
            <w:pPr>
              <w:pStyle w:val="6"/>
              <w:spacing w:before="54" w:line="221" w:lineRule="auto"/>
              <w:ind w:left="103"/>
            </w:pPr>
            <w:r>
              <w:rPr>
                <w:rFonts w:ascii="Times New Roman" w:hAnsi="Times New Roman" w:eastAsia="Times New Roman" w:cs="Times New Roman"/>
              </w:rPr>
              <w:t>b</w:t>
            </w:r>
            <w:r>
              <w:t>）涉及自然公园时，评价等级为二级；</w:t>
            </w:r>
          </w:p>
        </w:tc>
        <w:tc>
          <w:tcPr>
            <w:tcW w:w="2229" w:type="dxa"/>
            <w:vAlign w:val="top"/>
          </w:tcPr>
          <w:p w14:paraId="4ED60707">
            <w:pPr>
              <w:pStyle w:val="6"/>
              <w:spacing w:before="54" w:line="220" w:lineRule="auto"/>
              <w:ind w:left="490"/>
            </w:pPr>
            <w:r>
              <w:rPr>
                <w:spacing w:val="-1"/>
              </w:rPr>
              <w:t>本项目不涉及</w:t>
            </w:r>
          </w:p>
        </w:tc>
        <w:tc>
          <w:tcPr>
            <w:tcW w:w="1305" w:type="dxa"/>
            <w:vAlign w:val="top"/>
          </w:tcPr>
          <w:p w14:paraId="2BF27954">
            <w:pPr>
              <w:spacing w:before="86" w:line="218" w:lineRule="auto"/>
              <w:ind w:left="62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0DBCD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772" w:type="dxa"/>
            <w:vMerge w:val="continue"/>
            <w:tcBorders>
              <w:top w:val="nil"/>
            </w:tcBorders>
            <w:vAlign w:val="top"/>
          </w:tcPr>
          <w:p w14:paraId="2D4959CC">
            <w:pPr>
              <w:rPr>
                <w:rFonts w:ascii="Arial"/>
                <w:sz w:val="21"/>
              </w:rPr>
            </w:pPr>
          </w:p>
        </w:tc>
        <w:tc>
          <w:tcPr>
            <w:tcW w:w="4762" w:type="dxa"/>
            <w:vAlign w:val="top"/>
          </w:tcPr>
          <w:p w14:paraId="387709B3">
            <w:pPr>
              <w:pStyle w:val="6"/>
              <w:spacing w:before="210" w:line="227" w:lineRule="auto"/>
              <w:ind w:left="110"/>
            </w:pPr>
            <w:r>
              <w:rPr>
                <w:rFonts w:ascii="Times New Roman" w:hAnsi="Times New Roman" w:eastAsia="Times New Roman" w:cs="Times New Roman"/>
                <w:spacing w:val="-1"/>
              </w:rPr>
              <w:t>c</w:t>
            </w:r>
            <w:r>
              <w:rPr>
                <w:spacing w:val="-1"/>
              </w:rPr>
              <w:t>）涉及生态保护红线时，评价等级不低于二级；</w:t>
            </w:r>
          </w:p>
        </w:tc>
        <w:tc>
          <w:tcPr>
            <w:tcW w:w="2229" w:type="dxa"/>
            <w:vAlign w:val="top"/>
          </w:tcPr>
          <w:p w14:paraId="65F30379">
            <w:pPr>
              <w:pStyle w:val="6"/>
              <w:spacing w:before="55" w:line="250" w:lineRule="auto"/>
              <w:ind w:left="196" w:right="161" w:hanging="25"/>
            </w:pPr>
            <w:r>
              <w:rPr>
                <w:spacing w:val="-1"/>
              </w:rPr>
              <w:t>本项目线路长</w:t>
            </w:r>
            <w:r>
              <w:rPr>
                <w:spacing w:val="-48"/>
              </w:rPr>
              <w:t xml:space="preserve"> </w:t>
            </w:r>
            <w:r>
              <w:rPr>
                <w:rFonts w:ascii="Times New Roman" w:hAnsi="Times New Roman" w:eastAsia="Times New Roman" w:cs="Times New Roman"/>
                <w:spacing w:val="-1"/>
              </w:rPr>
              <w:t>4257m</w:t>
            </w:r>
            <w:r>
              <w:rPr>
                <w:spacing w:val="-4"/>
              </w:rPr>
              <w:t>以架空形式穿越生态</w:t>
            </w:r>
          </w:p>
        </w:tc>
        <w:tc>
          <w:tcPr>
            <w:tcW w:w="1305" w:type="dxa"/>
            <w:vAlign w:val="top"/>
          </w:tcPr>
          <w:p w14:paraId="2C5DA451">
            <w:pPr>
              <w:pStyle w:val="6"/>
              <w:spacing w:before="210" w:line="223" w:lineRule="auto"/>
              <w:ind w:left="450"/>
            </w:pPr>
            <w:r>
              <w:rPr>
                <w:spacing w:val="-3"/>
              </w:rPr>
              <w:t>二级</w:t>
            </w:r>
          </w:p>
        </w:tc>
      </w:tr>
    </w:tbl>
    <w:p w14:paraId="313C7969">
      <w:pPr>
        <w:rPr>
          <w:rFonts w:ascii="Arial"/>
          <w:sz w:val="21"/>
        </w:rPr>
      </w:pPr>
    </w:p>
    <w:p w14:paraId="733BD902">
      <w:pPr>
        <w:rPr>
          <w:rFonts w:ascii="Arial" w:hAnsi="Arial" w:eastAsia="Arial" w:cs="Arial"/>
          <w:sz w:val="21"/>
          <w:szCs w:val="21"/>
        </w:rPr>
        <w:sectPr>
          <w:footerReference r:id="rId147" w:type="default"/>
          <w:pgSz w:w="11907" w:h="16841"/>
          <w:pgMar w:top="400" w:right="1413" w:bottom="1126" w:left="1418" w:header="0" w:footer="923" w:gutter="0"/>
          <w:cols w:space="720" w:num="1"/>
        </w:sectPr>
      </w:pPr>
    </w:p>
    <w:p w14:paraId="33B08357">
      <w:pPr>
        <w:spacing w:before="2"/>
      </w:pPr>
    </w:p>
    <w:p w14:paraId="178076D5">
      <w:pPr>
        <w:spacing w:before="2"/>
      </w:pPr>
    </w:p>
    <w:p w14:paraId="5CF09A7A">
      <w:pPr>
        <w:spacing w:before="1"/>
      </w:pPr>
    </w:p>
    <w:p w14:paraId="7CB8F010">
      <w:pPr>
        <w:spacing w:before="1"/>
      </w:pPr>
    </w:p>
    <w:p w14:paraId="32D4D973">
      <w:pPr>
        <w:spacing w:before="1"/>
      </w:pP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2"/>
        <w:gridCol w:w="4762"/>
        <w:gridCol w:w="2229"/>
        <w:gridCol w:w="1305"/>
      </w:tblGrid>
      <w:tr w14:paraId="7C4AC8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772" w:type="dxa"/>
            <w:vMerge w:val="restart"/>
            <w:tcBorders>
              <w:bottom w:val="nil"/>
            </w:tcBorders>
            <w:vAlign w:val="top"/>
          </w:tcPr>
          <w:p w14:paraId="473500EF">
            <w:pPr>
              <w:rPr>
                <w:rFonts w:ascii="Arial"/>
                <w:sz w:val="21"/>
              </w:rPr>
            </w:pPr>
          </w:p>
        </w:tc>
        <w:tc>
          <w:tcPr>
            <w:tcW w:w="4762" w:type="dxa"/>
            <w:vAlign w:val="top"/>
          </w:tcPr>
          <w:p w14:paraId="4409FE2A">
            <w:pPr>
              <w:rPr>
                <w:rFonts w:ascii="Arial"/>
                <w:sz w:val="21"/>
              </w:rPr>
            </w:pPr>
          </w:p>
        </w:tc>
        <w:tc>
          <w:tcPr>
            <w:tcW w:w="2229" w:type="dxa"/>
            <w:vAlign w:val="top"/>
          </w:tcPr>
          <w:p w14:paraId="091BD182">
            <w:pPr>
              <w:pStyle w:val="6"/>
              <w:spacing w:before="59" w:line="248" w:lineRule="auto"/>
              <w:ind w:left="279" w:right="139" w:hanging="130"/>
            </w:pPr>
            <w:r>
              <w:rPr>
                <w:spacing w:val="-1"/>
              </w:rPr>
              <w:t>保护红线，</w:t>
            </w:r>
            <w:r>
              <w:rPr>
                <w:rFonts w:ascii="Times New Roman" w:hAnsi="Times New Roman" w:eastAsia="Times New Roman" w:cs="Times New Roman"/>
                <w:spacing w:val="-1"/>
              </w:rPr>
              <w:t xml:space="preserve">13 </w:t>
            </w:r>
            <w:r>
              <w:rPr>
                <w:spacing w:val="-1"/>
              </w:rPr>
              <w:t>塔基占用生态保护红线。</w:t>
            </w:r>
          </w:p>
        </w:tc>
        <w:tc>
          <w:tcPr>
            <w:tcW w:w="1305" w:type="dxa"/>
            <w:vAlign w:val="top"/>
          </w:tcPr>
          <w:p w14:paraId="1F8A92A4">
            <w:pPr>
              <w:rPr>
                <w:rFonts w:ascii="Arial"/>
                <w:sz w:val="21"/>
              </w:rPr>
            </w:pPr>
          </w:p>
        </w:tc>
      </w:tr>
      <w:tr w14:paraId="6BABFE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3" w:hRule="atLeast"/>
        </w:trPr>
        <w:tc>
          <w:tcPr>
            <w:tcW w:w="772" w:type="dxa"/>
            <w:vMerge w:val="continue"/>
            <w:tcBorders>
              <w:top w:val="nil"/>
              <w:bottom w:val="nil"/>
            </w:tcBorders>
            <w:vAlign w:val="top"/>
          </w:tcPr>
          <w:p w14:paraId="07A2CBD6">
            <w:pPr>
              <w:rPr>
                <w:rFonts w:ascii="Arial"/>
                <w:sz w:val="21"/>
              </w:rPr>
            </w:pPr>
          </w:p>
        </w:tc>
        <w:tc>
          <w:tcPr>
            <w:tcW w:w="4762" w:type="dxa"/>
            <w:vAlign w:val="top"/>
          </w:tcPr>
          <w:p w14:paraId="5E812193">
            <w:pPr>
              <w:pStyle w:val="6"/>
              <w:spacing w:before="53" w:line="228" w:lineRule="auto"/>
              <w:ind w:left="141"/>
            </w:pPr>
            <w:r>
              <w:rPr>
                <w:rFonts w:ascii="Times New Roman" w:hAnsi="Times New Roman" w:eastAsia="Times New Roman" w:cs="Times New Roman"/>
              </w:rPr>
              <w:t>d</w:t>
            </w:r>
            <w:r>
              <w:t>）根据</w:t>
            </w:r>
            <w:r>
              <w:rPr>
                <w:spacing w:val="-51"/>
              </w:rPr>
              <w:t xml:space="preserve"> </w:t>
            </w:r>
            <w:r>
              <w:rPr>
                <w:rFonts w:ascii="Times New Roman" w:hAnsi="Times New Roman" w:eastAsia="Times New Roman" w:cs="Times New Roman"/>
              </w:rPr>
              <w:t xml:space="preserve">HJ2.3 </w:t>
            </w:r>
            <w:r>
              <w:t>判断属于水文要素影</w:t>
            </w:r>
            <w:r>
              <w:rPr>
                <w:spacing w:val="-1"/>
              </w:rPr>
              <w:t>响型且地表水</w:t>
            </w:r>
          </w:p>
          <w:p w14:paraId="5B36EF0F">
            <w:pPr>
              <w:pStyle w:val="6"/>
              <w:spacing w:before="52" w:line="219" w:lineRule="auto"/>
              <w:ind w:left="178"/>
            </w:pPr>
            <w:r>
              <w:rPr>
                <w:spacing w:val="-1"/>
              </w:rPr>
              <w:t>评价等级不低于二级的建设项目，生态影响评价</w:t>
            </w:r>
          </w:p>
          <w:p w14:paraId="2CD26477">
            <w:pPr>
              <w:pStyle w:val="6"/>
              <w:spacing w:before="62" w:line="221" w:lineRule="auto"/>
              <w:ind w:left="1547"/>
            </w:pPr>
            <w:r>
              <w:rPr>
                <w:spacing w:val="-1"/>
              </w:rPr>
              <w:t>等级不低于二级；</w:t>
            </w:r>
          </w:p>
        </w:tc>
        <w:tc>
          <w:tcPr>
            <w:tcW w:w="2229" w:type="dxa"/>
            <w:vAlign w:val="top"/>
          </w:tcPr>
          <w:p w14:paraId="2E6B4889">
            <w:pPr>
              <w:spacing w:line="295" w:lineRule="auto"/>
              <w:rPr>
                <w:rFonts w:ascii="Arial"/>
                <w:sz w:val="21"/>
              </w:rPr>
            </w:pPr>
          </w:p>
          <w:p w14:paraId="792756E2">
            <w:pPr>
              <w:pStyle w:val="6"/>
              <w:spacing w:before="68" w:line="220" w:lineRule="auto"/>
              <w:ind w:left="490"/>
            </w:pPr>
            <w:r>
              <w:rPr>
                <w:spacing w:val="-1"/>
              </w:rPr>
              <w:t>本项目不涉及</w:t>
            </w:r>
          </w:p>
        </w:tc>
        <w:tc>
          <w:tcPr>
            <w:tcW w:w="1305" w:type="dxa"/>
            <w:vAlign w:val="top"/>
          </w:tcPr>
          <w:p w14:paraId="559FC0BD">
            <w:pPr>
              <w:spacing w:line="335" w:lineRule="auto"/>
              <w:rPr>
                <w:rFonts w:ascii="Arial"/>
                <w:sz w:val="21"/>
              </w:rPr>
            </w:pPr>
          </w:p>
          <w:p w14:paraId="37B17B70">
            <w:pPr>
              <w:spacing w:before="61" w:line="233" w:lineRule="auto"/>
              <w:ind w:left="62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7B611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2" w:hRule="atLeast"/>
        </w:trPr>
        <w:tc>
          <w:tcPr>
            <w:tcW w:w="772" w:type="dxa"/>
            <w:vMerge w:val="continue"/>
            <w:tcBorders>
              <w:top w:val="nil"/>
              <w:bottom w:val="nil"/>
            </w:tcBorders>
            <w:vAlign w:val="top"/>
          </w:tcPr>
          <w:p w14:paraId="7DE61135">
            <w:pPr>
              <w:rPr>
                <w:rFonts w:ascii="Arial"/>
                <w:sz w:val="21"/>
              </w:rPr>
            </w:pPr>
          </w:p>
        </w:tc>
        <w:tc>
          <w:tcPr>
            <w:tcW w:w="4762" w:type="dxa"/>
            <w:vAlign w:val="top"/>
          </w:tcPr>
          <w:p w14:paraId="32DE257D">
            <w:pPr>
              <w:pStyle w:val="6"/>
              <w:spacing w:before="51" w:line="228" w:lineRule="auto"/>
              <w:ind w:left="161"/>
            </w:pPr>
            <w:r>
              <w:rPr>
                <w:rFonts w:ascii="Times New Roman" w:hAnsi="Times New Roman" w:eastAsia="Times New Roman" w:cs="Times New Roman"/>
              </w:rPr>
              <w:t>e</w:t>
            </w:r>
            <w:r>
              <w:t>）根据</w:t>
            </w:r>
            <w:r>
              <w:rPr>
                <w:spacing w:val="-51"/>
              </w:rPr>
              <w:t xml:space="preserve"> </w:t>
            </w:r>
            <w:r>
              <w:rPr>
                <w:rFonts w:ascii="Times New Roman" w:hAnsi="Times New Roman" w:eastAsia="Times New Roman" w:cs="Times New Roman"/>
              </w:rPr>
              <w:t>HJ610</w:t>
            </w:r>
            <w:r>
              <w:t>、</w:t>
            </w:r>
            <w:r>
              <w:rPr>
                <w:rFonts w:ascii="Times New Roman" w:hAnsi="Times New Roman" w:eastAsia="Times New Roman" w:cs="Times New Roman"/>
              </w:rPr>
              <w:t xml:space="preserve">HJ964 </w:t>
            </w:r>
            <w:r>
              <w:t>判断地下水</w:t>
            </w:r>
            <w:r>
              <w:rPr>
                <w:spacing w:val="-1"/>
              </w:rPr>
              <w:t>水位或土壤影</w:t>
            </w:r>
          </w:p>
          <w:p w14:paraId="485A3487">
            <w:pPr>
              <w:pStyle w:val="6"/>
              <w:spacing w:before="52" w:line="220" w:lineRule="auto"/>
              <w:ind w:left="189"/>
            </w:pPr>
            <w:r>
              <w:rPr>
                <w:spacing w:val="-1"/>
              </w:rPr>
              <w:t>响范围内分布有天然林、公益林、湿地等生态保</w:t>
            </w:r>
          </w:p>
          <w:p w14:paraId="780B8360">
            <w:pPr>
              <w:pStyle w:val="6"/>
              <w:spacing w:before="62" w:line="219" w:lineRule="auto"/>
              <w:ind w:left="180"/>
            </w:pPr>
            <w:r>
              <w:rPr>
                <w:spacing w:val="-1"/>
              </w:rPr>
              <w:t>护目标的建设项目，生态影响评价等级不低于二</w:t>
            </w:r>
          </w:p>
          <w:p w14:paraId="5D293614">
            <w:pPr>
              <w:pStyle w:val="6"/>
              <w:spacing w:before="62" w:line="223" w:lineRule="auto"/>
              <w:ind w:left="2179"/>
            </w:pPr>
            <w:r>
              <w:rPr>
                <w:spacing w:val="-15"/>
              </w:rPr>
              <w:t>级；</w:t>
            </w:r>
          </w:p>
        </w:tc>
        <w:tc>
          <w:tcPr>
            <w:tcW w:w="2229" w:type="dxa"/>
            <w:vAlign w:val="top"/>
          </w:tcPr>
          <w:p w14:paraId="7CA10B94">
            <w:pPr>
              <w:spacing w:line="447" w:lineRule="auto"/>
              <w:rPr>
                <w:rFonts w:ascii="Arial"/>
                <w:sz w:val="21"/>
              </w:rPr>
            </w:pPr>
          </w:p>
          <w:p w14:paraId="6DBAE6F2">
            <w:pPr>
              <w:pStyle w:val="6"/>
              <w:spacing w:before="69" w:line="220" w:lineRule="auto"/>
              <w:ind w:left="490"/>
            </w:pPr>
            <w:r>
              <w:rPr>
                <w:spacing w:val="-1"/>
              </w:rPr>
              <w:t>本项目不涉及</w:t>
            </w:r>
          </w:p>
        </w:tc>
        <w:tc>
          <w:tcPr>
            <w:tcW w:w="1305" w:type="dxa"/>
            <w:vAlign w:val="top"/>
          </w:tcPr>
          <w:p w14:paraId="759B0B6D">
            <w:pPr>
              <w:spacing w:line="244" w:lineRule="auto"/>
              <w:rPr>
                <w:rFonts w:ascii="Arial"/>
                <w:sz w:val="21"/>
              </w:rPr>
            </w:pPr>
          </w:p>
          <w:p w14:paraId="399372C3">
            <w:pPr>
              <w:spacing w:line="244" w:lineRule="auto"/>
              <w:rPr>
                <w:rFonts w:ascii="Arial"/>
                <w:sz w:val="21"/>
              </w:rPr>
            </w:pPr>
          </w:p>
          <w:p w14:paraId="6FAE9FD8">
            <w:pPr>
              <w:spacing w:before="60" w:line="233" w:lineRule="auto"/>
              <w:ind w:left="62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766907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3" w:hRule="atLeast"/>
        </w:trPr>
        <w:tc>
          <w:tcPr>
            <w:tcW w:w="772" w:type="dxa"/>
            <w:vMerge w:val="continue"/>
            <w:tcBorders>
              <w:top w:val="nil"/>
              <w:bottom w:val="nil"/>
            </w:tcBorders>
            <w:vAlign w:val="top"/>
          </w:tcPr>
          <w:p w14:paraId="56713D11">
            <w:pPr>
              <w:rPr>
                <w:rFonts w:ascii="Arial"/>
                <w:sz w:val="21"/>
              </w:rPr>
            </w:pPr>
          </w:p>
        </w:tc>
        <w:tc>
          <w:tcPr>
            <w:tcW w:w="4762" w:type="dxa"/>
            <w:vAlign w:val="top"/>
          </w:tcPr>
          <w:p w14:paraId="4E4B5513">
            <w:pPr>
              <w:pStyle w:val="6"/>
              <w:spacing w:before="51" w:line="228" w:lineRule="auto"/>
              <w:ind w:left="140"/>
            </w:pPr>
            <w:r>
              <w:rPr>
                <w:rFonts w:ascii="Times New Roman" w:hAnsi="Times New Roman" w:eastAsia="Times New Roman" w:cs="Times New Roman"/>
                <w:spacing w:val="-1"/>
              </w:rPr>
              <w:t>f</w:t>
            </w:r>
            <w:r>
              <w:rPr>
                <w:spacing w:val="-1"/>
              </w:rPr>
              <w:t>）当工程占地规模大于</w:t>
            </w:r>
            <w:r>
              <w:rPr>
                <w:spacing w:val="-47"/>
              </w:rPr>
              <w:t xml:space="preserve"> </w:t>
            </w:r>
            <w:r>
              <w:rPr>
                <w:rFonts w:ascii="Times New Roman" w:hAnsi="Times New Roman" w:eastAsia="Times New Roman" w:cs="Times New Roman"/>
                <w:spacing w:val="-1"/>
              </w:rPr>
              <w:t>20km</w:t>
            </w:r>
            <w:r>
              <w:rPr>
                <w:rFonts w:ascii="Times New Roman" w:hAnsi="Times New Roman" w:eastAsia="Times New Roman" w:cs="Times New Roman"/>
                <w:spacing w:val="-1"/>
                <w:position w:val="7"/>
                <w:sz w:val="13"/>
                <w:szCs w:val="13"/>
              </w:rPr>
              <w:t>2</w:t>
            </w:r>
            <w:r>
              <w:rPr>
                <w:rFonts w:ascii="Times New Roman" w:hAnsi="Times New Roman" w:eastAsia="Times New Roman" w:cs="Times New Roman"/>
                <w:spacing w:val="22"/>
                <w:position w:val="7"/>
                <w:sz w:val="13"/>
                <w:szCs w:val="13"/>
              </w:rPr>
              <w:t xml:space="preserve"> </w:t>
            </w:r>
            <w:r>
              <w:rPr>
                <w:spacing w:val="-1"/>
              </w:rPr>
              <w:t>时（包括永久和临</w:t>
            </w:r>
          </w:p>
          <w:p w14:paraId="3C449844">
            <w:pPr>
              <w:pStyle w:val="6"/>
              <w:spacing w:before="52" w:line="219" w:lineRule="auto"/>
              <w:ind w:left="189"/>
            </w:pPr>
            <w:r>
              <w:rPr>
                <w:spacing w:val="-1"/>
              </w:rPr>
              <w:t>时占用陆域和水域</w:t>
            </w:r>
            <w:r>
              <w:rPr>
                <w:spacing w:val="9"/>
              </w:rPr>
              <w:t>），</w:t>
            </w:r>
            <w:r>
              <w:rPr>
                <w:spacing w:val="-1"/>
              </w:rPr>
              <w:t>评价等级不低于二级；改</w:t>
            </w:r>
          </w:p>
          <w:p w14:paraId="67E82C55">
            <w:pPr>
              <w:pStyle w:val="6"/>
              <w:spacing w:before="62" w:line="221" w:lineRule="auto"/>
              <w:ind w:left="179"/>
            </w:pPr>
            <w:r>
              <w:rPr>
                <w:spacing w:val="-1"/>
              </w:rPr>
              <w:t>扩建项目的占地范围以新增占地（包括陆域和水</w:t>
            </w:r>
          </w:p>
          <w:p w14:paraId="497C0A46">
            <w:pPr>
              <w:pStyle w:val="6"/>
              <w:spacing w:before="62" w:line="221" w:lineRule="auto"/>
              <w:ind w:left="1860"/>
            </w:pPr>
            <w:r>
              <w:rPr>
                <w:spacing w:val="-7"/>
              </w:rPr>
              <w:t>域）确定；</w:t>
            </w:r>
          </w:p>
        </w:tc>
        <w:tc>
          <w:tcPr>
            <w:tcW w:w="2229" w:type="dxa"/>
            <w:vAlign w:val="top"/>
          </w:tcPr>
          <w:p w14:paraId="3E7BA35A">
            <w:pPr>
              <w:spacing w:line="292" w:lineRule="auto"/>
              <w:rPr>
                <w:rFonts w:ascii="Arial"/>
                <w:sz w:val="21"/>
              </w:rPr>
            </w:pPr>
          </w:p>
          <w:p w14:paraId="16B89037">
            <w:pPr>
              <w:pStyle w:val="6"/>
              <w:spacing w:before="68" w:line="292" w:lineRule="auto"/>
              <w:ind w:left="735" w:right="165" w:hanging="562"/>
            </w:pPr>
            <w:r>
              <w:rPr>
                <w:spacing w:val="-1"/>
              </w:rPr>
              <w:t>本项目占地规模小于</w:t>
            </w:r>
            <w:r>
              <w:rPr>
                <w:rFonts w:ascii="Times New Roman" w:hAnsi="Times New Roman" w:eastAsia="Times New Roman" w:cs="Times New Roman"/>
              </w:rPr>
              <w:t>20km</w:t>
            </w:r>
            <w:r>
              <w:rPr>
                <w:rFonts w:ascii="Times New Roman" w:hAnsi="Times New Roman" w:eastAsia="Times New Roman" w:cs="Times New Roman"/>
                <w:position w:val="6"/>
                <w:sz w:val="13"/>
                <w:szCs w:val="13"/>
              </w:rPr>
              <w:t>2</w:t>
            </w:r>
            <w:r>
              <w:rPr>
                <w:position w:val="-1"/>
              </w:rPr>
              <w:t>。</w:t>
            </w:r>
          </w:p>
        </w:tc>
        <w:tc>
          <w:tcPr>
            <w:tcW w:w="1305" w:type="dxa"/>
            <w:vAlign w:val="top"/>
          </w:tcPr>
          <w:p w14:paraId="37C03FCC">
            <w:pPr>
              <w:spacing w:line="244" w:lineRule="auto"/>
              <w:rPr>
                <w:rFonts w:ascii="Arial"/>
                <w:sz w:val="21"/>
              </w:rPr>
            </w:pPr>
          </w:p>
          <w:p w14:paraId="1AE1E77F">
            <w:pPr>
              <w:spacing w:line="244" w:lineRule="auto"/>
              <w:rPr>
                <w:rFonts w:ascii="Arial"/>
                <w:sz w:val="21"/>
              </w:rPr>
            </w:pPr>
          </w:p>
          <w:p w14:paraId="0A9A88DB">
            <w:pPr>
              <w:spacing w:before="61" w:line="233" w:lineRule="auto"/>
              <w:ind w:left="62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656F17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72" w:type="dxa"/>
            <w:vMerge w:val="continue"/>
            <w:tcBorders>
              <w:top w:val="nil"/>
              <w:bottom w:val="nil"/>
            </w:tcBorders>
            <w:vAlign w:val="top"/>
          </w:tcPr>
          <w:p w14:paraId="2E029795">
            <w:pPr>
              <w:rPr>
                <w:rFonts w:ascii="Arial"/>
                <w:sz w:val="21"/>
              </w:rPr>
            </w:pPr>
          </w:p>
        </w:tc>
        <w:tc>
          <w:tcPr>
            <w:tcW w:w="4762" w:type="dxa"/>
            <w:vAlign w:val="top"/>
          </w:tcPr>
          <w:p w14:paraId="31679485">
            <w:pPr>
              <w:pStyle w:val="6"/>
              <w:spacing w:before="51" w:line="249" w:lineRule="auto"/>
              <w:ind w:left="112" w:right="168" w:hanging="2"/>
            </w:pPr>
            <w:r>
              <w:rPr>
                <w:rFonts w:ascii="Times New Roman" w:hAnsi="Times New Roman" w:eastAsia="Times New Roman" w:cs="Times New Roman"/>
                <w:spacing w:val="-1"/>
              </w:rPr>
              <w:t>g</w:t>
            </w:r>
            <w:r>
              <w:rPr>
                <w:spacing w:val="-1"/>
              </w:rPr>
              <w:t>）除本条</w:t>
            </w:r>
            <w:r>
              <w:rPr>
                <w:spacing w:val="-47"/>
              </w:rPr>
              <w:t xml:space="preserve"> </w:t>
            </w:r>
            <w:r>
              <w:rPr>
                <w:rFonts w:ascii="Times New Roman" w:hAnsi="Times New Roman" w:eastAsia="Times New Roman" w:cs="Times New Roman"/>
                <w:spacing w:val="-1"/>
              </w:rPr>
              <w:t>a</w:t>
            </w:r>
            <w:r>
              <w:rPr>
                <w:spacing w:val="-1"/>
              </w:rPr>
              <w:t>）、</w:t>
            </w:r>
            <w:r>
              <w:rPr>
                <w:rFonts w:ascii="Times New Roman" w:hAnsi="Times New Roman" w:eastAsia="Times New Roman" w:cs="Times New Roman"/>
                <w:spacing w:val="-1"/>
              </w:rPr>
              <w:t>b</w:t>
            </w:r>
            <w:r>
              <w:rPr>
                <w:spacing w:val="-1"/>
              </w:rPr>
              <w:t>）、</w:t>
            </w:r>
            <w:r>
              <w:rPr>
                <w:rFonts w:ascii="Times New Roman" w:hAnsi="Times New Roman" w:eastAsia="Times New Roman" w:cs="Times New Roman"/>
                <w:spacing w:val="-1"/>
              </w:rPr>
              <w:t>c</w:t>
            </w:r>
            <w:r>
              <w:rPr>
                <w:spacing w:val="-1"/>
              </w:rPr>
              <w:t>）、</w:t>
            </w:r>
            <w:r>
              <w:rPr>
                <w:rFonts w:ascii="Times New Roman" w:hAnsi="Times New Roman" w:eastAsia="Times New Roman" w:cs="Times New Roman"/>
                <w:spacing w:val="-1"/>
              </w:rPr>
              <w:t>d</w:t>
            </w:r>
            <w:r>
              <w:rPr>
                <w:spacing w:val="-1"/>
              </w:rPr>
              <w:t>）、</w:t>
            </w:r>
            <w:r>
              <w:rPr>
                <w:rFonts w:ascii="Times New Roman" w:hAnsi="Times New Roman" w:eastAsia="Times New Roman" w:cs="Times New Roman"/>
                <w:spacing w:val="-1"/>
              </w:rPr>
              <w:t>e</w:t>
            </w:r>
            <w:r>
              <w:rPr>
                <w:spacing w:val="-1"/>
              </w:rPr>
              <w:t>）、</w:t>
            </w:r>
            <w:r>
              <w:rPr>
                <w:rFonts w:ascii="Times New Roman" w:hAnsi="Times New Roman" w:eastAsia="Times New Roman" w:cs="Times New Roman"/>
                <w:spacing w:val="-1"/>
              </w:rPr>
              <w:t>f</w:t>
            </w:r>
            <w:r>
              <w:rPr>
                <w:spacing w:val="-1"/>
              </w:rPr>
              <w:t>）以外的</w:t>
            </w:r>
            <w:r>
              <w:rPr>
                <w:spacing w:val="-3"/>
              </w:rPr>
              <w:t>情况，评价等级为三级；</w:t>
            </w:r>
          </w:p>
        </w:tc>
        <w:tc>
          <w:tcPr>
            <w:tcW w:w="2229" w:type="dxa"/>
            <w:vAlign w:val="top"/>
          </w:tcPr>
          <w:p w14:paraId="678DE4D3">
            <w:pPr>
              <w:spacing w:before="240" w:line="233" w:lineRule="auto"/>
              <w:ind w:left="108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305" w:type="dxa"/>
            <w:vAlign w:val="top"/>
          </w:tcPr>
          <w:p w14:paraId="79AAF18A">
            <w:pPr>
              <w:spacing w:before="240" w:line="233" w:lineRule="auto"/>
              <w:ind w:left="62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58389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72" w:type="dxa"/>
            <w:vMerge w:val="continue"/>
            <w:tcBorders>
              <w:top w:val="nil"/>
              <w:bottom w:val="nil"/>
            </w:tcBorders>
            <w:vAlign w:val="top"/>
          </w:tcPr>
          <w:p w14:paraId="6F19682F">
            <w:pPr>
              <w:rPr>
                <w:rFonts w:ascii="Arial"/>
                <w:sz w:val="21"/>
              </w:rPr>
            </w:pPr>
          </w:p>
        </w:tc>
        <w:tc>
          <w:tcPr>
            <w:tcW w:w="4762" w:type="dxa"/>
            <w:vAlign w:val="top"/>
          </w:tcPr>
          <w:p w14:paraId="467F3B51">
            <w:pPr>
              <w:spacing w:line="294" w:lineRule="auto"/>
              <w:rPr>
                <w:rFonts w:ascii="Arial"/>
                <w:sz w:val="21"/>
              </w:rPr>
            </w:pPr>
          </w:p>
          <w:p w14:paraId="42BC99BD">
            <w:pPr>
              <w:pStyle w:val="6"/>
              <w:spacing w:before="68" w:line="227" w:lineRule="auto"/>
              <w:ind w:left="111"/>
            </w:pPr>
            <w:r>
              <w:rPr>
                <w:rFonts w:ascii="Times New Roman" w:hAnsi="Times New Roman" w:eastAsia="Times New Roman" w:cs="Times New Roman"/>
                <w:spacing w:val="-1"/>
              </w:rPr>
              <w:t>f</w:t>
            </w:r>
            <w:r>
              <w:rPr>
                <w:spacing w:val="-1"/>
              </w:rPr>
              <w:t>）以外的情况，评价等级为三级；</w:t>
            </w:r>
          </w:p>
        </w:tc>
        <w:tc>
          <w:tcPr>
            <w:tcW w:w="2229" w:type="dxa"/>
            <w:vAlign w:val="top"/>
          </w:tcPr>
          <w:p w14:paraId="68A00753">
            <w:pPr>
              <w:pStyle w:val="6"/>
              <w:spacing w:before="52" w:line="220" w:lineRule="auto"/>
              <w:ind w:left="173"/>
            </w:pPr>
            <w:r>
              <w:rPr>
                <w:spacing w:val="-1"/>
              </w:rPr>
              <w:t>本项目除生态保护红</w:t>
            </w:r>
          </w:p>
          <w:p w14:paraId="77D3A859">
            <w:pPr>
              <w:pStyle w:val="6"/>
              <w:spacing w:before="62" w:line="219" w:lineRule="auto"/>
              <w:ind w:left="175"/>
            </w:pPr>
            <w:r>
              <w:rPr>
                <w:spacing w:val="-1"/>
              </w:rPr>
              <w:t>线段外，评价等级为</w:t>
            </w:r>
          </w:p>
          <w:p w14:paraId="29FE64CD">
            <w:pPr>
              <w:pStyle w:val="6"/>
              <w:spacing w:before="62" w:line="223" w:lineRule="auto"/>
              <w:ind w:left="804"/>
            </w:pPr>
            <w:r>
              <w:rPr>
                <w:spacing w:val="-8"/>
              </w:rPr>
              <w:t>三级。</w:t>
            </w:r>
          </w:p>
        </w:tc>
        <w:tc>
          <w:tcPr>
            <w:tcW w:w="1305" w:type="dxa"/>
            <w:vAlign w:val="top"/>
          </w:tcPr>
          <w:p w14:paraId="57A4FA79">
            <w:pPr>
              <w:spacing w:line="294" w:lineRule="auto"/>
              <w:rPr>
                <w:rFonts w:ascii="Arial"/>
                <w:sz w:val="21"/>
              </w:rPr>
            </w:pPr>
          </w:p>
          <w:p w14:paraId="0F55CFB3">
            <w:pPr>
              <w:pStyle w:val="6"/>
              <w:spacing w:before="68" w:line="223" w:lineRule="auto"/>
              <w:ind w:left="447"/>
            </w:pPr>
            <w:r>
              <w:rPr>
                <w:spacing w:val="-2"/>
              </w:rPr>
              <w:t>三级</w:t>
            </w:r>
          </w:p>
        </w:tc>
      </w:tr>
      <w:tr w14:paraId="126B18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72" w:type="dxa"/>
            <w:vMerge w:val="continue"/>
            <w:tcBorders>
              <w:top w:val="nil"/>
            </w:tcBorders>
            <w:vAlign w:val="top"/>
          </w:tcPr>
          <w:p w14:paraId="27627B71">
            <w:pPr>
              <w:rPr>
                <w:rFonts w:ascii="Arial"/>
                <w:sz w:val="21"/>
              </w:rPr>
            </w:pPr>
          </w:p>
        </w:tc>
        <w:tc>
          <w:tcPr>
            <w:tcW w:w="4762" w:type="dxa"/>
            <w:vAlign w:val="top"/>
          </w:tcPr>
          <w:p w14:paraId="292EE2FB">
            <w:pPr>
              <w:pStyle w:val="6"/>
              <w:spacing w:before="53" w:line="248" w:lineRule="auto"/>
              <w:ind w:left="110" w:right="144" w:hanging="6"/>
            </w:pPr>
            <w:r>
              <w:rPr>
                <w:rFonts w:ascii="Times New Roman" w:hAnsi="Times New Roman" w:eastAsia="Times New Roman" w:cs="Times New Roman"/>
                <w:spacing w:val="-1"/>
              </w:rPr>
              <w:t>h</w:t>
            </w:r>
            <w:r>
              <w:rPr>
                <w:spacing w:val="-1"/>
              </w:rPr>
              <w:t>）当评价等级判定同时符合上述多种情况时，应采用其中最高的评价等级；</w:t>
            </w:r>
          </w:p>
        </w:tc>
        <w:tc>
          <w:tcPr>
            <w:tcW w:w="2229" w:type="dxa"/>
            <w:vAlign w:val="top"/>
          </w:tcPr>
          <w:p w14:paraId="5C9A51BA">
            <w:pPr>
              <w:pStyle w:val="6"/>
              <w:spacing w:before="208" w:line="220" w:lineRule="auto"/>
              <w:ind w:left="173"/>
            </w:pPr>
            <w:r>
              <w:rPr>
                <w:spacing w:val="-3"/>
              </w:rPr>
              <w:t>本项目不涉及该项。</w:t>
            </w:r>
          </w:p>
        </w:tc>
        <w:tc>
          <w:tcPr>
            <w:tcW w:w="1305" w:type="dxa"/>
            <w:vAlign w:val="top"/>
          </w:tcPr>
          <w:p w14:paraId="63BDE5E5">
            <w:pPr>
              <w:spacing w:before="241" w:line="233" w:lineRule="auto"/>
              <w:ind w:left="62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72EC62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trPr>
        <w:tc>
          <w:tcPr>
            <w:tcW w:w="772" w:type="dxa"/>
            <w:vMerge w:val="restart"/>
            <w:tcBorders>
              <w:bottom w:val="nil"/>
            </w:tcBorders>
            <w:vAlign w:val="top"/>
          </w:tcPr>
          <w:p w14:paraId="2C249354">
            <w:pPr>
              <w:spacing w:line="264" w:lineRule="auto"/>
              <w:rPr>
                <w:rFonts w:ascii="Arial"/>
                <w:sz w:val="21"/>
              </w:rPr>
            </w:pPr>
          </w:p>
          <w:p w14:paraId="2834EAFD">
            <w:pPr>
              <w:spacing w:line="264" w:lineRule="auto"/>
              <w:rPr>
                <w:rFonts w:ascii="Arial"/>
                <w:sz w:val="21"/>
              </w:rPr>
            </w:pPr>
          </w:p>
          <w:p w14:paraId="46860C55">
            <w:pPr>
              <w:spacing w:line="264" w:lineRule="auto"/>
              <w:rPr>
                <w:rFonts w:ascii="Arial"/>
                <w:sz w:val="21"/>
              </w:rPr>
            </w:pPr>
          </w:p>
          <w:p w14:paraId="40909949">
            <w:pPr>
              <w:spacing w:line="264" w:lineRule="auto"/>
              <w:rPr>
                <w:rFonts w:ascii="Arial"/>
                <w:sz w:val="21"/>
              </w:rPr>
            </w:pPr>
          </w:p>
          <w:p w14:paraId="1EFA5738">
            <w:pPr>
              <w:spacing w:line="264" w:lineRule="auto"/>
              <w:rPr>
                <w:rFonts w:ascii="Arial"/>
                <w:sz w:val="21"/>
              </w:rPr>
            </w:pPr>
          </w:p>
          <w:p w14:paraId="31B837C2">
            <w:pPr>
              <w:spacing w:line="264" w:lineRule="auto"/>
              <w:rPr>
                <w:rFonts w:ascii="Arial"/>
                <w:sz w:val="21"/>
              </w:rPr>
            </w:pPr>
          </w:p>
          <w:p w14:paraId="4F34CE8B">
            <w:pPr>
              <w:spacing w:line="264" w:lineRule="auto"/>
              <w:rPr>
                <w:rFonts w:ascii="Arial"/>
                <w:sz w:val="21"/>
              </w:rPr>
            </w:pPr>
          </w:p>
          <w:p w14:paraId="375E74F7">
            <w:pPr>
              <w:spacing w:line="264" w:lineRule="auto"/>
              <w:rPr>
                <w:rFonts w:ascii="Arial"/>
                <w:sz w:val="21"/>
              </w:rPr>
            </w:pPr>
          </w:p>
          <w:p w14:paraId="04AB7D7D">
            <w:pPr>
              <w:spacing w:line="264" w:lineRule="auto"/>
              <w:rPr>
                <w:rFonts w:ascii="Arial"/>
                <w:sz w:val="21"/>
              </w:rPr>
            </w:pPr>
          </w:p>
          <w:p w14:paraId="739AC216">
            <w:pPr>
              <w:pStyle w:val="6"/>
              <w:spacing w:before="68" w:line="179" w:lineRule="auto"/>
              <w:ind w:left="184"/>
            </w:pPr>
            <w:r>
              <w:rPr>
                <w:spacing w:val="-11"/>
              </w:rPr>
              <w:t>二、</w:t>
            </w:r>
          </w:p>
          <w:p w14:paraId="074C2575">
            <w:pPr>
              <w:pStyle w:val="6"/>
              <w:spacing w:before="69" w:line="221" w:lineRule="auto"/>
              <w:ind w:left="181"/>
            </w:pPr>
            <w:r>
              <w:rPr>
                <w:spacing w:val="-2"/>
              </w:rPr>
              <w:t>其他</w:t>
            </w:r>
          </w:p>
        </w:tc>
        <w:tc>
          <w:tcPr>
            <w:tcW w:w="4762" w:type="dxa"/>
            <w:vAlign w:val="top"/>
          </w:tcPr>
          <w:p w14:paraId="023199FF">
            <w:pPr>
              <w:pStyle w:val="6"/>
              <w:spacing w:before="56" w:line="248" w:lineRule="auto"/>
              <w:ind w:left="112" w:right="145" w:firstLine="15"/>
            </w:pPr>
            <w:r>
              <w:rPr>
                <w:rFonts w:ascii="Times New Roman" w:hAnsi="Times New Roman" w:eastAsia="Times New Roman" w:cs="Times New Roman"/>
                <w:spacing w:val="-2"/>
              </w:rPr>
              <w:t>1</w:t>
            </w:r>
            <w:r>
              <w:rPr>
                <w:spacing w:val="-2"/>
              </w:rPr>
              <w:t>）建设项目涉及经论证对保护生物多样性具有重要意义的区域时，可适当上调评价等级。</w:t>
            </w:r>
          </w:p>
        </w:tc>
        <w:tc>
          <w:tcPr>
            <w:tcW w:w="2229" w:type="dxa"/>
            <w:vAlign w:val="top"/>
          </w:tcPr>
          <w:p w14:paraId="53C69B77">
            <w:pPr>
              <w:pStyle w:val="6"/>
              <w:spacing w:before="211" w:line="220" w:lineRule="auto"/>
              <w:ind w:left="173"/>
            </w:pPr>
            <w:r>
              <w:rPr>
                <w:spacing w:val="-3"/>
              </w:rPr>
              <w:t>本项目不涉及该项。</w:t>
            </w:r>
          </w:p>
        </w:tc>
        <w:tc>
          <w:tcPr>
            <w:tcW w:w="1305" w:type="dxa"/>
            <w:vAlign w:val="top"/>
          </w:tcPr>
          <w:p w14:paraId="28D60B25">
            <w:pPr>
              <w:spacing w:before="244" w:line="233" w:lineRule="auto"/>
              <w:ind w:left="62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228E21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9" w:hRule="atLeast"/>
        </w:trPr>
        <w:tc>
          <w:tcPr>
            <w:tcW w:w="772" w:type="dxa"/>
            <w:vMerge w:val="continue"/>
            <w:tcBorders>
              <w:top w:val="nil"/>
              <w:bottom w:val="nil"/>
            </w:tcBorders>
            <w:vAlign w:val="top"/>
          </w:tcPr>
          <w:p w14:paraId="5EDE73E7">
            <w:pPr>
              <w:rPr>
                <w:rFonts w:ascii="Arial"/>
                <w:sz w:val="21"/>
              </w:rPr>
            </w:pPr>
          </w:p>
        </w:tc>
        <w:tc>
          <w:tcPr>
            <w:tcW w:w="4762" w:type="dxa"/>
            <w:vAlign w:val="top"/>
          </w:tcPr>
          <w:p w14:paraId="0EBF1962">
            <w:pPr>
              <w:pStyle w:val="6"/>
              <w:spacing w:before="52" w:line="249" w:lineRule="auto"/>
              <w:ind w:left="111" w:right="144" w:hanging="3"/>
            </w:pPr>
            <w:r>
              <w:rPr>
                <w:rFonts w:ascii="Times New Roman" w:hAnsi="Times New Roman" w:eastAsia="Times New Roman" w:cs="Times New Roman"/>
                <w:spacing w:val="-1"/>
              </w:rPr>
              <w:t>2</w:t>
            </w:r>
            <w:r>
              <w:rPr>
                <w:spacing w:val="-1"/>
              </w:rPr>
              <w:t>）建设项目同时涉及陆生、水生生态影响时，可针对陆生生态、水生生态分别判定评价等级。</w:t>
            </w:r>
          </w:p>
        </w:tc>
        <w:tc>
          <w:tcPr>
            <w:tcW w:w="2229" w:type="dxa"/>
            <w:vAlign w:val="top"/>
          </w:tcPr>
          <w:p w14:paraId="201451B8">
            <w:pPr>
              <w:pStyle w:val="6"/>
              <w:spacing w:before="209" w:line="220" w:lineRule="auto"/>
              <w:ind w:left="173"/>
            </w:pPr>
            <w:r>
              <w:rPr>
                <w:spacing w:val="-3"/>
              </w:rPr>
              <w:t>本项目不涉及该项。</w:t>
            </w:r>
          </w:p>
        </w:tc>
        <w:tc>
          <w:tcPr>
            <w:tcW w:w="1305" w:type="dxa"/>
            <w:vAlign w:val="top"/>
          </w:tcPr>
          <w:p w14:paraId="0C38EE05">
            <w:pPr>
              <w:spacing w:before="242" w:line="233" w:lineRule="auto"/>
              <w:ind w:left="62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719380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72" w:type="dxa"/>
            <w:vMerge w:val="continue"/>
            <w:tcBorders>
              <w:top w:val="nil"/>
              <w:bottom w:val="nil"/>
            </w:tcBorders>
            <w:vAlign w:val="top"/>
          </w:tcPr>
          <w:p w14:paraId="4E052B26">
            <w:pPr>
              <w:rPr>
                <w:rFonts w:ascii="Arial"/>
                <w:sz w:val="21"/>
              </w:rPr>
            </w:pPr>
          </w:p>
        </w:tc>
        <w:tc>
          <w:tcPr>
            <w:tcW w:w="4762" w:type="dxa"/>
            <w:vAlign w:val="top"/>
          </w:tcPr>
          <w:p w14:paraId="1D3A96C0">
            <w:pPr>
              <w:pStyle w:val="6"/>
              <w:spacing w:before="52" w:line="257" w:lineRule="auto"/>
              <w:ind w:left="111" w:right="144"/>
              <w:jc w:val="both"/>
            </w:pPr>
            <w:r>
              <w:rPr>
                <w:rFonts w:ascii="Times New Roman" w:hAnsi="Times New Roman" w:eastAsia="Times New Roman" w:cs="Times New Roman"/>
                <w:spacing w:val="-1"/>
              </w:rPr>
              <w:t>3</w:t>
            </w:r>
            <w:r>
              <w:rPr>
                <w:spacing w:val="-1"/>
              </w:rPr>
              <w:t>）在矿山开采可能导致矿区土地利用类型明显改变，或拦河闸坝建设可能明显改变水文情势等情况下，评价等级应上调一级</w:t>
            </w:r>
          </w:p>
        </w:tc>
        <w:tc>
          <w:tcPr>
            <w:tcW w:w="2229" w:type="dxa"/>
            <w:vAlign w:val="top"/>
          </w:tcPr>
          <w:p w14:paraId="2005B385">
            <w:pPr>
              <w:spacing w:line="295" w:lineRule="auto"/>
              <w:rPr>
                <w:rFonts w:ascii="Arial"/>
                <w:sz w:val="21"/>
              </w:rPr>
            </w:pPr>
          </w:p>
          <w:p w14:paraId="334C0D48">
            <w:pPr>
              <w:pStyle w:val="6"/>
              <w:spacing w:before="68" w:line="220" w:lineRule="auto"/>
              <w:ind w:left="173"/>
            </w:pPr>
            <w:r>
              <w:rPr>
                <w:spacing w:val="-3"/>
              </w:rPr>
              <w:t>本项目不涉及该项。</w:t>
            </w:r>
          </w:p>
        </w:tc>
        <w:tc>
          <w:tcPr>
            <w:tcW w:w="1305" w:type="dxa"/>
            <w:vAlign w:val="top"/>
          </w:tcPr>
          <w:p w14:paraId="669F866D">
            <w:pPr>
              <w:spacing w:line="335" w:lineRule="auto"/>
              <w:rPr>
                <w:rFonts w:ascii="Arial"/>
                <w:sz w:val="21"/>
              </w:rPr>
            </w:pPr>
          </w:p>
          <w:p w14:paraId="53B61DDF">
            <w:pPr>
              <w:spacing w:before="61" w:line="233" w:lineRule="auto"/>
              <w:ind w:left="62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0B7B96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trPr>
        <w:tc>
          <w:tcPr>
            <w:tcW w:w="772" w:type="dxa"/>
            <w:vMerge w:val="continue"/>
            <w:tcBorders>
              <w:top w:val="nil"/>
              <w:bottom w:val="nil"/>
            </w:tcBorders>
            <w:vAlign w:val="top"/>
          </w:tcPr>
          <w:p w14:paraId="22229DA8">
            <w:pPr>
              <w:rPr>
                <w:rFonts w:ascii="Arial"/>
                <w:sz w:val="21"/>
              </w:rPr>
            </w:pPr>
          </w:p>
        </w:tc>
        <w:tc>
          <w:tcPr>
            <w:tcW w:w="4762" w:type="dxa"/>
            <w:vAlign w:val="top"/>
          </w:tcPr>
          <w:p w14:paraId="310D0B63">
            <w:pPr>
              <w:pStyle w:val="6"/>
              <w:spacing w:before="52" w:line="257" w:lineRule="auto"/>
              <w:ind w:left="122" w:right="149" w:hanging="15"/>
              <w:jc w:val="both"/>
            </w:pPr>
            <w:r>
              <w:rPr>
                <w:rFonts w:ascii="Times New Roman" w:hAnsi="Times New Roman" w:eastAsia="Times New Roman" w:cs="Times New Roman"/>
                <w:spacing w:val="-1"/>
              </w:rPr>
              <w:t>4</w:t>
            </w:r>
            <w:r>
              <w:rPr>
                <w:spacing w:val="-1"/>
              </w:rPr>
              <w:t>）线性工程可分段确定评价等级。线性工程地下穿越或地表跨越生态敏感区，在生态敏感区范围内无永久、临时占地时，评价等级可下调一级。</w:t>
            </w:r>
          </w:p>
        </w:tc>
        <w:tc>
          <w:tcPr>
            <w:tcW w:w="2229" w:type="dxa"/>
            <w:vAlign w:val="top"/>
          </w:tcPr>
          <w:p w14:paraId="681D8B42">
            <w:pPr>
              <w:pStyle w:val="6"/>
              <w:spacing w:before="54" w:line="220" w:lineRule="auto"/>
              <w:ind w:left="173"/>
            </w:pPr>
            <w:r>
              <w:rPr>
                <w:spacing w:val="-1"/>
              </w:rPr>
              <w:t>本项目穿越生态保护</w:t>
            </w:r>
          </w:p>
          <w:p w14:paraId="31ECA74B">
            <w:pPr>
              <w:pStyle w:val="6"/>
              <w:spacing w:before="62" w:line="221" w:lineRule="auto"/>
              <w:ind w:left="177"/>
            </w:pPr>
            <w:r>
              <w:rPr>
                <w:spacing w:val="-2"/>
              </w:rPr>
              <w:t>红线段二级，其余三</w:t>
            </w:r>
          </w:p>
          <w:p w14:paraId="614440DA">
            <w:pPr>
              <w:pStyle w:val="6"/>
              <w:spacing w:before="60" w:line="221" w:lineRule="auto"/>
              <w:ind w:left="913"/>
            </w:pPr>
            <w:r>
              <w:rPr>
                <w:spacing w:val="-6"/>
              </w:rPr>
              <w:t>级。</w:t>
            </w:r>
          </w:p>
        </w:tc>
        <w:tc>
          <w:tcPr>
            <w:tcW w:w="1305" w:type="dxa"/>
            <w:vAlign w:val="top"/>
          </w:tcPr>
          <w:p w14:paraId="490C85BF">
            <w:pPr>
              <w:spacing w:line="295" w:lineRule="auto"/>
              <w:rPr>
                <w:rFonts w:ascii="Arial"/>
                <w:sz w:val="21"/>
              </w:rPr>
            </w:pPr>
          </w:p>
          <w:p w14:paraId="7A620B6A">
            <w:pPr>
              <w:pStyle w:val="6"/>
              <w:spacing w:before="69" w:line="223" w:lineRule="auto"/>
              <w:ind w:left="136"/>
            </w:pPr>
            <w:r>
              <w:rPr>
                <w:spacing w:val="-2"/>
              </w:rPr>
              <w:t>二级、三级</w:t>
            </w:r>
          </w:p>
        </w:tc>
      </w:tr>
      <w:tr w14:paraId="1C0198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72" w:type="dxa"/>
            <w:vMerge w:val="continue"/>
            <w:tcBorders>
              <w:top w:val="nil"/>
              <w:bottom w:val="nil"/>
            </w:tcBorders>
            <w:vAlign w:val="top"/>
          </w:tcPr>
          <w:p w14:paraId="34598D30">
            <w:pPr>
              <w:rPr>
                <w:rFonts w:ascii="Arial"/>
                <w:sz w:val="21"/>
              </w:rPr>
            </w:pPr>
          </w:p>
        </w:tc>
        <w:tc>
          <w:tcPr>
            <w:tcW w:w="4762" w:type="dxa"/>
            <w:vAlign w:val="top"/>
          </w:tcPr>
          <w:p w14:paraId="27F2C868">
            <w:pPr>
              <w:pStyle w:val="6"/>
              <w:spacing w:before="54" w:line="222" w:lineRule="auto"/>
              <w:ind w:left="113"/>
            </w:pPr>
            <w:r>
              <w:rPr>
                <w:rFonts w:ascii="Times New Roman" w:hAnsi="Times New Roman" w:eastAsia="Times New Roman" w:cs="Times New Roman"/>
                <w:spacing w:val="-1"/>
              </w:rPr>
              <w:t>5</w:t>
            </w:r>
            <w:r>
              <w:rPr>
                <w:spacing w:val="-1"/>
              </w:rPr>
              <w:t>）涉海工程评价等级判定参照</w:t>
            </w:r>
            <w:r>
              <w:rPr>
                <w:spacing w:val="-38"/>
              </w:rPr>
              <w:t xml:space="preserve"> </w:t>
            </w:r>
            <w:r>
              <w:rPr>
                <w:rFonts w:ascii="Times New Roman" w:hAnsi="Times New Roman" w:eastAsia="Times New Roman" w:cs="Times New Roman"/>
                <w:spacing w:val="-1"/>
              </w:rPr>
              <w:t>GB/T19485</w:t>
            </w:r>
            <w:r>
              <w:rPr>
                <w:spacing w:val="-1"/>
              </w:rPr>
              <w:t>。</w:t>
            </w:r>
          </w:p>
        </w:tc>
        <w:tc>
          <w:tcPr>
            <w:tcW w:w="2229" w:type="dxa"/>
            <w:vAlign w:val="top"/>
          </w:tcPr>
          <w:p w14:paraId="750F84AA">
            <w:pPr>
              <w:pStyle w:val="6"/>
              <w:spacing w:before="54" w:line="220" w:lineRule="auto"/>
              <w:ind w:left="173"/>
            </w:pPr>
            <w:r>
              <w:rPr>
                <w:spacing w:val="-3"/>
              </w:rPr>
              <w:t>本项目不涉及该项。</w:t>
            </w:r>
          </w:p>
        </w:tc>
        <w:tc>
          <w:tcPr>
            <w:tcW w:w="1305" w:type="dxa"/>
            <w:vAlign w:val="top"/>
          </w:tcPr>
          <w:p w14:paraId="211233A6">
            <w:pPr>
              <w:spacing w:before="87" w:line="218" w:lineRule="auto"/>
              <w:ind w:left="62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111B1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6" w:hRule="atLeast"/>
        </w:trPr>
        <w:tc>
          <w:tcPr>
            <w:tcW w:w="772" w:type="dxa"/>
            <w:vMerge w:val="continue"/>
            <w:tcBorders>
              <w:top w:val="nil"/>
            </w:tcBorders>
            <w:vAlign w:val="top"/>
          </w:tcPr>
          <w:p w14:paraId="1F6DC106">
            <w:pPr>
              <w:rPr>
                <w:rFonts w:ascii="Arial"/>
                <w:sz w:val="21"/>
              </w:rPr>
            </w:pPr>
          </w:p>
        </w:tc>
        <w:tc>
          <w:tcPr>
            <w:tcW w:w="4762" w:type="dxa"/>
            <w:vAlign w:val="top"/>
          </w:tcPr>
          <w:p w14:paraId="494F83CD">
            <w:pPr>
              <w:pStyle w:val="6"/>
              <w:spacing w:before="56" w:line="274" w:lineRule="auto"/>
              <w:ind w:left="112" w:right="145"/>
            </w:pPr>
            <w:r>
              <w:rPr>
                <w:rFonts w:ascii="Times New Roman" w:hAnsi="Times New Roman" w:eastAsia="Times New Roman" w:cs="Times New Roman"/>
                <w:spacing w:val="-1"/>
              </w:rPr>
              <w:t>6</w:t>
            </w:r>
            <w:r>
              <w:rPr>
                <w:spacing w:val="-1"/>
              </w:rPr>
              <w:t>）符合生态环境分区管控要求且位于原厂界（或永久用地）范围内的污染影响类改扩建项目，位于已批准规划环评的产业园区内且符合规划环评要求、不涉及生态敏感区的污染影响类建设项</w:t>
            </w:r>
          </w:p>
          <w:p w14:paraId="7E07D610">
            <w:pPr>
              <w:pStyle w:val="6"/>
              <w:spacing w:before="1" w:line="247" w:lineRule="auto"/>
              <w:ind w:left="114" w:right="238" w:firstLine="37"/>
            </w:pPr>
            <w:r>
              <w:rPr>
                <w:spacing w:val="-3"/>
              </w:rPr>
              <w:t>目，可不确定评价等级，直接进行生态影响简单</w:t>
            </w:r>
            <w:r>
              <w:rPr>
                <w:spacing w:val="-9"/>
              </w:rPr>
              <w:t>分析。</w:t>
            </w:r>
          </w:p>
        </w:tc>
        <w:tc>
          <w:tcPr>
            <w:tcW w:w="2229" w:type="dxa"/>
            <w:vAlign w:val="top"/>
          </w:tcPr>
          <w:p w14:paraId="26FE8D93">
            <w:pPr>
              <w:spacing w:line="253" w:lineRule="auto"/>
              <w:rPr>
                <w:rFonts w:ascii="Arial"/>
                <w:sz w:val="21"/>
              </w:rPr>
            </w:pPr>
          </w:p>
          <w:p w14:paraId="58DA5F85">
            <w:pPr>
              <w:spacing w:line="254" w:lineRule="auto"/>
              <w:rPr>
                <w:rFonts w:ascii="Arial"/>
                <w:sz w:val="21"/>
              </w:rPr>
            </w:pPr>
          </w:p>
          <w:p w14:paraId="27DD52FA">
            <w:pPr>
              <w:spacing w:line="254" w:lineRule="auto"/>
              <w:rPr>
                <w:rFonts w:ascii="Arial"/>
                <w:sz w:val="21"/>
              </w:rPr>
            </w:pPr>
          </w:p>
          <w:p w14:paraId="4605675F">
            <w:pPr>
              <w:pStyle w:val="6"/>
              <w:spacing w:before="68" w:line="220" w:lineRule="auto"/>
              <w:ind w:left="173"/>
            </w:pPr>
            <w:r>
              <w:rPr>
                <w:spacing w:val="-3"/>
              </w:rPr>
              <w:t>本项目不涉及该项。</w:t>
            </w:r>
          </w:p>
        </w:tc>
        <w:tc>
          <w:tcPr>
            <w:tcW w:w="1305" w:type="dxa"/>
            <w:vAlign w:val="top"/>
          </w:tcPr>
          <w:p w14:paraId="62542B36">
            <w:pPr>
              <w:spacing w:line="267" w:lineRule="auto"/>
              <w:rPr>
                <w:rFonts w:ascii="Arial"/>
                <w:sz w:val="21"/>
              </w:rPr>
            </w:pPr>
          </w:p>
          <w:p w14:paraId="204AE3D6">
            <w:pPr>
              <w:spacing w:line="267" w:lineRule="auto"/>
              <w:rPr>
                <w:rFonts w:ascii="Arial"/>
                <w:sz w:val="21"/>
              </w:rPr>
            </w:pPr>
          </w:p>
          <w:p w14:paraId="078E1802">
            <w:pPr>
              <w:spacing w:line="267" w:lineRule="auto"/>
              <w:rPr>
                <w:rFonts w:ascii="Arial"/>
                <w:sz w:val="21"/>
              </w:rPr>
            </w:pPr>
          </w:p>
          <w:p w14:paraId="3F3AAEEB">
            <w:pPr>
              <w:spacing w:before="61" w:line="233" w:lineRule="auto"/>
              <w:ind w:left="62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r w14:paraId="5125D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7" w:hRule="atLeast"/>
        </w:trPr>
        <w:tc>
          <w:tcPr>
            <w:tcW w:w="5534" w:type="dxa"/>
            <w:gridSpan w:val="2"/>
            <w:vAlign w:val="top"/>
          </w:tcPr>
          <w:p w14:paraId="108FF314">
            <w:pPr>
              <w:spacing w:line="299" w:lineRule="auto"/>
              <w:rPr>
                <w:rFonts w:ascii="Arial"/>
                <w:sz w:val="21"/>
              </w:rPr>
            </w:pPr>
          </w:p>
          <w:p w14:paraId="679C14F1">
            <w:pPr>
              <w:pStyle w:val="6"/>
              <w:spacing w:before="69" w:line="222" w:lineRule="auto"/>
              <w:ind w:left="2565"/>
            </w:pPr>
            <w:r>
              <w:rPr>
                <w:spacing w:val="-2"/>
              </w:rPr>
              <w:t>合计</w:t>
            </w:r>
          </w:p>
        </w:tc>
        <w:tc>
          <w:tcPr>
            <w:tcW w:w="3534" w:type="dxa"/>
            <w:gridSpan w:val="2"/>
            <w:vAlign w:val="top"/>
          </w:tcPr>
          <w:p w14:paraId="047B0639">
            <w:pPr>
              <w:pStyle w:val="6"/>
              <w:spacing w:before="57" w:line="220" w:lineRule="auto"/>
              <w:ind w:left="196"/>
            </w:pPr>
            <w:r>
              <w:rPr>
                <w:spacing w:val="-1"/>
              </w:rPr>
              <w:t>综合评判，本项目涉及生态保护红</w:t>
            </w:r>
          </w:p>
          <w:p w14:paraId="40581975">
            <w:pPr>
              <w:pStyle w:val="6"/>
              <w:spacing w:before="62" w:line="219" w:lineRule="auto"/>
              <w:ind w:left="196"/>
            </w:pPr>
            <w:r>
              <w:rPr>
                <w:spacing w:val="-1"/>
              </w:rPr>
              <w:t>线段评价等级为二级，其余线路评</w:t>
            </w:r>
          </w:p>
          <w:p w14:paraId="2E72A406">
            <w:pPr>
              <w:pStyle w:val="6"/>
              <w:spacing w:before="62" w:line="219" w:lineRule="auto"/>
              <w:ind w:left="1035"/>
            </w:pPr>
            <w:r>
              <w:rPr>
                <w:spacing w:val="-3"/>
              </w:rPr>
              <w:t>价等级为三级。</w:t>
            </w:r>
          </w:p>
        </w:tc>
      </w:tr>
    </w:tbl>
    <w:p w14:paraId="4AC5A58B">
      <w:pPr>
        <w:spacing w:before="114" w:line="352" w:lineRule="auto"/>
        <w:ind w:left="15" w:right="1" w:firstLine="474"/>
        <w:rPr>
          <w:rFonts w:ascii="宋体" w:hAnsi="宋体" w:eastAsia="宋体" w:cs="宋体"/>
          <w:sz w:val="24"/>
          <w:szCs w:val="24"/>
        </w:rPr>
      </w:pPr>
      <w:r>
        <w:rPr>
          <w:rFonts w:ascii="宋体" w:hAnsi="宋体" w:eastAsia="宋体" w:cs="宋体"/>
          <w:spacing w:val="-8"/>
          <w:sz w:val="24"/>
          <w:szCs w:val="24"/>
        </w:rPr>
        <w:t>根据《环境影响评价技术导则</w:t>
      </w:r>
      <w:r>
        <w:rPr>
          <w:rFonts w:ascii="宋体" w:hAnsi="宋体" w:eastAsia="宋体" w:cs="宋体"/>
          <w:spacing w:val="42"/>
          <w:sz w:val="24"/>
          <w:szCs w:val="24"/>
        </w:rPr>
        <w:t xml:space="preserve"> </w:t>
      </w:r>
      <w:r>
        <w:rPr>
          <w:rFonts w:ascii="宋体" w:hAnsi="宋体" w:eastAsia="宋体" w:cs="宋体"/>
          <w:spacing w:val="-8"/>
          <w:sz w:val="24"/>
          <w:szCs w:val="24"/>
        </w:rPr>
        <w:t>生态影响》（</w:t>
      </w:r>
      <w:r>
        <w:rPr>
          <w:rFonts w:ascii="Times New Roman" w:hAnsi="Times New Roman" w:eastAsia="Times New Roman" w:cs="Times New Roman"/>
          <w:spacing w:val="-8"/>
          <w:sz w:val="24"/>
          <w:szCs w:val="24"/>
        </w:rPr>
        <w:t>HJ19-2022</w:t>
      </w:r>
      <w:r>
        <w:rPr>
          <w:rFonts w:ascii="宋体" w:hAnsi="宋体" w:eastAsia="宋体" w:cs="宋体"/>
          <w:spacing w:val="-8"/>
          <w:sz w:val="24"/>
          <w:szCs w:val="24"/>
        </w:rPr>
        <w:t>）评价等级判定，本项目评价</w:t>
      </w:r>
      <w:r>
        <w:rPr>
          <w:rFonts w:ascii="宋体" w:hAnsi="宋体" w:eastAsia="宋体" w:cs="宋体"/>
          <w:spacing w:val="-6"/>
          <w:sz w:val="24"/>
          <w:szCs w:val="24"/>
        </w:rPr>
        <w:t>范围不涉及国家公园、世界自然遗产、重要生境，</w:t>
      </w:r>
      <w:r>
        <w:rPr>
          <w:rFonts w:ascii="宋体" w:hAnsi="宋体" w:eastAsia="宋体" w:cs="宋体"/>
          <w:spacing w:val="53"/>
          <w:sz w:val="24"/>
          <w:szCs w:val="24"/>
        </w:rPr>
        <w:t xml:space="preserve"> </w:t>
      </w:r>
      <w:r>
        <w:rPr>
          <w:rFonts w:ascii="宋体" w:hAnsi="宋体" w:eastAsia="宋体" w:cs="宋体"/>
          <w:spacing w:val="-6"/>
          <w:sz w:val="24"/>
          <w:szCs w:val="24"/>
        </w:rPr>
        <w:t>工程部分区域</w:t>
      </w:r>
      <w:r>
        <w:rPr>
          <w:rFonts w:ascii="宋体" w:hAnsi="宋体" w:eastAsia="宋体" w:cs="宋体"/>
          <w:spacing w:val="-7"/>
          <w:sz w:val="24"/>
          <w:szCs w:val="24"/>
        </w:rPr>
        <w:t>涉及生态保护红线，架</w:t>
      </w:r>
    </w:p>
    <w:p w14:paraId="442CA4BD">
      <w:pPr>
        <w:spacing w:line="352" w:lineRule="auto"/>
        <w:rPr>
          <w:rFonts w:ascii="宋体" w:hAnsi="宋体" w:eastAsia="宋体" w:cs="宋体"/>
          <w:sz w:val="24"/>
          <w:szCs w:val="24"/>
        </w:rPr>
        <w:sectPr>
          <w:footerReference r:id="rId148" w:type="default"/>
          <w:pgSz w:w="11907" w:h="16841"/>
          <w:pgMar w:top="400" w:right="1413" w:bottom="1126" w:left="1418" w:header="0" w:footer="923" w:gutter="0"/>
          <w:cols w:space="720" w:num="1"/>
        </w:sectPr>
      </w:pPr>
    </w:p>
    <w:p w14:paraId="0B3AF7A7">
      <w:pPr>
        <w:spacing w:line="249" w:lineRule="auto"/>
        <w:rPr>
          <w:rFonts w:ascii="Arial"/>
          <w:sz w:val="21"/>
        </w:rPr>
      </w:pPr>
    </w:p>
    <w:p w14:paraId="010A1E00">
      <w:pPr>
        <w:spacing w:line="249" w:lineRule="auto"/>
        <w:rPr>
          <w:rFonts w:ascii="Arial"/>
          <w:sz w:val="21"/>
        </w:rPr>
      </w:pPr>
    </w:p>
    <w:p w14:paraId="173294CF">
      <w:pPr>
        <w:spacing w:line="249" w:lineRule="auto"/>
        <w:rPr>
          <w:rFonts w:ascii="Arial"/>
          <w:sz w:val="21"/>
        </w:rPr>
      </w:pPr>
    </w:p>
    <w:p w14:paraId="037FEE89">
      <w:pPr>
        <w:spacing w:line="249" w:lineRule="auto"/>
        <w:rPr>
          <w:rFonts w:ascii="Arial"/>
          <w:sz w:val="21"/>
        </w:rPr>
      </w:pPr>
    </w:p>
    <w:p w14:paraId="27D368D3">
      <w:pPr>
        <w:spacing w:line="249" w:lineRule="auto"/>
        <w:rPr>
          <w:rFonts w:ascii="Arial"/>
          <w:sz w:val="21"/>
        </w:rPr>
      </w:pPr>
    </w:p>
    <w:p w14:paraId="57DDCB0D">
      <w:pPr>
        <w:spacing w:before="78" w:line="351" w:lineRule="auto"/>
        <w:ind w:left="8" w:right="12" w:firstLine="3"/>
        <w:rPr>
          <w:rFonts w:ascii="宋体" w:hAnsi="宋体" w:eastAsia="宋体" w:cs="宋体"/>
          <w:sz w:val="24"/>
          <w:szCs w:val="24"/>
        </w:rPr>
      </w:pPr>
      <w:r>
        <w:rPr>
          <w:rFonts w:ascii="宋体" w:hAnsi="宋体" w:eastAsia="宋体" w:cs="宋体"/>
          <w:spacing w:val="-2"/>
          <w:sz w:val="24"/>
          <w:szCs w:val="24"/>
        </w:rPr>
        <w:t>空线路跨越生态保护红线长度约</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4257m</w:t>
      </w:r>
      <w:r>
        <w:rPr>
          <w:rFonts w:ascii="宋体" w:hAnsi="宋体" w:eastAsia="宋体" w:cs="宋体"/>
          <w:spacing w:val="-2"/>
          <w:sz w:val="24"/>
          <w:szCs w:val="24"/>
        </w:rPr>
        <w:t>。涉及生态保护红线段生态</w:t>
      </w:r>
      <w:r>
        <w:rPr>
          <w:rFonts w:ascii="宋体" w:hAnsi="宋体" w:eastAsia="宋体" w:cs="宋体"/>
          <w:spacing w:val="-3"/>
          <w:sz w:val="24"/>
          <w:szCs w:val="24"/>
        </w:rPr>
        <w:t>影响评价的等级定为二级评价，其余线路段评价等级为三级。</w:t>
      </w:r>
    </w:p>
    <w:p w14:paraId="17107CF1">
      <w:pPr>
        <w:spacing w:before="23" w:line="232" w:lineRule="auto"/>
        <w:ind w:left="11"/>
        <w:rPr>
          <w:rFonts w:ascii="宋体" w:hAnsi="宋体" w:eastAsia="宋体" w:cs="宋体"/>
          <w:sz w:val="24"/>
          <w:szCs w:val="24"/>
        </w:rPr>
      </w:pPr>
      <w:r>
        <w:rPr>
          <w:rFonts w:ascii="Times New Roman" w:hAnsi="Times New Roman" w:eastAsia="Times New Roman" w:cs="Times New Roman"/>
          <w:b/>
          <w:bCs/>
          <w:spacing w:val="-3"/>
          <w:sz w:val="24"/>
          <w:szCs w:val="24"/>
        </w:rPr>
        <w:t xml:space="preserve">1.5.2 </w:t>
      </w:r>
      <w:r>
        <w:rPr>
          <w:rFonts w:ascii="宋体" w:hAnsi="宋体" w:eastAsia="宋体" w:cs="宋体"/>
          <w:b/>
          <w:bCs/>
          <w:spacing w:val="-3"/>
          <w:sz w:val="24"/>
          <w:szCs w:val="24"/>
        </w:rPr>
        <w:t>评价范围</w:t>
      </w:r>
    </w:p>
    <w:p w14:paraId="40FA7899">
      <w:pPr>
        <w:spacing w:before="167" w:line="360" w:lineRule="auto"/>
        <w:ind w:left="5" w:firstLine="479"/>
        <w:jc w:val="both"/>
        <w:rPr>
          <w:rFonts w:ascii="宋体" w:hAnsi="宋体" w:eastAsia="宋体" w:cs="宋体"/>
          <w:sz w:val="24"/>
          <w:szCs w:val="24"/>
        </w:rPr>
      </w:pPr>
      <w:r>
        <w:rPr>
          <w:rFonts w:ascii="宋体" w:hAnsi="宋体" w:eastAsia="宋体" w:cs="宋体"/>
          <w:spacing w:val="-7"/>
          <w:sz w:val="24"/>
          <w:szCs w:val="24"/>
        </w:rPr>
        <w:t>根据《环境影响评价技术导则生态影响》（</w:t>
      </w:r>
      <w:r>
        <w:rPr>
          <w:rFonts w:ascii="Times New Roman" w:hAnsi="Times New Roman" w:eastAsia="Times New Roman" w:cs="Times New Roman"/>
          <w:spacing w:val="-7"/>
          <w:sz w:val="24"/>
          <w:szCs w:val="24"/>
        </w:rPr>
        <w:t>HJ19-2022</w:t>
      </w:r>
      <w:r>
        <w:rPr>
          <w:rFonts w:ascii="宋体" w:hAnsi="宋体" w:eastAsia="宋体" w:cs="宋体"/>
          <w:spacing w:val="-60"/>
          <w:w w:val="95"/>
          <w:sz w:val="24"/>
          <w:szCs w:val="24"/>
        </w:rPr>
        <w:t>），</w:t>
      </w:r>
      <w:r>
        <w:rPr>
          <w:rFonts w:ascii="宋体" w:hAnsi="宋体" w:eastAsia="宋体" w:cs="宋体"/>
          <w:spacing w:val="-7"/>
          <w:sz w:val="24"/>
          <w:szCs w:val="24"/>
        </w:rPr>
        <w:t>结合《环境影响评价技术导</w:t>
      </w:r>
      <w:r>
        <w:rPr>
          <w:rFonts w:ascii="宋体" w:hAnsi="宋体" w:eastAsia="宋体" w:cs="宋体"/>
          <w:spacing w:val="-6"/>
          <w:sz w:val="24"/>
          <w:szCs w:val="24"/>
        </w:rPr>
        <w:t>则输变电》（</w:t>
      </w:r>
      <w:r>
        <w:rPr>
          <w:rFonts w:ascii="Times New Roman" w:hAnsi="Times New Roman" w:eastAsia="Times New Roman" w:cs="Times New Roman"/>
          <w:spacing w:val="-6"/>
          <w:sz w:val="24"/>
          <w:szCs w:val="24"/>
        </w:rPr>
        <w:t>HJ24-2020</w:t>
      </w:r>
      <w:r>
        <w:rPr>
          <w:rFonts w:ascii="宋体" w:hAnsi="宋体" w:eastAsia="宋体" w:cs="宋体"/>
          <w:spacing w:val="-59"/>
          <w:w w:val="93"/>
          <w:sz w:val="24"/>
          <w:szCs w:val="24"/>
        </w:rPr>
        <w:t>），</w:t>
      </w:r>
      <w:r>
        <w:rPr>
          <w:rFonts w:ascii="宋体" w:hAnsi="宋体" w:eastAsia="宋体" w:cs="宋体"/>
          <w:spacing w:val="-6"/>
          <w:sz w:val="24"/>
          <w:szCs w:val="24"/>
        </w:rPr>
        <w:t>确定本项目评价范围是：拟建线路穿越生态保护红</w:t>
      </w:r>
      <w:r>
        <w:rPr>
          <w:rFonts w:ascii="宋体" w:hAnsi="宋体" w:eastAsia="宋体" w:cs="宋体"/>
          <w:spacing w:val="-7"/>
          <w:sz w:val="24"/>
          <w:szCs w:val="24"/>
        </w:rPr>
        <w:t>线、自然保</w:t>
      </w:r>
      <w:r>
        <w:rPr>
          <w:rFonts w:ascii="宋体" w:hAnsi="宋体" w:eastAsia="宋体" w:cs="宋体"/>
          <w:spacing w:val="-5"/>
          <w:sz w:val="24"/>
          <w:szCs w:val="24"/>
        </w:rPr>
        <w:t>护区段，以线路穿越段向两端外延</w:t>
      </w:r>
      <w:r>
        <w:rPr>
          <w:rFonts w:ascii="宋体" w:hAnsi="宋体" w:eastAsia="宋体" w:cs="宋体"/>
          <w:spacing w:val="-31"/>
          <w:sz w:val="24"/>
          <w:szCs w:val="24"/>
        </w:rPr>
        <w:t xml:space="preserve"> </w:t>
      </w:r>
      <w:r>
        <w:rPr>
          <w:rFonts w:ascii="Times New Roman" w:hAnsi="Times New Roman" w:eastAsia="Times New Roman" w:cs="Times New Roman"/>
          <w:spacing w:val="-5"/>
          <w:sz w:val="24"/>
          <w:szCs w:val="24"/>
        </w:rPr>
        <w:t>1000m</w:t>
      </w:r>
      <w:r>
        <w:rPr>
          <w:rFonts w:ascii="宋体" w:hAnsi="宋体" w:eastAsia="宋体" w:cs="宋体"/>
          <w:spacing w:val="-5"/>
          <w:sz w:val="24"/>
          <w:szCs w:val="24"/>
        </w:rPr>
        <w:t>、线路中心线向两侧外延</w:t>
      </w:r>
      <w:r>
        <w:rPr>
          <w:rFonts w:ascii="宋体" w:hAnsi="宋体" w:eastAsia="宋体" w:cs="宋体"/>
          <w:spacing w:val="-31"/>
          <w:sz w:val="24"/>
          <w:szCs w:val="24"/>
        </w:rPr>
        <w:t xml:space="preserve"> </w:t>
      </w:r>
      <w:r>
        <w:rPr>
          <w:rFonts w:ascii="Times New Roman" w:hAnsi="Times New Roman" w:eastAsia="Times New Roman" w:cs="Times New Roman"/>
          <w:spacing w:val="-5"/>
          <w:sz w:val="24"/>
          <w:szCs w:val="24"/>
        </w:rPr>
        <w:t>10</w:t>
      </w:r>
      <w:r>
        <w:rPr>
          <w:rFonts w:ascii="Times New Roman" w:hAnsi="Times New Roman" w:eastAsia="Times New Roman" w:cs="Times New Roman"/>
          <w:spacing w:val="-6"/>
          <w:sz w:val="24"/>
          <w:szCs w:val="24"/>
        </w:rPr>
        <w:t>00m</w:t>
      </w:r>
      <w:r>
        <w:rPr>
          <w:rFonts w:ascii="Times New Roman" w:hAnsi="Times New Roman" w:eastAsia="Times New Roman" w:cs="Times New Roman"/>
          <w:spacing w:val="29"/>
          <w:w w:val="101"/>
          <w:sz w:val="24"/>
          <w:szCs w:val="24"/>
        </w:rPr>
        <w:t xml:space="preserve"> </w:t>
      </w:r>
      <w:r>
        <w:rPr>
          <w:rFonts w:ascii="宋体" w:hAnsi="宋体" w:eastAsia="宋体" w:cs="宋体"/>
          <w:spacing w:val="-6"/>
          <w:sz w:val="24"/>
          <w:szCs w:val="24"/>
        </w:rPr>
        <w:t>的区域作为评</w:t>
      </w:r>
      <w:r>
        <w:rPr>
          <w:rFonts w:ascii="宋体" w:hAnsi="宋体" w:eastAsia="宋体" w:cs="宋体"/>
          <w:spacing w:val="-1"/>
          <w:sz w:val="24"/>
          <w:szCs w:val="24"/>
        </w:rPr>
        <w:t>价范围，穿越非生态敏感区时，以线路中心线向两侧外延</w:t>
      </w:r>
      <w:r>
        <w:rPr>
          <w:rFonts w:ascii="宋体" w:hAnsi="宋体" w:eastAsia="宋体" w:cs="宋体"/>
          <w:spacing w:val="-47"/>
          <w:sz w:val="24"/>
          <w:szCs w:val="24"/>
        </w:rPr>
        <w:t xml:space="preserve"> </w:t>
      </w:r>
      <w:r>
        <w:rPr>
          <w:rFonts w:ascii="Times New Roman" w:hAnsi="Times New Roman" w:eastAsia="Times New Roman" w:cs="Times New Roman"/>
          <w:spacing w:val="-1"/>
          <w:sz w:val="24"/>
          <w:szCs w:val="24"/>
        </w:rPr>
        <w:t>300</w:t>
      </w:r>
      <w:r>
        <w:rPr>
          <w:rFonts w:ascii="Times New Roman" w:hAnsi="Times New Roman" w:eastAsia="Times New Roman" w:cs="Times New Roman"/>
          <w:spacing w:val="-2"/>
          <w:sz w:val="24"/>
          <w:szCs w:val="24"/>
        </w:rPr>
        <w:t>m</w:t>
      </w:r>
      <w:r>
        <w:rPr>
          <w:rFonts w:ascii="Times New Roman" w:hAnsi="Times New Roman" w:eastAsia="Times New Roman" w:cs="Times New Roman"/>
          <w:spacing w:val="32"/>
          <w:sz w:val="24"/>
          <w:szCs w:val="24"/>
        </w:rPr>
        <w:t xml:space="preserve"> </w:t>
      </w:r>
      <w:r>
        <w:rPr>
          <w:rFonts w:ascii="宋体" w:hAnsi="宋体" w:eastAsia="宋体" w:cs="宋体"/>
          <w:spacing w:val="-2"/>
          <w:sz w:val="24"/>
          <w:szCs w:val="24"/>
        </w:rPr>
        <w:t>的带状区域作为评价范</w:t>
      </w:r>
      <w:r>
        <w:rPr>
          <w:rFonts w:ascii="宋体" w:hAnsi="宋体" w:eastAsia="宋体" w:cs="宋体"/>
          <w:spacing w:val="-4"/>
          <w:sz w:val="24"/>
          <w:szCs w:val="24"/>
        </w:rPr>
        <w:t>围，评价区总面积</w:t>
      </w:r>
      <w:r>
        <w:rPr>
          <w:rFonts w:ascii="宋体" w:hAnsi="宋体" w:eastAsia="宋体" w:cs="宋体"/>
          <w:spacing w:val="-43"/>
          <w:sz w:val="24"/>
          <w:szCs w:val="24"/>
        </w:rPr>
        <w:t xml:space="preserve"> </w:t>
      </w:r>
      <w:r>
        <w:rPr>
          <w:rFonts w:ascii="Times New Roman" w:hAnsi="Times New Roman" w:eastAsia="Times New Roman" w:cs="Times New Roman"/>
          <w:spacing w:val="-4"/>
          <w:sz w:val="24"/>
          <w:szCs w:val="24"/>
        </w:rPr>
        <w:t>2162.25hm2</w:t>
      </w:r>
      <w:r>
        <w:rPr>
          <w:rFonts w:ascii="宋体" w:hAnsi="宋体" w:eastAsia="宋体" w:cs="宋体"/>
          <w:spacing w:val="-4"/>
          <w:sz w:val="24"/>
          <w:szCs w:val="24"/>
        </w:rPr>
        <w:t>。</w:t>
      </w:r>
    </w:p>
    <w:p w14:paraId="46E5757B">
      <w:pPr>
        <w:spacing w:before="1" w:line="231" w:lineRule="auto"/>
        <w:ind w:left="11"/>
        <w:rPr>
          <w:rFonts w:ascii="宋体" w:hAnsi="宋体" w:eastAsia="宋体" w:cs="宋体"/>
          <w:sz w:val="24"/>
          <w:szCs w:val="24"/>
        </w:rPr>
      </w:pPr>
      <w:r>
        <w:rPr>
          <w:rFonts w:ascii="Times New Roman" w:hAnsi="Times New Roman" w:eastAsia="Times New Roman" w:cs="Times New Roman"/>
          <w:b/>
          <w:bCs/>
          <w:spacing w:val="-3"/>
          <w:sz w:val="24"/>
          <w:szCs w:val="24"/>
        </w:rPr>
        <w:t xml:space="preserve">1.5.3 </w:t>
      </w:r>
      <w:r>
        <w:rPr>
          <w:rFonts w:ascii="宋体" w:hAnsi="宋体" w:eastAsia="宋体" w:cs="宋体"/>
          <w:b/>
          <w:bCs/>
          <w:spacing w:val="-3"/>
          <w:sz w:val="24"/>
          <w:szCs w:val="24"/>
        </w:rPr>
        <w:t>评价时段</w:t>
      </w:r>
    </w:p>
    <w:p w14:paraId="6572D2A2">
      <w:pPr>
        <w:spacing w:before="166" w:line="218" w:lineRule="auto"/>
        <w:ind w:left="484"/>
        <w:rPr>
          <w:rFonts w:ascii="宋体" w:hAnsi="宋体" w:eastAsia="宋体" w:cs="宋体"/>
          <w:sz w:val="24"/>
          <w:szCs w:val="24"/>
        </w:rPr>
      </w:pPr>
      <w:r>
        <w:rPr>
          <w:rFonts w:ascii="宋体" w:hAnsi="宋体" w:eastAsia="宋体" w:cs="宋体"/>
          <w:spacing w:val="-2"/>
          <w:sz w:val="24"/>
          <w:szCs w:val="24"/>
        </w:rPr>
        <w:t>根据项目特征，评价时段分为施工期、运营期两个时段。</w:t>
      </w:r>
    </w:p>
    <w:p w14:paraId="7BEF6AB2">
      <w:pPr>
        <w:spacing w:before="184" w:line="233" w:lineRule="auto"/>
        <w:ind w:left="486"/>
        <w:rPr>
          <w:rFonts w:ascii="宋体" w:hAnsi="宋体" w:eastAsia="宋体" w:cs="宋体"/>
          <w:sz w:val="24"/>
          <w:szCs w:val="24"/>
        </w:rPr>
      </w:pPr>
      <w:r>
        <w:rPr>
          <w:rFonts w:ascii="宋体" w:hAnsi="宋体" w:eastAsia="宋体" w:cs="宋体"/>
          <w:spacing w:val="-8"/>
          <w:sz w:val="24"/>
          <w:szCs w:val="24"/>
        </w:rPr>
        <w:t>调查时间为</w:t>
      </w:r>
      <w:r>
        <w:rPr>
          <w:rFonts w:ascii="宋体" w:hAnsi="宋体" w:eastAsia="宋体" w:cs="宋体"/>
          <w:spacing w:val="-56"/>
          <w:sz w:val="24"/>
          <w:szCs w:val="24"/>
        </w:rPr>
        <w:t xml:space="preserve"> </w:t>
      </w:r>
      <w:r>
        <w:rPr>
          <w:rFonts w:ascii="Times New Roman" w:hAnsi="Times New Roman" w:eastAsia="Times New Roman" w:cs="Times New Roman"/>
          <w:spacing w:val="-8"/>
          <w:sz w:val="24"/>
          <w:szCs w:val="24"/>
        </w:rPr>
        <w:t xml:space="preserve">2025 </w:t>
      </w:r>
      <w:r>
        <w:rPr>
          <w:rFonts w:ascii="宋体" w:hAnsi="宋体" w:eastAsia="宋体" w:cs="宋体"/>
          <w:spacing w:val="-8"/>
          <w:sz w:val="24"/>
          <w:szCs w:val="24"/>
        </w:rPr>
        <w:t>年</w:t>
      </w:r>
      <w:r>
        <w:rPr>
          <w:rFonts w:ascii="宋体" w:hAnsi="宋体" w:eastAsia="宋体" w:cs="宋体"/>
          <w:spacing w:val="-56"/>
          <w:sz w:val="24"/>
          <w:szCs w:val="24"/>
        </w:rPr>
        <w:t xml:space="preserve"> </w:t>
      </w:r>
      <w:r>
        <w:rPr>
          <w:rFonts w:ascii="Times New Roman" w:hAnsi="Times New Roman" w:eastAsia="Times New Roman" w:cs="Times New Roman"/>
          <w:spacing w:val="-8"/>
          <w:sz w:val="24"/>
          <w:szCs w:val="24"/>
        </w:rPr>
        <w:t>4</w:t>
      </w:r>
      <w:r>
        <w:rPr>
          <w:rFonts w:ascii="Times New Roman" w:hAnsi="Times New Roman" w:eastAsia="Times New Roman" w:cs="Times New Roman"/>
          <w:spacing w:val="15"/>
          <w:sz w:val="24"/>
          <w:szCs w:val="24"/>
        </w:rPr>
        <w:t xml:space="preserve"> </w:t>
      </w:r>
      <w:r>
        <w:rPr>
          <w:rFonts w:ascii="宋体" w:hAnsi="宋体" w:eastAsia="宋体" w:cs="宋体"/>
          <w:spacing w:val="-8"/>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8"/>
          <w:sz w:val="24"/>
          <w:szCs w:val="24"/>
        </w:rPr>
        <w:t xml:space="preserve">1  </w:t>
      </w:r>
      <w:r>
        <w:rPr>
          <w:rFonts w:ascii="宋体" w:hAnsi="宋体" w:eastAsia="宋体" w:cs="宋体"/>
          <w:spacing w:val="-8"/>
          <w:sz w:val="24"/>
          <w:szCs w:val="24"/>
        </w:rPr>
        <w:t>日</w:t>
      </w:r>
      <w:r>
        <w:rPr>
          <w:rFonts w:ascii="Times New Roman" w:hAnsi="Times New Roman" w:eastAsia="Times New Roman" w:cs="Times New Roman"/>
          <w:spacing w:val="-8"/>
          <w:sz w:val="24"/>
          <w:szCs w:val="24"/>
        </w:rPr>
        <w:t>-4</w:t>
      </w:r>
      <w:r>
        <w:rPr>
          <w:rFonts w:ascii="Times New Roman" w:hAnsi="Times New Roman" w:eastAsia="Times New Roman" w:cs="Times New Roman"/>
          <w:spacing w:val="15"/>
          <w:sz w:val="24"/>
          <w:szCs w:val="24"/>
        </w:rPr>
        <w:t xml:space="preserve"> </w:t>
      </w:r>
      <w:r>
        <w:rPr>
          <w:rFonts w:ascii="宋体" w:hAnsi="宋体" w:eastAsia="宋体" w:cs="宋体"/>
          <w:spacing w:val="-8"/>
          <w:sz w:val="24"/>
          <w:szCs w:val="24"/>
        </w:rPr>
        <w:t>月</w:t>
      </w:r>
      <w:r>
        <w:rPr>
          <w:rFonts w:ascii="宋体" w:hAnsi="宋体" w:eastAsia="宋体" w:cs="宋体"/>
          <w:spacing w:val="-51"/>
          <w:sz w:val="24"/>
          <w:szCs w:val="24"/>
        </w:rPr>
        <w:t xml:space="preserve"> </w:t>
      </w:r>
      <w:r>
        <w:rPr>
          <w:rFonts w:ascii="Times New Roman" w:hAnsi="Times New Roman" w:eastAsia="Times New Roman" w:cs="Times New Roman"/>
          <w:spacing w:val="-8"/>
          <w:sz w:val="24"/>
          <w:szCs w:val="24"/>
        </w:rPr>
        <w:t xml:space="preserve">7  </w:t>
      </w:r>
      <w:r>
        <w:rPr>
          <w:rFonts w:ascii="宋体" w:hAnsi="宋体" w:eastAsia="宋体" w:cs="宋体"/>
          <w:spacing w:val="-8"/>
          <w:sz w:val="24"/>
          <w:szCs w:val="24"/>
        </w:rPr>
        <w:t>日。</w:t>
      </w:r>
    </w:p>
    <w:p w14:paraId="42C6CB33">
      <w:pPr>
        <w:spacing w:before="220" w:line="235" w:lineRule="auto"/>
        <w:ind w:left="13"/>
        <w:rPr>
          <w:rFonts w:ascii="宋体" w:hAnsi="宋体" w:eastAsia="宋体" w:cs="宋体"/>
          <w:sz w:val="28"/>
          <w:szCs w:val="28"/>
        </w:rPr>
      </w:pPr>
      <w:bookmarkStart w:id="38" w:name="bookmark44"/>
      <w:bookmarkEnd w:id="38"/>
      <w:r>
        <w:rPr>
          <w:rFonts w:ascii="Times New Roman" w:hAnsi="Times New Roman" w:eastAsia="Times New Roman" w:cs="Times New Roman"/>
          <w:b/>
          <w:bCs/>
          <w:spacing w:val="-3"/>
          <w:sz w:val="28"/>
          <w:szCs w:val="28"/>
        </w:rPr>
        <w:t xml:space="preserve">1.6 </w:t>
      </w:r>
      <w:r>
        <w:rPr>
          <w:rFonts w:ascii="宋体" w:hAnsi="宋体" w:eastAsia="宋体" w:cs="宋体"/>
          <w:b/>
          <w:bCs/>
          <w:spacing w:val="-3"/>
          <w:sz w:val="28"/>
          <w:szCs w:val="28"/>
        </w:rPr>
        <w:t>生态环境保护目标</w:t>
      </w:r>
    </w:p>
    <w:p w14:paraId="17BA5B9C">
      <w:pPr>
        <w:spacing w:before="212" w:line="219" w:lineRule="auto"/>
        <w:ind w:left="485"/>
        <w:rPr>
          <w:rFonts w:ascii="宋体" w:hAnsi="宋体" w:eastAsia="宋体" w:cs="宋体"/>
          <w:sz w:val="24"/>
          <w:szCs w:val="24"/>
        </w:rPr>
      </w:pPr>
      <w:r>
        <w:rPr>
          <w:rFonts w:ascii="宋体" w:hAnsi="宋体" w:eastAsia="宋体" w:cs="宋体"/>
          <w:spacing w:val="-3"/>
          <w:sz w:val="24"/>
          <w:szCs w:val="24"/>
        </w:rPr>
        <w:t>本工程生态环境保护目标见表所示。</w:t>
      </w:r>
    </w:p>
    <w:p w14:paraId="34F9BE73">
      <w:pPr>
        <w:spacing w:before="120" w:line="229" w:lineRule="auto"/>
        <w:ind w:left="3211"/>
        <w:rPr>
          <w:rFonts w:ascii="宋体" w:hAnsi="宋体" w:eastAsia="宋体" w:cs="宋体"/>
          <w:sz w:val="21"/>
          <w:szCs w:val="21"/>
        </w:rPr>
      </w:pPr>
      <w:r>
        <w:rPr>
          <w:rFonts w:ascii="宋体" w:hAnsi="宋体" w:eastAsia="宋体" w:cs="宋体"/>
          <w:b/>
          <w:bCs/>
          <w:spacing w:val="-3"/>
          <w:sz w:val="21"/>
          <w:szCs w:val="21"/>
        </w:rPr>
        <w:t>表</w:t>
      </w:r>
      <w:r>
        <w:rPr>
          <w:rFonts w:ascii="宋体" w:hAnsi="宋体" w:eastAsia="宋体" w:cs="宋体"/>
          <w:spacing w:val="-19"/>
          <w:sz w:val="21"/>
          <w:szCs w:val="21"/>
        </w:rPr>
        <w:t xml:space="preserve"> </w:t>
      </w:r>
      <w:r>
        <w:rPr>
          <w:rFonts w:ascii="Times New Roman" w:hAnsi="Times New Roman" w:eastAsia="Times New Roman" w:cs="Times New Roman"/>
          <w:b/>
          <w:bCs/>
          <w:spacing w:val="-3"/>
          <w:sz w:val="21"/>
          <w:szCs w:val="21"/>
        </w:rPr>
        <w:t xml:space="preserve">1-3    </w:t>
      </w:r>
      <w:r>
        <w:rPr>
          <w:rFonts w:ascii="宋体" w:hAnsi="宋体" w:eastAsia="宋体" w:cs="宋体"/>
          <w:b/>
          <w:bCs/>
          <w:spacing w:val="-3"/>
          <w:sz w:val="21"/>
          <w:szCs w:val="21"/>
        </w:rPr>
        <w:t>生态环境保护目标一览表</w:t>
      </w:r>
    </w:p>
    <w:tbl>
      <w:tblPr>
        <w:tblStyle w:val="5"/>
        <w:tblW w:w="90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3872"/>
        <w:gridCol w:w="2044"/>
        <w:gridCol w:w="842"/>
        <w:gridCol w:w="1214"/>
      </w:tblGrid>
      <w:tr w14:paraId="3E4E20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084" w:type="dxa"/>
            <w:vAlign w:val="top"/>
          </w:tcPr>
          <w:p w14:paraId="6AAB42E6">
            <w:pPr>
              <w:pStyle w:val="6"/>
              <w:spacing w:before="211" w:line="221" w:lineRule="auto"/>
              <w:ind w:left="126"/>
            </w:pPr>
            <w:r>
              <w:rPr>
                <w:b/>
                <w:bCs/>
                <w:spacing w:val="-4"/>
              </w:rPr>
              <w:t>保护对象</w:t>
            </w:r>
          </w:p>
        </w:tc>
        <w:tc>
          <w:tcPr>
            <w:tcW w:w="3872" w:type="dxa"/>
            <w:vAlign w:val="top"/>
          </w:tcPr>
          <w:p w14:paraId="5B2E0D40">
            <w:pPr>
              <w:pStyle w:val="6"/>
              <w:spacing w:before="211" w:line="221" w:lineRule="auto"/>
              <w:ind w:left="1309"/>
            </w:pPr>
            <w:r>
              <w:rPr>
                <w:b/>
                <w:bCs/>
                <w:spacing w:val="-3"/>
              </w:rPr>
              <w:t>主要保护对象</w:t>
            </w:r>
          </w:p>
        </w:tc>
        <w:tc>
          <w:tcPr>
            <w:tcW w:w="2044" w:type="dxa"/>
            <w:vAlign w:val="top"/>
          </w:tcPr>
          <w:p w14:paraId="48E92DA8">
            <w:pPr>
              <w:pStyle w:val="6"/>
              <w:spacing w:before="212" w:line="221" w:lineRule="auto"/>
              <w:ind w:left="622"/>
            </w:pPr>
            <w:r>
              <w:rPr>
                <w:b/>
                <w:bCs/>
                <w:spacing w:val="-6"/>
              </w:rPr>
              <w:t>区位关系</w:t>
            </w:r>
          </w:p>
        </w:tc>
        <w:tc>
          <w:tcPr>
            <w:tcW w:w="842" w:type="dxa"/>
            <w:vAlign w:val="top"/>
          </w:tcPr>
          <w:p w14:paraId="3E9EDA96">
            <w:pPr>
              <w:pStyle w:val="6"/>
              <w:spacing w:before="55" w:line="223" w:lineRule="auto"/>
              <w:ind w:left="216"/>
            </w:pPr>
            <w:r>
              <w:rPr>
                <w:b/>
                <w:bCs/>
                <w:spacing w:val="-4"/>
              </w:rPr>
              <w:t>影响</w:t>
            </w:r>
          </w:p>
          <w:p w14:paraId="7232464D">
            <w:pPr>
              <w:pStyle w:val="6"/>
              <w:spacing w:before="58" w:line="222" w:lineRule="auto"/>
              <w:ind w:left="217"/>
            </w:pPr>
            <w:r>
              <w:rPr>
                <w:b/>
                <w:bCs/>
                <w:spacing w:val="-4"/>
              </w:rPr>
              <w:t>方式</w:t>
            </w:r>
          </w:p>
        </w:tc>
        <w:tc>
          <w:tcPr>
            <w:tcW w:w="1214" w:type="dxa"/>
            <w:vAlign w:val="top"/>
          </w:tcPr>
          <w:p w14:paraId="04C03A56">
            <w:pPr>
              <w:pStyle w:val="6"/>
              <w:spacing w:before="211" w:line="221" w:lineRule="auto"/>
              <w:ind w:left="190"/>
            </w:pPr>
            <w:r>
              <w:rPr>
                <w:b/>
                <w:bCs/>
                <w:spacing w:val="-3"/>
              </w:rPr>
              <w:t>影响途径</w:t>
            </w:r>
          </w:p>
        </w:tc>
      </w:tr>
      <w:tr w14:paraId="5D308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54" w:hRule="atLeast"/>
        </w:trPr>
        <w:tc>
          <w:tcPr>
            <w:tcW w:w="1084" w:type="dxa"/>
            <w:vAlign w:val="top"/>
          </w:tcPr>
          <w:p w14:paraId="3A59BFF5">
            <w:pPr>
              <w:spacing w:line="295" w:lineRule="auto"/>
              <w:rPr>
                <w:rFonts w:ascii="Arial"/>
                <w:sz w:val="21"/>
              </w:rPr>
            </w:pPr>
          </w:p>
          <w:p w14:paraId="7E1598AF">
            <w:pPr>
              <w:pStyle w:val="6"/>
              <w:spacing w:before="68" w:line="277" w:lineRule="auto"/>
              <w:ind w:left="341" w:right="116" w:hanging="212"/>
            </w:pPr>
            <w:r>
              <w:rPr>
                <w:spacing w:val="-2"/>
              </w:rPr>
              <w:t>生态保护</w:t>
            </w:r>
            <w:r>
              <w:rPr>
                <w:spacing w:val="-3"/>
              </w:rPr>
              <w:t>红线</w:t>
            </w:r>
          </w:p>
        </w:tc>
        <w:tc>
          <w:tcPr>
            <w:tcW w:w="3872" w:type="dxa"/>
            <w:vAlign w:val="top"/>
          </w:tcPr>
          <w:p w14:paraId="427D4B0C">
            <w:pPr>
              <w:pStyle w:val="6"/>
              <w:spacing w:before="53" w:line="221" w:lineRule="auto"/>
              <w:ind w:left="155"/>
            </w:pPr>
            <w:r>
              <w:rPr>
                <w:spacing w:val="-1"/>
              </w:rPr>
              <w:t>根据野外实地考察，涉及的生态红线点</w:t>
            </w:r>
          </w:p>
          <w:p w14:paraId="27E29682">
            <w:pPr>
              <w:pStyle w:val="6"/>
              <w:spacing w:before="61" w:line="221" w:lineRule="auto"/>
              <w:ind w:left="119"/>
            </w:pPr>
            <w:r>
              <w:rPr>
                <w:spacing w:val="-1"/>
              </w:rPr>
              <w:t>位调查未记录到“金沙江下游</w:t>
            </w:r>
            <w:r>
              <w:rPr>
                <w:rFonts w:ascii="Times New Roman" w:hAnsi="Times New Roman" w:eastAsia="Times New Roman" w:cs="Times New Roman"/>
                <w:spacing w:val="-1"/>
              </w:rPr>
              <w:t>-</w:t>
            </w:r>
            <w:r>
              <w:rPr>
                <w:spacing w:val="-1"/>
              </w:rPr>
              <w:t>小江流域</w:t>
            </w:r>
          </w:p>
          <w:p w14:paraId="50F22E12">
            <w:pPr>
              <w:pStyle w:val="6"/>
              <w:spacing w:before="59" w:line="221" w:lineRule="auto"/>
              <w:ind w:left="157"/>
            </w:pPr>
            <w:r>
              <w:rPr>
                <w:spacing w:val="-1"/>
              </w:rPr>
              <w:t>水土流失控制生态保护红线”中重点保</w:t>
            </w:r>
          </w:p>
          <w:p w14:paraId="0947B67F">
            <w:pPr>
              <w:pStyle w:val="6"/>
              <w:spacing w:before="61" w:line="221" w:lineRule="auto"/>
              <w:ind w:left="1522"/>
            </w:pPr>
            <w:r>
              <w:rPr>
                <w:spacing w:val="-2"/>
              </w:rPr>
              <w:t>护物种。</w:t>
            </w:r>
          </w:p>
        </w:tc>
        <w:tc>
          <w:tcPr>
            <w:tcW w:w="2044" w:type="dxa"/>
            <w:vAlign w:val="top"/>
          </w:tcPr>
          <w:p w14:paraId="46FE7255">
            <w:pPr>
              <w:pStyle w:val="6"/>
              <w:spacing w:before="51" w:line="262" w:lineRule="auto"/>
              <w:ind w:left="181" w:right="173" w:firstLine="31"/>
              <w:jc w:val="both"/>
            </w:pPr>
            <w:r>
              <w:rPr>
                <w:spacing w:val="-4"/>
              </w:rPr>
              <w:t>以架空线路跨越生</w:t>
            </w:r>
            <w:r>
              <w:t>态保护红线长度约</w:t>
            </w:r>
            <w:r>
              <w:rPr>
                <w:rFonts w:ascii="Times New Roman" w:hAnsi="Times New Roman" w:eastAsia="Times New Roman" w:cs="Times New Roman"/>
                <w:spacing w:val="-3"/>
              </w:rPr>
              <w:t>4257m</w:t>
            </w:r>
            <w:r>
              <w:rPr>
                <w:rFonts w:ascii="Times New Roman" w:hAnsi="Times New Roman" w:eastAsia="Times New Roman" w:cs="Times New Roman"/>
                <w:spacing w:val="-20"/>
              </w:rPr>
              <w:t xml:space="preserve"> </w:t>
            </w:r>
            <w:r>
              <w:rPr>
                <w:spacing w:val="-3"/>
              </w:rPr>
              <w:t>，</w:t>
            </w:r>
            <w:r>
              <w:rPr>
                <w:rFonts w:ascii="Times New Roman" w:hAnsi="Times New Roman" w:eastAsia="Times New Roman" w:cs="Times New Roman"/>
                <w:spacing w:val="-3"/>
              </w:rPr>
              <w:t xml:space="preserve">13 </w:t>
            </w:r>
            <w:r>
              <w:rPr>
                <w:spacing w:val="-3"/>
              </w:rPr>
              <w:t>塔基位</w:t>
            </w:r>
            <w:r>
              <w:t>于生态保护红线内</w:t>
            </w:r>
          </w:p>
        </w:tc>
        <w:tc>
          <w:tcPr>
            <w:tcW w:w="842" w:type="dxa"/>
            <w:vAlign w:val="top"/>
          </w:tcPr>
          <w:p w14:paraId="78E0B7D2">
            <w:pPr>
              <w:spacing w:line="297" w:lineRule="auto"/>
              <w:rPr>
                <w:rFonts w:ascii="Arial"/>
                <w:sz w:val="21"/>
              </w:rPr>
            </w:pPr>
          </w:p>
          <w:p w14:paraId="39E72865">
            <w:pPr>
              <w:pStyle w:val="6"/>
              <w:spacing w:before="68" w:line="277" w:lineRule="auto"/>
              <w:ind w:left="219" w:right="203" w:firstLine="1"/>
            </w:pPr>
            <w:r>
              <w:rPr>
                <w:spacing w:val="-4"/>
              </w:rPr>
              <w:t>直接</w:t>
            </w:r>
            <w:r>
              <w:rPr>
                <w:spacing w:val="-3"/>
              </w:rPr>
              <w:t>影响</w:t>
            </w:r>
          </w:p>
        </w:tc>
        <w:tc>
          <w:tcPr>
            <w:tcW w:w="1214" w:type="dxa"/>
            <w:vAlign w:val="top"/>
          </w:tcPr>
          <w:p w14:paraId="6F5C78D8">
            <w:pPr>
              <w:spacing w:line="296" w:lineRule="auto"/>
              <w:rPr>
                <w:rFonts w:ascii="Arial"/>
                <w:sz w:val="21"/>
              </w:rPr>
            </w:pPr>
          </w:p>
          <w:p w14:paraId="617765BC">
            <w:pPr>
              <w:pStyle w:val="6"/>
              <w:spacing w:before="68" w:line="277" w:lineRule="auto"/>
              <w:ind w:left="295" w:right="181" w:hanging="103"/>
            </w:pPr>
            <w:r>
              <w:rPr>
                <w:spacing w:val="-2"/>
              </w:rPr>
              <w:t>施工活动</w:t>
            </w:r>
            <w:r>
              <w:rPr>
                <w:spacing w:val="-1"/>
              </w:rPr>
              <w:t>及占地</w:t>
            </w:r>
          </w:p>
        </w:tc>
      </w:tr>
      <w:tr w14:paraId="16CB97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9" w:hRule="atLeast"/>
        </w:trPr>
        <w:tc>
          <w:tcPr>
            <w:tcW w:w="1084" w:type="dxa"/>
            <w:vAlign w:val="top"/>
          </w:tcPr>
          <w:p w14:paraId="63242F00">
            <w:pPr>
              <w:spacing w:line="267" w:lineRule="auto"/>
              <w:rPr>
                <w:rFonts w:ascii="Arial"/>
                <w:sz w:val="21"/>
              </w:rPr>
            </w:pPr>
          </w:p>
          <w:p w14:paraId="2EC6F5D9">
            <w:pPr>
              <w:spacing w:line="267" w:lineRule="auto"/>
              <w:rPr>
                <w:rFonts w:ascii="Arial"/>
                <w:sz w:val="21"/>
              </w:rPr>
            </w:pPr>
          </w:p>
          <w:p w14:paraId="2F8E0AEA">
            <w:pPr>
              <w:spacing w:line="267" w:lineRule="auto"/>
              <w:rPr>
                <w:rFonts w:ascii="Arial"/>
                <w:sz w:val="21"/>
              </w:rPr>
            </w:pPr>
          </w:p>
          <w:p w14:paraId="3C40CE79">
            <w:pPr>
              <w:spacing w:line="268" w:lineRule="auto"/>
              <w:rPr>
                <w:rFonts w:ascii="Arial"/>
                <w:sz w:val="21"/>
              </w:rPr>
            </w:pPr>
          </w:p>
          <w:p w14:paraId="50971F73">
            <w:pPr>
              <w:pStyle w:val="6"/>
              <w:spacing w:before="68" w:line="221" w:lineRule="auto"/>
              <w:ind w:left="138"/>
            </w:pPr>
            <w:r>
              <w:rPr>
                <w:spacing w:val="-4"/>
              </w:rPr>
              <w:t>陆生植被</w:t>
            </w:r>
          </w:p>
        </w:tc>
        <w:tc>
          <w:tcPr>
            <w:tcW w:w="3872" w:type="dxa"/>
            <w:vAlign w:val="top"/>
          </w:tcPr>
          <w:p w14:paraId="1F21E158">
            <w:pPr>
              <w:pStyle w:val="6"/>
              <w:spacing w:before="53" w:line="233" w:lineRule="auto"/>
              <w:ind w:left="156"/>
            </w:pPr>
            <w:r>
              <w:rPr>
                <w:spacing w:val="-1"/>
              </w:rPr>
              <w:t>本项目评价区自然植被类型包括</w:t>
            </w:r>
            <w:r>
              <w:rPr>
                <w:spacing w:val="-36"/>
              </w:rPr>
              <w:t xml:space="preserve"> </w:t>
            </w:r>
            <w:r>
              <w:rPr>
                <w:rFonts w:ascii="Times New Roman" w:hAnsi="Times New Roman" w:eastAsia="Times New Roman" w:cs="Times New Roman"/>
                <w:spacing w:val="-1"/>
              </w:rPr>
              <w:t xml:space="preserve">3 </w:t>
            </w:r>
            <w:r>
              <w:rPr>
                <w:spacing w:val="-1"/>
              </w:rPr>
              <w:t>个植</w:t>
            </w:r>
          </w:p>
          <w:p w14:paraId="72DF84B0">
            <w:pPr>
              <w:pStyle w:val="6"/>
              <w:spacing w:before="47" w:line="234" w:lineRule="auto"/>
              <w:ind w:left="207"/>
            </w:pPr>
            <w:r>
              <w:rPr>
                <w:spacing w:val="-1"/>
              </w:rPr>
              <w:t>被型，</w:t>
            </w:r>
            <w:r>
              <w:rPr>
                <w:rFonts w:ascii="Times New Roman" w:hAnsi="Times New Roman" w:eastAsia="Times New Roman" w:cs="Times New Roman"/>
                <w:spacing w:val="-1"/>
              </w:rPr>
              <w:t xml:space="preserve">3 </w:t>
            </w:r>
            <w:r>
              <w:rPr>
                <w:spacing w:val="-1"/>
              </w:rPr>
              <w:t>个植被亚型，</w:t>
            </w:r>
            <w:r>
              <w:rPr>
                <w:rFonts w:ascii="Times New Roman" w:hAnsi="Times New Roman" w:eastAsia="Times New Roman" w:cs="Times New Roman"/>
                <w:spacing w:val="-1"/>
              </w:rPr>
              <w:t xml:space="preserve">8 </w:t>
            </w:r>
            <w:r>
              <w:rPr>
                <w:spacing w:val="-1"/>
              </w:rPr>
              <w:t>个群系。群系</w:t>
            </w:r>
          </w:p>
          <w:p w14:paraId="1A099963">
            <w:pPr>
              <w:pStyle w:val="6"/>
              <w:spacing w:before="44" w:line="221" w:lineRule="auto"/>
              <w:ind w:left="155"/>
            </w:pPr>
            <w:r>
              <w:rPr>
                <w:spacing w:val="-1"/>
              </w:rPr>
              <w:t>包括云南松群落、华山松群落、粉背黄</w:t>
            </w:r>
          </w:p>
          <w:p w14:paraId="2F644F68">
            <w:pPr>
              <w:pStyle w:val="6"/>
              <w:spacing w:before="60" w:line="221" w:lineRule="auto"/>
              <w:ind w:left="155"/>
            </w:pPr>
            <w:r>
              <w:rPr>
                <w:spacing w:val="-1"/>
              </w:rPr>
              <w:t>栌灌丛、白刺花灌丛、马桑灌丛、清香</w:t>
            </w:r>
          </w:p>
          <w:p w14:paraId="1D58FAA9">
            <w:pPr>
              <w:pStyle w:val="6"/>
              <w:spacing w:before="60" w:line="221" w:lineRule="auto"/>
              <w:ind w:left="120"/>
            </w:pPr>
            <w:r>
              <w:rPr>
                <w:spacing w:val="-1"/>
              </w:rPr>
              <w:t>木灌丛、云南松</w:t>
            </w:r>
            <w:r>
              <w:rPr>
                <w:rFonts w:ascii="Times New Roman" w:hAnsi="Times New Roman" w:eastAsia="Times New Roman" w:cs="Times New Roman"/>
                <w:spacing w:val="-1"/>
              </w:rPr>
              <w:t>-</w:t>
            </w:r>
            <w:r>
              <w:rPr>
                <w:spacing w:val="-1"/>
              </w:rPr>
              <w:t>白健秆稀树灌草丛、云</w:t>
            </w:r>
          </w:p>
          <w:p w14:paraId="3AEC3434">
            <w:pPr>
              <w:pStyle w:val="6"/>
              <w:spacing w:before="61" w:line="219" w:lineRule="auto"/>
              <w:ind w:left="121"/>
            </w:pPr>
            <w:r>
              <w:rPr>
                <w:spacing w:val="-1"/>
              </w:rPr>
              <w:t>南松</w:t>
            </w:r>
            <w:r>
              <w:rPr>
                <w:rFonts w:ascii="Times New Roman" w:hAnsi="Times New Roman" w:eastAsia="Times New Roman" w:cs="Times New Roman"/>
                <w:spacing w:val="-1"/>
              </w:rPr>
              <w:t>-</w:t>
            </w:r>
            <w:r>
              <w:rPr>
                <w:spacing w:val="-1"/>
              </w:rPr>
              <w:t>刺芒野古草稀树灌草丛；评价区的</w:t>
            </w:r>
          </w:p>
          <w:p w14:paraId="28E0D6C0">
            <w:pPr>
              <w:pStyle w:val="6"/>
              <w:spacing w:before="63" w:line="220" w:lineRule="auto"/>
              <w:ind w:left="156"/>
            </w:pPr>
            <w:r>
              <w:rPr>
                <w:spacing w:val="-1"/>
              </w:rPr>
              <w:t>人工植被主要是耕地，包括水田和旱地</w:t>
            </w:r>
          </w:p>
          <w:p w14:paraId="3A83C0B9">
            <w:pPr>
              <w:pStyle w:val="6"/>
              <w:spacing w:before="61" w:line="222" w:lineRule="auto"/>
              <w:ind w:left="1438"/>
            </w:pPr>
            <w:r>
              <w:rPr>
                <w:rFonts w:ascii="Times New Roman" w:hAnsi="Times New Roman" w:eastAsia="Times New Roman" w:cs="Times New Roman"/>
                <w:spacing w:val="-6"/>
              </w:rPr>
              <w:t>2</w:t>
            </w:r>
            <w:r>
              <w:rPr>
                <w:rFonts w:ascii="Times New Roman" w:hAnsi="Times New Roman" w:eastAsia="Times New Roman" w:cs="Times New Roman"/>
                <w:spacing w:val="12"/>
              </w:rPr>
              <w:t xml:space="preserve"> </w:t>
            </w:r>
            <w:r>
              <w:rPr>
                <w:spacing w:val="-6"/>
              </w:rPr>
              <w:t>种类型。</w:t>
            </w:r>
          </w:p>
        </w:tc>
        <w:tc>
          <w:tcPr>
            <w:tcW w:w="2044" w:type="dxa"/>
            <w:vAlign w:val="top"/>
          </w:tcPr>
          <w:p w14:paraId="4B3353E2">
            <w:pPr>
              <w:spacing w:line="267" w:lineRule="auto"/>
              <w:rPr>
                <w:rFonts w:ascii="Arial"/>
                <w:sz w:val="21"/>
              </w:rPr>
            </w:pPr>
          </w:p>
          <w:p w14:paraId="559B8BB5">
            <w:pPr>
              <w:spacing w:line="267" w:lineRule="auto"/>
              <w:rPr>
                <w:rFonts w:ascii="Arial"/>
                <w:sz w:val="21"/>
              </w:rPr>
            </w:pPr>
          </w:p>
          <w:p w14:paraId="2F933D0C">
            <w:pPr>
              <w:spacing w:line="268" w:lineRule="auto"/>
              <w:rPr>
                <w:rFonts w:ascii="Arial"/>
                <w:sz w:val="21"/>
              </w:rPr>
            </w:pPr>
          </w:p>
          <w:p w14:paraId="4139EA68">
            <w:pPr>
              <w:spacing w:line="268" w:lineRule="auto"/>
              <w:rPr>
                <w:rFonts w:ascii="Arial"/>
                <w:sz w:val="21"/>
              </w:rPr>
            </w:pPr>
          </w:p>
          <w:p w14:paraId="17B70026">
            <w:pPr>
              <w:pStyle w:val="6"/>
              <w:spacing w:before="68" w:line="219" w:lineRule="auto"/>
              <w:ind w:left="608"/>
            </w:pPr>
            <w:r>
              <w:rPr>
                <w:spacing w:val="-1"/>
              </w:rPr>
              <w:t>评价区内</w:t>
            </w:r>
          </w:p>
        </w:tc>
        <w:tc>
          <w:tcPr>
            <w:tcW w:w="842" w:type="dxa"/>
            <w:vAlign w:val="top"/>
          </w:tcPr>
          <w:p w14:paraId="1A78707F">
            <w:pPr>
              <w:spacing w:line="305" w:lineRule="auto"/>
              <w:rPr>
                <w:rFonts w:ascii="Arial"/>
                <w:sz w:val="21"/>
              </w:rPr>
            </w:pPr>
          </w:p>
          <w:p w14:paraId="2A7C5037">
            <w:pPr>
              <w:spacing w:line="305" w:lineRule="auto"/>
              <w:rPr>
                <w:rFonts w:ascii="Arial"/>
                <w:sz w:val="21"/>
              </w:rPr>
            </w:pPr>
          </w:p>
          <w:p w14:paraId="7ED6036D">
            <w:pPr>
              <w:spacing w:line="305" w:lineRule="auto"/>
              <w:rPr>
                <w:rFonts w:ascii="Arial"/>
                <w:sz w:val="21"/>
              </w:rPr>
            </w:pPr>
          </w:p>
          <w:p w14:paraId="0EB63DEE">
            <w:pPr>
              <w:pStyle w:val="6"/>
              <w:spacing w:before="69" w:line="277" w:lineRule="auto"/>
              <w:ind w:left="219" w:right="203" w:firstLine="1"/>
            </w:pPr>
            <w:r>
              <w:rPr>
                <w:spacing w:val="-4"/>
              </w:rPr>
              <w:t>直接</w:t>
            </w:r>
            <w:r>
              <w:rPr>
                <w:spacing w:val="-3"/>
              </w:rPr>
              <w:t>影响</w:t>
            </w:r>
          </w:p>
        </w:tc>
        <w:tc>
          <w:tcPr>
            <w:tcW w:w="1214" w:type="dxa"/>
            <w:vMerge w:val="restart"/>
            <w:tcBorders>
              <w:bottom w:val="nil"/>
            </w:tcBorders>
            <w:vAlign w:val="top"/>
          </w:tcPr>
          <w:p w14:paraId="33B26B39">
            <w:pPr>
              <w:rPr>
                <w:rFonts w:ascii="Arial"/>
                <w:sz w:val="21"/>
              </w:rPr>
            </w:pPr>
          </w:p>
          <w:p w14:paraId="1A904FBC">
            <w:pPr>
              <w:rPr>
                <w:rFonts w:ascii="Arial"/>
                <w:sz w:val="21"/>
              </w:rPr>
            </w:pPr>
          </w:p>
          <w:p w14:paraId="2B331724">
            <w:pPr>
              <w:rPr>
                <w:rFonts w:ascii="Arial"/>
                <w:sz w:val="21"/>
              </w:rPr>
            </w:pPr>
          </w:p>
          <w:p w14:paraId="40684F0C">
            <w:pPr>
              <w:rPr>
                <w:rFonts w:ascii="Arial"/>
                <w:sz w:val="21"/>
              </w:rPr>
            </w:pPr>
          </w:p>
          <w:p w14:paraId="71E7D64B">
            <w:pPr>
              <w:rPr>
                <w:rFonts w:ascii="Arial"/>
                <w:sz w:val="21"/>
              </w:rPr>
            </w:pPr>
          </w:p>
          <w:p w14:paraId="1B854955">
            <w:pPr>
              <w:rPr>
                <w:rFonts w:ascii="Arial"/>
                <w:sz w:val="21"/>
              </w:rPr>
            </w:pPr>
          </w:p>
          <w:p w14:paraId="534D86D5">
            <w:pPr>
              <w:spacing w:line="241" w:lineRule="auto"/>
              <w:rPr>
                <w:rFonts w:ascii="Arial"/>
                <w:sz w:val="21"/>
              </w:rPr>
            </w:pPr>
          </w:p>
          <w:p w14:paraId="3CC8FBE4">
            <w:pPr>
              <w:spacing w:line="241" w:lineRule="auto"/>
              <w:rPr>
                <w:rFonts w:ascii="Arial"/>
                <w:sz w:val="21"/>
              </w:rPr>
            </w:pPr>
          </w:p>
          <w:p w14:paraId="0B1E608B">
            <w:pPr>
              <w:spacing w:line="241" w:lineRule="auto"/>
              <w:rPr>
                <w:rFonts w:ascii="Arial"/>
                <w:sz w:val="21"/>
              </w:rPr>
            </w:pPr>
          </w:p>
          <w:p w14:paraId="1953BCA7">
            <w:pPr>
              <w:pStyle w:val="6"/>
              <w:spacing w:before="69" w:line="278" w:lineRule="auto"/>
              <w:ind w:left="295" w:right="181" w:hanging="103"/>
            </w:pPr>
            <w:r>
              <w:rPr>
                <w:spacing w:val="-2"/>
              </w:rPr>
              <w:t>施工活动</w:t>
            </w:r>
            <w:r>
              <w:rPr>
                <w:spacing w:val="-1"/>
              </w:rPr>
              <w:t>及占地</w:t>
            </w:r>
          </w:p>
        </w:tc>
      </w:tr>
      <w:tr w14:paraId="199F4F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87" w:hRule="atLeast"/>
        </w:trPr>
        <w:tc>
          <w:tcPr>
            <w:tcW w:w="1084" w:type="dxa"/>
            <w:vAlign w:val="top"/>
          </w:tcPr>
          <w:p w14:paraId="0E391528">
            <w:pPr>
              <w:spacing w:line="254" w:lineRule="auto"/>
              <w:rPr>
                <w:rFonts w:ascii="Arial"/>
                <w:sz w:val="21"/>
              </w:rPr>
            </w:pPr>
          </w:p>
          <w:p w14:paraId="7D671924">
            <w:pPr>
              <w:spacing w:line="254" w:lineRule="auto"/>
              <w:rPr>
                <w:rFonts w:ascii="Arial"/>
                <w:sz w:val="21"/>
              </w:rPr>
            </w:pPr>
          </w:p>
          <w:p w14:paraId="18CBE266">
            <w:pPr>
              <w:spacing w:line="254" w:lineRule="auto"/>
              <w:rPr>
                <w:rFonts w:ascii="Arial"/>
                <w:sz w:val="21"/>
              </w:rPr>
            </w:pPr>
          </w:p>
          <w:p w14:paraId="6322C991">
            <w:pPr>
              <w:pStyle w:val="6"/>
              <w:spacing w:before="69" w:line="276" w:lineRule="auto"/>
              <w:ind w:left="336" w:right="116" w:hanging="198"/>
            </w:pPr>
            <w:r>
              <w:rPr>
                <w:spacing w:val="-5"/>
              </w:rPr>
              <w:t>陆生野生</w:t>
            </w:r>
            <w:r>
              <w:rPr>
                <w:spacing w:val="-2"/>
              </w:rPr>
              <w:t>植物</w:t>
            </w:r>
          </w:p>
        </w:tc>
        <w:tc>
          <w:tcPr>
            <w:tcW w:w="3872" w:type="dxa"/>
            <w:vAlign w:val="top"/>
          </w:tcPr>
          <w:p w14:paraId="0D9917EF">
            <w:pPr>
              <w:pStyle w:val="6"/>
              <w:spacing w:before="54" w:line="234" w:lineRule="auto"/>
              <w:ind w:left="207"/>
            </w:pPr>
            <w:r>
              <w:rPr>
                <w:spacing w:val="-3"/>
              </w:rPr>
              <w:t>野生维管植物</w:t>
            </w:r>
            <w:r>
              <w:rPr>
                <w:spacing w:val="-40"/>
              </w:rPr>
              <w:t xml:space="preserve"> </w:t>
            </w:r>
            <w:r>
              <w:rPr>
                <w:rFonts w:ascii="Times New Roman" w:hAnsi="Times New Roman" w:eastAsia="Times New Roman" w:cs="Times New Roman"/>
                <w:spacing w:val="-3"/>
              </w:rPr>
              <w:t xml:space="preserve">71 </w:t>
            </w:r>
            <w:r>
              <w:rPr>
                <w:spacing w:val="-3"/>
              </w:rPr>
              <w:t>科</w:t>
            </w:r>
            <w:r>
              <w:rPr>
                <w:spacing w:val="-30"/>
              </w:rPr>
              <w:t xml:space="preserve"> </w:t>
            </w:r>
            <w:r>
              <w:rPr>
                <w:rFonts w:ascii="Times New Roman" w:hAnsi="Times New Roman" w:eastAsia="Times New Roman" w:cs="Times New Roman"/>
                <w:spacing w:val="-3"/>
              </w:rPr>
              <w:t xml:space="preserve">147 </w:t>
            </w:r>
            <w:r>
              <w:rPr>
                <w:spacing w:val="-3"/>
              </w:rPr>
              <w:t>属</w:t>
            </w:r>
            <w:r>
              <w:rPr>
                <w:spacing w:val="-27"/>
              </w:rPr>
              <w:t xml:space="preserve"> </w:t>
            </w:r>
            <w:r>
              <w:rPr>
                <w:rFonts w:ascii="Times New Roman" w:hAnsi="Times New Roman" w:eastAsia="Times New Roman" w:cs="Times New Roman"/>
                <w:spacing w:val="-3"/>
              </w:rPr>
              <w:t xml:space="preserve">177 </w:t>
            </w:r>
            <w:r>
              <w:rPr>
                <w:spacing w:val="-3"/>
              </w:rPr>
              <w:t>种。其</w:t>
            </w:r>
          </w:p>
          <w:p w14:paraId="7C8F0777">
            <w:pPr>
              <w:pStyle w:val="6"/>
              <w:spacing w:before="45" w:line="234" w:lineRule="auto"/>
              <w:ind w:left="201"/>
              <w:rPr>
                <w:rFonts w:ascii="Times New Roman" w:hAnsi="Times New Roman" w:eastAsia="Times New Roman" w:cs="Times New Roman"/>
              </w:rPr>
            </w:pPr>
            <w:r>
              <w:t>中蕨类植物</w:t>
            </w:r>
            <w:r>
              <w:rPr>
                <w:spacing w:val="-36"/>
              </w:rPr>
              <w:t xml:space="preserve"> </w:t>
            </w:r>
            <w:r>
              <w:rPr>
                <w:rFonts w:ascii="Times New Roman" w:hAnsi="Times New Roman" w:eastAsia="Times New Roman" w:cs="Times New Roman"/>
              </w:rPr>
              <w:t xml:space="preserve">6 </w:t>
            </w:r>
            <w:r>
              <w:t>科</w:t>
            </w:r>
            <w:r>
              <w:rPr>
                <w:spacing w:val="-43"/>
              </w:rPr>
              <w:t xml:space="preserve"> </w:t>
            </w:r>
            <w:r>
              <w:rPr>
                <w:rFonts w:ascii="Times New Roman" w:hAnsi="Times New Roman" w:eastAsia="Times New Roman" w:cs="Times New Roman"/>
              </w:rPr>
              <w:t xml:space="preserve">6 </w:t>
            </w:r>
            <w:r>
              <w:t>属</w:t>
            </w:r>
            <w:r>
              <w:rPr>
                <w:rFonts w:ascii="Times New Roman" w:hAnsi="Times New Roman" w:eastAsia="Times New Roman" w:cs="Times New Roman"/>
              </w:rPr>
              <w:t xml:space="preserve">6 </w:t>
            </w:r>
            <w:r>
              <w:t>种，裸子植物</w:t>
            </w:r>
            <w:r>
              <w:rPr>
                <w:spacing w:val="-43"/>
              </w:rPr>
              <w:t xml:space="preserve"> </w:t>
            </w:r>
            <w:r>
              <w:rPr>
                <w:rFonts w:ascii="Times New Roman" w:hAnsi="Times New Roman" w:eastAsia="Times New Roman" w:cs="Times New Roman"/>
              </w:rPr>
              <w:t>3</w:t>
            </w:r>
          </w:p>
          <w:p w14:paraId="79E4B0C2">
            <w:pPr>
              <w:pStyle w:val="6"/>
              <w:spacing w:before="45" w:line="234" w:lineRule="auto"/>
              <w:ind w:left="128"/>
              <w:rPr>
                <w:rFonts w:ascii="Times New Roman" w:hAnsi="Times New Roman" w:eastAsia="Times New Roman" w:cs="Times New Roman"/>
              </w:rPr>
            </w:pPr>
            <w:r>
              <w:rPr>
                <w:spacing w:val="-4"/>
              </w:rPr>
              <w:t>科</w:t>
            </w:r>
            <w:r>
              <w:rPr>
                <w:spacing w:val="-46"/>
              </w:rPr>
              <w:t xml:space="preserve"> </w:t>
            </w:r>
            <w:r>
              <w:rPr>
                <w:rFonts w:ascii="Times New Roman" w:hAnsi="Times New Roman" w:eastAsia="Times New Roman" w:cs="Times New Roman"/>
                <w:spacing w:val="-4"/>
              </w:rPr>
              <w:t xml:space="preserve">4 </w:t>
            </w:r>
            <w:r>
              <w:rPr>
                <w:spacing w:val="-4"/>
              </w:rPr>
              <w:t>属</w:t>
            </w:r>
            <w:r>
              <w:rPr>
                <w:spacing w:val="-41"/>
              </w:rPr>
              <w:t xml:space="preserve"> </w:t>
            </w:r>
            <w:r>
              <w:rPr>
                <w:rFonts w:ascii="Times New Roman" w:hAnsi="Times New Roman" w:eastAsia="Times New Roman" w:cs="Times New Roman"/>
                <w:spacing w:val="-4"/>
              </w:rPr>
              <w:t xml:space="preserve">5 </w:t>
            </w:r>
            <w:r>
              <w:rPr>
                <w:spacing w:val="-4"/>
              </w:rPr>
              <w:t>种，被子植物</w:t>
            </w:r>
            <w:r>
              <w:rPr>
                <w:spacing w:val="-43"/>
              </w:rPr>
              <w:t xml:space="preserve"> </w:t>
            </w:r>
            <w:r>
              <w:rPr>
                <w:rFonts w:ascii="Times New Roman" w:hAnsi="Times New Roman" w:eastAsia="Times New Roman" w:cs="Times New Roman"/>
                <w:spacing w:val="-4"/>
              </w:rPr>
              <w:t xml:space="preserve">62 </w:t>
            </w:r>
            <w:r>
              <w:rPr>
                <w:spacing w:val="-4"/>
              </w:rPr>
              <w:t>科</w:t>
            </w:r>
            <w:r>
              <w:rPr>
                <w:spacing w:val="-28"/>
              </w:rPr>
              <w:t xml:space="preserve"> </w:t>
            </w:r>
            <w:r>
              <w:rPr>
                <w:rFonts w:ascii="Times New Roman" w:hAnsi="Times New Roman" w:eastAsia="Times New Roman" w:cs="Times New Roman"/>
                <w:spacing w:val="-4"/>
              </w:rPr>
              <w:t>137</w:t>
            </w:r>
            <w:r>
              <w:rPr>
                <w:rFonts w:ascii="Times New Roman" w:hAnsi="Times New Roman" w:eastAsia="Times New Roman" w:cs="Times New Roman"/>
                <w:spacing w:val="8"/>
              </w:rPr>
              <w:t xml:space="preserve"> </w:t>
            </w:r>
            <w:r>
              <w:rPr>
                <w:spacing w:val="-4"/>
              </w:rPr>
              <w:t>属</w:t>
            </w:r>
            <w:r>
              <w:rPr>
                <w:spacing w:val="-27"/>
              </w:rPr>
              <w:t xml:space="preserve"> </w:t>
            </w:r>
            <w:r>
              <w:rPr>
                <w:rFonts w:ascii="Times New Roman" w:hAnsi="Times New Roman" w:eastAsia="Times New Roman" w:cs="Times New Roman"/>
                <w:spacing w:val="-4"/>
              </w:rPr>
              <w:t>166</w:t>
            </w:r>
          </w:p>
          <w:p w14:paraId="0866E735">
            <w:pPr>
              <w:pStyle w:val="6"/>
              <w:spacing w:before="46" w:line="221" w:lineRule="auto"/>
              <w:ind w:left="155"/>
            </w:pPr>
            <w:r>
              <w:rPr>
                <w:spacing w:val="-1"/>
              </w:rPr>
              <w:t>种。未发现国家重点野生保护植物和云</w:t>
            </w:r>
          </w:p>
          <w:p w14:paraId="3B63D137">
            <w:pPr>
              <w:pStyle w:val="6"/>
              <w:spacing w:before="60" w:line="221" w:lineRule="auto"/>
              <w:ind w:left="157"/>
            </w:pPr>
            <w:r>
              <w:rPr>
                <w:spacing w:val="-1"/>
              </w:rPr>
              <w:t>南省级重点保护植物，亦未发现有古树</w:t>
            </w:r>
          </w:p>
          <w:p w14:paraId="44418B4D">
            <w:pPr>
              <w:pStyle w:val="6"/>
              <w:spacing w:before="61" w:line="221" w:lineRule="auto"/>
              <w:ind w:left="157"/>
            </w:pPr>
            <w:r>
              <w:rPr>
                <w:spacing w:val="-1"/>
              </w:rPr>
              <w:t>名木，仅有少量中国特有、云南特有植</w:t>
            </w:r>
          </w:p>
          <w:p w14:paraId="5FA65CE3">
            <w:pPr>
              <w:pStyle w:val="6"/>
              <w:spacing w:before="61" w:line="220" w:lineRule="auto"/>
              <w:ind w:left="363"/>
            </w:pPr>
            <w:r>
              <w:rPr>
                <w:spacing w:val="-1"/>
              </w:rPr>
              <w:t>物分布，未见狭域特有植物分布。</w:t>
            </w:r>
          </w:p>
        </w:tc>
        <w:tc>
          <w:tcPr>
            <w:tcW w:w="2044" w:type="dxa"/>
            <w:vAlign w:val="top"/>
          </w:tcPr>
          <w:p w14:paraId="4E42F2F4">
            <w:pPr>
              <w:spacing w:line="305" w:lineRule="auto"/>
              <w:rPr>
                <w:rFonts w:ascii="Arial"/>
                <w:sz w:val="21"/>
              </w:rPr>
            </w:pPr>
          </w:p>
          <w:p w14:paraId="36144DBA">
            <w:pPr>
              <w:spacing w:line="306" w:lineRule="auto"/>
              <w:rPr>
                <w:rFonts w:ascii="Arial"/>
                <w:sz w:val="21"/>
              </w:rPr>
            </w:pPr>
          </w:p>
          <w:p w14:paraId="4FF98A8E">
            <w:pPr>
              <w:spacing w:line="306" w:lineRule="auto"/>
              <w:rPr>
                <w:rFonts w:ascii="Arial"/>
                <w:sz w:val="21"/>
              </w:rPr>
            </w:pPr>
          </w:p>
          <w:p w14:paraId="46BB8565">
            <w:pPr>
              <w:pStyle w:val="6"/>
              <w:spacing w:before="68" w:line="219" w:lineRule="auto"/>
              <w:ind w:left="608"/>
            </w:pPr>
            <w:r>
              <w:rPr>
                <w:spacing w:val="-1"/>
              </w:rPr>
              <w:t>评价区内</w:t>
            </w:r>
          </w:p>
        </w:tc>
        <w:tc>
          <w:tcPr>
            <w:tcW w:w="842" w:type="dxa"/>
            <w:vAlign w:val="top"/>
          </w:tcPr>
          <w:p w14:paraId="1B74A710">
            <w:pPr>
              <w:spacing w:line="254" w:lineRule="auto"/>
              <w:rPr>
                <w:rFonts w:ascii="Arial"/>
                <w:sz w:val="21"/>
              </w:rPr>
            </w:pPr>
          </w:p>
          <w:p w14:paraId="4D8B2AA5">
            <w:pPr>
              <w:spacing w:line="254" w:lineRule="auto"/>
              <w:rPr>
                <w:rFonts w:ascii="Arial"/>
                <w:sz w:val="21"/>
              </w:rPr>
            </w:pPr>
          </w:p>
          <w:p w14:paraId="1381E92F">
            <w:pPr>
              <w:spacing w:line="255" w:lineRule="auto"/>
              <w:rPr>
                <w:rFonts w:ascii="Arial"/>
                <w:sz w:val="21"/>
              </w:rPr>
            </w:pPr>
          </w:p>
          <w:p w14:paraId="62662D42">
            <w:pPr>
              <w:pStyle w:val="6"/>
              <w:spacing w:before="68" w:line="277" w:lineRule="auto"/>
              <w:ind w:left="219" w:right="203" w:firstLine="1"/>
            </w:pPr>
            <w:r>
              <w:rPr>
                <w:spacing w:val="-4"/>
              </w:rPr>
              <w:t>直接</w:t>
            </w:r>
            <w:r>
              <w:rPr>
                <w:spacing w:val="-3"/>
              </w:rPr>
              <w:t>影响</w:t>
            </w:r>
          </w:p>
        </w:tc>
        <w:tc>
          <w:tcPr>
            <w:tcW w:w="1214" w:type="dxa"/>
            <w:vMerge w:val="continue"/>
            <w:tcBorders>
              <w:top w:val="nil"/>
              <w:bottom w:val="nil"/>
            </w:tcBorders>
            <w:vAlign w:val="top"/>
          </w:tcPr>
          <w:p w14:paraId="0F568369">
            <w:pPr>
              <w:rPr>
                <w:rFonts w:ascii="Arial"/>
                <w:sz w:val="21"/>
              </w:rPr>
            </w:pPr>
          </w:p>
        </w:tc>
      </w:tr>
      <w:tr w14:paraId="4A2941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1084" w:type="dxa"/>
            <w:vAlign w:val="top"/>
          </w:tcPr>
          <w:p w14:paraId="435F1472">
            <w:pPr>
              <w:pStyle w:val="6"/>
              <w:spacing w:before="56" w:line="222" w:lineRule="auto"/>
              <w:ind w:left="138"/>
            </w:pPr>
            <w:r>
              <w:rPr>
                <w:spacing w:val="-4"/>
              </w:rPr>
              <w:t>陆生野生</w:t>
            </w:r>
          </w:p>
        </w:tc>
        <w:tc>
          <w:tcPr>
            <w:tcW w:w="3872" w:type="dxa"/>
            <w:vAlign w:val="top"/>
          </w:tcPr>
          <w:p w14:paraId="40AB753F">
            <w:pPr>
              <w:pStyle w:val="6"/>
              <w:spacing w:before="56" w:line="219" w:lineRule="auto"/>
              <w:ind w:left="154"/>
            </w:pPr>
            <w:r>
              <w:rPr>
                <w:spacing w:val="-1"/>
              </w:rPr>
              <w:t>评价区共统计陆生脊椎动物包括兽类、</w:t>
            </w:r>
          </w:p>
        </w:tc>
        <w:tc>
          <w:tcPr>
            <w:tcW w:w="2044" w:type="dxa"/>
            <w:vAlign w:val="top"/>
          </w:tcPr>
          <w:p w14:paraId="20CAD0A7">
            <w:pPr>
              <w:pStyle w:val="6"/>
              <w:spacing w:before="56" w:line="219" w:lineRule="auto"/>
              <w:ind w:left="608"/>
            </w:pPr>
            <w:r>
              <w:rPr>
                <w:spacing w:val="-1"/>
              </w:rPr>
              <w:t>评价区内</w:t>
            </w:r>
          </w:p>
        </w:tc>
        <w:tc>
          <w:tcPr>
            <w:tcW w:w="842" w:type="dxa"/>
            <w:vAlign w:val="top"/>
          </w:tcPr>
          <w:p w14:paraId="15C814CB">
            <w:pPr>
              <w:pStyle w:val="6"/>
              <w:spacing w:before="56" w:line="222" w:lineRule="auto"/>
              <w:ind w:left="220"/>
            </w:pPr>
            <w:r>
              <w:rPr>
                <w:spacing w:val="-2"/>
              </w:rPr>
              <w:t>直接</w:t>
            </w:r>
          </w:p>
        </w:tc>
        <w:tc>
          <w:tcPr>
            <w:tcW w:w="1214" w:type="dxa"/>
            <w:vMerge w:val="continue"/>
            <w:tcBorders>
              <w:top w:val="nil"/>
            </w:tcBorders>
            <w:vAlign w:val="top"/>
          </w:tcPr>
          <w:p w14:paraId="04121487">
            <w:pPr>
              <w:rPr>
                <w:rFonts w:ascii="Arial"/>
                <w:sz w:val="21"/>
              </w:rPr>
            </w:pPr>
          </w:p>
        </w:tc>
      </w:tr>
    </w:tbl>
    <w:p w14:paraId="18C45C2D">
      <w:pPr>
        <w:rPr>
          <w:rFonts w:ascii="Arial"/>
          <w:sz w:val="21"/>
        </w:rPr>
      </w:pPr>
    </w:p>
    <w:p w14:paraId="7640959F">
      <w:pPr>
        <w:rPr>
          <w:rFonts w:ascii="Arial" w:hAnsi="Arial" w:eastAsia="Arial" w:cs="Arial"/>
          <w:sz w:val="21"/>
          <w:szCs w:val="21"/>
        </w:rPr>
        <w:sectPr>
          <w:footerReference r:id="rId149" w:type="default"/>
          <w:pgSz w:w="11907" w:h="16841"/>
          <w:pgMar w:top="400" w:right="1414" w:bottom="1126" w:left="1423" w:header="0" w:footer="925" w:gutter="0"/>
          <w:cols w:space="720" w:num="1"/>
        </w:sectPr>
      </w:pPr>
    </w:p>
    <w:p w14:paraId="1F1F9594">
      <w:pPr>
        <w:spacing w:before="2"/>
      </w:pPr>
    </w:p>
    <w:p w14:paraId="72ECEACB">
      <w:pPr>
        <w:spacing w:before="2"/>
      </w:pPr>
    </w:p>
    <w:p w14:paraId="2B155BE6">
      <w:pPr>
        <w:spacing w:before="1"/>
      </w:pPr>
    </w:p>
    <w:p w14:paraId="0AC29FB7">
      <w:pPr>
        <w:spacing w:before="1"/>
      </w:pPr>
    </w:p>
    <w:p w14:paraId="7D7BB58B">
      <w:pPr>
        <w:spacing w:before="1"/>
      </w:pPr>
    </w:p>
    <w:tbl>
      <w:tblPr>
        <w:tblStyle w:val="5"/>
        <w:tblW w:w="905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3872"/>
        <w:gridCol w:w="2044"/>
        <w:gridCol w:w="842"/>
        <w:gridCol w:w="1214"/>
      </w:tblGrid>
      <w:tr w14:paraId="3602C1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3" w:hRule="atLeast"/>
        </w:trPr>
        <w:tc>
          <w:tcPr>
            <w:tcW w:w="1084" w:type="dxa"/>
            <w:vAlign w:val="top"/>
          </w:tcPr>
          <w:p w14:paraId="00B6854D">
            <w:pPr>
              <w:pStyle w:val="6"/>
              <w:spacing w:before="59" w:line="221" w:lineRule="auto"/>
              <w:ind w:left="337"/>
            </w:pPr>
            <w:r>
              <w:rPr>
                <w:spacing w:val="-2"/>
              </w:rPr>
              <w:t>动物</w:t>
            </w:r>
          </w:p>
        </w:tc>
        <w:tc>
          <w:tcPr>
            <w:tcW w:w="3872" w:type="dxa"/>
            <w:vAlign w:val="top"/>
          </w:tcPr>
          <w:p w14:paraId="71403C7C">
            <w:pPr>
              <w:pStyle w:val="6"/>
              <w:spacing w:before="59" w:line="234" w:lineRule="auto"/>
              <w:ind w:left="238"/>
              <w:rPr>
                <w:rFonts w:ascii="Times New Roman" w:hAnsi="Times New Roman" w:eastAsia="Times New Roman" w:cs="Times New Roman"/>
              </w:rPr>
            </w:pPr>
            <w:r>
              <w:rPr>
                <w:spacing w:val="-6"/>
              </w:rPr>
              <w:t>鸟类、两栖及爬行类共</w:t>
            </w:r>
            <w:r>
              <w:rPr>
                <w:spacing w:val="-20"/>
              </w:rPr>
              <w:t xml:space="preserve"> </w:t>
            </w:r>
            <w:r>
              <w:rPr>
                <w:rFonts w:ascii="Times New Roman" w:hAnsi="Times New Roman" w:eastAsia="Times New Roman" w:cs="Times New Roman"/>
                <w:spacing w:val="-6"/>
              </w:rPr>
              <w:t xml:space="preserve">14 </w:t>
            </w:r>
            <w:r>
              <w:rPr>
                <w:spacing w:val="-6"/>
              </w:rPr>
              <w:t>纲</w:t>
            </w:r>
            <w:r>
              <w:rPr>
                <w:spacing w:val="-27"/>
              </w:rPr>
              <w:t xml:space="preserve"> </w:t>
            </w:r>
            <w:r>
              <w:rPr>
                <w:rFonts w:ascii="Times New Roman" w:hAnsi="Times New Roman" w:eastAsia="Times New Roman" w:cs="Times New Roman"/>
                <w:spacing w:val="-6"/>
              </w:rPr>
              <w:t xml:space="preserve">16  </w:t>
            </w:r>
            <w:r>
              <w:rPr>
                <w:spacing w:val="-6"/>
              </w:rPr>
              <w:t>目</w:t>
            </w:r>
            <w:r>
              <w:rPr>
                <w:spacing w:val="-44"/>
              </w:rPr>
              <w:t xml:space="preserve"> </w:t>
            </w:r>
            <w:r>
              <w:rPr>
                <w:rFonts w:ascii="Times New Roman" w:hAnsi="Times New Roman" w:eastAsia="Times New Roman" w:cs="Times New Roman"/>
                <w:spacing w:val="-6"/>
              </w:rPr>
              <w:t>37</w:t>
            </w:r>
          </w:p>
          <w:p w14:paraId="00D5A71A">
            <w:pPr>
              <w:pStyle w:val="6"/>
              <w:spacing w:before="42" w:line="234" w:lineRule="auto"/>
              <w:ind w:left="234"/>
              <w:rPr>
                <w:rFonts w:ascii="Times New Roman" w:hAnsi="Times New Roman" w:eastAsia="Times New Roman" w:cs="Times New Roman"/>
              </w:rPr>
            </w:pPr>
            <w:r>
              <w:rPr>
                <w:spacing w:val="-5"/>
              </w:rPr>
              <w:t>科</w:t>
            </w:r>
            <w:r>
              <w:rPr>
                <w:spacing w:val="-41"/>
              </w:rPr>
              <w:t xml:space="preserve"> </w:t>
            </w:r>
            <w:r>
              <w:rPr>
                <w:rFonts w:ascii="Times New Roman" w:hAnsi="Times New Roman" w:eastAsia="Times New Roman" w:cs="Times New Roman"/>
                <w:spacing w:val="-5"/>
              </w:rPr>
              <w:t xml:space="preserve">63 </w:t>
            </w:r>
            <w:r>
              <w:rPr>
                <w:spacing w:val="-5"/>
              </w:rPr>
              <w:t>种，其中，爬行类有</w:t>
            </w:r>
            <w:r>
              <w:rPr>
                <w:spacing w:val="-28"/>
              </w:rPr>
              <w:t xml:space="preserve"> </w:t>
            </w:r>
            <w:r>
              <w:rPr>
                <w:rFonts w:ascii="Times New Roman" w:hAnsi="Times New Roman" w:eastAsia="Times New Roman" w:cs="Times New Roman"/>
                <w:spacing w:val="-5"/>
              </w:rPr>
              <w:t xml:space="preserve">1  </w:t>
            </w:r>
            <w:r>
              <w:rPr>
                <w:spacing w:val="-5"/>
              </w:rPr>
              <w:t>目</w:t>
            </w:r>
            <w:r>
              <w:rPr>
                <w:spacing w:val="-43"/>
              </w:rPr>
              <w:t xml:space="preserve"> </w:t>
            </w:r>
            <w:r>
              <w:rPr>
                <w:rFonts w:ascii="Times New Roman" w:hAnsi="Times New Roman" w:eastAsia="Times New Roman" w:cs="Times New Roman"/>
                <w:spacing w:val="-5"/>
              </w:rPr>
              <w:t xml:space="preserve">3 </w:t>
            </w:r>
            <w:r>
              <w:rPr>
                <w:spacing w:val="-5"/>
              </w:rPr>
              <w:t>科</w:t>
            </w:r>
            <w:r>
              <w:rPr>
                <w:spacing w:val="-42"/>
              </w:rPr>
              <w:t xml:space="preserve"> </w:t>
            </w:r>
            <w:r>
              <w:rPr>
                <w:rFonts w:ascii="Times New Roman" w:hAnsi="Times New Roman" w:eastAsia="Times New Roman" w:cs="Times New Roman"/>
                <w:spacing w:val="-5"/>
              </w:rPr>
              <w:t>5</w:t>
            </w:r>
          </w:p>
          <w:p w14:paraId="0D756954">
            <w:pPr>
              <w:pStyle w:val="6"/>
              <w:spacing w:before="45" w:line="234" w:lineRule="auto"/>
              <w:ind w:left="181"/>
              <w:rPr>
                <w:rFonts w:ascii="Times New Roman" w:hAnsi="Times New Roman" w:eastAsia="Times New Roman" w:cs="Times New Roman"/>
              </w:rPr>
            </w:pPr>
            <w:r>
              <w:rPr>
                <w:spacing w:val="-5"/>
              </w:rPr>
              <w:t>种，两栖类有</w:t>
            </w:r>
            <w:r>
              <w:rPr>
                <w:spacing w:val="-24"/>
              </w:rPr>
              <w:t xml:space="preserve"> </w:t>
            </w:r>
            <w:r>
              <w:rPr>
                <w:rFonts w:ascii="Times New Roman" w:hAnsi="Times New Roman" w:eastAsia="Times New Roman" w:cs="Times New Roman"/>
                <w:spacing w:val="-5"/>
              </w:rPr>
              <w:t>1</w:t>
            </w:r>
            <w:r>
              <w:rPr>
                <w:rFonts w:ascii="Times New Roman" w:hAnsi="Times New Roman" w:eastAsia="Times New Roman" w:cs="Times New Roman"/>
                <w:spacing w:val="47"/>
              </w:rPr>
              <w:t xml:space="preserve"> </w:t>
            </w:r>
            <w:r>
              <w:rPr>
                <w:spacing w:val="-5"/>
              </w:rPr>
              <w:t>目</w:t>
            </w:r>
            <w:r>
              <w:rPr>
                <w:spacing w:val="-49"/>
              </w:rPr>
              <w:t xml:space="preserve"> </w:t>
            </w:r>
            <w:r>
              <w:rPr>
                <w:rFonts w:ascii="Times New Roman" w:hAnsi="Times New Roman" w:eastAsia="Times New Roman" w:cs="Times New Roman"/>
                <w:spacing w:val="-5"/>
              </w:rPr>
              <w:t xml:space="preserve">4 </w:t>
            </w:r>
            <w:r>
              <w:rPr>
                <w:spacing w:val="-5"/>
              </w:rPr>
              <w:t>科</w:t>
            </w:r>
            <w:r>
              <w:rPr>
                <w:spacing w:val="-43"/>
              </w:rPr>
              <w:t xml:space="preserve"> </w:t>
            </w:r>
            <w:r>
              <w:rPr>
                <w:rFonts w:ascii="Times New Roman" w:hAnsi="Times New Roman" w:eastAsia="Times New Roman" w:cs="Times New Roman"/>
                <w:spacing w:val="-5"/>
              </w:rPr>
              <w:t xml:space="preserve">6 </w:t>
            </w:r>
            <w:r>
              <w:rPr>
                <w:spacing w:val="-5"/>
              </w:rPr>
              <w:t>种，鸟类有</w:t>
            </w:r>
            <w:r>
              <w:rPr>
                <w:spacing w:val="-39"/>
              </w:rPr>
              <w:t xml:space="preserve"> </w:t>
            </w:r>
            <w:r>
              <w:rPr>
                <w:rFonts w:ascii="Times New Roman" w:hAnsi="Times New Roman" w:eastAsia="Times New Roman" w:cs="Times New Roman"/>
                <w:spacing w:val="-5"/>
              </w:rPr>
              <w:t>8</w:t>
            </w:r>
          </w:p>
          <w:p w14:paraId="7263A94C">
            <w:pPr>
              <w:pStyle w:val="6"/>
              <w:spacing w:before="45" w:line="234" w:lineRule="auto"/>
              <w:ind w:left="274"/>
              <w:rPr>
                <w:rFonts w:ascii="Times New Roman" w:hAnsi="Times New Roman" w:eastAsia="Times New Roman" w:cs="Times New Roman"/>
              </w:rPr>
            </w:pPr>
            <w:r>
              <w:rPr>
                <w:spacing w:val="-7"/>
              </w:rPr>
              <w:t>目</w:t>
            </w:r>
            <w:r>
              <w:rPr>
                <w:spacing w:val="-41"/>
              </w:rPr>
              <w:t xml:space="preserve"> </w:t>
            </w:r>
            <w:r>
              <w:rPr>
                <w:rFonts w:ascii="Times New Roman" w:hAnsi="Times New Roman" w:eastAsia="Times New Roman" w:cs="Times New Roman"/>
                <w:spacing w:val="-7"/>
              </w:rPr>
              <w:t xml:space="preserve">22 </w:t>
            </w:r>
            <w:r>
              <w:rPr>
                <w:spacing w:val="-7"/>
              </w:rPr>
              <w:t>科</w:t>
            </w:r>
            <w:r>
              <w:rPr>
                <w:spacing w:val="-49"/>
              </w:rPr>
              <w:t xml:space="preserve"> </w:t>
            </w:r>
            <w:r>
              <w:rPr>
                <w:rFonts w:ascii="Times New Roman" w:hAnsi="Times New Roman" w:eastAsia="Times New Roman" w:cs="Times New Roman"/>
                <w:spacing w:val="-7"/>
              </w:rPr>
              <w:t xml:space="preserve">42 </w:t>
            </w:r>
            <w:r>
              <w:rPr>
                <w:spacing w:val="-7"/>
              </w:rPr>
              <w:t>种，兽类共有</w:t>
            </w:r>
            <w:r>
              <w:rPr>
                <w:spacing w:val="-45"/>
              </w:rPr>
              <w:t xml:space="preserve"> </w:t>
            </w:r>
            <w:r>
              <w:rPr>
                <w:rFonts w:ascii="Times New Roman" w:hAnsi="Times New Roman" w:eastAsia="Times New Roman" w:cs="Times New Roman"/>
                <w:spacing w:val="-7"/>
              </w:rPr>
              <w:t xml:space="preserve">6  </w:t>
            </w:r>
            <w:r>
              <w:rPr>
                <w:spacing w:val="-7"/>
              </w:rPr>
              <w:t>目</w:t>
            </w:r>
            <w:r>
              <w:rPr>
                <w:spacing w:val="-39"/>
              </w:rPr>
              <w:t xml:space="preserve"> </w:t>
            </w:r>
            <w:r>
              <w:rPr>
                <w:rFonts w:ascii="Times New Roman" w:hAnsi="Times New Roman" w:eastAsia="Times New Roman" w:cs="Times New Roman"/>
                <w:spacing w:val="-7"/>
              </w:rPr>
              <w:t>8</w:t>
            </w:r>
            <w:r>
              <w:rPr>
                <w:rFonts w:ascii="Times New Roman" w:hAnsi="Times New Roman" w:eastAsia="Times New Roman" w:cs="Times New Roman"/>
                <w:spacing w:val="6"/>
              </w:rPr>
              <w:t xml:space="preserve"> </w:t>
            </w:r>
            <w:r>
              <w:rPr>
                <w:spacing w:val="-7"/>
              </w:rPr>
              <w:t>科</w:t>
            </w:r>
            <w:r>
              <w:rPr>
                <w:spacing w:val="-28"/>
              </w:rPr>
              <w:t xml:space="preserve"> </w:t>
            </w:r>
            <w:r>
              <w:rPr>
                <w:rFonts w:ascii="Times New Roman" w:hAnsi="Times New Roman" w:eastAsia="Times New Roman" w:cs="Times New Roman"/>
                <w:spacing w:val="-7"/>
              </w:rPr>
              <w:t>10</w:t>
            </w:r>
          </w:p>
          <w:p w14:paraId="7FF747D0">
            <w:pPr>
              <w:pStyle w:val="6"/>
              <w:spacing w:before="46" w:line="219" w:lineRule="auto"/>
              <w:ind w:left="155"/>
            </w:pPr>
            <w:r>
              <w:rPr>
                <w:spacing w:val="-1"/>
              </w:rPr>
              <w:t>种。评价区未记录到国家重点保护动物</w:t>
            </w:r>
          </w:p>
          <w:p w14:paraId="62C4DA96">
            <w:pPr>
              <w:pStyle w:val="6"/>
              <w:spacing w:before="63" w:line="221" w:lineRule="auto"/>
              <w:ind w:left="785"/>
            </w:pPr>
            <w:r>
              <w:rPr>
                <w:spacing w:val="-2"/>
              </w:rPr>
              <w:t>和云南省重点保护动物。</w:t>
            </w:r>
          </w:p>
        </w:tc>
        <w:tc>
          <w:tcPr>
            <w:tcW w:w="2044" w:type="dxa"/>
            <w:vAlign w:val="top"/>
          </w:tcPr>
          <w:p w14:paraId="51774B1D">
            <w:pPr>
              <w:rPr>
                <w:rFonts w:ascii="Arial"/>
                <w:sz w:val="21"/>
              </w:rPr>
            </w:pPr>
          </w:p>
        </w:tc>
        <w:tc>
          <w:tcPr>
            <w:tcW w:w="842" w:type="dxa"/>
            <w:vAlign w:val="top"/>
          </w:tcPr>
          <w:p w14:paraId="1D32F97A">
            <w:pPr>
              <w:pStyle w:val="6"/>
              <w:spacing w:before="58" w:line="223" w:lineRule="auto"/>
              <w:ind w:left="219"/>
            </w:pPr>
            <w:r>
              <w:rPr>
                <w:spacing w:val="-2"/>
              </w:rPr>
              <w:t>影响</w:t>
            </w:r>
          </w:p>
        </w:tc>
        <w:tc>
          <w:tcPr>
            <w:tcW w:w="1214" w:type="dxa"/>
            <w:vAlign w:val="top"/>
          </w:tcPr>
          <w:p w14:paraId="401C3019">
            <w:pPr>
              <w:rPr>
                <w:rFonts w:ascii="Arial"/>
                <w:sz w:val="21"/>
              </w:rPr>
            </w:pPr>
          </w:p>
        </w:tc>
      </w:tr>
    </w:tbl>
    <w:p w14:paraId="3AEF6DD2">
      <w:pPr>
        <w:rPr>
          <w:rFonts w:ascii="Arial"/>
          <w:sz w:val="21"/>
        </w:rPr>
      </w:pPr>
    </w:p>
    <w:p w14:paraId="0D2CB5A8">
      <w:pPr>
        <w:rPr>
          <w:rFonts w:ascii="Arial" w:hAnsi="Arial" w:eastAsia="Arial" w:cs="Arial"/>
          <w:sz w:val="21"/>
          <w:szCs w:val="21"/>
        </w:rPr>
        <w:sectPr>
          <w:footerReference r:id="rId150" w:type="default"/>
          <w:pgSz w:w="11907" w:h="16841"/>
          <w:pgMar w:top="400" w:right="1420" w:bottom="1126" w:left="1423" w:header="0" w:footer="923" w:gutter="0"/>
          <w:cols w:space="720" w:num="1"/>
        </w:sectPr>
      </w:pPr>
    </w:p>
    <w:p w14:paraId="662842B5">
      <w:pPr>
        <w:spacing w:line="252" w:lineRule="auto"/>
        <w:rPr>
          <w:rFonts w:ascii="Arial"/>
          <w:sz w:val="21"/>
        </w:rPr>
      </w:pPr>
    </w:p>
    <w:p w14:paraId="381DBA6F">
      <w:pPr>
        <w:spacing w:line="252" w:lineRule="auto"/>
        <w:rPr>
          <w:rFonts w:ascii="Arial"/>
          <w:sz w:val="21"/>
        </w:rPr>
      </w:pPr>
    </w:p>
    <w:p w14:paraId="7D0C344B">
      <w:pPr>
        <w:spacing w:line="252" w:lineRule="auto"/>
        <w:rPr>
          <w:rFonts w:ascii="Arial"/>
          <w:sz w:val="21"/>
        </w:rPr>
      </w:pPr>
    </w:p>
    <w:p w14:paraId="25D92F75">
      <w:pPr>
        <w:spacing w:line="252" w:lineRule="auto"/>
        <w:rPr>
          <w:rFonts w:ascii="Arial"/>
          <w:sz w:val="21"/>
        </w:rPr>
      </w:pPr>
    </w:p>
    <w:p w14:paraId="1219A279">
      <w:pPr>
        <w:spacing w:line="252" w:lineRule="auto"/>
        <w:rPr>
          <w:rFonts w:ascii="Arial"/>
          <w:sz w:val="21"/>
        </w:rPr>
      </w:pPr>
    </w:p>
    <w:p w14:paraId="1F148800">
      <w:pPr>
        <w:spacing w:before="101" w:line="239" w:lineRule="auto"/>
        <w:ind w:left="1"/>
        <w:rPr>
          <w:rFonts w:ascii="宋体" w:hAnsi="宋体" w:eastAsia="宋体" w:cs="宋体"/>
          <w:sz w:val="31"/>
          <w:szCs w:val="31"/>
        </w:rPr>
      </w:pPr>
      <w:bookmarkStart w:id="39" w:name="bookmark46"/>
      <w:bookmarkEnd w:id="39"/>
      <w:bookmarkStart w:id="40" w:name="bookmark45"/>
      <w:bookmarkEnd w:id="40"/>
      <w:r>
        <w:rPr>
          <w:rFonts w:ascii="Times New Roman" w:hAnsi="Times New Roman" w:eastAsia="Times New Roman" w:cs="Times New Roman"/>
          <w:b/>
          <w:bCs/>
          <w:spacing w:val="3"/>
          <w:sz w:val="31"/>
          <w:szCs w:val="31"/>
        </w:rPr>
        <w:t>2</w:t>
      </w:r>
      <w:r>
        <w:rPr>
          <w:rFonts w:ascii="Times New Roman" w:hAnsi="Times New Roman" w:eastAsia="Times New Roman" w:cs="Times New Roman"/>
          <w:b/>
          <w:bCs/>
          <w:spacing w:val="-42"/>
          <w:sz w:val="31"/>
          <w:szCs w:val="31"/>
        </w:rPr>
        <w:t xml:space="preserve"> </w:t>
      </w:r>
      <w:r>
        <w:rPr>
          <w:rFonts w:ascii="宋体" w:hAnsi="宋体" w:eastAsia="宋体" w:cs="宋体"/>
          <w:b/>
          <w:bCs/>
          <w:spacing w:val="3"/>
          <w:sz w:val="31"/>
          <w:szCs w:val="31"/>
        </w:rPr>
        <w:t>、生态环境现状调查</w:t>
      </w:r>
    </w:p>
    <w:p w14:paraId="1F7F1558">
      <w:pPr>
        <w:spacing w:before="240" w:line="235" w:lineRule="auto"/>
        <w:rPr>
          <w:rFonts w:ascii="宋体" w:hAnsi="宋体" w:eastAsia="宋体" w:cs="宋体"/>
          <w:sz w:val="28"/>
          <w:szCs w:val="28"/>
        </w:rPr>
      </w:pPr>
      <w:r>
        <w:rPr>
          <w:rFonts w:ascii="Times New Roman" w:hAnsi="Times New Roman" w:eastAsia="Times New Roman" w:cs="Times New Roman"/>
          <w:b/>
          <w:bCs/>
          <w:spacing w:val="-2"/>
          <w:sz w:val="28"/>
          <w:szCs w:val="28"/>
        </w:rPr>
        <w:t xml:space="preserve">2.1 </w:t>
      </w:r>
      <w:r>
        <w:rPr>
          <w:rFonts w:ascii="宋体" w:hAnsi="宋体" w:eastAsia="宋体" w:cs="宋体"/>
          <w:b/>
          <w:bCs/>
          <w:spacing w:val="-2"/>
          <w:sz w:val="28"/>
          <w:szCs w:val="28"/>
        </w:rPr>
        <w:t>调查情况</w:t>
      </w:r>
    </w:p>
    <w:p w14:paraId="292D6B00">
      <w:pPr>
        <w:spacing w:before="211" w:line="235"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2.1.1 </w:t>
      </w:r>
      <w:r>
        <w:rPr>
          <w:rFonts w:ascii="宋体" w:hAnsi="宋体" w:eastAsia="宋体" w:cs="宋体"/>
          <w:b/>
          <w:bCs/>
          <w:spacing w:val="-2"/>
          <w:sz w:val="24"/>
          <w:szCs w:val="24"/>
        </w:rPr>
        <w:t>调查时间、人员</w:t>
      </w:r>
    </w:p>
    <w:p w14:paraId="201496E1">
      <w:pPr>
        <w:spacing w:before="162" w:line="236" w:lineRule="auto"/>
        <w:ind w:left="492"/>
        <w:rPr>
          <w:rFonts w:ascii="宋体" w:hAnsi="宋体" w:eastAsia="宋体" w:cs="宋体"/>
          <w:sz w:val="24"/>
          <w:szCs w:val="24"/>
        </w:rPr>
      </w:pPr>
      <w:r>
        <w:rPr>
          <w:rFonts w:ascii="宋体" w:hAnsi="宋体" w:eastAsia="宋体" w:cs="宋体"/>
          <w:b/>
          <w:bCs/>
          <w:spacing w:val="-8"/>
          <w:sz w:val="24"/>
          <w:szCs w:val="24"/>
        </w:rPr>
        <w:t>（</w:t>
      </w:r>
      <w:r>
        <w:rPr>
          <w:rFonts w:ascii="Times New Roman" w:hAnsi="Times New Roman" w:eastAsia="Times New Roman" w:cs="Times New Roman"/>
          <w:b/>
          <w:bCs/>
          <w:spacing w:val="-8"/>
          <w:sz w:val="24"/>
          <w:szCs w:val="24"/>
        </w:rPr>
        <w:t>1</w:t>
      </w:r>
      <w:r>
        <w:rPr>
          <w:rFonts w:ascii="宋体" w:hAnsi="宋体" w:eastAsia="宋体" w:cs="宋体"/>
          <w:b/>
          <w:bCs/>
          <w:spacing w:val="-8"/>
          <w:sz w:val="24"/>
          <w:szCs w:val="24"/>
        </w:rPr>
        <w:t>）调查时间</w:t>
      </w:r>
    </w:p>
    <w:p w14:paraId="5584C621">
      <w:pPr>
        <w:spacing w:before="161" w:line="232" w:lineRule="auto"/>
        <w:ind w:left="482"/>
        <w:rPr>
          <w:rFonts w:ascii="宋体" w:hAnsi="宋体" w:eastAsia="宋体" w:cs="宋体"/>
          <w:sz w:val="24"/>
          <w:szCs w:val="24"/>
        </w:rPr>
      </w:pPr>
      <w:r>
        <w:rPr>
          <w:rFonts w:ascii="宋体" w:hAnsi="宋体" w:eastAsia="宋体" w:cs="宋体"/>
          <w:spacing w:val="-7"/>
          <w:sz w:val="24"/>
          <w:szCs w:val="24"/>
        </w:rPr>
        <w:t>评价区现状调查时间为</w:t>
      </w:r>
      <w:r>
        <w:rPr>
          <w:rFonts w:ascii="宋体" w:hAnsi="宋体" w:eastAsia="宋体" w:cs="宋体"/>
          <w:spacing w:val="-43"/>
          <w:sz w:val="24"/>
          <w:szCs w:val="24"/>
        </w:rPr>
        <w:t xml:space="preserve"> </w:t>
      </w:r>
      <w:r>
        <w:rPr>
          <w:rFonts w:ascii="Times New Roman" w:hAnsi="Times New Roman" w:eastAsia="Times New Roman" w:cs="Times New Roman"/>
          <w:spacing w:val="-7"/>
          <w:sz w:val="24"/>
          <w:szCs w:val="24"/>
        </w:rPr>
        <w:t xml:space="preserve">2025 </w:t>
      </w:r>
      <w:r>
        <w:rPr>
          <w:rFonts w:ascii="宋体" w:hAnsi="宋体" w:eastAsia="宋体" w:cs="宋体"/>
          <w:spacing w:val="-7"/>
          <w:sz w:val="24"/>
          <w:szCs w:val="24"/>
        </w:rPr>
        <w:t>年</w:t>
      </w:r>
      <w:r>
        <w:rPr>
          <w:rFonts w:ascii="宋体" w:hAnsi="宋体" w:eastAsia="宋体" w:cs="宋体"/>
          <w:spacing w:val="-56"/>
          <w:sz w:val="24"/>
          <w:szCs w:val="24"/>
        </w:rPr>
        <w:t xml:space="preserve"> </w:t>
      </w:r>
      <w:r>
        <w:rPr>
          <w:rFonts w:ascii="Times New Roman" w:hAnsi="Times New Roman" w:eastAsia="Times New Roman" w:cs="Times New Roman"/>
          <w:spacing w:val="-7"/>
          <w:sz w:val="24"/>
          <w:szCs w:val="24"/>
        </w:rPr>
        <w:t>4</w:t>
      </w:r>
      <w:r>
        <w:rPr>
          <w:rFonts w:ascii="Times New Roman" w:hAnsi="Times New Roman" w:eastAsia="Times New Roman" w:cs="Times New Roman"/>
          <w:spacing w:val="15"/>
          <w:sz w:val="24"/>
          <w:szCs w:val="24"/>
        </w:rPr>
        <w:t xml:space="preserve"> </w:t>
      </w:r>
      <w:r>
        <w:rPr>
          <w:rFonts w:ascii="宋体" w:hAnsi="宋体" w:eastAsia="宋体" w:cs="宋体"/>
          <w:spacing w:val="-7"/>
          <w:sz w:val="24"/>
          <w:szCs w:val="24"/>
        </w:rPr>
        <w:t>月</w:t>
      </w:r>
      <w:r>
        <w:rPr>
          <w:rFonts w:ascii="宋体" w:hAnsi="宋体" w:eastAsia="宋体" w:cs="宋体"/>
          <w:spacing w:val="-32"/>
          <w:sz w:val="24"/>
          <w:szCs w:val="24"/>
        </w:rPr>
        <w:t xml:space="preserve"> </w:t>
      </w:r>
      <w:r>
        <w:rPr>
          <w:rFonts w:ascii="Times New Roman" w:hAnsi="Times New Roman" w:eastAsia="Times New Roman" w:cs="Times New Roman"/>
          <w:spacing w:val="-7"/>
          <w:sz w:val="24"/>
          <w:szCs w:val="24"/>
        </w:rPr>
        <w:t xml:space="preserve">1  </w:t>
      </w:r>
      <w:r>
        <w:rPr>
          <w:rFonts w:ascii="宋体" w:hAnsi="宋体" w:eastAsia="宋体" w:cs="宋体"/>
          <w:spacing w:val="-7"/>
          <w:sz w:val="24"/>
          <w:szCs w:val="24"/>
        </w:rPr>
        <w:t>日</w:t>
      </w:r>
      <w:r>
        <w:rPr>
          <w:rFonts w:ascii="Times New Roman" w:hAnsi="Times New Roman" w:eastAsia="Times New Roman" w:cs="Times New Roman"/>
          <w:spacing w:val="-7"/>
          <w:sz w:val="24"/>
          <w:szCs w:val="24"/>
        </w:rPr>
        <w:t>-4</w:t>
      </w:r>
      <w:r>
        <w:rPr>
          <w:rFonts w:ascii="Times New Roman" w:hAnsi="Times New Roman" w:eastAsia="Times New Roman" w:cs="Times New Roman"/>
          <w:spacing w:val="15"/>
          <w:w w:val="101"/>
          <w:sz w:val="24"/>
          <w:szCs w:val="24"/>
        </w:rPr>
        <w:t xml:space="preserve"> </w:t>
      </w:r>
      <w:r>
        <w:rPr>
          <w:rFonts w:ascii="宋体" w:hAnsi="宋体" w:eastAsia="宋体" w:cs="宋体"/>
          <w:spacing w:val="-7"/>
          <w:sz w:val="24"/>
          <w:szCs w:val="24"/>
        </w:rPr>
        <w:t>月</w:t>
      </w:r>
      <w:r>
        <w:rPr>
          <w:rFonts w:ascii="宋体" w:hAnsi="宋体" w:eastAsia="宋体" w:cs="宋体"/>
          <w:spacing w:val="-51"/>
          <w:sz w:val="24"/>
          <w:szCs w:val="24"/>
        </w:rPr>
        <w:t xml:space="preserve"> </w:t>
      </w:r>
      <w:r>
        <w:rPr>
          <w:rFonts w:ascii="Times New Roman" w:hAnsi="Times New Roman" w:eastAsia="Times New Roman" w:cs="Times New Roman"/>
          <w:spacing w:val="-7"/>
          <w:sz w:val="24"/>
          <w:szCs w:val="24"/>
        </w:rPr>
        <w:t xml:space="preserve">7  </w:t>
      </w:r>
      <w:r>
        <w:rPr>
          <w:rFonts w:ascii="宋体" w:hAnsi="宋体" w:eastAsia="宋体" w:cs="宋体"/>
          <w:spacing w:val="-7"/>
          <w:sz w:val="24"/>
          <w:szCs w:val="24"/>
        </w:rPr>
        <w:t>日。</w:t>
      </w:r>
    </w:p>
    <w:p w14:paraId="0D47BCDA">
      <w:pPr>
        <w:spacing w:before="166" w:line="220" w:lineRule="auto"/>
        <w:ind w:left="485"/>
        <w:rPr>
          <w:rFonts w:ascii="宋体" w:hAnsi="宋体" w:eastAsia="宋体" w:cs="宋体"/>
          <w:sz w:val="24"/>
          <w:szCs w:val="24"/>
        </w:rPr>
      </w:pPr>
      <w:r>
        <w:rPr>
          <w:rFonts w:ascii="宋体" w:hAnsi="宋体" w:eastAsia="宋体" w:cs="宋体"/>
          <w:spacing w:val="-2"/>
          <w:sz w:val="24"/>
          <w:szCs w:val="24"/>
        </w:rPr>
        <w:t>调查内容：现场勘验校核植被类型图，以及植被样方、动植物调查等。</w:t>
      </w:r>
    </w:p>
    <w:p w14:paraId="5119330A">
      <w:pPr>
        <w:spacing w:before="182" w:line="235" w:lineRule="auto"/>
        <w:ind w:left="492"/>
        <w:rPr>
          <w:rFonts w:ascii="宋体" w:hAnsi="宋体" w:eastAsia="宋体" w:cs="宋体"/>
          <w:sz w:val="24"/>
          <w:szCs w:val="24"/>
        </w:rPr>
      </w:pPr>
      <w:r>
        <w:rPr>
          <w:rFonts w:ascii="宋体" w:hAnsi="宋体" w:eastAsia="宋体" w:cs="宋体"/>
          <w:b/>
          <w:bCs/>
          <w:spacing w:val="-8"/>
          <w:sz w:val="24"/>
          <w:szCs w:val="24"/>
        </w:rPr>
        <w:t>（</w:t>
      </w:r>
      <w:r>
        <w:rPr>
          <w:rFonts w:ascii="Times New Roman" w:hAnsi="Times New Roman" w:eastAsia="Times New Roman" w:cs="Times New Roman"/>
          <w:b/>
          <w:bCs/>
          <w:spacing w:val="-8"/>
          <w:sz w:val="24"/>
          <w:szCs w:val="24"/>
        </w:rPr>
        <w:t>2</w:t>
      </w:r>
      <w:r>
        <w:rPr>
          <w:rFonts w:ascii="宋体" w:hAnsi="宋体" w:eastAsia="宋体" w:cs="宋体"/>
          <w:b/>
          <w:bCs/>
          <w:spacing w:val="-8"/>
          <w:sz w:val="24"/>
          <w:szCs w:val="24"/>
        </w:rPr>
        <w:t>）调查人员</w:t>
      </w:r>
    </w:p>
    <w:p w14:paraId="4CC3B2DA">
      <w:pPr>
        <w:spacing w:before="163" w:line="360" w:lineRule="auto"/>
        <w:ind w:left="8" w:firstLine="475"/>
        <w:rPr>
          <w:rFonts w:ascii="宋体" w:hAnsi="宋体" w:eastAsia="宋体" w:cs="宋体"/>
          <w:sz w:val="24"/>
          <w:szCs w:val="24"/>
        </w:rPr>
      </w:pPr>
      <w:r>
        <w:rPr>
          <w:rFonts w:ascii="宋体" w:hAnsi="宋体" w:eastAsia="宋体" w:cs="宋体"/>
          <w:spacing w:val="-2"/>
          <w:sz w:val="24"/>
          <w:szCs w:val="24"/>
        </w:rPr>
        <w:t>徐洋，地理学，讲师，西南林业大学国家高原湿地研究中心，主要负责土地利用野</w:t>
      </w:r>
      <w:r>
        <w:rPr>
          <w:rFonts w:ascii="宋体" w:hAnsi="宋体" w:eastAsia="宋体" w:cs="宋体"/>
          <w:spacing w:val="-7"/>
          <w:sz w:val="24"/>
          <w:szCs w:val="24"/>
        </w:rPr>
        <w:t>外调查和图件绘制；</w:t>
      </w:r>
    </w:p>
    <w:p w14:paraId="69DDE52D">
      <w:pPr>
        <w:spacing w:before="3" w:line="359" w:lineRule="auto"/>
        <w:ind w:left="6" w:firstLine="477"/>
        <w:rPr>
          <w:rFonts w:ascii="宋体" w:hAnsi="宋体" w:eastAsia="宋体" w:cs="宋体"/>
          <w:sz w:val="24"/>
          <w:szCs w:val="24"/>
        </w:rPr>
      </w:pPr>
      <w:r>
        <w:rPr>
          <w:rFonts w:ascii="宋体" w:hAnsi="宋体" w:eastAsia="宋体" w:cs="宋体"/>
          <w:spacing w:val="-2"/>
          <w:sz w:val="24"/>
          <w:szCs w:val="24"/>
        </w:rPr>
        <w:t>齐丹卉，生态学，副教授，西南林业大学水土保持学院，主要负责植物专题野外调</w:t>
      </w:r>
      <w:r>
        <w:rPr>
          <w:rFonts w:ascii="宋体" w:hAnsi="宋体" w:eastAsia="宋体" w:cs="宋体"/>
          <w:spacing w:val="-9"/>
          <w:sz w:val="24"/>
          <w:szCs w:val="24"/>
        </w:rPr>
        <w:t>查及报告撰写；</w:t>
      </w:r>
    </w:p>
    <w:p w14:paraId="337EEFE4">
      <w:pPr>
        <w:spacing w:line="360" w:lineRule="auto"/>
        <w:ind w:left="5" w:firstLine="490"/>
        <w:rPr>
          <w:rFonts w:ascii="宋体" w:hAnsi="宋体" w:eastAsia="宋体" w:cs="宋体"/>
          <w:sz w:val="24"/>
          <w:szCs w:val="24"/>
        </w:rPr>
      </w:pPr>
      <w:r>
        <w:rPr>
          <w:rFonts w:ascii="宋体" w:hAnsi="宋体" w:eastAsia="宋体" w:cs="宋体"/>
          <w:spacing w:val="-2"/>
          <w:sz w:val="24"/>
          <w:szCs w:val="24"/>
        </w:rPr>
        <w:t>宁科正，环境科学，本科生，西南林业大学国家高原湿地研究中心，主要负责野外</w:t>
      </w:r>
      <w:r>
        <w:rPr>
          <w:rFonts w:ascii="宋体" w:hAnsi="宋体" w:eastAsia="宋体" w:cs="宋体"/>
          <w:spacing w:val="-10"/>
          <w:sz w:val="24"/>
          <w:szCs w:val="24"/>
        </w:rPr>
        <w:t>无人机航拍；</w:t>
      </w:r>
    </w:p>
    <w:p w14:paraId="28E317A5">
      <w:pPr>
        <w:spacing w:line="360" w:lineRule="auto"/>
        <w:ind w:left="11" w:firstLine="471"/>
        <w:rPr>
          <w:rFonts w:ascii="宋体" w:hAnsi="宋体" w:eastAsia="宋体" w:cs="宋体"/>
          <w:sz w:val="24"/>
          <w:szCs w:val="24"/>
        </w:rPr>
      </w:pPr>
      <w:r>
        <w:rPr>
          <w:rFonts w:ascii="宋体" w:hAnsi="宋体" w:eastAsia="宋体" w:cs="宋体"/>
          <w:spacing w:val="-2"/>
          <w:sz w:val="24"/>
          <w:szCs w:val="24"/>
        </w:rPr>
        <w:t>柴忠臻，湿地保护与恢复，本科生，西南林业大学国家高原湿地研究中心，主要负</w:t>
      </w:r>
      <w:r>
        <w:rPr>
          <w:rFonts w:ascii="宋体" w:hAnsi="宋体" w:eastAsia="宋体" w:cs="宋体"/>
          <w:spacing w:val="-5"/>
          <w:sz w:val="24"/>
          <w:szCs w:val="24"/>
        </w:rPr>
        <w:t>责植物专题野外调查及报告撰写；</w:t>
      </w:r>
    </w:p>
    <w:p w14:paraId="3FC2334F">
      <w:pPr>
        <w:spacing w:before="3" w:line="359" w:lineRule="auto"/>
        <w:ind w:left="11" w:firstLine="483"/>
        <w:rPr>
          <w:rFonts w:ascii="宋体" w:hAnsi="宋体" w:eastAsia="宋体" w:cs="宋体"/>
          <w:sz w:val="24"/>
          <w:szCs w:val="24"/>
        </w:rPr>
      </w:pPr>
      <w:r>
        <w:rPr>
          <w:rFonts w:ascii="宋体" w:hAnsi="宋体" w:eastAsia="宋体" w:cs="宋体"/>
          <w:spacing w:val="-2"/>
          <w:sz w:val="24"/>
          <w:szCs w:val="24"/>
        </w:rPr>
        <w:t>陆楚汉，湿地保护与恢复，本科生，西南林业大学国家高原湿地研究中心，主要负</w:t>
      </w:r>
      <w:r>
        <w:rPr>
          <w:rFonts w:ascii="宋体" w:hAnsi="宋体" w:eastAsia="宋体" w:cs="宋体"/>
          <w:spacing w:val="-4"/>
          <w:sz w:val="24"/>
          <w:szCs w:val="24"/>
        </w:rPr>
        <w:t>责植物专题野外调查及报告撰写。</w:t>
      </w:r>
    </w:p>
    <w:p w14:paraId="0F5D45DF">
      <w:pPr>
        <w:spacing w:before="1" w:line="232"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2.1.2 </w:t>
      </w:r>
      <w:r>
        <w:rPr>
          <w:rFonts w:ascii="宋体" w:hAnsi="宋体" w:eastAsia="宋体" w:cs="宋体"/>
          <w:b/>
          <w:bCs/>
          <w:spacing w:val="-2"/>
          <w:sz w:val="24"/>
          <w:szCs w:val="24"/>
        </w:rPr>
        <w:t>调查内容简介</w:t>
      </w:r>
    </w:p>
    <w:p w14:paraId="1B39A037">
      <w:pPr>
        <w:spacing w:before="166" w:line="233" w:lineRule="auto"/>
        <w:ind w:left="492"/>
        <w:rPr>
          <w:rFonts w:ascii="宋体" w:hAnsi="宋体" w:eastAsia="宋体" w:cs="宋体"/>
          <w:sz w:val="24"/>
          <w:szCs w:val="24"/>
        </w:rPr>
      </w:pPr>
      <w:r>
        <w:rPr>
          <w:rFonts w:ascii="宋体" w:hAnsi="宋体" w:eastAsia="宋体" w:cs="宋体"/>
          <w:b/>
          <w:bCs/>
          <w:spacing w:val="-6"/>
          <w:sz w:val="24"/>
          <w:szCs w:val="24"/>
        </w:rPr>
        <w:t>（</w:t>
      </w:r>
      <w:r>
        <w:rPr>
          <w:rFonts w:ascii="Times New Roman" w:hAnsi="Times New Roman" w:eastAsia="Times New Roman" w:cs="Times New Roman"/>
          <w:b/>
          <w:bCs/>
          <w:spacing w:val="-6"/>
          <w:sz w:val="24"/>
          <w:szCs w:val="24"/>
        </w:rPr>
        <w:t>1</w:t>
      </w:r>
      <w:r>
        <w:rPr>
          <w:rFonts w:ascii="宋体" w:hAnsi="宋体" w:eastAsia="宋体" w:cs="宋体"/>
          <w:b/>
          <w:bCs/>
          <w:spacing w:val="-6"/>
          <w:sz w:val="24"/>
          <w:szCs w:val="24"/>
        </w:rPr>
        <w:t>）植被调查</w:t>
      </w:r>
    </w:p>
    <w:p w14:paraId="23FAD44A">
      <w:pPr>
        <w:spacing w:before="164" w:line="360" w:lineRule="auto"/>
        <w:ind w:left="5" w:right="34" w:firstLine="481"/>
        <w:rPr>
          <w:rFonts w:ascii="宋体" w:hAnsi="宋体" w:eastAsia="宋体" w:cs="宋体"/>
          <w:sz w:val="24"/>
          <w:szCs w:val="24"/>
        </w:rPr>
      </w:pPr>
      <w:r>
        <w:rPr>
          <w:rFonts w:ascii="宋体" w:hAnsi="宋体" w:eastAsia="宋体" w:cs="宋体"/>
          <w:spacing w:val="-9"/>
          <w:sz w:val="24"/>
          <w:szCs w:val="24"/>
        </w:rPr>
        <w:t>项目评价区陆生植被的划分、分布特征、主要植被类型特征、分布规律及</w:t>
      </w:r>
      <w:r>
        <w:rPr>
          <w:rFonts w:ascii="宋体" w:hAnsi="宋体" w:eastAsia="宋体" w:cs="宋体"/>
          <w:spacing w:val="-10"/>
          <w:sz w:val="24"/>
          <w:szCs w:val="24"/>
        </w:rPr>
        <w:t>演替规律、</w:t>
      </w:r>
      <w:r>
        <w:rPr>
          <w:rFonts w:ascii="宋体" w:hAnsi="宋体" w:eastAsia="宋体" w:cs="宋体"/>
          <w:spacing w:val="-4"/>
          <w:sz w:val="24"/>
          <w:szCs w:val="24"/>
        </w:rPr>
        <w:t>生态系统的生物生产力等。</w:t>
      </w:r>
    </w:p>
    <w:p w14:paraId="7FD91E3E">
      <w:pPr>
        <w:spacing w:before="1" w:line="233" w:lineRule="auto"/>
        <w:ind w:left="492"/>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2</w:t>
      </w:r>
      <w:r>
        <w:rPr>
          <w:rFonts w:ascii="宋体" w:hAnsi="宋体" w:eastAsia="宋体" w:cs="宋体"/>
          <w:b/>
          <w:bCs/>
          <w:spacing w:val="-4"/>
          <w:sz w:val="24"/>
          <w:szCs w:val="24"/>
        </w:rPr>
        <w:t>）维管束植物调查</w:t>
      </w:r>
    </w:p>
    <w:p w14:paraId="29CA60EC">
      <w:pPr>
        <w:spacing w:before="165" w:line="360" w:lineRule="auto"/>
        <w:ind w:left="7" w:firstLine="480"/>
        <w:rPr>
          <w:rFonts w:ascii="宋体" w:hAnsi="宋体" w:eastAsia="宋体" w:cs="宋体"/>
          <w:sz w:val="24"/>
          <w:szCs w:val="24"/>
        </w:rPr>
      </w:pPr>
      <w:r>
        <w:rPr>
          <w:rFonts w:ascii="宋体" w:hAnsi="宋体" w:eastAsia="宋体" w:cs="宋体"/>
          <w:spacing w:val="-5"/>
          <w:sz w:val="24"/>
          <w:szCs w:val="24"/>
        </w:rPr>
        <w:t>项目评价区陆生维管束植物的种类、区系和数量特征等， 重点调查和核实评价区各</w:t>
      </w:r>
      <w:r>
        <w:rPr>
          <w:rFonts w:ascii="宋体" w:hAnsi="宋体" w:eastAsia="宋体" w:cs="宋体"/>
          <w:spacing w:val="-2"/>
          <w:sz w:val="24"/>
          <w:szCs w:val="24"/>
        </w:rPr>
        <w:t>级重点保护野生物种情况、狭域特有种、名木古树及外来入侵植物情况等。</w:t>
      </w:r>
    </w:p>
    <w:p w14:paraId="1AC6D060">
      <w:pPr>
        <w:spacing w:before="1" w:line="232" w:lineRule="auto"/>
        <w:ind w:left="492"/>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3</w:t>
      </w:r>
      <w:r>
        <w:rPr>
          <w:rFonts w:ascii="宋体" w:hAnsi="宋体" w:eastAsia="宋体" w:cs="宋体"/>
          <w:b/>
          <w:bCs/>
          <w:spacing w:val="-4"/>
          <w:sz w:val="24"/>
          <w:szCs w:val="24"/>
        </w:rPr>
        <w:t>）陆生脊椎动物调查</w:t>
      </w:r>
    </w:p>
    <w:p w14:paraId="64813274">
      <w:pPr>
        <w:spacing w:before="165" w:line="360" w:lineRule="auto"/>
        <w:ind w:left="4" w:firstLine="482"/>
        <w:rPr>
          <w:rFonts w:ascii="宋体" w:hAnsi="宋体" w:eastAsia="宋体" w:cs="宋体"/>
          <w:sz w:val="24"/>
          <w:szCs w:val="24"/>
        </w:rPr>
      </w:pPr>
      <w:r>
        <w:rPr>
          <w:rFonts w:ascii="宋体" w:hAnsi="宋体" w:eastAsia="宋体" w:cs="宋体"/>
          <w:spacing w:val="-5"/>
          <w:sz w:val="24"/>
          <w:szCs w:val="24"/>
        </w:rPr>
        <w:t>项目评价区陆生脊椎动物的种类、区系和数量特征等， 重点调查和核实评价区各级</w:t>
      </w:r>
      <w:r>
        <w:rPr>
          <w:rFonts w:ascii="宋体" w:hAnsi="宋体" w:eastAsia="宋体" w:cs="宋体"/>
          <w:spacing w:val="-4"/>
          <w:sz w:val="24"/>
          <w:szCs w:val="24"/>
        </w:rPr>
        <w:t>重点保护野生物种情况等。</w:t>
      </w:r>
    </w:p>
    <w:p w14:paraId="0F1D5429">
      <w:pPr>
        <w:spacing w:before="1" w:line="233" w:lineRule="auto"/>
        <w:ind w:left="492"/>
        <w:rPr>
          <w:rFonts w:ascii="宋体" w:hAnsi="宋体" w:eastAsia="宋体" w:cs="宋体"/>
          <w:sz w:val="24"/>
          <w:szCs w:val="24"/>
        </w:rPr>
      </w:pPr>
      <w:r>
        <w:rPr>
          <w:rFonts w:ascii="宋体" w:hAnsi="宋体" w:eastAsia="宋体" w:cs="宋体"/>
          <w:b/>
          <w:bCs/>
          <w:spacing w:val="-5"/>
          <w:sz w:val="24"/>
          <w:szCs w:val="24"/>
        </w:rPr>
        <w:t>（</w:t>
      </w:r>
      <w:r>
        <w:rPr>
          <w:rFonts w:ascii="Times New Roman" w:hAnsi="Times New Roman" w:eastAsia="Times New Roman" w:cs="Times New Roman"/>
          <w:b/>
          <w:bCs/>
          <w:spacing w:val="-5"/>
          <w:sz w:val="24"/>
          <w:szCs w:val="24"/>
        </w:rPr>
        <w:t>4</w:t>
      </w:r>
      <w:r>
        <w:rPr>
          <w:rFonts w:ascii="宋体" w:hAnsi="宋体" w:eastAsia="宋体" w:cs="宋体"/>
          <w:b/>
          <w:bCs/>
          <w:spacing w:val="-5"/>
          <w:sz w:val="24"/>
          <w:szCs w:val="24"/>
        </w:rPr>
        <w:t>）内陆鱼类调查</w:t>
      </w:r>
    </w:p>
    <w:p w14:paraId="3B0A9122">
      <w:pPr>
        <w:spacing w:line="233" w:lineRule="auto"/>
        <w:rPr>
          <w:rFonts w:ascii="宋体" w:hAnsi="宋体" w:eastAsia="宋体" w:cs="宋体"/>
          <w:sz w:val="24"/>
          <w:szCs w:val="24"/>
        </w:rPr>
        <w:sectPr>
          <w:footerReference r:id="rId151" w:type="default"/>
          <w:pgSz w:w="11907" w:h="16841"/>
          <w:pgMar w:top="400" w:right="1415" w:bottom="1126" w:left="1424" w:header="0" w:footer="925" w:gutter="0"/>
          <w:cols w:space="720" w:num="1"/>
        </w:sectPr>
      </w:pPr>
    </w:p>
    <w:p w14:paraId="36D89F99">
      <w:pPr>
        <w:spacing w:line="249" w:lineRule="auto"/>
        <w:rPr>
          <w:rFonts w:ascii="Arial"/>
          <w:sz w:val="21"/>
        </w:rPr>
      </w:pPr>
    </w:p>
    <w:p w14:paraId="55983E4F">
      <w:pPr>
        <w:spacing w:line="249" w:lineRule="auto"/>
        <w:rPr>
          <w:rFonts w:ascii="Arial"/>
          <w:sz w:val="21"/>
        </w:rPr>
      </w:pPr>
    </w:p>
    <w:p w14:paraId="685D12A6">
      <w:pPr>
        <w:spacing w:line="249" w:lineRule="auto"/>
        <w:rPr>
          <w:rFonts w:ascii="Arial"/>
          <w:sz w:val="21"/>
        </w:rPr>
      </w:pPr>
    </w:p>
    <w:p w14:paraId="200C455B">
      <w:pPr>
        <w:spacing w:line="249" w:lineRule="auto"/>
        <w:rPr>
          <w:rFonts w:ascii="Arial"/>
          <w:sz w:val="21"/>
        </w:rPr>
      </w:pPr>
    </w:p>
    <w:p w14:paraId="371CBED5">
      <w:pPr>
        <w:spacing w:line="249" w:lineRule="auto"/>
        <w:rPr>
          <w:rFonts w:ascii="Arial"/>
          <w:sz w:val="21"/>
        </w:rPr>
      </w:pPr>
    </w:p>
    <w:p w14:paraId="0007E4D0">
      <w:pPr>
        <w:spacing w:before="78" w:line="360" w:lineRule="auto"/>
        <w:ind w:left="16" w:right="3" w:firstLine="509"/>
        <w:jc w:val="both"/>
        <w:rPr>
          <w:rFonts w:ascii="宋体" w:hAnsi="宋体" w:eastAsia="宋体" w:cs="宋体"/>
          <w:sz w:val="24"/>
          <w:szCs w:val="24"/>
        </w:rPr>
      </w:pPr>
      <w:r>
        <w:rPr>
          <w:rFonts w:ascii="宋体" w:hAnsi="宋体" w:eastAsia="宋体" w:cs="宋体"/>
          <w:spacing w:val="-2"/>
          <w:sz w:val="24"/>
          <w:szCs w:val="24"/>
        </w:rPr>
        <w:t>由于项目建设本身不占用水体，因此本项目的</w:t>
      </w:r>
      <w:r>
        <w:rPr>
          <w:rFonts w:ascii="宋体" w:hAnsi="宋体" w:eastAsia="宋体" w:cs="宋体"/>
          <w:spacing w:val="-3"/>
          <w:sz w:val="24"/>
          <w:szCs w:val="24"/>
        </w:rPr>
        <w:t>内陆鱼类调查仅对项目建设电网路线</w:t>
      </w:r>
      <w:r>
        <w:rPr>
          <w:rFonts w:ascii="宋体" w:hAnsi="宋体" w:eastAsia="宋体" w:cs="宋体"/>
          <w:spacing w:val="-2"/>
          <w:sz w:val="24"/>
          <w:szCs w:val="24"/>
        </w:rPr>
        <w:t>周边水库及主要河流开展调查，调查内容为鱼类种类、有无国家重点保护和珍稀濒危鱼</w:t>
      </w:r>
      <w:r>
        <w:rPr>
          <w:rFonts w:ascii="宋体" w:hAnsi="宋体" w:eastAsia="宋体" w:cs="宋体"/>
          <w:spacing w:val="-10"/>
          <w:sz w:val="24"/>
          <w:szCs w:val="24"/>
        </w:rPr>
        <w:t>类等。</w:t>
      </w:r>
    </w:p>
    <w:p w14:paraId="3FB1068B">
      <w:pPr>
        <w:spacing w:line="232" w:lineRule="auto"/>
        <w:ind w:left="13"/>
        <w:rPr>
          <w:rFonts w:ascii="宋体" w:hAnsi="宋体" w:eastAsia="宋体" w:cs="宋体"/>
          <w:sz w:val="24"/>
          <w:szCs w:val="24"/>
        </w:rPr>
      </w:pPr>
      <w:r>
        <w:rPr>
          <w:rFonts w:ascii="Times New Roman" w:hAnsi="Times New Roman" w:eastAsia="Times New Roman" w:cs="Times New Roman"/>
          <w:b/>
          <w:bCs/>
          <w:spacing w:val="-2"/>
          <w:sz w:val="24"/>
          <w:szCs w:val="24"/>
        </w:rPr>
        <w:t xml:space="preserve">2.1.3 </w:t>
      </w:r>
      <w:r>
        <w:rPr>
          <w:rFonts w:ascii="宋体" w:hAnsi="宋体" w:eastAsia="宋体" w:cs="宋体"/>
          <w:b/>
          <w:bCs/>
          <w:spacing w:val="-2"/>
          <w:sz w:val="24"/>
          <w:szCs w:val="24"/>
        </w:rPr>
        <w:t>调查方法简述</w:t>
      </w:r>
    </w:p>
    <w:p w14:paraId="0CABEB82">
      <w:pPr>
        <w:spacing w:before="166" w:line="233" w:lineRule="auto"/>
        <w:ind w:left="505"/>
        <w:rPr>
          <w:rFonts w:ascii="宋体" w:hAnsi="宋体" w:eastAsia="宋体" w:cs="宋体"/>
          <w:sz w:val="24"/>
          <w:szCs w:val="24"/>
        </w:rPr>
      </w:pPr>
      <w:r>
        <w:rPr>
          <w:rFonts w:ascii="宋体" w:hAnsi="宋体" w:eastAsia="宋体" w:cs="宋体"/>
          <w:b/>
          <w:bCs/>
          <w:spacing w:val="-3"/>
          <w:sz w:val="24"/>
          <w:szCs w:val="24"/>
        </w:rPr>
        <w:t>（</w:t>
      </w:r>
      <w:r>
        <w:rPr>
          <w:rFonts w:ascii="Times New Roman" w:hAnsi="Times New Roman" w:eastAsia="Times New Roman" w:cs="Times New Roman"/>
          <w:b/>
          <w:bCs/>
          <w:spacing w:val="-3"/>
          <w:sz w:val="24"/>
          <w:szCs w:val="24"/>
        </w:rPr>
        <w:t>1</w:t>
      </w:r>
      <w:r>
        <w:rPr>
          <w:rFonts w:ascii="宋体" w:hAnsi="宋体" w:eastAsia="宋体" w:cs="宋体"/>
          <w:b/>
          <w:bCs/>
          <w:spacing w:val="-3"/>
          <w:sz w:val="24"/>
          <w:szCs w:val="24"/>
        </w:rPr>
        <w:t>）植被植物调查方法</w:t>
      </w:r>
    </w:p>
    <w:p w14:paraId="6BA6A4F8">
      <w:pPr>
        <w:spacing w:before="164" w:line="234" w:lineRule="auto"/>
        <w:ind w:left="515"/>
        <w:rPr>
          <w:rFonts w:ascii="宋体" w:hAnsi="宋体" w:eastAsia="宋体" w:cs="宋体"/>
          <w:sz w:val="24"/>
          <w:szCs w:val="24"/>
        </w:rPr>
      </w:pPr>
      <w:r>
        <w:rPr>
          <w:rFonts w:ascii="Times New Roman" w:hAnsi="Times New Roman" w:eastAsia="Times New Roman" w:cs="Times New Roman"/>
          <w:spacing w:val="-7"/>
          <w:sz w:val="24"/>
          <w:szCs w:val="24"/>
        </w:rPr>
        <w:t>1</w:t>
      </w:r>
      <w:r>
        <w:rPr>
          <w:rFonts w:ascii="宋体" w:hAnsi="宋体" w:eastAsia="宋体" w:cs="宋体"/>
          <w:spacing w:val="-7"/>
          <w:sz w:val="24"/>
          <w:szCs w:val="24"/>
        </w:rPr>
        <w:t>）实地调查</w:t>
      </w:r>
    </w:p>
    <w:p w14:paraId="2013622B">
      <w:pPr>
        <w:spacing w:before="164" w:line="360" w:lineRule="auto"/>
        <w:ind w:left="17" w:right="2" w:firstLine="478"/>
        <w:rPr>
          <w:rFonts w:ascii="宋体" w:hAnsi="宋体" w:eastAsia="宋体" w:cs="宋体"/>
          <w:sz w:val="24"/>
          <w:szCs w:val="24"/>
        </w:rPr>
      </w:pPr>
      <w:r>
        <w:rPr>
          <w:rFonts w:ascii="宋体" w:hAnsi="宋体" w:eastAsia="宋体" w:cs="宋体"/>
          <w:spacing w:val="-6"/>
          <w:sz w:val="24"/>
          <w:szCs w:val="24"/>
        </w:rPr>
        <w:t>遵循典型性、全面性原则选择调查样方，</w:t>
      </w:r>
      <w:r>
        <w:rPr>
          <w:rFonts w:ascii="宋体" w:hAnsi="宋体" w:eastAsia="宋体" w:cs="宋体"/>
          <w:spacing w:val="46"/>
          <w:sz w:val="24"/>
          <w:szCs w:val="24"/>
        </w:rPr>
        <w:t xml:space="preserve"> </w:t>
      </w:r>
      <w:r>
        <w:rPr>
          <w:rFonts w:ascii="宋体" w:hAnsi="宋体" w:eastAsia="宋体" w:cs="宋体"/>
          <w:spacing w:val="-6"/>
          <w:sz w:val="24"/>
          <w:szCs w:val="24"/>
        </w:rPr>
        <w:t>每个群系选</w:t>
      </w:r>
      <w:r>
        <w:rPr>
          <w:rFonts w:ascii="宋体" w:hAnsi="宋体" w:eastAsia="宋体" w:cs="宋体"/>
          <w:spacing w:val="-7"/>
          <w:sz w:val="24"/>
          <w:szCs w:val="24"/>
        </w:rPr>
        <w:t>取至少</w:t>
      </w:r>
      <w:r>
        <w:rPr>
          <w:rFonts w:ascii="宋体" w:hAnsi="宋体" w:eastAsia="宋体" w:cs="宋体"/>
          <w:spacing w:val="-49"/>
          <w:sz w:val="24"/>
          <w:szCs w:val="24"/>
        </w:rPr>
        <w:t xml:space="preserve"> </w:t>
      </w:r>
      <w:r>
        <w:rPr>
          <w:rFonts w:ascii="Times New Roman" w:hAnsi="Times New Roman" w:eastAsia="Times New Roman" w:cs="Times New Roman"/>
          <w:spacing w:val="-7"/>
          <w:sz w:val="24"/>
          <w:szCs w:val="24"/>
        </w:rPr>
        <w:t xml:space="preserve">3 </w:t>
      </w:r>
      <w:r>
        <w:rPr>
          <w:rFonts w:ascii="宋体" w:hAnsi="宋体" w:eastAsia="宋体" w:cs="宋体"/>
          <w:spacing w:val="-7"/>
          <w:sz w:val="24"/>
          <w:szCs w:val="24"/>
        </w:rPr>
        <w:t>个样方，阔叶林样方</w:t>
      </w:r>
      <w:r>
        <w:rPr>
          <w:rFonts w:ascii="宋体" w:hAnsi="宋体" w:eastAsia="宋体" w:cs="宋体"/>
          <w:spacing w:val="-2"/>
          <w:sz w:val="24"/>
          <w:szCs w:val="24"/>
        </w:rPr>
        <w:t>面积为</w:t>
      </w:r>
      <w:r>
        <w:rPr>
          <w:rFonts w:ascii="宋体" w:hAnsi="宋体" w:eastAsia="宋体" w:cs="宋体"/>
          <w:spacing w:val="-19"/>
          <w:sz w:val="24"/>
          <w:szCs w:val="24"/>
        </w:rPr>
        <w:t xml:space="preserve"> </w:t>
      </w:r>
      <w:r>
        <w:rPr>
          <w:rFonts w:ascii="Times New Roman" w:hAnsi="Times New Roman" w:eastAsia="Times New Roman" w:cs="Times New Roman"/>
          <w:spacing w:val="-2"/>
          <w:sz w:val="24"/>
          <w:szCs w:val="24"/>
        </w:rPr>
        <w:t>20m</w:t>
      </w:r>
      <w:r>
        <w:rPr>
          <w:rFonts w:ascii="宋体" w:hAnsi="宋体" w:eastAsia="宋体" w:cs="宋体"/>
          <w:spacing w:val="-2"/>
          <w:sz w:val="24"/>
          <w:szCs w:val="24"/>
        </w:rPr>
        <w:t>×</w:t>
      </w:r>
      <w:r>
        <w:rPr>
          <w:rFonts w:ascii="Times New Roman" w:hAnsi="Times New Roman" w:eastAsia="Times New Roman" w:cs="Times New Roman"/>
          <w:spacing w:val="-2"/>
          <w:sz w:val="24"/>
          <w:szCs w:val="24"/>
        </w:rPr>
        <w:t>20m</w:t>
      </w:r>
      <w:r>
        <w:rPr>
          <w:rFonts w:ascii="宋体" w:hAnsi="宋体" w:eastAsia="宋体" w:cs="宋体"/>
          <w:spacing w:val="-2"/>
          <w:sz w:val="24"/>
          <w:szCs w:val="24"/>
        </w:rPr>
        <w:t>，针叶林样方面积为</w:t>
      </w:r>
      <w:r>
        <w:rPr>
          <w:rFonts w:ascii="宋体" w:hAnsi="宋体" w:eastAsia="宋体" w:cs="宋体"/>
          <w:spacing w:val="-23"/>
          <w:sz w:val="24"/>
          <w:szCs w:val="24"/>
        </w:rPr>
        <w:t xml:space="preserve"> </w:t>
      </w:r>
      <w:r>
        <w:rPr>
          <w:rFonts w:ascii="Times New Roman" w:hAnsi="Times New Roman" w:eastAsia="Times New Roman" w:cs="Times New Roman"/>
          <w:spacing w:val="-2"/>
          <w:sz w:val="24"/>
          <w:szCs w:val="24"/>
        </w:rPr>
        <w:t>20m</w:t>
      </w:r>
      <w:r>
        <w:rPr>
          <w:rFonts w:ascii="宋体" w:hAnsi="宋体" w:eastAsia="宋体" w:cs="宋体"/>
          <w:spacing w:val="-2"/>
          <w:sz w:val="24"/>
          <w:szCs w:val="24"/>
        </w:rPr>
        <w:t>×</w:t>
      </w:r>
      <w:r>
        <w:rPr>
          <w:rFonts w:ascii="Times New Roman" w:hAnsi="Times New Roman" w:eastAsia="Times New Roman" w:cs="Times New Roman"/>
          <w:spacing w:val="-2"/>
          <w:sz w:val="24"/>
          <w:szCs w:val="24"/>
        </w:rPr>
        <w:t>20m</w:t>
      </w:r>
      <w:r>
        <w:rPr>
          <w:rFonts w:ascii="宋体" w:hAnsi="宋体" w:eastAsia="宋体" w:cs="宋体"/>
          <w:spacing w:val="-2"/>
          <w:sz w:val="24"/>
          <w:szCs w:val="24"/>
        </w:rPr>
        <w:t xml:space="preserve">，灌丛草丛样方面积为 </w:t>
      </w:r>
      <w:r>
        <w:rPr>
          <w:rFonts w:ascii="Times New Roman" w:hAnsi="Times New Roman" w:eastAsia="Times New Roman" w:cs="Times New Roman"/>
          <w:spacing w:val="-2"/>
          <w:sz w:val="24"/>
          <w:szCs w:val="24"/>
        </w:rPr>
        <w:t>10m</w:t>
      </w:r>
      <w:r>
        <w:rPr>
          <w:rFonts w:ascii="宋体" w:hAnsi="宋体" w:eastAsia="宋体" w:cs="宋体"/>
          <w:spacing w:val="-2"/>
          <w:sz w:val="24"/>
          <w:szCs w:val="24"/>
        </w:rPr>
        <w:t>×</w:t>
      </w:r>
      <w:r>
        <w:rPr>
          <w:rFonts w:ascii="Times New Roman" w:hAnsi="Times New Roman" w:eastAsia="Times New Roman" w:cs="Times New Roman"/>
          <w:spacing w:val="-2"/>
          <w:sz w:val="24"/>
          <w:szCs w:val="24"/>
        </w:rPr>
        <w:t>10m</w:t>
      </w:r>
      <w:r>
        <w:rPr>
          <w:rFonts w:ascii="Times New Roman" w:hAnsi="Times New Roman" w:eastAsia="Times New Roman" w:cs="Times New Roman"/>
          <w:spacing w:val="-26"/>
          <w:sz w:val="24"/>
          <w:szCs w:val="24"/>
        </w:rPr>
        <w:t xml:space="preserve"> </w:t>
      </w:r>
      <w:r>
        <w:rPr>
          <w:rFonts w:ascii="宋体" w:hAnsi="宋体" w:eastAsia="宋体" w:cs="宋体"/>
          <w:spacing w:val="-2"/>
          <w:sz w:val="24"/>
          <w:szCs w:val="24"/>
        </w:rPr>
        <w:t>。</w:t>
      </w:r>
      <w:r>
        <w:rPr>
          <w:rFonts w:ascii="宋体" w:hAnsi="宋体" w:eastAsia="宋体" w:cs="宋体"/>
          <w:spacing w:val="-1"/>
          <w:sz w:val="24"/>
          <w:szCs w:val="24"/>
        </w:rPr>
        <w:t xml:space="preserve">现场调查设置植被样方，经过整理分析，确定较典型的样方 </w:t>
      </w:r>
      <w:r>
        <w:rPr>
          <w:rFonts w:ascii="Times New Roman" w:hAnsi="Times New Roman" w:eastAsia="Times New Roman" w:cs="Times New Roman"/>
          <w:spacing w:val="-1"/>
          <w:sz w:val="24"/>
          <w:szCs w:val="24"/>
        </w:rPr>
        <w:t>24</w:t>
      </w:r>
      <w:r>
        <w:rPr>
          <w:rFonts w:ascii="Times New Roman" w:hAnsi="Times New Roman" w:eastAsia="Times New Roman" w:cs="Times New Roman"/>
          <w:spacing w:val="46"/>
          <w:sz w:val="24"/>
          <w:szCs w:val="24"/>
        </w:rPr>
        <w:t xml:space="preserve"> </w:t>
      </w:r>
      <w:r>
        <w:rPr>
          <w:rFonts w:ascii="宋体" w:hAnsi="宋体" w:eastAsia="宋体" w:cs="宋体"/>
          <w:spacing w:val="-1"/>
          <w:sz w:val="24"/>
          <w:szCs w:val="24"/>
        </w:rPr>
        <w:t>个，满足《</w:t>
      </w:r>
      <w:r>
        <w:rPr>
          <w:rFonts w:ascii="宋体" w:hAnsi="宋体" w:eastAsia="宋体" w:cs="宋体"/>
          <w:spacing w:val="-2"/>
          <w:sz w:val="24"/>
          <w:szCs w:val="24"/>
        </w:rPr>
        <w:t>环境影响评</w:t>
      </w:r>
      <w:r>
        <w:rPr>
          <w:rFonts w:ascii="宋体" w:hAnsi="宋体" w:eastAsia="宋体" w:cs="宋体"/>
          <w:spacing w:val="-5"/>
          <w:sz w:val="24"/>
          <w:szCs w:val="24"/>
        </w:rPr>
        <w:t>价技术导则 生态影响》（</w:t>
      </w:r>
      <w:r>
        <w:rPr>
          <w:rFonts w:ascii="Times New Roman" w:hAnsi="Times New Roman" w:eastAsia="Times New Roman" w:cs="Times New Roman"/>
          <w:spacing w:val="-5"/>
          <w:sz w:val="24"/>
          <w:szCs w:val="24"/>
        </w:rPr>
        <w:t>HJ19-2022</w:t>
      </w:r>
      <w:r>
        <w:rPr>
          <w:rFonts w:ascii="宋体" w:hAnsi="宋体" w:eastAsia="宋体" w:cs="宋体"/>
          <w:spacing w:val="-5"/>
          <w:sz w:val="24"/>
          <w:szCs w:val="24"/>
        </w:rPr>
        <w:t>）相关要求，见附件样方调查表。</w:t>
      </w:r>
    </w:p>
    <w:p w14:paraId="3B0B9187">
      <w:pPr>
        <w:spacing w:line="353" w:lineRule="auto"/>
        <w:ind w:firstLine="497"/>
        <w:jc w:val="both"/>
        <w:rPr>
          <w:rFonts w:ascii="宋体" w:hAnsi="宋体" w:eastAsia="宋体" w:cs="宋体"/>
          <w:sz w:val="24"/>
          <w:szCs w:val="24"/>
        </w:rPr>
      </w:pPr>
      <w:r>
        <w:rPr>
          <w:rFonts w:ascii="宋体" w:hAnsi="宋体" w:eastAsia="宋体" w:cs="宋体"/>
          <w:spacing w:val="-1"/>
          <w:sz w:val="24"/>
          <w:szCs w:val="24"/>
        </w:rPr>
        <w:t>植被野外实地调查采用</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 xml:space="preserve">Braun-Blanquet </w:t>
      </w:r>
      <w:r>
        <w:rPr>
          <w:rFonts w:ascii="宋体" w:hAnsi="宋体" w:eastAsia="宋体" w:cs="宋体"/>
          <w:spacing w:val="-1"/>
          <w:sz w:val="24"/>
          <w:szCs w:val="24"/>
        </w:rPr>
        <w:t>建立的植物群落学的理论与方法（法瑞</w:t>
      </w:r>
      <w:r>
        <w:rPr>
          <w:rFonts w:ascii="宋体" w:hAnsi="宋体" w:eastAsia="宋体" w:cs="宋体"/>
          <w:spacing w:val="-2"/>
          <w:sz w:val="24"/>
          <w:szCs w:val="24"/>
        </w:rPr>
        <w:t>学派</w:t>
      </w:r>
      <w:r>
        <w:rPr>
          <w:rFonts w:ascii="宋体" w:hAnsi="宋体" w:eastAsia="宋体" w:cs="宋体"/>
          <w:spacing w:val="-9"/>
          <w:sz w:val="24"/>
          <w:szCs w:val="24"/>
        </w:rPr>
        <w:t>群落学调查法）。在野外考察中用分散典型取样原则，</w:t>
      </w:r>
      <w:r>
        <w:rPr>
          <w:rFonts w:ascii="宋体" w:hAnsi="宋体" w:eastAsia="宋体" w:cs="宋体"/>
          <w:spacing w:val="-49"/>
          <w:sz w:val="24"/>
          <w:szCs w:val="24"/>
        </w:rPr>
        <w:t xml:space="preserve"> </w:t>
      </w:r>
      <w:r>
        <w:rPr>
          <w:rFonts w:ascii="宋体" w:hAnsi="宋体" w:eastAsia="宋体" w:cs="宋体"/>
          <w:spacing w:val="-9"/>
          <w:sz w:val="24"/>
          <w:szCs w:val="24"/>
        </w:rPr>
        <w:t>按植物群落的种类组成、结构和外</w:t>
      </w:r>
      <w:r>
        <w:rPr>
          <w:rFonts w:ascii="宋体" w:hAnsi="宋体" w:eastAsia="宋体" w:cs="宋体"/>
          <w:spacing w:val="-6"/>
          <w:sz w:val="24"/>
          <w:szCs w:val="24"/>
        </w:rPr>
        <w:t>貌的一致程度，初步确定群丛（群落</w:t>
      </w:r>
      <w:r>
        <w:rPr>
          <w:rFonts w:ascii="宋体" w:hAnsi="宋体" w:eastAsia="宋体" w:cs="宋体"/>
          <w:spacing w:val="-30"/>
          <w:sz w:val="24"/>
          <w:szCs w:val="24"/>
        </w:rPr>
        <w:t>），</w:t>
      </w:r>
      <w:r>
        <w:rPr>
          <w:rFonts w:ascii="宋体" w:hAnsi="宋体" w:eastAsia="宋体" w:cs="宋体"/>
          <w:spacing w:val="-6"/>
          <w:sz w:val="24"/>
          <w:szCs w:val="24"/>
        </w:rPr>
        <w:t>并在各个群丛个体的植物群落地段上选取一定面</w:t>
      </w:r>
      <w:r>
        <w:rPr>
          <w:rFonts w:ascii="宋体" w:hAnsi="宋体" w:eastAsia="宋体" w:cs="宋体"/>
          <w:spacing w:val="-1"/>
          <w:sz w:val="24"/>
          <w:szCs w:val="24"/>
        </w:rPr>
        <w:t>积和数量的样地进行群落调查。记录样地面积内每一个植物种类（维管束</w:t>
      </w:r>
      <w:r>
        <w:rPr>
          <w:rFonts w:ascii="宋体" w:hAnsi="宋体" w:eastAsia="宋体" w:cs="宋体"/>
          <w:spacing w:val="-2"/>
          <w:sz w:val="24"/>
          <w:szCs w:val="24"/>
        </w:rPr>
        <w:t>植物种类）的</w:t>
      </w:r>
      <w:r>
        <w:rPr>
          <w:rFonts w:ascii="宋体" w:hAnsi="宋体" w:eastAsia="宋体" w:cs="宋体"/>
          <w:spacing w:val="-3"/>
          <w:sz w:val="24"/>
          <w:szCs w:val="24"/>
        </w:rPr>
        <w:t>种名和“多优度</w:t>
      </w:r>
      <w:r>
        <w:rPr>
          <w:rFonts w:ascii="Times New Roman" w:hAnsi="Times New Roman" w:eastAsia="Times New Roman" w:cs="Times New Roman"/>
          <w:spacing w:val="-3"/>
          <w:sz w:val="24"/>
          <w:szCs w:val="24"/>
        </w:rPr>
        <w:t>-</w:t>
      </w:r>
      <w:r>
        <w:rPr>
          <w:rFonts w:ascii="宋体" w:hAnsi="宋体" w:eastAsia="宋体" w:cs="宋体"/>
          <w:spacing w:val="-3"/>
          <w:sz w:val="24"/>
          <w:szCs w:val="24"/>
        </w:rPr>
        <w:t>群集度（</w:t>
      </w:r>
      <w:r>
        <w:rPr>
          <w:rFonts w:ascii="Times New Roman" w:hAnsi="Times New Roman" w:eastAsia="Times New Roman" w:cs="Times New Roman"/>
          <w:spacing w:val="-3"/>
          <w:sz w:val="24"/>
          <w:szCs w:val="24"/>
        </w:rPr>
        <w:t>Abundant domfinan</w:t>
      </w:r>
      <w:r>
        <w:rPr>
          <w:rFonts w:ascii="Times New Roman" w:hAnsi="Times New Roman" w:eastAsia="Times New Roman" w:cs="Times New Roman"/>
          <w:spacing w:val="-4"/>
          <w:sz w:val="24"/>
          <w:szCs w:val="24"/>
        </w:rPr>
        <w:t>ce-sociability</w:t>
      </w:r>
      <w:r>
        <w:rPr>
          <w:rFonts w:ascii="宋体" w:hAnsi="宋体" w:eastAsia="宋体" w:cs="宋体"/>
          <w:spacing w:val="-4"/>
          <w:sz w:val="24"/>
          <w:szCs w:val="24"/>
        </w:rPr>
        <w:t>）”指标，即</w:t>
      </w:r>
      <w:r>
        <w:rPr>
          <w:rFonts w:ascii="宋体" w:hAnsi="宋体" w:eastAsia="宋体" w:cs="宋体"/>
          <w:spacing w:val="-55"/>
          <w:sz w:val="24"/>
          <w:szCs w:val="24"/>
        </w:rPr>
        <w:t xml:space="preserve"> </w:t>
      </w:r>
      <w:r>
        <w:rPr>
          <w:rFonts w:ascii="Times New Roman" w:hAnsi="Times New Roman" w:eastAsia="Times New Roman" w:cs="Times New Roman"/>
          <w:spacing w:val="-4"/>
          <w:sz w:val="24"/>
          <w:szCs w:val="24"/>
        </w:rPr>
        <w:t>Braun-Blanquet</w:t>
      </w:r>
      <w:r>
        <w:rPr>
          <w:rFonts w:ascii="Times New Roman" w:hAnsi="Times New Roman" w:eastAsia="Times New Roman" w:cs="Times New Roman"/>
          <w:spacing w:val="30"/>
          <w:sz w:val="24"/>
          <w:szCs w:val="24"/>
        </w:rPr>
        <w:t xml:space="preserve"> </w:t>
      </w:r>
      <w:r>
        <w:rPr>
          <w:rFonts w:ascii="宋体" w:hAnsi="宋体" w:eastAsia="宋体" w:cs="宋体"/>
          <w:spacing w:val="-4"/>
          <w:sz w:val="24"/>
          <w:szCs w:val="24"/>
        </w:rPr>
        <w:t>的</w:t>
      </w:r>
      <w:r>
        <w:rPr>
          <w:rFonts w:ascii="宋体" w:hAnsi="宋体" w:eastAsia="宋体" w:cs="宋体"/>
          <w:spacing w:val="-3"/>
          <w:sz w:val="24"/>
          <w:szCs w:val="24"/>
        </w:rPr>
        <w:t>“盖度多度</w:t>
      </w:r>
      <w:r>
        <w:rPr>
          <w:rFonts w:ascii="Times New Roman" w:hAnsi="Times New Roman" w:eastAsia="Times New Roman" w:cs="Times New Roman"/>
          <w:spacing w:val="-3"/>
          <w:sz w:val="24"/>
          <w:szCs w:val="24"/>
        </w:rPr>
        <w:t>-</w:t>
      </w:r>
      <w:r>
        <w:rPr>
          <w:rFonts w:ascii="宋体" w:hAnsi="宋体" w:eastAsia="宋体" w:cs="宋体"/>
          <w:spacing w:val="-3"/>
          <w:sz w:val="24"/>
          <w:szCs w:val="24"/>
        </w:rPr>
        <w:t>群集度（</w:t>
      </w:r>
      <w:r>
        <w:rPr>
          <w:rFonts w:ascii="Times New Roman" w:hAnsi="Times New Roman" w:eastAsia="Times New Roman" w:cs="Times New Roman"/>
          <w:spacing w:val="-3"/>
          <w:sz w:val="24"/>
          <w:szCs w:val="24"/>
        </w:rPr>
        <w:t>Coverage abundance-sociahility</w:t>
      </w:r>
      <w:r>
        <w:rPr>
          <w:rFonts w:ascii="宋体" w:hAnsi="宋体" w:eastAsia="宋体" w:cs="宋体"/>
          <w:spacing w:val="-3"/>
          <w:sz w:val="24"/>
          <w:szCs w:val="24"/>
        </w:rPr>
        <w:t>）”指标。多优度</w:t>
      </w:r>
      <w:r>
        <w:rPr>
          <w:rFonts w:ascii="Times New Roman" w:hAnsi="Times New Roman" w:eastAsia="Times New Roman" w:cs="Times New Roman"/>
          <w:spacing w:val="-3"/>
          <w:sz w:val="24"/>
          <w:szCs w:val="24"/>
        </w:rPr>
        <w:t>-</w:t>
      </w:r>
      <w:r>
        <w:rPr>
          <w:rFonts w:ascii="宋体" w:hAnsi="宋体" w:eastAsia="宋体" w:cs="宋体"/>
          <w:spacing w:val="-3"/>
          <w:sz w:val="24"/>
          <w:szCs w:val="24"/>
        </w:rPr>
        <w:t>群集度的评测标准</w:t>
      </w:r>
      <w:r>
        <w:rPr>
          <w:rFonts w:ascii="宋体" w:hAnsi="宋体" w:eastAsia="宋体" w:cs="宋体"/>
          <w:spacing w:val="-11"/>
          <w:sz w:val="24"/>
          <w:szCs w:val="24"/>
        </w:rPr>
        <w:t>如下：</w:t>
      </w:r>
    </w:p>
    <w:p w14:paraId="4E8870C6">
      <w:pPr>
        <w:spacing w:line="229" w:lineRule="auto"/>
        <w:ind w:left="2662"/>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3"/>
          <w:sz w:val="21"/>
          <w:szCs w:val="21"/>
        </w:rPr>
        <w:t xml:space="preserve"> </w:t>
      </w:r>
      <w:r>
        <w:rPr>
          <w:rFonts w:ascii="Times New Roman" w:hAnsi="Times New Roman" w:eastAsia="Times New Roman" w:cs="Times New Roman"/>
          <w:b/>
          <w:bCs/>
          <w:spacing w:val="-2"/>
          <w:sz w:val="21"/>
          <w:szCs w:val="21"/>
        </w:rPr>
        <w:t xml:space="preserve">2-1    </w:t>
      </w:r>
      <w:r>
        <w:rPr>
          <w:rFonts w:ascii="宋体" w:hAnsi="宋体" w:eastAsia="宋体" w:cs="宋体"/>
          <w:b/>
          <w:bCs/>
          <w:spacing w:val="-2"/>
          <w:sz w:val="21"/>
          <w:szCs w:val="21"/>
        </w:rPr>
        <w:t>多优度</w:t>
      </w:r>
      <w:r>
        <w:rPr>
          <w:rFonts w:ascii="Times New Roman" w:hAnsi="Times New Roman" w:eastAsia="Times New Roman" w:cs="Times New Roman"/>
          <w:b/>
          <w:bCs/>
          <w:spacing w:val="-2"/>
          <w:sz w:val="21"/>
          <w:szCs w:val="21"/>
        </w:rPr>
        <w:t>-</w:t>
      </w:r>
      <w:r>
        <w:rPr>
          <w:rFonts w:ascii="宋体" w:hAnsi="宋体" w:eastAsia="宋体" w:cs="宋体"/>
          <w:b/>
          <w:bCs/>
          <w:spacing w:val="-2"/>
          <w:sz w:val="21"/>
          <w:szCs w:val="21"/>
        </w:rPr>
        <w:t>群集度的评测标准一览表</w:t>
      </w:r>
    </w:p>
    <w:tbl>
      <w:tblPr>
        <w:tblStyle w:val="5"/>
        <w:tblW w:w="9068" w:type="dxa"/>
        <w:tblInd w:w="9"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68"/>
      </w:tblGrid>
      <w:tr w14:paraId="4AE5E3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9068" w:type="dxa"/>
            <w:vAlign w:val="top"/>
          </w:tcPr>
          <w:p w14:paraId="1D937A81">
            <w:pPr>
              <w:pStyle w:val="6"/>
              <w:spacing w:before="56" w:line="224" w:lineRule="auto"/>
              <w:ind w:left="125"/>
            </w:pPr>
            <w:r>
              <w:rPr>
                <w:spacing w:val="-2"/>
              </w:rPr>
              <w:t>多优度等级（共</w:t>
            </w:r>
            <w:r>
              <w:rPr>
                <w:spacing w:val="-32"/>
              </w:rPr>
              <w:t xml:space="preserve"> </w:t>
            </w:r>
            <w:r>
              <w:rPr>
                <w:rFonts w:ascii="Times New Roman" w:hAnsi="Times New Roman" w:eastAsia="Times New Roman" w:cs="Times New Roman"/>
                <w:spacing w:val="-2"/>
              </w:rPr>
              <w:t xml:space="preserve">6 </w:t>
            </w:r>
            <w:r>
              <w:rPr>
                <w:spacing w:val="-2"/>
              </w:rPr>
              <w:t>级，以盖度为主结合多度）</w:t>
            </w:r>
          </w:p>
        </w:tc>
      </w:tr>
      <w:tr w14:paraId="2D966C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068" w:type="dxa"/>
            <w:vAlign w:val="top"/>
          </w:tcPr>
          <w:p w14:paraId="3177F654">
            <w:pPr>
              <w:pStyle w:val="6"/>
              <w:spacing w:before="54" w:line="234" w:lineRule="auto"/>
              <w:ind w:left="117"/>
            </w:pPr>
            <w:r>
              <w:rPr>
                <w:rFonts w:ascii="Times New Roman" w:hAnsi="Times New Roman" w:eastAsia="Times New Roman" w:cs="Times New Roman"/>
                <w:spacing w:val="-5"/>
              </w:rPr>
              <w:t>5</w:t>
            </w:r>
            <w:r>
              <w:rPr>
                <w:spacing w:val="-5"/>
              </w:rPr>
              <w:t>：样地内某种植物的盖度在</w:t>
            </w:r>
            <w:r>
              <w:rPr>
                <w:spacing w:val="-45"/>
              </w:rPr>
              <w:t xml:space="preserve"> </w:t>
            </w:r>
            <w:r>
              <w:rPr>
                <w:rFonts w:ascii="Times New Roman" w:hAnsi="Times New Roman" w:eastAsia="Times New Roman" w:cs="Times New Roman"/>
                <w:spacing w:val="-5"/>
              </w:rPr>
              <w:t>75%</w:t>
            </w:r>
            <w:r>
              <w:rPr>
                <w:spacing w:val="-5"/>
              </w:rPr>
              <w:t>以上者（即</w:t>
            </w:r>
            <w:r>
              <w:rPr>
                <w:spacing w:val="-43"/>
              </w:rPr>
              <w:t xml:space="preserve"> </w:t>
            </w:r>
            <w:r>
              <w:rPr>
                <w:rFonts w:ascii="Times New Roman" w:hAnsi="Times New Roman" w:eastAsia="Times New Roman" w:cs="Times New Roman"/>
                <w:spacing w:val="-5"/>
              </w:rPr>
              <w:t>3/4</w:t>
            </w:r>
            <w:r>
              <w:rPr>
                <w:rFonts w:ascii="Times New Roman" w:hAnsi="Times New Roman" w:eastAsia="Times New Roman" w:cs="Times New Roman"/>
                <w:spacing w:val="30"/>
                <w:w w:val="101"/>
              </w:rPr>
              <w:t xml:space="preserve"> </w:t>
            </w:r>
            <w:r>
              <w:rPr>
                <w:spacing w:val="-5"/>
              </w:rPr>
              <w:t>以上者</w:t>
            </w:r>
            <w:r>
              <w:rPr>
                <w:spacing w:val="-20"/>
              </w:rPr>
              <w:t>）；</w:t>
            </w:r>
          </w:p>
        </w:tc>
      </w:tr>
      <w:tr w14:paraId="6DA46B2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068" w:type="dxa"/>
            <w:vAlign w:val="top"/>
          </w:tcPr>
          <w:p w14:paraId="49DCFEF6">
            <w:pPr>
              <w:pStyle w:val="6"/>
              <w:spacing w:before="52" w:line="234" w:lineRule="auto"/>
              <w:ind w:left="111"/>
            </w:pPr>
            <w:r>
              <w:rPr>
                <w:rFonts w:ascii="Times New Roman" w:hAnsi="Times New Roman" w:eastAsia="Times New Roman" w:cs="Times New Roman"/>
                <w:spacing w:val="-1"/>
              </w:rPr>
              <w:t>4</w:t>
            </w:r>
            <w:r>
              <w:rPr>
                <w:spacing w:val="-1"/>
              </w:rPr>
              <w:t>：样地内某种植物的盖度在</w:t>
            </w:r>
            <w:r>
              <w:rPr>
                <w:spacing w:val="-41"/>
              </w:rPr>
              <w:t xml:space="preserve"> </w:t>
            </w:r>
            <w:r>
              <w:rPr>
                <w:rFonts w:ascii="Times New Roman" w:hAnsi="Times New Roman" w:eastAsia="Times New Roman" w:cs="Times New Roman"/>
                <w:spacing w:val="-1"/>
              </w:rPr>
              <w:t>50%</w:t>
            </w:r>
            <w:r>
              <w:rPr>
                <w:spacing w:val="-1"/>
              </w:rPr>
              <w:t>～</w:t>
            </w:r>
            <w:r>
              <w:rPr>
                <w:rFonts w:ascii="Times New Roman" w:hAnsi="Times New Roman" w:eastAsia="Times New Roman" w:cs="Times New Roman"/>
                <w:spacing w:val="-1"/>
              </w:rPr>
              <w:t>75%</w:t>
            </w:r>
            <w:r>
              <w:rPr>
                <w:spacing w:val="-1"/>
              </w:rPr>
              <w:t>以上者（即</w:t>
            </w:r>
            <w:r>
              <w:rPr>
                <w:spacing w:val="-27"/>
              </w:rPr>
              <w:t xml:space="preserve"> </w:t>
            </w:r>
            <w:r>
              <w:rPr>
                <w:rFonts w:ascii="Times New Roman" w:hAnsi="Times New Roman" w:eastAsia="Times New Roman" w:cs="Times New Roman"/>
                <w:spacing w:val="-1"/>
              </w:rPr>
              <w:t>1</w:t>
            </w:r>
            <w:r>
              <w:rPr>
                <w:rFonts w:ascii="Times New Roman" w:hAnsi="Times New Roman" w:eastAsia="Times New Roman" w:cs="Times New Roman"/>
                <w:spacing w:val="-2"/>
              </w:rPr>
              <w:t>/2</w:t>
            </w:r>
            <w:r>
              <w:rPr>
                <w:spacing w:val="-2"/>
              </w:rPr>
              <w:t>～</w:t>
            </w:r>
            <w:r>
              <w:rPr>
                <w:rFonts w:ascii="Times New Roman" w:hAnsi="Times New Roman" w:eastAsia="Times New Roman" w:cs="Times New Roman"/>
                <w:spacing w:val="-2"/>
              </w:rPr>
              <w:t>3/4</w:t>
            </w:r>
            <w:r>
              <w:rPr>
                <w:spacing w:val="-39"/>
              </w:rPr>
              <w:t>）；</w:t>
            </w:r>
          </w:p>
        </w:tc>
      </w:tr>
      <w:tr w14:paraId="6FD917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068" w:type="dxa"/>
            <w:vAlign w:val="top"/>
          </w:tcPr>
          <w:p w14:paraId="0ADBB5B8">
            <w:pPr>
              <w:pStyle w:val="6"/>
              <w:spacing w:before="53" w:line="234" w:lineRule="auto"/>
              <w:ind w:left="116"/>
            </w:pPr>
            <w:r>
              <w:rPr>
                <w:rFonts w:ascii="Times New Roman" w:hAnsi="Times New Roman" w:eastAsia="Times New Roman" w:cs="Times New Roman"/>
                <w:spacing w:val="-3"/>
              </w:rPr>
              <w:t>3</w:t>
            </w:r>
            <w:r>
              <w:rPr>
                <w:spacing w:val="-3"/>
              </w:rPr>
              <w:t>：样地内某种植物的盖度在</w:t>
            </w:r>
            <w:r>
              <w:rPr>
                <w:spacing w:val="-47"/>
              </w:rPr>
              <w:t xml:space="preserve"> </w:t>
            </w:r>
            <w:r>
              <w:rPr>
                <w:rFonts w:ascii="Times New Roman" w:hAnsi="Times New Roman" w:eastAsia="Times New Roman" w:cs="Times New Roman"/>
                <w:spacing w:val="-3"/>
              </w:rPr>
              <w:t>25%</w:t>
            </w:r>
            <w:r>
              <w:rPr>
                <w:spacing w:val="-3"/>
              </w:rPr>
              <w:t>～</w:t>
            </w:r>
            <w:r>
              <w:rPr>
                <w:rFonts w:ascii="Times New Roman" w:hAnsi="Times New Roman" w:eastAsia="Times New Roman" w:cs="Times New Roman"/>
                <w:spacing w:val="-3"/>
              </w:rPr>
              <w:t>50%</w:t>
            </w:r>
            <w:r>
              <w:rPr>
                <w:spacing w:val="-3"/>
              </w:rPr>
              <w:t>者（即</w:t>
            </w:r>
            <w:r>
              <w:rPr>
                <w:spacing w:val="-27"/>
              </w:rPr>
              <w:t xml:space="preserve"> </w:t>
            </w:r>
            <w:r>
              <w:rPr>
                <w:rFonts w:ascii="Times New Roman" w:hAnsi="Times New Roman" w:eastAsia="Times New Roman" w:cs="Times New Roman"/>
                <w:spacing w:val="-3"/>
              </w:rPr>
              <w:t>1/4</w:t>
            </w:r>
            <w:r>
              <w:rPr>
                <w:spacing w:val="-3"/>
              </w:rPr>
              <w:t>～</w:t>
            </w:r>
            <w:r>
              <w:rPr>
                <w:rFonts w:ascii="Times New Roman" w:hAnsi="Times New Roman" w:eastAsia="Times New Roman" w:cs="Times New Roman"/>
                <w:spacing w:val="-3"/>
              </w:rPr>
              <w:t xml:space="preserve">1/2 </w:t>
            </w:r>
            <w:r>
              <w:rPr>
                <w:spacing w:val="-3"/>
              </w:rPr>
              <w:t>者</w:t>
            </w:r>
            <w:r>
              <w:rPr>
                <w:spacing w:val="-31"/>
              </w:rPr>
              <w:t>）；</w:t>
            </w:r>
          </w:p>
        </w:tc>
      </w:tr>
      <w:tr w14:paraId="2F8425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068" w:type="dxa"/>
            <w:vAlign w:val="top"/>
          </w:tcPr>
          <w:p w14:paraId="25BA4F37">
            <w:pPr>
              <w:pStyle w:val="6"/>
              <w:spacing w:before="56" w:line="234" w:lineRule="auto"/>
              <w:ind w:left="112"/>
            </w:pPr>
            <w:r>
              <w:rPr>
                <w:rFonts w:ascii="Times New Roman" w:hAnsi="Times New Roman" w:eastAsia="Times New Roman" w:cs="Times New Roman"/>
                <w:spacing w:val="-3"/>
              </w:rPr>
              <w:t>2</w:t>
            </w:r>
            <w:r>
              <w:rPr>
                <w:spacing w:val="-3"/>
              </w:rPr>
              <w:t>：样地内某种植物的盖度在</w:t>
            </w:r>
            <w:r>
              <w:rPr>
                <w:spacing w:val="-41"/>
              </w:rPr>
              <w:t xml:space="preserve"> </w:t>
            </w:r>
            <w:r>
              <w:rPr>
                <w:rFonts w:ascii="Times New Roman" w:hAnsi="Times New Roman" w:eastAsia="Times New Roman" w:cs="Times New Roman"/>
                <w:spacing w:val="-3"/>
              </w:rPr>
              <w:t>5%</w:t>
            </w:r>
            <w:r>
              <w:rPr>
                <w:spacing w:val="-3"/>
              </w:rPr>
              <w:t>～</w:t>
            </w:r>
            <w:r>
              <w:rPr>
                <w:rFonts w:ascii="Times New Roman" w:hAnsi="Times New Roman" w:eastAsia="Times New Roman" w:cs="Times New Roman"/>
                <w:spacing w:val="-3"/>
              </w:rPr>
              <w:t>25%</w:t>
            </w:r>
            <w:r>
              <w:rPr>
                <w:spacing w:val="-3"/>
              </w:rPr>
              <w:t>者（即</w:t>
            </w:r>
            <w:r>
              <w:rPr>
                <w:spacing w:val="-27"/>
              </w:rPr>
              <w:t xml:space="preserve"> </w:t>
            </w:r>
            <w:r>
              <w:rPr>
                <w:rFonts w:ascii="Times New Roman" w:hAnsi="Times New Roman" w:eastAsia="Times New Roman" w:cs="Times New Roman"/>
                <w:spacing w:val="-3"/>
              </w:rPr>
              <w:t>1/20</w:t>
            </w:r>
            <w:r>
              <w:rPr>
                <w:spacing w:val="-3"/>
              </w:rPr>
              <w:t>～</w:t>
            </w:r>
            <w:r>
              <w:rPr>
                <w:rFonts w:ascii="Times New Roman" w:hAnsi="Times New Roman" w:eastAsia="Times New Roman" w:cs="Times New Roman"/>
                <w:spacing w:val="-3"/>
              </w:rPr>
              <w:t xml:space="preserve">1/4 </w:t>
            </w:r>
            <w:r>
              <w:rPr>
                <w:spacing w:val="-3"/>
              </w:rPr>
              <w:t>者</w:t>
            </w:r>
            <w:r>
              <w:rPr>
                <w:spacing w:val="-32"/>
              </w:rPr>
              <w:t>）；</w:t>
            </w:r>
          </w:p>
        </w:tc>
      </w:tr>
      <w:tr w14:paraId="3B7A22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9068" w:type="dxa"/>
            <w:vAlign w:val="top"/>
          </w:tcPr>
          <w:p w14:paraId="7EE608DC">
            <w:pPr>
              <w:pStyle w:val="6"/>
              <w:spacing w:before="54" w:line="234" w:lineRule="auto"/>
              <w:ind w:left="132"/>
            </w:pPr>
            <w:r>
              <w:rPr>
                <w:rFonts w:ascii="Times New Roman" w:hAnsi="Times New Roman" w:eastAsia="Times New Roman" w:cs="Times New Roman"/>
                <w:spacing w:val="-2"/>
              </w:rPr>
              <w:t>1</w:t>
            </w:r>
            <w:r>
              <w:rPr>
                <w:spacing w:val="-2"/>
              </w:rPr>
              <w:t>：样地内某种植物的盖度在</w:t>
            </w:r>
            <w:r>
              <w:rPr>
                <w:spacing w:val="-25"/>
              </w:rPr>
              <w:t xml:space="preserve"> </w:t>
            </w:r>
            <w:r>
              <w:rPr>
                <w:rFonts w:ascii="Times New Roman" w:hAnsi="Times New Roman" w:eastAsia="Times New Roman" w:cs="Times New Roman"/>
                <w:spacing w:val="-2"/>
              </w:rPr>
              <w:t>5%</w:t>
            </w:r>
            <w:r>
              <w:rPr>
                <w:spacing w:val="-2"/>
              </w:rPr>
              <w:t>以下，或数量尚多者；</w:t>
            </w:r>
          </w:p>
        </w:tc>
      </w:tr>
      <w:tr w14:paraId="1BCD63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068" w:type="dxa"/>
            <w:vAlign w:val="top"/>
          </w:tcPr>
          <w:p w14:paraId="09CFFE1D">
            <w:pPr>
              <w:pStyle w:val="6"/>
              <w:spacing w:before="54" w:line="234" w:lineRule="auto"/>
              <w:ind w:left="111"/>
            </w:pPr>
            <w:r>
              <w:rPr>
                <w:rFonts w:ascii="Times New Roman" w:hAnsi="Times New Roman" w:eastAsia="Times New Roman" w:cs="Times New Roman"/>
                <w:spacing w:val="-1"/>
              </w:rPr>
              <w:t>+</w:t>
            </w:r>
            <w:r>
              <w:rPr>
                <w:rFonts w:ascii="Times New Roman" w:hAnsi="Times New Roman" w:eastAsia="Times New Roman" w:cs="Times New Roman"/>
                <w:spacing w:val="-25"/>
              </w:rPr>
              <w:t xml:space="preserve"> </w:t>
            </w:r>
            <w:r>
              <w:rPr>
                <w:spacing w:val="-1"/>
              </w:rPr>
              <w:t>：样地内某种植物的盖度很少，数量也少，</w:t>
            </w:r>
            <w:r>
              <w:rPr>
                <w:spacing w:val="-2"/>
              </w:rPr>
              <w:t>或单株。</w:t>
            </w:r>
          </w:p>
        </w:tc>
      </w:tr>
      <w:tr w14:paraId="04E94E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9068" w:type="dxa"/>
            <w:vAlign w:val="top"/>
          </w:tcPr>
          <w:p w14:paraId="2D5B4B38">
            <w:pPr>
              <w:pStyle w:val="6"/>
              <w:spacing w:before="56" w:line="222" w:lineRule="auto"/>
              <w:ind w:left="116"/>
            </w:pPr>
            <w:r>
              <w:rPr>
                <w:spacing w:val="-1"/>
              </w:rPr>
              <w:t>群聚度等级（共</w:t>
            </w:r>
            <w:r>
              <w:rPr>
                <w:spacing w:val="-35"/>
              </w:rPr>
              <w:t xml:space="preserve"> </w:t>
            </w:r>
            <w:r>
              <w:rPr>
                <w:rFonts w:ascii="Times New Roman" w:hAnsi="Times New Roman" w:eastAsia="Times New Roman" w:cs="Times New Roman"/>
                <w:spacing w:val="-1"/>
              </w:rPr>
              <w:t xml:space="preserve">5 </w:t>
            </w:r>
            <w:r>
              <w:rPr>
                <w:spacing w:val="-1"/>
              </w:rPr>
              <w:t>级，聚生状况与盖度相结合）</w:t>
            </w:r>
          </w:p>
        </w:tc>
      </w:tr>
      <w:tr w14:paraId="226EAE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4" w:hRule="atLeast"/>
        </w:trPr>
        <w:tc>
          <w:tcPr>
            <w:tcW w:w="9068" w:type="dxa"/>
            <w:vAlign w:val="top"/>
          </w:tcPr>
          <w:p w14:paraId="48A32AB3">
            <w:pPr>
              <w:pStyle w:val="6"/>
              <w:spacing w:before="55" w:line="234" w:lineRule="auto"/>
              <w:ind w:left="117"/>
            </w:pPr>
            <w:r>
              <w:rPr>
                <w:rFonts w:ascii="Times New Roman" w:hAnsi="Times New Roman" w:eastAsia="Times New Roman" w:cs="Times New Roman"/>
                <w:spacing w:val="-3"/>
              </w:rPr>
              <w:t>5</w:t>
            </w:r>
            <w:r>
              <w:rPr>
                <w:spacing w:val="-3"/>
              </w:rPr>
              <w:t>：集成大片，背景化；</w:t>
            </w:r>
          </w:p>
        </w:tc>
      </w:tr>
      <w:tr w14:paraId="47331B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9068" w:type="dxa"/>
            <w:vAlign w:val="top"/>
          </w:tcPr>
          <w:p w14:paraId="45C7B6EA">
            <w:pPr>
              <w:pStyle w:val="6"/>
              <w:spacing w:before="55" w:line="234" w:lineRule="auto"/>
              <w:ind w:left="111"/>
            </w:pPr>
            <w:r>
              <w:rPr>
                <w:rFonts w:ascii="Times New Roman" w:hAnsi="Times New Roman" w:eastAsia="Times New Roman" w:cs="Times New Roman"/>
                <w:spacing w:val="-1"/>
              </w:rPr>
              <w:t>4</w:t>
            </w:r>
            <w:r>
              <w:rPr>
                <w:spacing w:val="-1"/>
              </w:rPr>
              <w:t>：小群或大块；</w:t>
            </w:r>
          </w:p>
        </w:tc>
      </w:tr>
      <w:tr w14:paraId="4AD99BD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9068" w:type="dxa"/>
            <w:vAlign w:val="top"/>
          </w:tcPr>
          <w:p w14:paraId="636AD1BE">
            <w:pPr>
              <w:pStyle w:val="6"/>
              <w:spacing w:before="54" w:line="235" w:lineRule="auto"/>
              <w:ind w:left="116"/>
            </w:pPr>
            <w:r>
              <w:rPr>
                <w:rFonts w:ascii="Times New Roman" w:hAnsi="Times New Roman" w:eastAsia="Times New Roman" w:cs="Times New Roman"/>
                <w:spacing w:val="-1"/>
              </w:rPr>
              <w:t>3</w:t>
            </w:r>
            <w:r>
              <w:rPr>
                <w:spacing w:val="-1"/>
              </w:rPr>
              <w:t>：小片或小块；</w:t>
            </w:r>
          </w:p>
        </w:tc>
      </w:tr>
      <w:tr w14:paraId="382A51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3" w:hRule="atLeast"/>
        </w:trPr>
        <w:tc>
          <w:tcPr>
            <w:tcW w:w="9068" w:type="dxa"/>
            <w:vAlign w:val="top"/>
          </w:tcPr>
          <w:p w14:paraId="307319D1">
            <w:pPr>
              <w:pStyle w:val="6"/>
              <w:spacing w:before="55" w:line="234" w:lineRule="auto"/>
              <w:ind w:left="112"/>
            </w:pPr>
            <w:r>
              <w:rPr>
                <w:rFonts w:ascii="Times New Roman" w:hAnsi="Times New Roman" w:eastAsia="Times New Roman" w:cs="Times New Roman"/>
                <w:spacing w:val="-1"/>
              </w:rPr>
              <w:t>2</w:t>
            </w:r>
            <w:r>
              <w:rPr>
                <w:spacing w:val="-1"/>
              </w:rPr>
              <w:t>：小丛或小簇；</w:t>
            </w:r>
          </w:p>
        </w:tc>
      </w:tr>
      <w:tr w14:paraId="28844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0" w:hRule="atLeast"/>
        </w:trPr>
        <w:tc>
          <w:tcPr>
            <w:tcW w:w="9068" w:type="dxa"/>
            <w:vAlign w:val="top"/>
          </w:tcPr>
          <w:p w14:paraId="317A09D7">
            <w:pPr>
              <w:pStyle w:val="6"/>
              <w:spacing w:before="56" w:line="234" w:lineRule="auto"/>
              <w:ind w:left="132"/>
            </w:pPr>
            <w:r>
              <w:rPr>
                <w:rFonts w:ascii="Times New Roman" w:hAnsi="Times New Roman" w:eastAsia="Times New Roman" w:cs="Times New Roman"/>
                <w:spacing w:val="-3"/>
              </w:rPr>
              <w:t>1</w:t>
            </w:r>
            <w:r>
              <w:rPr>
                <w:spacing w:val="-3"/>
              </w:rPr>
              <w:t>：个别散生或单生。</w:t>
            </w:r>
          </w:p>
        </w:tc>
      </w:tr>
    </w:tbl>
    <w:p w14:paraId="66A69D7D">
      <w:pPr>
        <w:spacing w:before="115" w:line="234" w:lineRule="auto"/>
        <w:ind w:left="492"/>
        <w:rPr>
          <w:rFonts w:ascii="宋体" w:hAnsi="宋体" w:eastAsia="宋体" w:cs="宋体"/>
          <w:sz w:val="24"/>
          <w:szCs w:val="24"/>
        </w:rPr>
      </w:pPr>
      <w:r>
        <w:rPr>
          <w:rFonts w:ascii="Times New Roman" w:hAnsi="Times New Roman" w:eastAsia="Times New Roman" w:cs="Times New Roman"/>
          <w:spacing w:val="-3"/>
          <w:sz w:val="24"/>
          <w:szCs w:val="24"/>
        </w:rPr>
        <w:t>2</w:t>
      </w:r>
      <w:r>
        <w:rPr>
          <w:rFonts w:ascii="宋体" w:hAnsi="宋体" w:eastAsia="宋体" w:cs="宋体"/>
          <w:spacing w:val="-3"/>
          <w:sz w:val="24"/>
          <w:szCs w:val="24"/>
        </w:rPr>
        <w:t>）访问调查</w:t>
      </w:r>
    </w:p>
    <w:p w14:paraId="0E4E2362">
      <w:pPr>
        <w:spacing w:before="164" w:line="218" w:lineRule="auto"/>
        <w:ind w:right="3"/>
        <w:jc w:val="right"/>
        <w:rPr>
          <w:rFonts w:ascii="宋体" w:hAnsi="宋体" w:eastAsia="宋体" w:cs="宋体"/>
          <w:sz w:val="24"/>
          <w:szCs w:val="24"/>
        </w:rPr>
      </w:pPr>
      <w:r>
        <w:rPr>
          <w:rFonts w:ascii="宋体" w:hAnsi="宋体" w:eastAsia="宋体" w:cs="宋体"/>
          <w:spacing w:val="-2"/>
          <w:sz w:val="24"/>
          <w:szCs w:val="24"/>
        </w:rPr>
        <w:t>在项目评价区所在区域通过对当地居民进行访问和座谈，通过与当地林业部门的有</w:t>
      </w:r>
    </w:p>
    <w:p w14:paraId="248CAC6F">
      <w:pPr>
        <w:spacing w:line="218" w:lineRule="auto"/>
        <w:rPr>
          <w:rFonts w:ascii="宋体" w:hAnsi="宋体" w:eastAsia="宋体" w:cs="宋体"/>
          <w:sz w:val="24"/>
          <w:szCs w:val="24"/>
        </w:rPr>
        <w:sectPr>
          <w:footerReference r:id="rId152" w:type="default"/>
          <w:pgSz w:w="11907" w:h="16841"/>
          <w:pgMar w:top="400" w:right="1411" w:bottom="1126" w:left="1411" w:header="0" w:footer="925" w:gutter="0"/>
          <w:cols w:space="720" w:num="1"/>
        </w:sectPr>
      </w:pPr>
    </w:p>
    <w:p w14:paraId="76AB5E8D">
      <w:pPr>
        <w:spacing w:line="249" w:lineRule="auto"/>
        <w:rPr>
          <w:rFonts w:ascii="Arial"/>
          <w:sz w:val="21"/>
        </w:rPr>
      </w:pPr>
    </w:p>
    <w:p w14:paraId="52539AAE">
      <w:pPr>
        <w:spacing w:line="249" w:lineRule="auto"/>
        <w:rPr>
          <w:rFonts w:ascii="Arial"/>
          <w:sz w:val="21"/>
        </w:rPr>
      </w:pPr>
    </w:p>
    <w:p w14:paraId="61009EEA">
      <w:pPr>
        <w:spacing w:line="249" w:lineRule="auto"/>
        <w:rPr>
          <w:rFonts w:ascii="Arial"/>
          <w:sz w:val="21"/>
        </w:rPr>
      </w:pPr>
    </w:p>
    <w:p w14:paraId="03B2AA1C">
      <w:pPr>
        <w:spacing w:line="249" w:lineRule="auto"/>
        <w:rPr>
          <w:rFonts w:ascii="Arial"/>
          <w:sz w:val="21"/>
        </w:rPr>
      </w:pPr>
    </w:p>
    <w:p w14:paraId="569FAD40">
      <w:pPr>
        <w:spacing w:line="249" w:lineRule="auto"/>
        <w:rPr>
          <w:rFonts w:ascii="Arial"/>
          <w:sz w:val="21"/>
        </w:rPr>
      </w:pPr>
    </w:p>
    <w:p w14:paraId="6ABD3A87">
      <w:pPr>
        <w:spacing w:before="78" w:line="219" w:lineRule="auto"/>
        <w:ind w:left="4"/>
        <w:rPr>
          <w:rFonts w:ascii="宋体" w:hAnsi="宋体" w:eastAsia="宋体" w:cs="宋体"/>
          <w:sz w:val="24"/>
          <w:szCs w:val="24"/>
        </w:rPr>
      </w:pPr>
      <w:r>
        <w:rPr>
          <w:rFonts w:ascii="宋体" w:hAnsi="宋体" w:eastAsia="宋体" w:cs="宋体"/>
          <w:spacing w:val="-2"/>
          <w:sz w:val="24"/>
          <w:szCs w:val="24"/>
        </w:rPr>
        <w:t>关同志进行交谈，了解当地植被的演变、植物及保护物种等的分布情况。</w:t>
      </w:r>
    </w:p>
    <w:p w14:paraId="721EE6BA">
      <w:pPr>
        <w:spacing w:before="183" w:line="234" w:lineRule="auto"/>
        <w:ind w:left="481"/>
        <w:rPr>
          <w:rFonts w:ascii="宋体" w:hAnsi="宋体" w:eastAsia="宋体" w:cs="宋体"/>
          <w:sz w:val="24"/>
          <w:szCs w:val="24"/>
        </w:rPr>
      </w:pPr>
      <w:r>
        <w:rPr>
          <w:rFonts w:ascii="Times New Roman" w:hAnsi="Times New Roman" w:eastAsia="Times New Roman" w:cs="Times New Roman"/>
          <w:spacing w:val="-3"/>
          <w:sz w:val="24"/>
          <w:szCs w:val="24"/>
        </w:rPr>
        <w:t>3</w:t>
      </w:r>
      <w:r>
        <w:rPr>
          <w:rFonts w:ascii="宋体" w:hAnsi="宋体" w:eastAsia="宋体" w:cs="宋体"/>
          <w:spacing w:val="-3"/>
          <w:sz w:val="24"/>
          <w:szCs w:val="24"/>
        </w:rPr>
        <w:t>）查阅相关资料</w:t>
      </w:r>
    </w:p>
    <w:p w14:paraId="559B2AA3">
      <w:pPr>
        <w:spacing w:before="163" w:line="360" w:lineRule="auto"/>
        <w:ind w:left="11" w:right="89" w:firstLine="495"/>
        <w:rPr>
          <w:rFonts w:ascii="宋体" w:hAnsi="宋体" w:eastAsia="宋体" w:cs="宋体"/>
          <w:sz w:val="24"/>
          <w:szCs w:val="24"/>
        </w:rPr>
      </w:pPr>
      <w:r>
        <w:rPr>
          <w:rFonts w:ascii="宋体" w:hAnsi="宋体" w:eastAsia="宋体" w:cs="宋体"/>
          <w:spacing w:val="-2"/>
          <w:sz w:val="24"/>
          <w:szCs w:val="24"/>
        </w:rPr>
        <w:t>比照相应的地理纬度和海拔，对照项目评价区所在区</w:t>
      </w:r>
      <w:r>
        <w:rPr>
          <w:rFonts w:ascii="宋体" w:hAnsi="宋体" w:eastAsia="宋体" w:cs="宋体"/>
          <w:spacing w:val="-3"/>
          <w:sz w:val="24"/>
          <w:szCs w:val="24"/>
        </w:rPr>
        <w:t>域的有关科学研究和野外调查</w:t>
      </w:r>
      <w:r>
        <w:rPr>
          <w:rFonts w:ascii="宋体" w:hAnsi="宋体" w:eastAsia="宋体" w:cs="宋体"/>
          <w:spacing w:val="-4"/>
          <w:sz w:val="24"/>
          <w:szCs w:val="24"/>
        </w:rPr>
        <w:t>资料，核查和收集相关资料。</w:t>
      </w:r>
    </w:p>
    <w:p w14:paraId="38469C05">
      <w:pPr>
        <w:spacing w:line="233" w:lineRule="auto"/>
        <w:ind w:left="489"/>
        <w:rPr>
          <w:rFonts w:ascii="宋体" w:hAnsi="宋体" w:eastAsia="宋体" w:cs="宋体"/>
          <w:sz w:val="24"/>
          <w:szCs w:val="24"/>
        </w:rPr>
      </w:pPr>
      <w:r>
        <w:rPr>
          <w:rFonts w:ascii="宋体" w:hAnsi="宋体" w:eastAsia="宋体" w:cs="宋体"/>
          <w:b/>
          <w:bCs/>
          <w:spacing w:val="-5"/>
          <w:sz w:val="24"/>
          <w:szCs w:val="24"/>
        </w:rPr>
        <w:t>（</w:t>
      </w:r>
      <w:r>
        <w:rPr>
          <w:rFonts w:ascii="Times New Roman" w:hAnsi="Times New Roman" w:eastAsia="Times New Roman" w:cs="Times New Roman"/>
          <w:b/>
          <w:bCs/>
          <w:spacing w:val="-5"/>
          <w:sz w:val="24"/>
          <w:szCs w:val="24"/>
        </w:rPr>
        <w:t>2</w:t>
      </w:r>
      <w:r>
        <w:rPr>
          <w:rFonts w:ascii="宋体" w:hAnsi="宋体" w:eastAsia="宋体" w:cs="宋体"/>
          <w:b/>
          <w:bCs/>
          <w:spacing w:val="-5"/>
          <w:sz w:val="24"/>
          <w:szCs w:val="24"/>
        </w:rPr>
        <w:t>）维管植物调查</w:t>
      </w:r>
    </w:p>
    <w:p w14:paraId="7556E305">
      <w:pPr>
        <w:spacing w:before="165" w:line="233" w:lineRule="auto"/>
        <w:ind w:left="499"/>
        <w:rPr>
          <w:rFonts w:ascii="宋体" w:hAnsi="宋体" w:eastAsia="宋体" w:cs="宋体"/>
          <w:sz w:val="24"/>
          <w:szCs w:val="24"/>
        </w:rPr>
      </w:pPr>
      <w:r>
        <w:rPr>
          <w:rFonts w:ascii="Times New Roman" w:hAnsi="Times New Roman" w:eastAsia="Times New Roman" w:cs="Times New Roman"/>
          <w:spacing w:val="-7"/>
          <w:sz w:val="24"/>
          <w:szCs w:val="24"/>
        </w:rPr>
        <w:t>1</w:t>
      </w:r>
      <w:r>
        <w:rPr>
          <w:rFonts w:ascii="宋体" w:hAnsi="宋体" w:eastAsia="宋体" w:cs="宋体"/>
          <w:spacing w:val="-7"/>
          <w:sz w:val="24"/>
          <w:szCs w:val="24"/>
        </w:rPr>
        <w:t>）线路调查</w:t>
      </w:r>
    </w:p>
    <w:p w14:paraId="54ECEA1A">
      <w:pPr>
        <w:spacing w:before="165" w:line="360" w:lineRule="auto"/>
        <w:ind w:left="1" w:right="88" w:firstLine="478"/>
        <w:rPr>
          <w:rFonts w:ascii="宋体" w:hAnsi="宋体" w:eastAsia="宋体" w:cs="宋体"/>
          <w:sz w:val="24"/>
          <w:szCs w:val="24"/>
        </w:rPr>
      </w:pPr>
      <w:r>
        <w:rPr>
          <w:rFonts w:ascii="宋体" w:hAnsi="宋体" w:eastAsia="宋体" w:cs="宋体"/>
          <w:spacing w:val="-4"/>
          <w:sz w:val="24"/>
          <w:szCs w:val="24"/>
        </w:rPr>
        <w:t>在调查范围内按不同方向，用手持</w:t>
      </w:r>
      <w:r>
        <w:rPr>
          <w:rFonts w:ascii="宋体" w:hAnsi="宋体" w:eastAsia="宋体" w:cs="宋体"/>
          <w:spacing w:val="-45"/>
          <w:sz w:val="24"/>
          <w:szCs w:val="24"/>
        </w:rPr>
        <w:t xml:space="preserve"> </w:t>
      </w:r>
      <w:r>
        <w:rPr>
          <w:rFonts w:ascii="Times New Roman" w:hAnsi="Times New Roman" w:eastAsia="Times New Roman" w:cs="Times New Roman"/>
          <w:spacing w:val="-4"/>
          <w:sz w:val="24"/>
          <w:szCs w:val="24"/>
        </w:rPr>
        <w:t xml:space="preserve">GPS </w:t>
      </w:r>
      <w:r>
        <w:rPr>
          <w:rFonts w:ascii="宋体" w:hAnsi="宋体" w:eastAsia="宋体" w:cs="宋体"/>
          <w:spacing w:val="-4"/>
          <w:sz w:val="24"/>
          <w:szCs w:val="24"/>
        </w:rPr>
        <w:t>进行定位，沿着事先设计并做现场改进的几</w:t>
      </w:r>
      <w:r>
        <w:rPr>
          <w:rFonts w:ascii="宋体" w:hAnsi="宋体" w:eastAsia="宋体" w:cs="宋体"/>
          <w:spacing w:val="-2"/>
          <w:sz w:val="24"/>
          <w:szCs w:val="24"/>
        </w:rPr>
        <w:t>条具有代表性的线路，记载植物种类、采集标本、观察生境、目测多度等。这种方法虽</w:t>
      </w:r>
      <w:r>
        <w:rPr>
          <w:rFonts w:ascii="宋体" w:hAnsi="宋体" w:eastAsia="宋体" w:cs="宋体"/>
          <w:spacing w:val="-8"/>
          <w:sz w:val="24"/>
          <w:szCs w:val="24"/>
        </w:rPr>
        <w:t>然比较粗糙，但可窥其全貌，作为样地调查的补充，能在大范围内总体上观察植物种类。同时，标记沿途所见外来入侵植物物种。查阅《中国植物志》《云南植物志》等专著以及</w:t>
      </w:r>
      <w:r>
        <w:rPr>
          <w:rFonts w:ascii="宋体" w:hAnsi="宋体" w:eastAsia="宋体" w:cs="宋体"/>
          <w:spacing w:val="-1"/>
          <w:sz w:val="24"/>
          <w:szCs w:val="24"/>
        </w:rPr>
        <w:t>其他可用的有效资料，补充项目调查区内未调查</w:t>
      </w:r>
      <w:r>
        <w:rPr>
          <w:rFonts w:ascii="宋体" w:hAnsi="宋体" w:eastAsia="宋体" w:cs="宋体"/>
          <w:spacing w:val="-2"/>
          <w:sz w:val="24"/>
          <w:szCs w:val="24"/>
        </w:rPr>
        <w:t>到但可能分布的维管植物。</w:t>
      </w:r>
    </w:p>
    <w:p w14:paraId="25888040">
      <w:pPr>
        <w:spacing w:line="233" w:lineRule="auto"/>
        <w:ind w:left="476"/>
        <w:rPr>
          <w:rFonts w:ascii="宋体" w:hAnsi="宋体" w:eastAsia="宋体" w:cs="宋体"/>
          <w:sz w:val="24"/>
          <w:szCs w:val="24"/>
        </w:rPr>
      </w:pPr>
      <w:r>
        <w:rPr>
          <w:rFonts w:ascii="Times New Roman" w:hAnsi="Times New Roman" w:eastAsia="Times New Roman" w:cs="Times New Roman"/>
          <w:spacing w:val="-3"/>
          <w:sz w:val="24"/>
          <w:szCs w:val="24"/>
        </w:rPr>
        <w:t>2</w:t>
      </w:r>
      <w:r>
        <w:rPr>
          <w:rFonts w:ascii="宋体" w:hAnsi="宋体" w:eastAsia="宋体" w:cs="宋体"/>
          <w:spacing w:val="-3"/>
          <w:sz w:val="24"/>
          <w:szCs w:val="24"/>
        </w:rPr>
        <w:t>）样地调查</w:t>
      </w:r>
    </w:p>
    <w:p w14:paraId="6F5356B2">
      <w:pPr>
        <w:spacing w:before="165" w:line="360" w:lineRule="auto"/>
        <w:ind w:right="89" w:firstLine="480"/>
        <w:rPr>
          <w:rFonts w:ascii="宋体" w:hAnsi="宋体" w:eastAsia="宋体" w:cs="宋体"/>
          <w:sz w:val="24"/>
          <w:szCs w:val="24"/>
        </w:rPr>
      </w:pPr>
      <w:r>
        <w:rPr>
          <w:rFonts w:ascii="宋体" w:hAnsi="宋体" w:eastAsia="宋体" w:cs="宋体"/>
          <w:spacing w:val="-2"/>
          <w:sz w:val="24"/>
          <w:szCs w:val="24"/>
        </w:rPr>
        <w:t>在调查范围选择不同地段，按不同的植物群落设置样地，在样地内做细致的物种记录调查。样地物种的调查实际上是植被类型调查的一部分，两者可结合进行，但物种的</w:t>
      </w:r>
      <w:r>
        <w:rPr>
          <w:rFonts w:ascii="宋体" w:hAnsi="宋体" w:eastAsia="宋体" w:cs="宋体"/>
          <w:spacing w:val="-6"/>
          <w:sz w:val="24"/>
          <w:szCs w:val="24"/>
        </w:rPr>
        <w:t>记录更详细。</w:t>
      </w:r>
    </w:p>
    <w:p w14:paraId="0A7A2A06">
      <w:pPr>
        <w:spacing w:before="1" w:line="232" w:lineRule="auto"/>
        <w:ind w:left="489"/>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3</w:t>
      </w:r>
      <w:r>
        <w:rPr>
          <w:rFonts w:ascii="宋体" w:hAnsi="宋体" w:eastAsia="宋体" w:cs="宋体"/>
          <w:b/>
          <w:bCs/>
          <w:spacing w:val="-4"/>
          <w:sz w:val="24"/>
          <w:szCs w:val="24"/>
        </w:rPr>
        <w:t>）陆生脊椎动物调查</w:t>
      </w:r>
    </w:p>
    <w:p w14:paraId="7D539E05">
      <w:pPr>
        <w:spacing w:before="166" w:line="233" w:lineRule="auto"/>
        <w:ind w:left="499"/>
        <w:rPr>
          <w:rFonts w:ascii="宋体" w:hAnsi="宋体" w:eastAsia="宋体" w:cs="宋体"/>
          <w:sz w:val="24"/>
          <w:szCs w:val="24"/>
        </w:rPr>
      </w:pPr>
      <w:r>
        <w:rPr>
          <w:rFonts w:ascii="Times New Roman" w:hAnsi="Times New Roman" w:eastAsia="Times New Roman" w:cs="Times New Roman"/>
          <w:spacing w:val="-4"/>
          <w:sz w:val="24"/>
          <w:szCs w:val="24"/>
        </w:rPr>
        <w:t>1</w:t>
      </w:r>
      <w:r>
        <w:rPr>
          <w:rFonts w:ascii="宋体" w:hAnsi="宋体" w:eastAsia="宋体" w:cs="宋体"/>
          <w:spacing w:val="-4"/>
          <w:sz w:val="24"/>
          <w:szCs w:val="24"/>
        </w:rPr>
        <w:t>）哺乳类调查方法</w:t>
      </w:r>
    </w:p>
    <w:p w14:paraId="79A2236D">
      <w:pPr>
        <w:spacing w:before="164" w:line="357" w:lineRule="auto"/>
        <w:ind w:firstLine="481"/>
        <w:rPr>
          <w:rFonts w:ascii="宋体" w:hAnsi="宋体" w:eastAsia="宋体" w:cs="宋体"/>
          <w:sz w:val="24"/>
          <w:szCs w:val="24"/>
        </w:rPr>
      </w:pPr>
      <w:r>
        <w:rPr>
          <w:rFonts w:ascii="宋体" w:hAnsi="宋体" w:eastAsia="宋体" w:cs="宋体"/>
          <w:spacing w:val="-2"/>
          <w:sz w:val="24"/>
          <w:szCs w:val="24"/>
        </w:rPr>
        <w:t>文献查阅：调查工作开展之前，先查阅《中国动物志兽纲第八卷食肉目</w:t>
      </w:r>
      <w:r>
        <w:rPr>
          <w:rFonts w:ascii="宋体" w:hAnsi="宋体" w:eastAsia="宋体" w:cs="宋体"/>
          <w:spacing w:val="-3"/>
          <w:sz w:val="24"/>
          <w:szCs w:val="24"/>
        </w:rPr>
        <w:t>》（高耀亭</w:t>
      </w:r>
      <w:r>
        <w:rPr>
          <w:rFonts w:ascii="宋体" w:hAnsi="宋体" w:eastAsia="宋体" w:cs="宋体"/>
          <w:spacing w:val="-17"/>
          <w:sz w:val="24"/>
          <w:szCs w:val="24"/>
        </w:rPr>
        <w:t>等，</w:t>
      </w:r>
      <w:r>
        <w:rPr>
          <w:rFonts w:ascii="Times New Roman" w:hAnsi="Times New Roman" w:eastAsia="Times New Roman" w:cs="Times New Roman"/>
          <w:spacing w:val="-17"/>
          <w:sz w:val="24"/>
          <w:szCs w:val="24"/>
        </w:rPr>
        <w:t>1987</w:t>
      </w:r>
      <w:r>
        <w:rPr>
          <w:rFonts w:ascii="宋体" w:hAnsi="宋体" w:eastAsia="宋体" w:cs="宋体"/>
          <w:spacing w:val="-17"/>
          <w:sz w:val="24"/>
          <w:szCs w:val="24"/>
        </w:rPr>
        <w:t>）、《中国啮齿类》（黄文几等，</w:t>
      </w:r>
      <w:r>
        <w:rPr>
          <w:rFonts w:ascii="Times New Roman" w:hAnsi="Times New Roman" w:eastAsia="Times New Roman" w:cs="Times New Roman"/>
          <w:spacing w:val="-17"/>
          <w:sz w:val="24"/>
          <w:szCs w:val="24"/>
        </w:rPr>
        <w:t>19</w:t>
      </w:r>
      <w:r>
        <w:rPr>
          <w:rFonts w:ascii="Times New Roman" w:hAnsi="Times New Roman" w:eastAsia="Times New Roman" w:cs="Times New Roman"/>
          <w:spacing w:val="-18"/>
          <w:sz w:val="24"/>
          <w:szCs w:val="24"/>
        </w:rPr>
        <w:t>95</w:t>
      </w:r>
      <w:r>
        <w:rPr>
          <w:rFonts w:ascii="宋体" w:hAnsi="宋体" w:eastAsia="宋体" w:cs="宋体"/>
          <w:spacing w:val="-18"/>
          <w:sz w:val="24"/>
          <w:szCs w:val="24"/>
        </w:rPr>
        <w:t>）、《中国动物志兽纲第六卷啮齿目仓鼠科》</w:t>
      </w:r>
      <w:r>
        <w:rPr>
          <w:rFonts w:ascii="宋体" w:hAnsi="宋体" w:eastAsia="宋体" w:cs="宋体"/>
          <w:sz w:val="24"/>
          <w:szCs w:val="24"/>
        </w:rPr>
        <w:t xml:space="preserve"> </w:t>
      </w:r>
      <w:r>
        <w:rPr>
          <w:rFonts w:ascii="宋体" w:hAnsi="宋体" w:eastAsia="宋体" w:cs="宋体"/>
          <w:spacing w:val="-10"/>
          <w:sz w:val="24"/>
          <w:szCs w:val="24"/>
        </w:rPr>
        <w:t>（罗泽珣等，</w:t>
      </w:r>
      <w:r>
        <w:rPr>
          <w:rFonts w:ascii="Times New Roman" w:hAnsi="Times New Roman" w:eastAsia="Times New Roman" w:cs="Times New Roman"/>
          <w:spacing w:val="-10"/>
          <w:sz w:val="24"/>
          <w:szCs w:val="24"/>
        </w:rPr>
        <w:t>1988</w:t>
      </w:r>
      <w:r>
        <w:rPr>
          <w:rFonts w:ascii="宋体" w:hAnsi="宋体" w:eastAsia="宋体" w:cs="宋体"/>
          <w:spacing w:val="-10"/>
          <w:sz w:val="24"/>
          <w:szCs w:val="24"/>
        </w:rPr>
        <w:t>）、《中国哺乳动物种和亚种分类名录与分布大全》（王</w:t>
      </w:r>
      <w:r>
        <w:rPr>
          <w:rFonts w:ascii="宋体" w:hAnsi="宋体" w:eastAsia="宋体" w:cs="宋体"/>
          <w:spacing w:val="-11"/>
          <w:sz w:val="24"/>
          <w:szCs w:val="24"/>
        </w:rPr>
        <w:t>应祥，</w:t>
      </w:r>
      <w:r>
        <w:rPr>
          <w:rFonts w:ascii="Times New Roman" w:hAnsi="Times New Roman" w:eastAsia="Times New Roman" w:cs="Times New Roman"/>
          <w:spacing w:val="-11"/>
          <w:sz w:val="24"/>
          <w:szCs w:val="24"/>
        </w:rPr>
        <w:t>2002</w:t>
      </w:r>
      <w:r>
        <w:rPr>
          <w:rFonts w:ascii="宋体" w:hAnsi="宋体" w:eastAsia="宋体" w:cs="宋体"/>
          <w:spacing w:val="-11"/>
          <w:sz w:val="24"/>
          <w:szCs w:val="24"/>
        </w:rPr>
        <w:t>）、</w:t>
      </w:r>
      <w:r>
        <w:rPr>
          <w:rFonts w:ascii="宋体" w:hAnsi="宋体" w:eastAsia="宋体" w:cs="宋体"/>
          <w:sz w:val="24"/>
          <w:szCs w:val="24"/>
        </w:rPr>
        <w:t xml:space="preserve"> </w:t>
      </w:r>
      <w:r>
        <w:rPr>
          <w:rFonts w:ascii="宋体" w:hAnsi="宋体" w:eastAsia="宋体" w:cs="宋体"/>
          <w:spacing w:val="-7"/>
          <w:sz w:val="24"/>
          <w:szCs w:val="24"/>
        </w:rPr>
        <w:t>《中国哺乳动物彩色图鉴》（潘清华等，</w:t>
      </w:r>
      <w:r>
        <w:rPr>
          <w:rFonts w:ascii="Times New Roman" w:hAnsi="Times New Roman" w:eastAsia="Times New Roman" w:cs="Times New Roman"/>
          <w:spacing w:val="-7"/>
          <w:sz w:val="24"/>
          <w:szCs w:val="24"/>
        </w:rPr>
        <w:t>2007</w:t>
      </w:r>
      <w:r>
        <w:rPr>
          <w:rFonts w:ascii="宋体" w:hAnsi="宋体" w:eastAsia="宋体" w:cs="宋体"/>
          <w:spacing w:val="-7"/>
          <w:sz w:val="24"/>
          <w:szCs w:val="24"/>
        </w:rPr>
        <w:t>）等文献和资</w:t>
      </w:r>
      <w:r>
        <w:rPr>
          <w:rFonts w:ascii="宋体" w:hAnsi="宋体" w:eastAsia="宋体" w:cs="宋体"/>
          <w:spacing w:val="-8"/>
          <w:sz w:val="24"/>
          <w:szCs w:val="24"/>
        </w:rPr>
        <w:t>料，分析项目评价区哺乳类动</w:t>
      </w:r>
      <w:r>
        <w:rPr>
          <w:rFonts w:ascii="宋体" w:hAnsi="宋体" w:eastAsia="宋体" w:cs="宋体"/>
          <w:sz w:val="24"/>
          <w:szCs w:val="24"/>
        </w:rPr>
        <w:t>物分布的情况。重点查阅专家学者曾在本地区进</w:t>
      </w:r>
      <w:r>
        <w:rPr>
          <w:rFonts w:ascii="宋体" w:hAnsi="宋体" w:eastAsia="宋体" w:cs="宋体"/>
          <w:spacing w:val="-1"/>
          <w:sz w:val="24"/>
          <w:szCs w:val="24"/>
        </w:rPr>
        <w:t>行调查的“历史文献”。</w:t>
      </w:r>
    </w:p>
    <w:p w14:paraId="5BC1F94F">
      <w:pPr>
        <w:spacing w:before="21" w:line="360" w:lineRule="auto"/>
        <w:ind w:left="1" w:right="89" w:firstLine="479"/>
        <w:jc w:val="both"/>
        <w:rPr>
          <w:rFonts w:ascii="宋体" w:hAnsi="宋体" w:eastAsia="宋体" w:cs="宋体"/>
          <w:sz w:val="24"/>
          <w:szCs w:val="24"/>
        </w:rPr>
      </w:pPr>
      <w:r>
        <w:rPr>
          <w:rFonts w:ascii="宋体" w:hAnsi="宋体" w:eastAsia="宋体" w:cs="宋体"/>
          <w:spacing w:val="-2"/>
          <w:sz w:val="24"/>
          <w:szCs w:val="24"/>
        </w:rPr>
        <w:t>野外实地考察：对项目评价区的哺乳类分布现状进行实地考察：观察植被类型、生</w:t>
      </w:r>
      <w:r>
        <w:rPr>
          <w:rFonts w:ascii="宋体" w:hAnsi="宋体" w:eastAsia="宋体" w:cs="宋体"/>
          <w:spacing w:val="-7"/>
          <w:sz w:val="24"/>
          <w:szCs w:val="24"/>
        </w:rPr>
        <w:t>境条件、溪流水塘等哺乳类生存的资源条件，</w:t>
      </w:r>
      <w:r>
        <w:rPr>
          <w:rFonts w:ascii="宋体" w:hAnsi="宋体" w:eastAsia="宋体" w:cs="宋体"/>
          <w:spacing w:val="86"/>
          <w:sz w:val="24"/>
          <w:szCs w:val="24"/>
        </w:rPr>
        <w:t xml:space="preserve"> </w:t>
      </w:r>
      <w:r>
        <w:rPr>
          <w:rFonts w:ascii="宋体" w:hAnsi="宋体" w:eastAsia="宋体" w:cs="宋体"/>
          <w:spacing w:val="-7"/>
          <w:sz w:val="24"/>
          <w:szCs w:val="24"/>
        </w:rPr>
        <w:t>同时对动物的足迹、叫声、粪便、取食等</w:t>
      </w:r>
      <w:r>
        <w:rPr>
          <w:rFonts w:ascii="宋体" w:hAnsi="宋体" w:eastAsia="宋体" w:cs="宋体"/>
          <w:spacing w:val="-4"/>
          <w:sz w:val="24"/>
          <w:szCs w:val="24"/>
        </w:rPr>
        <w:t>予以重点观察，判断种类。</w:t>
      </w:r>
    </w:p>
    <w:p w14:paraId="2C8FCABA">
      <w:pPr>
        <w:spacing w:line="361" w:lineRule="auto"/>
        <w:ind w:left="2" w:right="89" w:firstLine="476"/>
        <w:jc w:val="both"/>
        <w:rPr>
          <w:rFonts w:ascii="宋体" w:hAnsi="宋体" w:eastAsia="宋体" w:cs="宋体"/>
          <w:sz w:val="24"/>
          <w:szCs w:val="24"/>
        </w:rPr>
      </w:pPr>
      <w:r>
        <w:rPr>
          <w:rFonts w:ascii="宋体" w:hAnsi="宋体" w:eastAsia="宋体" w:cs="宋体"/>
          <w:spacing w:val="-2"/>
          <w:sz w:val="24"/>
          <w:szCs w:val="24"/>
        </w:rPr>
        <w:t>访问调查：在初步了解项目评价区可能分布的哺乳类后，在农户家、农户劳作现场</w:t>
      </w:r>
      <w:r>
        <w:rPr>
          <w:rFonts w:ascii="宋体" w:hAnsi="宋体" w:eastAsia="宋体" w:cs="宋体"/>
          <w:spacing w:val="-8"/>
          <w:sz w:val="24"/>
          <w:szCs w:val="24"/>
        </w:rPr>
        <w:t>等地，采取“非诱导式访谈法”对当地乡民就评价区及邻近地区的哺乳类资源进行访谈，</w:t>
      </w:r>
      <w:r>
        <w:rPr>
          <w:rFonts w:ascii="宋体" w:hAnsi="宋体" w:eastAsia="宋体" w:cs="宋体"/>
          <w:spacing w:val="-2"/>
          <w:sz w:val="24"/>
          <w:szCs w:val="24"/>
        </w:rPr>
        <w:t>向当地林业部门熟知情况的工作人员进行咨询，并出示图片请被访者指认，了解调查哺</w:t>
      </w:r>
      <w:r>
        <w:rPr>
          <w:rFonts w:ascii="宋体" w:hAnsi="宋体" w:eastAsia="宋体" w:cs="宋体"/>
          <w:spacing w:val="-5"/>
          <w:sz w:val="24"/>
          <w:szCs w:val="24"/>
        </w:rPr>
        <w:t>乳类以及变化情况。</w:t>
      </w:r>
    </w:p>
    <w:p w14:paraId="75ACA6A6">
      <w:pPr>
        <w:spacing w:line="361" w:lineRule="auto"/>
        <w:rPr>
          <w:rFonts w:ascii="宋体" w:hAnsi="宋体" w:eastAsia="宋体" w:cs="宋体"/>
          <w:sz w:val="24"/>
          <w:szCs w:val="24"/>
        </w:rPr>
        <w:sectPr>
          <w:footerReference r:id="rId153" w:type="default"/>
          <w:pgSz w:w="11907" w:h="16841"/>
          <w:pgMar w:top="400" w:right="1326" w:bottom="1126" w:left="1427" w:header="0" w:footer="925" w:gutter="0"/>
          <w:cols w:space="720" w:num="1"/>
        </w:sectPr>
      </w:pPr>
    </w:p>
    <w:p w14:paraId="7C0D2887">
      <w:pPr>
        <w:spacing w:line="249" w:lineRule="auto"/>
        <w:rPr>
          <w:rFonts w:ascii="Arial"/>
          <w:sz w:val="21"/>
        </w:rPr>
      </w:pPr>
    </w:p>
    <w:p w14:paraId="7F03FC72">
      <w:pPr>
        <w:spacing w:line="249" w:lineRule="auto"/>
        <w:rPr>
          <w:rFonts w:ascii="Arial"/>
          <w:sz w:val="21"/>
        </w:rPr>
      </w:pPr>
    </w:p>
    <w:p w14:paraId="4D3415CB">
      <w:pPr>
        <w:spacing w:line="249" w:lineRule="auto"/>
        <w:rPr>
          <w:rFonts w:ascii="Arial"/>
          <w:sz w:val="21"/>
        </w:rPr>
      </w:pPr>
    </w:p>
    <w:p w14:paraId="285B30A7">
      <w:pPr>
        <w:spacing w:line="249" w:lineRule="auto"/>
        <w:rPr>
          <w:rFonts w:ascii="Arial"/>
          <w:sz w:val="21"/>
        </w:rPr>
      </w:pPr>
    </w:p>
    <w:p w14:paraId="65C7005D">
      <w:pPr>
        <w:spacing w:line="249" w:lineRule="auto"/>
        <w:rPr>
          <w:rFonts w:ascii="Arial"/>
          <w:sz w:val="21"/>
        </w:rPr>
      </w:pPr>
    </w:p>
    <w:p w14:paraId="0FB10467">
      <w:pPr>
        <w:spacing w:before="78" w:line="233" w:lineRule="auto"/>
        <w:ind w:left="477"/>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）鸟类的调查方法</w:t>
      </w:r>
    </w:p>
    <w:p w14:paraId="1F2A03BB">
      <w:pPr>
        <w:spacing w:before="164" w:line="360" w:lineRule="auto"/>
        <w:ind w:left="1" w:right="1" w:firstLine="480"/>
        <w:rPr>
          <w:rFonts w:ascii="宋体" w:hAnsi="宋体" w:eastAsia="宋体" w:cs="宋体"/>
          <w:sz w:val="24"/>
          <w:szCs w:val="24"/>
        </w:rPr>
      </w:pPr>
      <w:r>
        <w:rPr>
          <w:rFonts w:ascii="宋体" w:hAnsi="宋体" w:eastAsia="宋体" w:cs="宋体"/>
          <w:spacing w:val="-6"/>
          <w:sz w:val="24"/>
          <w:szCs w:val="24"/>
        </w:rPr>
        <w:t>野外调查：主要采用样线法，辅以样点法进行。</w:t>
      </w:r>
      <w:r>
        <w:rPr>
          <w:rFonts w:ascii="宋体" w:hAnsi="宋体" w:eastAsia="宋体" w:cs="宋体"/>
          <w:spacing w:val="-7"/>
          <w:sz w:val="24"/>
          <w:szCs w:val="24"/>
        </w:rPr>
        <w:t>在进行样线和样点选择时，</w:t>
      </w:r>
      <w:r>
        <w:rPr>
          <w:rFonts w:ascii="宋体" w:hAnsi="宋体" w:eastAsia="宋体" w:cs="宋体"/>
          <w:spacing w:val="52"/>
          <w:sz w:val="24"/>
          <w:szCs w:val="24"/>
        </w:rPr>
        <w:t xml:space="preserve"> </w:t>
      </w:r>
      <w:r>
        <w:rPr>
          <w:rFonts w:ascii="宋体" w:hAnsi="宋体" w:eastAsia="宋体" w:cs="宋体"/>
          <w:spacing w:val="-7"/>
          <w:sz w:val="24"/>
          <w:szCs w:val="24"/>
        </w:rPr>
        <w:t>尽量包</w:t>
      </w:r>
      <w:r>
        <w:rPr>
          <w:rFonts w:ascii="宋体" w:hAnsi="宋体" w:eastAsia="宋体" w:cs="宋体"/>
          <w:spacing w:val="-2"/>
          <w:sz w:val="24"/>
          <w:szCs w:val="24"/>
        </w:rPr>
        <w:t>括评价区的所有生境类型。调查时记录样线两侧或样点内观察到的鸟类种类和数量。为了得到更为全面的评价区鸟类名录，在非路线和样点调查期间观察到的鸟类物种也被记录在内，观察到的数量作为评定鸟类优势度的参考。本次调查共设置</w:t>
      </w:r>
      <w:r>
        <w:rPr>
          <w:rFonts w:ascii="宋体" w:hAnsi="宋体" w:eastAsia="宋体" w:cs="宋体"/>
          <w:spacing w:val="-42"/>
          <w:sz w:val="24"/>
          <w:szCs w:val="24"/>
        </w:rPr>
        <w:t xml:space="preserve"> </w:t>
      </w:r>
      <w:r>
        <w:rPr>
          <w:rFonts w:ascii="Times New Roman" w:hAnsi="Times New Roman" w:eastAsia="Times New Roman" w:cs="Times New Roman"/>
          <w:spacing w:val="-2"/>
          <w:sz w:val="24"/>
          <w:szCs w:val="24"/>
        </w:rPr>
        <w:t xml:space="preserve">4 </w:t>
      </w:r>
      <w:r>
        <w:rPr>
          <w:rFonts w:ascii="宋体" w:hAnsi="宋体" w:eastAsia="宋体" w:cs="宋体"/>
          <w:spacing w:val="-2"/>
          <w:sz w:val="24"/>
          <w:szCs w:val="24"/>
        </w:rPr>
        <w:t>条样线，总长度</w:t>
      </w:r>
      <w:r>
        <w:rPr>
          <w:rFonts w:ascii="Times New Roman" w:hAnsi="Times New Roman" w:eastAsia="Times New Roman" w:cs="Times New Roman"/>
          <w:spacing w:val="-2"/>
          <w:sz w:val="24"/>
          <w:szCs w:val="24"/>
        </w:rPr>
        <w:t>8.59km</w:t>
      </w:r>
      <w:r>
        <w:rPr>
          <w:rFonts w:ascii="宋体" w:hAnsi="宋体" w:eastAsia="宋体" w:cs="宋体"/>
          <w:spacing w:val="-2"/>
          <w:sz w:val="24"/>
          <w:szCs w:val="24"/>
        </w:rPr>
        <w:t>，涉及森林、灌丛、耕地、道路等生境类型。</w:t>
      </w:r>
    </w:p>
    <w:p w14:paraId="7D2EDECC">
      <w:pPr>
        <w:spacing w:line="360" w:lineRule="auto"/>
        <w:ind w:right="1" w:firstLine="480"/>
        <w:jc w:val="both"/>
        <w:rPr>
          <w:rFonts w:ascii="宋体" w:hAnsi="宋体" w:eastAsia="宋体" w:cs="宋体"/>
          <w:sz w:val="24"/>
          <w:szCs w:val="24"/>
        </w:rPr>
      </w:pPr>
      <w:r>
        <w:rPr>
          <w:rFonts w:ascii="宋体" w:hAnsi="宋体" w:eastAsia="宋体" w:cs="宋体"/>
          <w:spacing w:val="-6"/>
          <w:sz w:val="24"/>
          <w:szCs w:val="24"/>
        </w:rPr>
        <w:t>访问调查：一些大型鸟类，如鸡形目鸟类、猛禽等，</w:t>
      </w:r>
      <w:r>
        <w:rPr>
          <w:rFonts w:ascii="宋体" w:hAnsi="宋体" w:eastAsia="宋体" w:cs="宋体"/>
          <w:spacing w:val="52"/>
          <w:sz w:val="24"/>
          <w:szCs w:val="24"/>
        </w:rPr>
        <w:t xml:space="preserve"> </w:t>
      </w:r>
      <w:r>
        <w:rPr>
          <w:rFonts w:ascii="宋体" w:hAnsi="宋体" w:eastAsia="宋体" w:cs="宋体"/>
          <w:spacing w:val="-7"/>
          <w:sz w:val="24"/>
          <w:szCs w:val="24"/>
        </w:rPr>
        <w:t>在野外考察中很难发现，通过</w:t>
      </w:r>
      <w:r>
        <w:rPr>
          <w:rFonts w:ascii="宋体" w:hAnsi="宋体" w:eastAsia="宋体" w:cs="宋体"/>
          <w:spacing w:val="-1"/>
          <w:sz w:val="24"/>
          <w:szCs w:val="24"/>
        </w:rPr>
        <w:t>访问的方式进行调查。一是结合有关鸟类图</w:t>
      </w:r>
      <w:r>
        <w:rPr>
          <w:rFonts w:ascii="宋体" w:hAnsi="宋体" w:eastAsia="宋体" w:cs="宋体"/>
          <w:spacing w:val="-2"/>
          <w:sz w:val="24"/>
          <w:szCs w:val="24"/>
        </w:rPr>
        <w:t>鉴向村民和基层林业工作人员以非诱导的方</w:t>
      </w:r>
      <w:r>
        <w:rPr>
          <w:rFonts w:ascii="宋体" w:hAnsi="宋体" w:eastAsia="宋体" w:cs="宋体"/>
          <w:spacing w:val="-1"/>
          <w:sz w:val="24"/>
          <w:szCs w:val="24"/>
        </w:rPr>
        <w:t>式提问，然后调查人员凭借自己的专业知识</w:t>
      </w:r>
      <w:r>
        <w:rPr>
          <w:rFonts w:ascii="宋体" w:hAnsi="宋体" w:eastAsia="宋体" w:cs="宋体"/>
          <w:spacing w:val="-2"/>
          <w:sz w:val="24"/>
          <w:szCs w:val="24"/>
        </w:rPr>
        <w:t>对访问记录的鸟类进行筛选，确定可能分布的种类；另外，向有经验的猎人询问上述鸟类过去的情况和目前状况的有关信息，如活</w:t>
      </w:r>
      <w:r>
        <w:rPr>
          <w:rFonts w:ascii="宋体" w:hAnsi="宋体" w:eastAsia="宋体" w:cs="宋体"/>
          <w:spacing w:val="-6"/>
          <w:sz w:val="24"/>
          <w:szCs w:val="24"/>
        </w:rPr>
        <w:t>动地点等。此外，</w:t>
      </w:r>
      <w:r>
        <w:rPr>
          <w:rFonts w:ascii="宋体" w:hAnsi="宋体" w:eastAsia="宋体" w:cs="宋体"/>
          <w:spacing w:val="55"/>
          <w:sz w:val="24"/>
          <w:szCs w:val="24"/>
        </w:rPr>
        <w:t xml:space="preserve"> </w:t>
      </w:r>
      <w:r>
        <w:rPr>
          <w:rFonts w:ascii="宋体" w:hAnsi="宋体" w:eastAsia="宋体" w:cs="宋体"/>
          <w:spacing w:val="-6"/>
          <w:sz w:val="24"/>
          <w:szCs w:val="24"/>
        </w:rPr>
        <w:t>调查访问当地居民，了解该地区的鸟类种类、数量、分布及</w:t>
      </w:r>
      <w:r>
        <w:rPr>
          <w:rFonts w:ascii="宋体" w:hAnsi="宋体" w:eastAsia="宋体" w:cs="宋体"/>
          <w:spacing w:val="-7"/>
          <w:sz w:val="24"/>
          <w:szCs w:val="24"/>
        </w:rPr>
        <w:t>其数量变</w:t>
      </w:r>
      <w:r>
        <w:rPr>
          <w:rFonts w:ascii="宋体" w:hAnsi="宋体" w:eastAsia="宋体" w:cs="宋体"/>
          <w:spacing w:val="-5"/>
          <w:sz w:val="24"/>
          <w:szCs w:val="24"/>
        </w:rPr>
        <w:t>化情况，通过指认《中国鸟类野外手册》中的鸟类图片， 记录了体形较大、特征较明显的群众易分辨种类。</w:t>
      </w:r>
    </w:p>
    <w:p w14:paraId="0CAA54FD">
      <w:pPr>
        <w:spacing w:before="2" w:line="359" w:lineRule="auto"/>
        <w:ind w:left="4" w:right="18" w:firstLine="480"/>
        <w:rPr>
          <w:rFonts w:ascii="宋体" w:hAnsi="宋体" w:eastAsia="宋体" w:cs="宋体"/>
          <w:sz w:val="24"/>
          <w:szCs w:val="24"/>
        </w:rPr>
      </w:pPr>
      <w:r>
        <w:rPr>
          <w:rFonts w:ascii="宋体" w:hAnsi="宋体" w:eastAsia="宋体" w:cs="宋体"/>
          <w:spacing w:val="-2"/>
          <w:sz w:val="24"/>
          <w:szCs w:val="24"/>
        </w:rPr>
        <w:t>历史资料搜集：收集前人发表的项目区域及附近的有关鸟类文献资料</w:t>
      </w:r>
      <w:r>
        <w:rPr>
          <w:rFonts w:ascii="宋体" w:hAnsi="宋体" w:eastAsia="宋体" w:cs="宋体"/>
          <w:spacing w:val="-3"/>
          <w:sz w:val="24"/>
          <w:szCs w:val="24"/>
        </w:rPr>
        <w:t>，并结合《云南鸟类志》上所记载的该区域鸟类资料。</w:t>
      </w:r>
    </w:p>
    <w:p w14:paraId="481C35A5">
      <w:pPr>
        <w:spacing w:before="1" w:line="233" w:lineRule="auto"/>
        <w:ind w:left="482"/>
        <w:rPr>
          <w:rFonts w:ascii="宋体" w:hAnsi="宋体" w:eastAsia="宋体" w:cs="宋体"/>
          <w:sz w:val="24"/>
          <w:szCs w:val="24"/>
        </w:rPr>
      </w:pPr>
      <w:r>
        <w:rPr>
          <w:rFonts w:ascii="Times New Roman" w:hAnsi="Times New Roman" w:eastAsia="Times New Roman" w:cs="Times New Roman"/>
          <w:spacing w:val="-2"/>
          <w:sz w:val="24"/>
          <w:szCs w:val="24"/>
        </w:rPr>
        <w:t>3</w:t>
      </w:r>
      <w:r>
        <w:rPr>
          <w:rFonts w:ascii="宋体" w:hAnsi="宋体" w:eastAsia="宋体" w:cs="宋体"/>
          <w:spacing w:val="-2"/>
          <w:sz w:val="24"/>
          <w:szCs w:val="24"/>
        </w:rPr>
        <w:t>）爬行类调查方法</w:t>
      </w:r>
    </w:p>
    <w:p w14:paraId="267A4111">
      <w:pPr>
        <w:spacing w:before="166" w:line="358" w:lineRule="auto"/>
        <w:ind w:left="1" w:right="1" w:firstLine="481"/>
        <w:rPr>
          <w:rFonts w:ascii="宋体" w:hAnsi="宋体" w:eastAsia="宋体" w:cs="宋体"/>
          <w:sz w:val="24"/>
          <w:szCs w:val="24"/>
        </w:rPr>
      </w:pPr>
      <w:r>
        <w:rPr>
          <w:rFonts w:ascii="宋体" w:hAnsi="宋体" w:eastAsia="宋体" w:cs="宋体"/>
          <w:spacing w:val="-8"/>
          <w:sz w:val="24"/>
          <w:szCs w:val="24"/>
        </w:rPr>
        <w:t>文献查阅：调查工作开展之前，查阅《中国动物志爬行纲》（第一卷、第</w:t>
      </w:r>
      <w:r>
        <w:rPr>
          <w:rFonts w:ascii="宋体" w:hAnsi="宋体" w:eastAsia="宋体" w:cs="宋体"/>
          <w:spacing w:val="-9"/>
          <w:sz w:val="24"/>
          <w:szCs w:val="24"/>
        </w:rPr>
        <w:t>二卷和第三</w:t>
      </w:r>
      <w:r>
        <w:rPr>
          <w:rFonts w:ascii="宋体" w:hAnsi="宋体" w:eastAsia="宋体" w:cs="宋体"/>
          <w:spacing w:val="-19"/>
          <w:sz w:val="24"/>
          <w:szCs w:val="24"/>
        </w:rPr>
        <w:t>卷</w:t>
      </w:r>
      <w:r>
        <w:rPr>
          <w:rFonts w:ascii="宋体" w:hAnsi="宋体" w:eastAsia="宋体" w:cs="宋体"/>
          <w:spacing w:val="-42"/>
          <w:sz w:val="24"/>
          <w:szCs w:val="24"/>
        </w:rPr>
        <w:t>）（</w:t>
      </w:r>
      <w:r>
        <w:rPr>
          <w:rFonts w:ascii="宋体" w:hAnsi="宋体" w:eastAsia="宋体" w:cs="宋体"/>
          <w:spacing w:val="-19"/>
          <w:sz w:val="24"/>
          <w:szCs w:val="24"/>
        </w:rPr>
        <w:t>赵尔宓等，</w:t>
      </w:r>
      <w:r>
        <w:rPr>
          <w:rFonts w:ascii="Times New Roman" w:hAnsi="Times New Roman" w:eastAsia="Times New Roman" w:cs="Times New Roman"/>
          <w:spacing w:val="-19"/>
          <w:sz w:val="24"/>
          <w:szCs w:val="24"/>
        </w:rPr>
        <w:t>1988</w:t>
      </w:r>
      <w:r>
        <w:rPr>
          <w:rFonts w:ascii="Times New Roman" w:hAnsi="Times New Roman" w:eastAsia="Times New Roman" w:cs="Times New Roman"/>
          <w:spacing w:val="-28"/>
          <w:sz w:val="24"/>
          <w:szCs w:val="24"/>
        </w:rPr>
        <w:t xml:space="preserve"> </w:t>
      </w:r>
      <w:r>
        <w:rPr>
          <w:rFonts w:ascii="宋体" w:hAnsi="宋体" w:eastAsia="宋体" w:cs="宋体"/>
          <w:spacing w:val="-19"/>
          <w:sz w:val="24"/>
          <w:szCs w:val="24"/>
        </w:rPr>
        <w:t>，</w:t>
      </w:r>
      <w:r>
        <w:rPr>
          <w:rFonts w:ascii="Times New Roman" w:hAnsi="Times New Roman" w:eastAsia="Times New Roman" w:cs="Times New Roman"/>
          <w:spacing w:val="-19"/>
          <w:sz w:val="24"/>
          <w:szCs w:val="24"/>
        </w:rPr>
        <w:t>1999</w:t>
      </w:r>
      <w:r>
        <w:rPr>
          <w:rFonts w:ascii="宋体" w:hAnsi="宋体" w:eastAsia="宋体" w:cs="宋体"/>
          <w:spacing w:val="-19"/>
          <w:sz w:val="24"/>
          <w:szCs w:val="24"/>
        </w:rPr>
        <w:t>；张孟闻等，</w:t>
      </w:r>
      <w:r>
        <w:rPr>
          <w:rFonts w:ascii="Times New Roman" w:hAnsi="Times New Roman" w:eastAsia="Times New Roman" w:cs="Times New Roman"/>
          <w:spacing w:val="-19"/>
          <w:sz w:val="24"/>
          <w:szCs w:val="24"/>
        </w:rPr>
        <w:t>1998</w:t>
      </w:r>
      <w:r>
        <w:rPr>
          <w:rFonts w:ascii="宋体" w:hAnsi="宋体" w:eastAsia="宋体" w:cs="宋体"/>
          <w:spacing w:val="-19"/>
          <w:sz w:val="24"/>
          <w:szCs w:val="24"/>
        </w:rPr>
        <w:t>）、《中国蛇类》（上下</w:t>
      </w:r>
      <w:r>
        <w:rPr>
          <w:rFonts w:ascii="宋体" w:hAnsi="宋体" w:eastAsia="宋体" w:cs="宋体"/>
          <w:spacing w:val="-42"/>
          <w:sz w:val="24"/>
          <w:szCs w:val="24"/>
        </w:rPr>
        <w:t>）（</w:t>
      </w:r>
      <w:r>
        <w:rPr>
          <w:rFonts w:ascii="宋体" w:hAnsi="宋体" w:eastAsia="宋体" w:cs="宋体"/>
          <w:spacing w:val="-19"/>
          <w:sz w:val="24"/>
          <w:szCs w:val="24"/>
        </w:rPr>
        <w:t>赵</w:t>
      </w:r>
      <w:r>
        <w:rPr>
          <w:rFonts w:ascii="宋体" w:hAnsi="宋体" w:eastAsia="宋体" w:cs="宋体"/>
          <w:spacing w:val="-20"/>
          <w:sz w:val="24"/>
          <w:szCs w:val="24"/>
        </w:rPr>
        <w:t>尔宓，</w:t>
      </w:r>
      <w:r>
        <w:rPr>
          <w:rFonts w:ascii="Times New Roman" w:hAnsi="Times New Roman" w:eastAsia="Times New Roman" w:cs="Times New Roman"/>
          <w:spacing w:val="-20"/>
          <w:sz w:val="24"/>
          <w:szCs w:val="24"/>
        </w:rPr>
        <w:t>2006</w:t>
      </w:r>
      <w:r>
        <w:rPr>
          <w:rFonts w:ascii="宋体" w:hAnsi="宋体" w:eastAsia="宋体" w:cs="宋体"/>
          <w:spacing w:val="-20"/>
          <w:sz w:val="24"/>
          <w:szCs w:val="24"/>
        </w:rPr>
        <w:t>）、</w:t>
      </w:r>
      <w:r>
        <w:rPr>
          <w:rFonts w:ascii="宋体" w:hAnsi="宋体" w:eastAsia="宋体" w:cs="宋体"/>
          <w:sz w:val="24"/>
          <w:szCs w:val="24"/>
        </w:rPr>
        <w:t xml:space="preserve"> </w:t>
      </w:r>
      <w:r>
        <w:rPr>
          <w:rFonts w:ascii="宋体" w:hAnsi="宋体" w:eastAsia="宋体" w:cs="宋体"/>
          <w:spacing w:val="-13"/>
          <w:sz w:val="24"/>
          <w:szCs w:val="24"/>
        </w:rPr>
        <w:t>《中国爬行动物图鉴》（季明达，温世生，</w:t>
      </w:r>
      <w:r>
        <w:rPr>
          <w:rFonts w:ascii="Times New Roman" w:hAnsi="Times New Roman" w:eastAsia="Times New Roman" w:cs="Times New Roman"/>
          <w:spacing w:val="-13"/>
          <w:sz w:val="24"/>
          <w:szCs w:val="24"/>
        </w:rPr>
        <w:t>2002</w:t>
      </w:r>
      <w:r>
        <w:rPr>
          <w:rFonts w:ascii="宋体" w:hAnsi="宋体" w:eastAsia="宋体" w:cs="宋体"/>
          <w:spacing w:val="-13"/>
          <w:sz w:val="24"/>
          <w:szCs w:val="24"/>
        </w:rPr>
        <w:t>）、《云南两栖爬行类动物》（杨大同、饶</w:t>
      </w:r>
      <w:r>
        <w:rPr>
          <w:rFonts w:ascii="宋体" w:hAnsi="宋体" w:eastAsia="宋体" w:cs="宋体"/>
          <w:spacing w:val="-7"/>
          <w:sz w:val="24"/>
          <w:szCs w:val="24"/>
        </w:rPr>
        <w:t>定齐，云南科技出版社，</w:t>
      </w:r>
      <w:r>
        <w:rPr>
          <w:rFonts w:ascii="Times New Roman" w:hAnsi="Times New Roman" w:eastAsia="Times New Roman" w:cs="Times New Roman"/>
          <w:spacing w:val="-7"/>
          <w:sz w:val="24"/>
          <w:szCs w:val="24"/>
        </w:rPr>
        <w:t>2008</w:t>
      </w:r>
      <w:r>
        <w:rPr>
          <w:rFonts w:ascii="宋体" w:hAnsi="宋体" w:eastAsia="宋体" w:cs="宋体"/>
          <w:spacing w:val="-7"/>
          <w:sz w:val="24"/>
          <w:szCs w:val="24"/>
        </w:rPr>
        <w:t>）等文献和资料，分析项目评价</w:t>
      </w:r>
      <w:r>
        <w:rPr>
          <w:rFonts w:ascii="宋体" w:hAnsi="宋体" w:eastAsia="宋体" w:cs="宋体"/>
          <w:spacing w:val="-8"/>
          <w:sz w:val="24"/>
          <w:szCs w:val="24"/>
        </w:rPr>
        <w:t>区爬行类动物分布的情况。</w:t>
      </w:r>
      <w:r>
        <w:rPr>
          <w:rFonts w:ascii="宋体" w:hAnsi="宋体" w:eastAsia="宋体" w:cs="宋体"/>
          <w:spacing w:val="-2"/>
          <w:sz w:val="24"/>
          <w:szCs w:val="24"/>
        </w:rPr>
        <w:t>重点查阅专家学者曾在本地区进行调查的“历史文献”，整理确定项目评价区爬行动物</w:t>
      </w:r>
      <w:r>
        <w:rPr>
          <w:rFonts w:ascii="宋体" w:hAnsi="宋体" w:eastAsia="宋体" w:cs="宋体"/>
          <w:spacing w:val="-10"/>
          <w:sz w:val="24"/>
          <w:szCs w:val="24"/>
        </w:rPr>
        <w:t>种类。</w:t>
      </w:r>
    </w:p>
    <w:p w14:paraId="18C83465">
      <w:pPr>
        <w:spacing w:before="14" w:line="352" w:lineRule="auto"/>
        <w:ind w:left="24" w:firstLine="457"/>
        <w:rPr>
          <w:rFonts w:ascii="宋体" w:hAnsi="宋体" w:eastAsia="宋体" w:cs="宋体"/>
          <w:sz w:val="24"/>
          <w:szCs w:val="24"/>
        </w:rPr>
      </w:pPr>
      <w:r>
        <w:rPr>
          <w:rFonts w:ascii="宋体" w:hAnsi="宋体" w:eastAsia="宋体" w:cs="宋体"/>
          <w:spacing w:val="-1"/>
          <w:sz w:val="24"/>
          <w:szCs w:val="24"/>
        </w:rPr>
        <w:t>野外实地考察：常规路线调查法：以每小时大约</w:t>
      </w:r>
      <w:r>
        <w:rPr>
          <w:rFonts w:ascii="宋体" w:hAnsi="宋体" w:eastAsia="宋体" w:cs="宋体"/>
          <w:spacing w:val="-52"/>
          <w:sz w:val="24"/>
          <w:szCs w:val="24"/>
        </w:rPr>
        <w:t xml:space="preserve"> </w:t>
      </w:r>
      <w:r>
        <w:rPr>
          <w:rFonts w:ascii="Times New Roman" w:hAnsi="Times New Roman" w:eastAsia="Times New Roman" w:cs="Times New Roman"/>
          <w:spacing w:val="-1"/>
          <w:sz w:val="24"/>
          <w:szCs w:val="24"/>
        </w:rPr>
        <w:t>2</w:t>
      </w:r>
      <w:r>
        <w:rPr>
          <w:rFonts w:ascii="宋体" w:hAnsi="宋体" w:eastAsia="宋体" w:cs="宋体"/>
          <w:spacing w:val="-1"/>
          <w:sz w:val="24"/>
          <w:szCs w:val="24"/>
        </w:rPr>
        <w:t>～</w:t>
      </w:r>
      <w:r>
        <w:rPr>
          <w:rFonts w:ascii="Times New Roman" w:hAnsi="Times New Roman" w:eastAsia="Times New Roman" w:cs="Times New Roman"/>
          <w:spacing w:val="-1"/>
          <w:sz w:val="24"/>
          <w:szCs w:val="24"/>
        </w:rPr>
        <w:t>3km</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的速度</w:t>
      </w:r>
      <w:r>
        <w:rPr>
          <w:rFonts w:ascii="宋体" w:hAnsi="宋体" w:eastAsia="宋体" w:cs="宋体"/>
          <w:spacing w:val="-2"/>
          <w:sz w:val="24"/>
          <w:szCs w:val="24"/>
        </w:rPr>
        <w:t>在评价区不同生境</w:t>
      </w:r>
      <w:r>
        <w:rPr>
          <w:rFonts w:ascii="宋体" w:hAnsi="宋体" w:eastAsia="宋体" w:cs="宋体"/>
          <w:spacing w:val="-6"/>
          <w:sz w:val="24"/>
          <w:szCs w:val="24"/>
        </w:rPr>
        <w:t>中步行，沿途进行观察。</w:t>
      </w:r>
    </w:p>
    <w:p w14:paraId="0B67CEDF">
      <w:pPr>
        <w:spacing w:before="22" w:line="360" w:lineRule="auto"/>
        <w:ind w:right="3" w:firstLine="480"/>
        <w:jc w:val="both"/>
        <w:rPr>
          <w:rFonts w:ascii="宋体" w:hAnsi="宋体" w:eastAsia="宋体" w:cs="宋体"/>
          <w:sz w:val="24"/>
          <w:szCs w:val="24"/>
        </w:rPr>
      </w:pPr>
      <w:r>
        <w:rPr>
          <w:rFonts w:ascii="宋体" w:hAnsi="宋体" w:eastAsia="宋体" w:cs="宋体"/>
          <w:spacing w:val="-2"/>
          <w:sz w:val="24"/>
          <w:szCs w:val="24"/>
        </w:rPr>
        <w:t>访问访谈调查：在初步了解项目评价区可能分布的爬行类后，在农户家、农户劳作现场等地，采取“非诱导式访谈法”对当地乡民就评价区及邻近地区的爬行类资源进行访谈，向林业部门熟知情况的工作人员进行咨询，并出示图片请被访者指认，了解调查</w:t>
      </w:r>
      <w:r>
        <w:rPr>
          <w:rFonts w:ascii="宋体" w:hAnsi="宋体" w:eastAsia="宋体" w:cs="宋体"/>
          <w:spacing w:val="-4"/>
          <w:sz w:val="24"/>
          <w:szCs w:val="24"/>
        </w:rPr>
        <w:t>爬行类以及变化情况。</w:t>
      </w:r>
    </w:p>
    <w:p w14:paraId="4EC10DAE">
      <w:pPr>
        <w:spacing w:line="233" w:lineRule="auto"/>
        <w:ind w:left="476"/>
        <w:rPr>
          <w:rFonts w:ascii="宋体" w:hAnsi="宋体" w:eastAsia="宋体" w:cs="宋体"/>
          <w:sz w:val="24"/>
          <w:szCs w:val="24"/>
        </w:rPr>
      </w:pPr>
      <w:r>
        <w:rPr>
          <w:rFonts w:ascii="Times New Roman" w:hAnsi="Times New Roman" w:eastAsia="Times New Roman" w:cs="Times New Roman"/>
          <w:spacing w:val="-2"/>
          <w:sz w:val="24"/>
          <w:szCs w:val="24"/>
        </w:rPr>
        <w:t>4</w:t>
      </w:r>
      <w:r>
        <w:rPr>
          <w:rFonts w:ascii="宋体" w:hAnsi="宋体" w:eastAsia="宋体" w:cs="宋体"/>
          <w:spacing w:val="-2"/>
          <w:sz w:val="24"/>
          <w:szCs w:val="24"/>
        </w:rPr>
        <w:t>）两栖类调查方法</w:t>
      </w:r>
    </w:p>
    <w:p w14:paraId="2AA21E9B">
      <w:pPr>
        <w:spacing w:line="233" w:lineRule="auto"/>
        <w:rPr>
          <w:rFonts w:ascii="宋体" w:hAnsi="宋体" w:eastAsia="宋体" w:cs="宋体"/>
          <w:sz w:val="24"/>
          <w:szCs w:val="24"/>
        </w:rPr>
        <w:sectPr>
          <w:footerReference r:id="rId154" w:type="default"/>
          <w:pgSz w:w="11907" w:h="16841"/>
          <w:pgMar w:top="400" w:right="1414" w:bottom="1126" w:left="1426" w:header="0" w:footer="925" w:gutter="0"/>
          <w:cols w:space="720" w:num="1"/>
        </w:sectPr>
      </w:pPr>
    </w:p>
    <w:p w14:paraId="624A42F9">
      <w:pPr>
        <w:spacing w:line="248" w:lineRule="auto"/>
        <w:rPr>
          <w:rFonts w:ascii="Arial"/>
          <w:sz w:val="21"/>
        </w:rPr>
      </w:pPr>
    </w:p>
    <w:p w14:paraId="45ED4565">
      <w:pPr>
        <w:spacing w:line="248" w:lineRule="auto"/>
        <w:rPr>
          <w:rFonts w:ascii="Arial"/>
          <w:sz w:val="21"/>
        </w:rPr>
      </w:pPr>
    </w:p>
    <w:p w14:paraId="4FADD2C9">
      <w:pPr>
        <w:spacing w:line="249" w:lineRule="auto"/>
        <w:rPr>
          <w:rFonts w:ascii="Arial"/>
          <w:sz w:val="21"/>
        </w:rPr>
      </w:pPr>
    </w:p>
    <w:p w14:paraId="608140F0">
      <w:pPr>
        <w:spacing w:line="249" w:lineRule="auto"/>
        <w:rPr>
          <w:rFonts w:ascii="Arial"/>
          <w:sz w:val="21"/>
        </w:rPr>
      </w:pPr>
    </w:p>
    <w:p w14:paraId="7374C232">
      <w:pPr>
        <w:spacing w:line="249" w:lineRule="auto"/>
        <w:rPr>
          <w:rFonts w:ascii="Arial"/>
          <w:sz w:val="21"/>
        </w:rPr>
      </w:pPr>
    </w:p>
    <w:p w14:paraId="55E2B39D">
      <w:pPr>
        <w:spacing w:before="78" w:line="357" w:lineRule="auto"/>
        <w:ind w:right="192" w:firstLine="486"/>
        <w:jc w:val="both"/>
        <w:rPr>
          <w:rFonts w:ascii="宋体" w:hAnsi="宋体" w:eastAsia="宋体" w:cs="宋体"/>
          <w:sz w:val="24"/>
          <w:szCs w:val="24"/>
        </w:rPr>
      </w:pPr>
      <w:r>
        <w:rPr>
          <w:rFonts w:ascii="宋体" w:hAnsi="宋体" w:eastAsia="宋体" w:cs="宋体"/>
          <w:spacing w:val="-15"/>
          <w:sz w:val="24"/>
          <w:szCs w:val="24"/>
        </w:rPr>
        <w:t>文献查阅：调查工作开展之前，查阅《中国动物志两栖纲》（上卷、中卷和下卷</w:t>
      </w:r>
      <w:r>
        <w:rPr>
          <w:rFonts w:ascii="宋体" w:hAnsi="宋体" w:eastAsia="宋体" w:cs="宋体"/>
          <w:spacing w:val="-8"/>
          <w:sz w:val="24"/>
          <w:szCs w:val="24"/>
        </w:rPr>
        <w:t>）（</w:t>
      </w:r>
      <w:r>
        <w:rPr>
          <w:rFonts w:ascii="宋体" w:hAnsi="宋体" w:eastAsia="宋体" w:cs="宋体"/>
          <w:spacing w:val="-15"/>
          <w:sz w:val="24"/>
          <w:szCs w:val="24"/>
        </w:rPr>
        <w:t>费梁等，</w:t>
      </w:r>
      <w:r>
        <w:rPr>
          <w:rFonts w:ascii="Times New Roman" w:hAnsi="Times New Roman" w:eastAsia="Times New Roman" w:cs="Times New Roman"/>
          <w:spacing w:val="-15"/>
          <w:sz w:val="24"/>
          <w:szCs w:val="24"/>
        </w:rPr>
        <w:t>2006</w:t>
      </w:r>
      <w:r>
        <w:rPr>
          <w:rFonts w:ascii="宋体" w:hAnsi="宋体" w:eastAsia="宋体" w:cs="宋体"/>
          <w:spacing w:val="-15"/>
          <w:sz w:val="24"/>
          <w:szCs w:val="24"/>
        </w:rPr>
        <w:t>，</w:t>
      </w:r>
      <w:r>
        <w:rPr>
          <w:rFonts w:ascii="Times New Roman" w:hAnsi="Times New Roman" w:eastAsia="Times New Roman" w:cs="Times New Roman"/>
          <w:spacing w:val="-15"/>
          <w:sz w:val="24"/>
          <w:szCs w:val="24"/>
        </w:rPr>
        <w:t>2009a</w:t>
      </w:r>
      <w:r>
        <w:rPr>
          <w:rFonts w:ascii="宋体" w:hAnsi="宋体" w:eastAsia="宋体" w:cs="宋体"/>
          <w:spacing w:val="-15"/>
          <w:sz w:val="24"/>
          <w:szCs w:val="24"/>
        </w:rPr>
        <w:t>，</w:t>
      </w:r>
      <w:r>
        <w:rPr>
          <w:rFonts w:ascii="Times New Roman" w:hAnsi="Times New Roman" w:eastAsia="Times New Roman" w:cs="Times New Roman"/>
          <w:spacing w:val="-15"/>
          <w:sz w:val="24"/>
          <w:szCs w:val="24"/>
        </w:rPr>
        <w:t>2009b</w:t>
      </w:r>
      <w:r>
        <w:rPr>
          <w:rFonts w:ascii="宋体" w:hAnsi="宋体" w:eastAsia="宋体" w:cs="宋体"/>
          <w:spacing w:val="-15"/>
          <w:sz w:val="24"/>
          <w:szCs w:val="24"/>
        </w:rPr>
        <w:t>）、《中国两栖动物检索及图解</w:t>
      </w:r>
      <w:r>
        <w:rPr>
          <w:rFonts w:ascii="宋体" w:hAnsi="宋体" w:eastAsia="宋体" w:cs="宋体"/>
          <w:spacing w:val="-16"/>
          <w:sz w:val="24"/>
          <w:szCs w:val="24"/>
        </w:rPr>
        <w:t>》（费梁等，</w:t>
      </w:r>
      <w:r>
        <w:rPr>
          <w:rFonts w:ascii="Times New Roman" w:hAnsi="Times New Roman" w:eastAsia="Times New Roman" w:cs="Times New Roman"/>
          <w:spacing w:val="-16"/>
          <w:sz w:val="24"/>
          <w:szCs w:val="24"/>
        </w:rPr>
        <w:t>2005</w:t>
      </w:r>
      <w:r>
        <w:rPr>
          <w:rFonts w:ascii="宋体" w:hAnsi="宋体" w:eastAsia="宋体" w:cs="宋体"/>
          <w:spacing w:val="-16"/>
          <w:sz w:val="24"/>
          <w:szCs w:val="24"/>
        </w:rPr>
        <w:t>）、《中国两栖</w:t>
      </w:r>
      <w:r>
        <w:rPr>
          <w:rFonts w:ascii="宋体" w:hAnsi="宋体" w:eastAsia="宋体" w:cs="宋体"/>
          <w:spacing w:val="-18"/>
          <w:sz w:val="24"/>
          <w:szCs w:val="24"/>
        </w:rPr>
        <w:t>动物图鉴》（费梁，</w:t>
      </w:r>
      <w:r>
        <w:rPr>
          <w:rFonts w:ascii="Times New Roman" w:hAnsi="Times New Roman" w:eastAsia="Times New Roman" w:cs="Times New Roman"/>
          <w:spacing w:val="-18"/>
          <w:sz w:val="24"/>
          <w:szCs w:val="24"/>
        </w:rPr>
        <w:t>1999</w:t>
      </w:r>
      <w:r>
        <w:rPr>
          <w:rFonts w:ascii="宋体" w:hAnsi="宋体" w:eastAsia="宋体" w:cs="宋体"/>
          <w:spacing w:val="-18"/>
          <w:sz w:val="24"/>
          <w:szCs w:val="24"/>
        </w:rPr>
        <w:t>）、《云南两栖爬行类动物》（杨大同，饶定齐，云</w:t>
      </w:r>
      <w:r>
        <w:rPr>
          <w:rFonts w:ascii="宋体" w:hAnsi="宋体" w:eastAsia="宋体" w:cs="宋体"/>
          <w:spacing w:val="-19"/>
          <w:sz w:val="24"/>
          <w:szCs w:val="24"/>
        </w:rPr>
        <w:t>南科技出版社，</w:t>
      </w:r>
      <w:r>
        <w:rPr>
          <w:rFonts w:ascii="宋体" w:hAnsi="宋体" w:eastAsia="宋体" w:cs="宋体"/>
          <w:sz w:val="24"/>
          <w:szCs w:val="24"/>
        </w:rPr>
        <w:t xml:space="preserve"> </w:t>
      </w:r>
      <w:r>
        <w:rPr>
          <w:rFonts w:ascii="Times New Roman" w:hAnsi="Times New Roman" w:eastAsia="Times New Roman" w:cs="Times New Roman"/>
          <w:spacing w:val="-1"/>
          <w:sz w:val="24"/>
          <w:szCs w:val="24"/>
        </w:rPr>
        <w:t>2008</w:t>
      </w:r>
      <w:r>
        <w:rPr>
          <w:rFonts w:ascii="宋体" w:hAnsi="宋体" w:eastAsia="宋体" w:cs="宋体"/>
          <w:spacing w:val="-1"/>
          <w:sz w:val="24"/>
          <w:szCs w:val="24"/>
        </w:rPr>
        <w:t>）等文献和资料，分析项目评价区</w:t>
      </w:r>
      <w:r>
        <w:rPr>
          <w:rFonts w:ascii="宋体" w:hAnsi="宋体" w:eastAsia="宋体" w:cs="宋体"/>
          <w:spacing w:val="-2"/>
          <w:sz w:val="24"/>
          <w:szCs w:val="24"/>
        </w:rPr>
        <w:t>两栖类动物分布的情况。重点查阅专家学者曾在</w:t>
      </w:r>
      <w:r>
        <w:rPr>
          <w:rFonts w:ascii="宋体" w:hAnsi="宋体" w:eastAsia="宋体" w:cs="宋体"/>
          <w:spacing w:val="-5"/>
          <w:sz w:val="24"/>
          <w:szCs w:val="24"/>
        </w:rPr>
        <w:t>本地区进行调查的“历史文献”，整理确定项目评价区两栖动物种类。</w:t>
      </w:r>
    </w:p>
    <w:p w14:paraId="375D2BF0">
      <w:pPr>
        <w:spacing w:before="21" w:line="360" w:lineRule="auto"/>
        <w:ind w:left="3" w:right="185" w:firstLine="480"/>
        <w:jc w:val="both"/>
        <w:rPr>
          <w:rFonts w:ascii="宋体" w:hAnsi="宋体" w:eastAsia="宋体" w:cs="宋体"/>
          <w:sz w:val="24"/>
          <w:szCs w:val="24"/>
        </w:rPr>
      </w:pPr>
      <w:r>
        <w:rPr>
          <w:rFonts w:ascii="宋体" w:hAnsi="宋体" w:eastAsia="宋体" w:cs="宋体"/>
          <w:spacing w:val="-5"/>
          <w:sz w:val="24"/>
          <w:szCs w:val="24"/>
        </w:rPr>
        <w:t>野外实地考察：常规路线调查法：沿沟渠、溪流、河道等周边以每小时大约</w:t>
      </w:r>
      <w:r>
        <w:rPr>
          <w:rFonts w:ascii="宋体" w:hAnsi="宋体" w:eastAsia="宋体" w:cs="宋体"/>
          <w:spacing w:val="-54"/>
          <w:sz w:val="24"/>
          <w:szCs w:val="24"/>
        </w:rPr>
        <w:t xml:space="preserve"> </w:t>
      </w:r>
      <w:r>
        <w:rPr>
          <w:rFonts w:ascii="Times New Roman" w:hAnsi="Times New Roman" w:eastAsia="Times New Roman" w:cs="Times New Roman"/>
          <w:spacing w:val="-5"/>
          <w:sz w:val="24"/>
          <w:szCs w:val="24"/>
        </w:rPr>
        <w:t>2</w:t>
      </w:r>
      <w:r>
        <w:rPr>
          <w:rFonts w:ascii="宋体" w:hAnsi="宋体" w:eastAsia="宋体" w:cs="宋体"/>
          <w:spacing w:val="-5"/>
          <w:sz w:val="24"/>
          <w:szCs w:val="24"/>
        </w:rPr>
        <w:t>～</w:t>
      </w:r>
      <w:r>
        <w:rPr>
          <w:rFonts w:ascii="Times New Roman" w:hAnsi="Times New Roman" w:eastAsia="Times New Roman" w:cs="Times New Roman"/>
          <w:spacing w:val="-5"/>
          <w:sz w:val="24"/>
          <w:szCs w:val="24"/>
        </w:rPr>
        <w:t>3km</w:t>
      </w:r>
      <w:r>
        <w:rPr>
          <w:rFonts w:ascii="宋体" w:hAnsi="宋体" w:eastAsia="宋体" w:cs="宋体"/>
          <w:spacing w:val="-2"/>
          <w:sz w:val="24"/>
          <w:szCs w:val="24"/>
        </w:rPr>
        <w:t>的速度在评价区不同生境中步行，沿途进行观察。一些在夜间活动的种类，其调查主要</w:t>
      </w:r>
      <w:r>
        <w:rPr>
          <w:rFonts w:ascii="宋体" w:hAnsi="宋体" w:eastAsia="宋体" w:cs="宋体"/>
          <w:spacing w:val="-8"/>
          <w:sz w:val="24"/>
          <w:szCs w:val="24"/>
        </w:rPr>
        <w:t>在夜间的溪流或田间进行，需要照明寻找并观测记录。观察站点统计法：以线路为中轴，结合生境情况在不同路段设立观察点，依据动物鸣叫声（如蛙类）、遇见率、随机采集状</w:t>
      </w:r>
      <w:r>
        <w:rPr>
          <w:rFonts w:ascii="宋体" w:hAnsi="宋体" w:eastAsia="宋体" w:cs="宋体"/>
          <w:spacing w:val="-3"/>
          <w:sz w:val="24"/>
          <w:szCs w:val="24"/>
        </w:rPr>
        <w:t>况等来确定不同物种在该观察点的相关信息。</w:t>
      </w:r>
    </w:p>
    <w:p w14:paraId="78A7E494">
      <w:pPr>
        <w:spacing w:line="361" w:lineRule="auto"/>
        <w:ind w:left="2" w:right="188" w:firstLine="480"/>
        <w:jc w:val="both"/>
        <w:rPr>
          <w:rFonts w:ascii="宋体" w:hAnsi="宋体" w:eastAsia="宋体" w:cs="宋体"/>
          <w:sz w:val="24"/>
          <w:szCs w:val="24"/>
        </w:rPr>
      </w:pPr>
      <w:r>
        <w:rPr>
          <w:rFonts w:ascii="宋体" w:hAnsi="宋体" w:eastAsia="宋体" w:cs="宋体"/>
          <w:spacing w:val="-2"/>
          <w:sz w:val="24"/>
          <w:szCs w:val="24"/>
        </w:rPr>
        <w:t>访问访谈调查：在初步了解项目评价区可能分布的两栖类后，在农户家、农户劳作现场等地，采取“非诱导式访谈法”对当地乡民就评价区及邻近地区的两栖类资源进行访谈，向林业部门熟知情况的工作人员进行咨询，并出示图片请被访者指认，了解调查</w:t>
      </w:r>
      <w:r>
        <w:rPr>
          <w:rFonts w:ascii="宋体" w:hAnsi="宋体" w:eastAsia="宋体" w:cs="宋体"/>
          <w:spacing w:val="-4"/>
          <w:sz w:val="24"/>
          <w:szCs w:val="24"/>
        </w:rPr>
        <w:t>两栖类以及变化情况。</w:t>
      </w:r>
    </w:p>
    <w:p w14:paraId="09A8024D">
      <w:pPr>
        <w:spacing w:before="50" w:line="234" w:lineRule="auto"/>
        <w:ind w:left="1"/>
        <w:rPr>
          <w:rFonts w:ascii="宋体" w:hAnsi="宋体" w:eastAsia="宋体" w:cs="宋体"/>
          <w:sz w:val="28"/>
          <w:szCs w:val="28"/>
        </w:rPr>
      </w:pPr>
      <w:bookmarkStart w:id="41" w:name="bookmark47"/>
      <w:bookmarkEnd w:id="41"/>
      <w:r>
        <w:rPr>
          <w:rFonts w:ascii="Times New Roman" w:hAnsi="Times New Roman" w:eastAsia="Times New Roman" w:cs="Times New Roman"/>
          <w:b/>
          <w:bCs/>
          <w:spacing w:val="-2"/>
          <w:sz w:val="28"/>
          <w:szCs w:val="28"/>
        </w:rPr>
        <w:t xml:space="preserve">2.2 </w:t>
      </w:r>
      <w:r>
        <w:rPr>
          <w:rFonts w:ascii="宋体" w:hAnsi="宋体" w:eastAsia="宋体" w:cs="宋体"/>
          <w:b/>
          <w:bCs/>
          <w:spacing w:val="-2"/>
          <w:sz w:val="28"/>
          <w:szCs w:val="28"/>
        </w:rPr>
        <w:t>现状调查结果</w:t>
      </w:r>
    </w:p>
    <w:p w14:paraId="0A8770B1">
      <w:pPr>
        <w:spacing w:before="214" w:line="233" w:lineRule="auto"/>
        <w:rPr>
          <w:rFonts w:ascii="宋体" w:hAnsi="宋体" w:eastAsia="宋体" w:cs="宋体"/>
          <w:sz w:val="24"/>
          <w:szCs w:val="24"/>
        </w:rPr>
      </w:pPr>
      <w:r>
        <w:rPr>
          <w:rFonts w:ascii="Times New Roman" w:hAnsi="Times New Roman" w:eastAsia="Times New Roman" w:cs="Times New Roman"/>
          <w:b/>
          <w:bCs/>
          <w:spacing w:val="-3"/>
          <w:sz w:val="24"/>
          <w:szCs w:val="24"/>
        </w:rPr>
        <w:t>2.2.1</w:t>
      </w:r>
      <w:r>
        <w:rPr>
          <w:rFonts w:ascii="Times New Roman" w:hAnsi="Times New Roman" w:eastAsia="Times New Roman" w:cs="Times New Roman"/>
          <w:b/>
          <w:bCs/>
          <w:spacing w:val="24"/>
          <w:w w:val="101"/>
          <w:sz w:val="24"/>
          <w:szCs w:val="24"/>
        </w:rPr>
        <w:t xml:space="preserve"> </w:t>
      </w:r>
      <w:r>
        <w:rPr>
          <w:rFonts w:ascii="宋体" w:hAnsi="宋体" w:eastAsia="宋体" w:cs="宋体"/>
          <w:b/>
          <w:bCs/>
          <w:spacing w:val="-3"/>
          <w:sz w:val="24"/>
          <w:szCs w:val="24"/>
        </w:rPr>
        <w:t>陆生植被及植物多样性调查</w:t>
      </w:r>
    </w:p>
    <w:p w14:paraId="69D5E4AD">
      <w:pPr>
        <w:spacing w:before="165" w:line="233" w:lineRule="auto"/>
        <w:ind w:left="493"/>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1</w:t>
      </w:r>
      <w:r>
        <w:rPr>
          <w:rFonts w:ascii="宋体" w:hAnsi="宋体" w:eastAsia="宋体" w:cs="宋体"/>
          <w:b/>
          <w:bCs/>
          <w:spacing w:val="-4"/>
          <w:sz w:val="24"/>
          <w:szCs w:val="24"/>
        </w:rPr>
        <w:t>）植被植物调查方法</w:t>
      </w:r>
    </w:p>
    <w:p w14:paraId="73B0C170">
      <w:pPr>
        <w:spacing w:before="164" w:line="220" w:lineRule="auto"/>
        <w:ind w:left="496"/>
        <w:rPr>
          <w:rFonts w:ascii="宋体" w:hAnsi="宋体" w:eastAsia="宋体" w:cs="宋体"/>
          <w:sz w:val="24"/>
          <w:szCs w:val="24"/>
        </w:rPr>
      </w:pPr>
      <w:r>
        <w:rPr>
          <w:rFonts w:ascii="宋体" w:hAnsi="宋体" w:eastAsia="宋体" w:cs="宋体"/>
          <w:spacing w:val="-2"/>
          <w:sz w:val="24"/>
          <w:szCs w:val="24"/>
        </w:rPr>
        <w:t>陆生植物调查包括资料分析法、线路调查、样地调查相结合等方法。</w:t>
      </w:r>
    </w:p>
    <w:p w14:paraId="2277210B">
      <w:pPr>
        <w:spacing w:before="184" w:line="358" w:lineRule="auto"/>
        <w:ind w:left="3" w:right="101" w:firstLine="499"/>
        <w:jc w:val="both"/>
        <w:rPr>
          <w:rFonts w:ascii="宋体" w:hAnsi="宋体" w:eastAsia="宋体" w:cs="宋体"/>
          <w:sz w:val="24"/>
          <w:szCs w:val="24"/>
        </w:rPr>
      </w:pPr>
      <w:r>
        <w:rPr>
          <w:rFonts w:ascii="Times New Roman" w:hAnsi="Times New Roman" w:eastAsia="Times New Roman" w:cs="Times New Roman"/>
          <w:spacing w:val="-4"/>
          <w:sz w:val="24"/>
          <w:szCs w:val="24"/>
        </w:rPr>
        <w:t>l</w:t>
      </w:r>
      <w:r>
        <w:rPr>
          <w:rFonts w:ascii="宋体" w:hAnsi="宋体" w:eastAsia="宋体" w:cs="宋体"/>
          <w:spacing w:val="-4"/>
          <w:sz w:val="24"/>
          <w:szCs w:val="24"/>
        </w:rPr>
        <w:t>）在对评价区全面踏查的基础上，根据地形、海拔、坡向、坡位以及植被类型和主</w:t>
      </w:r>
      <w:r>
        <w:rPr>
          <w:rFonts w:ascii="宋体" w:hAnsi="宋体" w:eastAsia="宋体" w:cs="宋体"/>
          <w:spacing w:val="-5"/>
          <w:sz w:val="24"/>
          <w:szCs w:val="24"/>
        </w:rPr>
        <w:t>要组成特点，采用典型抽样法设置样方进行植物</w:t>
      </w:r>
      <w:r>
        <w:rPr>
          <w:rFonts w:ascii="宋体" w:hAnsi="宋体" w:eastAsia="宋体" w:cs="宋体"/>
          <w:spacing w:val="-6"/>
          <w:sz w:val="24"/>
          <w:szCs w:val="24"/>
        </w:rPr>
        <w:t>群落的样方调查。记录每个样方经纬度、</w:t>
      </w:r>
      <w:r>
        <w:rPr>
          <w:rFonts w:ascii="宋体" w:hAnsi="宋体" w:eastAsia="宋体" w:cs="宋体"/>
          <w:spacing w:val="-3"/>
          <w:sz w:val="24"/>
          <w:szCs w:val="24"/>
        </w:rPr>
        <w:t>海拔、土壤、坡向、坡度、坡位等生境因子。</w:t>
      </w:r>
    </w:p>
    <w:p w14:paraId="6681B6A6">
      <w:pPr>
        <w:spacing w:before="7" w:line="360" w:lineRule="auto"/>
        <w:ind w:left="3" w:firstLine="484"/>
        <w:jc w:val="both"/>
        <w:rPr>
          <w:rFonts w:ascii="宋体" w:hAnsi="宋体" w:eastAsia="宋体" w:cs="宋体"/>
          <w:sz w:val="24"/>
          <w:szCs w:val="24"/>
        </w:rPr>
      </w:pPr>
      <w:r>
        <w:rPr>
          <w:rFonts w:ascii="宋体" w:hAnsi="宋体" w:eastAsia="宋体" w:cs="宋体"/>
          <w:spacing w:val="-2"/>
          <w:sz w:val="24"/>
          <w:szCs w:val="24"/>
        </w:rPr>
        <w:t>项目组对工程沿线的植被现状进行了现场调查。植被调查取样的目的是要通过样方的研究准确地推测评价范围内植被的总体状况，所选取的样方要具有代表性，且能通过</w:t>
      </w:r>
      <w:r>
        <w:rPr>
          <w:rFonts w:ascii="宋体" w:hAnsi="宋体" w:eastAsia="宋体" w:cs="宋体"/>
          <w:spacing w:val="-3"/>
          <w:sz w:val="24"/>
          <w:szCs w:val="24"/>
        </w:rPr>
        <w:t>尽可能少的样方获得较为准确的有关总体的特征。在对评价范围的植被进行样方调查时，</w:t>
      </w:r>
      <w:r>
        <w:rPr>
          <w:rFonts w:ascii="宋体" w:hAnsi="宋体" w:eastAsia="宋体" w:cs="宋体"/>
          <w:spacing w:val="-8"/>
          <w:sz w:val="24"/>
          <w:szCs w:val="24"/>
        </w:rPr>
        <w:t>采取的原则是：</w:t>
      </w:r>
    </w:p>
    <w:p w14:paraId="20714F04">
      <w:pPr>
        <w:spacing w:before="1" w:line="361" w:lineRule="auto"/>
        <w:ind w:left="2" w:right="186" w:firstLine="480"/>
        <w:jc w:val="both"/>
        <w:rPr>
          <w:rFonts w:ascii="宋体" w:hAnsi="宋体" w:eastAsia="宋体" w:cs="宋体"/>
          <w:sz w:val="24"/>
          <w:szCs w:val="24"/>
        </w:rPr>
      </w:pPr>
      <w:r>
        <w:rPr>
          <w:rFonts w:ascii="宋体" w:hAnsi="宋体" w:eastAsia="宋体" w:cs="宋体"/>
          <w:spacing w:val="-2"/>
          <w:sz w:val="24"/>
          <w:szCs w:val="24"/>
        </w:rPr>
        <w:t>①尽量选取重点施工区域（如塔基占地区等）、典型地形地貌或不同生态类型区域</w:t>
      </w:r>
      <w:r>
        <w:rPr>
          <w:rFonts w:ascii="宋体" w:hAnsi="宋体" w:eastAsia="宋体" w:cs="宋体"/>
          <w:spacing w:val="-1"/>
          <w:sz w:val="24"/>
          <w:szCs w:val="24"/>
        </w:rPr>
        <w:t>设置样方点，并适当考虑评价区布点的均匀</w:t>
      </w:r>
      <w:r>
        <w:rPr>
          <w:rFonts w:ascii="宋体" w:hAnsi="宋体" w:eastAsia="宋体" w:cs="宋体"/>
          <w:spacing w:val="-2"/>
          <w:sz w:val="24"/>
          <w:szCs w:val="24"/>
        </w:rPr>
        <w:t>性；所选取的样点植被为评价区分布比较普遍的类型；对特别重要的植被类型中物种多样性变化较大的情况，适当增加设点；尽量</w:t>
      </w:r>
    </w:p>
    <w:p w14:paraId="56CFE4D6">
      <w:pPr>
        <w:spacing w:line="361" w:lineRule="auto"/>
        <w:rPr>
          <w:rFonts w:ascii="宋体" w:hAnsi="宋体" w:eastAsia="宋体" w:cs="宋体"/>
          <w:sz w:val="24"/>
          <w:szCs w:val="24"/>
        </w:rPr>
        <w:sectPr>
          <w:footerReference r:id="rId155" w:type="default"/>
          <w:pgSz w:w="11907" w:h="16841"/>
          <w:pgMar w:top="400" w:right="1229" w:bottom="1126" w:left="1423" w:header="0" w:footer="925" w:gutter="0"/>
          <w:cols w:space="720" w:num="1"/>
        </w:sectPr>
      </w:pPr>
    </w:p>
    <w:p w14:paraId="5F710D7D">
      <w:pPr>
        <w:spacing w:line="249" w:lineRule="auto"/>
        <w:rPr>
          <w:rFonts w:ascii="Arial"/>
          <w:sz w:val="21"/>
        </w:rPr>
      </w:pPr>
    </w:p>
    <w:p w14:paraId="4341E7C6">
      <w:pPr>
        <w:spacing w:line="249" w:lineRule="auto"/>
        <w:rPr>
          <w:rFonts w:ascii="Arial"/>
          <w:sz w:val="21"/>
        </w:rPr>
      </w:pPr>
    </w:p>
    <w:p w14:paraId="16F32A3A">
      <w:pPr>
        <w:spacing w:line="249" w:lineRule="auto"/>
        <w:rPr>
          <w:rFonts w:ascii="Arial"/>
          <w:sz w:val="21"/>
        </w:rPr>
      </w:pPr>
    </w:p>
    <w:p w14:paraId="7B225827">
      <w:pPr>
        <w:spacing w:line="249" w:lineRule="auto"/>
        <w:rPr>
          <w:rFonts w:ascii="Arial"/>
          <w:sz w:val="21"/>
        </w:rPr>
      </w:pPr>
    </w:p>
    <w:p w14:paraId="3E7B6335">
      <w:pPr>
        <w:spacing w:line="249" w:lineRule="auto"/>
        <w:rPr>
          <w:rFonts w:ascii="Arial"/>
          <w:sz w:val="21"/>
        </w:rPr>
      </w:pPr>
    </w:p>
    <w:p w14:paraId="4AB88978">
      <w:pPr>
        <w:spacing w:before="78" w:line="360" w:lineRule="auto"/>
        <w:ind w:left="3" w:right="4" w:hanging="2"/>
        <w:rPr>
          <w:rFonts w:ascii="宋体" w:hAnsi="宋体" w:eastAsia="宋体" w:cs="宋体"/>
          <w:sz w:val="24"/>
          <w:szCs w:val="24"/>
        </w:rPr>
      </w:pPr>
      <w:r>
        <w:rPr>
          <w:rFonts w:ascii="宋体" w:hAnsi="宋体" w:eastAsia="宋体" w:cs="宋体"/>
          <w:spacing w:val="-6"/>
          <w:sz w:val="24"/>
          <w:szCs w:val="24"/>
        </w:rPr>
        <w:t>避免非取样误差，调查结果中的植被应包括评价区分布最普遍、最主要的植被类型，</w:t>
      </w:r>
      <w:r>
        <w:rPr>
          <w:rFonts w:ascii="宋体" w:hAnsi="宋体" w:eastAsia="宋体" w:cs="宋体"/>
          <w:spacing w:val="49"/>
          <w:sz w:val="24"/>
          <w:szCs w:val="24"/>
        </w:rPr>
        <w:t xml:space="preserve"> </w:t>
      </w:r>
      <w:r>
        <w:rPr>
          <w:rFonts w:ascii="宋体" w:hAnsi="宋体" w:eastAsia="宋体" w:cs="宋体"/>
          <w:spacing w:val="-6"/>
          <w:sz w:val="24"/>
          <w:szCs w:val="24"/>
        </w:rPr>
        <w:t>涵</w:t>
      </w:r>
      <w:r>
        <w:rPr>
          <w:rFonts w:ascii="宋体" w:hAnsi="宋体" w:eastAsia="宋体" w:cs="宋体"/>
          <w:spacing w:val="-9"/>
          <w:sz w:val="24"/>
          <w:szCs w:val="24"/>
        </w:rPr>
        <w:t>盖针叶林、灌丛、稀树灌草丛、农业植被等评价区常见且具有代表性的土地及植被类型。</w:t>
      </w:r>
    </w:p>
    <w:p w14:paraId="079E4111">
      <w:pPr>
        <w:spacing w:before="2" w:line="359" w:lineRule="auto"/>
        <w:ind w:left="2" w:right="1" w:firstLine="479"/>
        <w:jc w:val="both"/>
        <w:rPr>
          <w:rFonts w:ascii="宋体" w:hAnsi="宋体" w:eastAsia="宋体" w:cs="宋体"/>
          <w:sz w:val="24"/>
          <w:szCs w:val="24"/>
        </w:rPr>
      </w:pPr>
      <w:r>
        <w:rPr>
          <w:rFonts w:ascii="宋体" w:hAnsi="宋体" w:eastAsia="宋体" w:cs="宋体"/>
          <w:spacing w:val="-2"/>
          <w:sz w:val="24"/>
          <w:szCs w:val="24"/>
        </w:rPr>
        <w:t>②样方调查采用样地记录法，采用典型样地记录法进行群落调查，乔木群落样方面</w:t>
      </w:r>
      <w:r>
        <w:rPr>
          <w:rFonts w:ascii="宋体" w:hAnsi="宋体" w:eastAsia="宋体" w:cs="宋体"/>
          <w:spacing w:val="-5"/>
          <w:sz w:val="24"/>
          <w:szCs w:val="24"/>
        </w:rPr>
        <w:t>积为</w:t>
      </w:r>
      <w:r>
        <w:rPr>
          <w:rFonts w:ascii="宋体" w:hAnsi="宋体" w:eastAsia="宋体" w:cs="宋体"/>
          <w:spacing w:val="-44"/>
          <w:sz w:val="24"/>
          <w:szCs w:val="24"/>
        </w:rPr>
        <w:t xml:space="preserve"> </w:t>
      </w:r>
      <w:r>
        <w:rPr>
          <w:rFonts w:ascii="Times New Roman" w:hAnsi="Times New Roman" w:eastAsia="Times New Roman" w:cs="Times New Roman"/>
          <w:spacing w:val="-5"/>
          <w:sz w:val="24"/>
          <w:szCs w:val="24"/>
        </w:rPr>
        <w:t>20m</w:t>
      </w:r>
      <w:r>
        <w:rPr>
          <w:rFonts w:ascii="宋体" w:hAnsi="宋体" w:eastAsia="宋体" w:cs="宋体"/>
          <w:spacing w:val="-5"/>
          <w:sz w:val="24"/>
          <w:szCs w:val="24"/>
        </w:rPr>
        <w:t>×</w:t>
      </w:r>
      <w:r>
        <w:rPr>
          <w:rFonts w:ascii="Times New Roman" w:hAnsi="Times New Roman" w:eastAsia="Times New Roman" w:cs="Times New Roman"/>
          <w:spacing w:val="-5"/>
          <w:sz w:val="24"/>
          <w:szCs w:val="24"/>
        </w:rPr>
        <w:t>20m</w:t>
      </w:r>
      <w:r>
        <w:rPr>
          <w:rFonts w:ascii="宋体" w:hAnsi="宋体" w:eastAsia="宋体" w:cs="宋体"/>
          <w:spacing w:val="-5"/>
          <w:sz w:val="24"/>
          <w:szCs w:val="24"/>
        </w:rPr>
        <w:t>，灌木样方为</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5m</w:t>
      </w:r>
      <w:r>
        <w:rPr>
          <w:rFonts w:ascii="宋体" w:hAnsi="宋体" w:eastAsia="宋体" w:cs="宋体"/>
          <w:spacing w:val="-5"/>
          <w:sz w:val="24"/>
          <w:szCs w:val="24"/>
        </w:rPr>
        <w:t>×</w:t>
      </w:r>
      <w:r>
        <w:rPr>
          <w:rFonts w:ascii="Times New Roman" w:hAnsi="Times New Roman" w:eastAsia="Times New Roman" w:cs="Times New Roman"/>
          <w:spacing w:val="-5"/>
          <w:sz w:val="24"/>
          <w:szCs w:val="24"/>
        </w:rPr>
        <w:t>5m</w:t>
      </w:r>
      <w:r>
        <w:rPr>
          <w:rFonts w:ascii="宋体" w:hAnsi="宋体" w:eastAsia="宋体" w:cs="宋体"/>
          <w:spacing w:val="-5"/>
          <w:sz w:val="24"/>
          <w:szCs w:val="24"/>
        </w:rPr>
        <w:t>，草本样方为</w:t>
      </w:r>
      <w:r>
        <w:rPr>
          <w:rFonts w:ascii="宋体" w:hAnsi="宋体" w:eastAsia="宋体" w:cs="宋体"/>
          <w:spacing w:val="-32"/>
          <w:sz w:val="24"/>
          <w:szCs w:val="24"/>
        </w:rPr>
        <w:t xml:space="preserve"> </w:t>
      </w:r>
      <w:r>
        <w:rPr>
          <w:rFonts w:ascii="Times New Roman" w:hAnsi="Times New Roman" w:eastAsia="Times New Roman" w:cs="Times New Roman"/>
          <w:spacing w:val="-5"/>
          <w:sz w:val="24"/>
          <w:szCs w:val="24"/>
        </w:rPr>
        <w:t>1m</w:t>
      </w:r>
      <w:r>
        <w:rPr>
          <w:rFonts w:ascii="宋体" w:hAnsi="宋体" w:eastAsia="宋体" w:cs="宋体"/>
          <w:spacing w:val="-5"/>
          <w:sz w:val="24"/>
          <w:szCs w:val="24"/>
        </w:rPr>
        <w:t>×</w:t>
      </w:r>
      <w:r>
        <w:rPr>
          <w:rFonts w:ascii="Times New Roman" w:hAnsi="Times New Roman" w:eastAsia="Times New Roman" w:cs="Times New Roman"/>
          <w:spacing w:val="-5"/>
          <w:sz w:val="24"/>
          <w:szCs w:val="24"/>
        </w:rPr>
        <w:t>1m</w:t>
      </w:r>
      <w:r>
        <w:rPr>
          <w:rFonts w:ascii="宋体" w:hAnsi="宋体" w:eastAsia="宋体" w:cs="宋体"/>
          <w:spacing w:val="-5"/>
          <w:sz w:val="24"/>
          <w:szCs w:val="24"/>
        </w:rPr>
        <w:t>，记录样方经纬度、海拔高</w:t>
      </w:r>
      <w:r>
        <w:rPr>
          <w:rFonts w:ascii="宋体" w:hAnsi="宋体" w:eastAsia="宋体" w:cs="宋体"/>
          <w:spacing w:val="-6"/>
          <w:sz w:val="24"/>
          <w:szCs w:val="24"/>
        </w:rPr>
        <w:t>度、植被类型、优势植物组成种类，</w:t>
      </w:r>
      <w:r>
        <w:rPr>
          <w:rFonts w:ascii="宋体" w:hAnsi="宋体" w:eastAsia="宋体" w:cs="宋体"/>
          <w:spacing w:val="57"/>
          <w:sz w:val="24"/>
          <w:szCs w:val="24"/>
        </w:rPr>
        <w:t xml:space="preserve"> </w:t>
      </w:r>
      <w:r>
        <w:rPr>
          <w:rFonts w:ascii="宋体" w:hAnsi="宋体" w:eastAsia="宋体" w:cs="宋体"/>
          <w:spacing w:val="-6"/>
          <w:sz w:val="24"/>
          <w:szCs w:val="24"/>
        </w:rPr>
        <w:t>并拍摄典型植被特征。对资源植物</w:t>
      </w:r>
      <w:r>
        <w:rPr>
          <w:rFonts w:ascii="宋体" w:hAnsi="宋体" w:eastAsia="宋体" w:cs="宋体"/>
          <w:spacing w:val="-7"/>
          <w:sz w:val="24"/>
          <w:szCs w:val="24"/>
        </w:rPr>
        <w:t>和珍稀濒危植物</w:t>
      </w:r>
      <w:r>
        <w:rPr>
          <w:rFonts w:ascii="宋体" w:hAnsi="宋体" w:eastAsia="宋体" w:cs="宋体"/>
          <w:spacing w:val="-6"/>
          <w:sz w:val="24"/>
          <w:szCs w:val="24"/>
        </w:rPr>
        <w:t>调查采取野外调查和民间访问、已有相关资料相结合的方法进行，</w:t>
      </w:r>
      <w:r>
        <w:rPr>
          <w:rFonts w:ascii="宋体" w:hAnsi="宋体" w:eastAsia="宋体" w:cs="宋体"/>
          <w:spacing w:val="48"/>
          <w:sz w:val="24"/>
          <w:szCs w:val="24"/>
        </w:rPr>
        <w:t xml:space="preserve"> </w:t>
      </w:r>
      <w:r>
        <w:rPr>
          <w:rFonts w:ascii="宋体" w:hAnsi="宋体" w:eastAsia="宋体" w:cs="宋体"/>
          <w:spacing w:val="-6"/>
          <w:sz w:val="24"/>
          <w:szCs w:val="24"/>
        </w:rPr>
        <w:t>对有疑问、经济植物</w:t>
      </w:r>
      <w:r>
        <w:rPr>
          <w:rFonts w:ascii="宋体" w:hAnsi="宋体" w:eastAsia="宋体" w:cs="宋体"/>
          <w:spacing w:val="-2"/>
          <w:sz w:val="24"/>
          <w:szCs w:val="24"/>
        </w:rPr>
        <w:t>和珍稀濒危植物还要采集凭证标本和拍摄照片。</w:t>
      </w:r>
    </w:p>
    <w:p w14:paraId="72CF45D1">
      <w:pPr>
        <w:spacing w:before="4" w:line="360" w:lineRule="auto"/>
        <w:ind w:left="4" w:right="12" w:firstLine="480"/>
        <w:rPr>
          <w:rFonts w:ascii="宋体" w:hAnsi="宋体" w:eastAsia="宋体" w:cs="宋体"/>
          <w:sz w:val="24"/>
          <w:szCs w:val="24"/>
        </w:rPr>
      </w:pPr>
      <w:r>
        <w:rPr>
          <w:rFonts w:ascii="宋体" w:hAnsi="宋体" w:eastAsia="宋体" w:cs="宋体"/>
          <w:spacing w:val="-2"/>
          <w:sz w:val="24"/>
          <w:szCs w:val="24"/>
        </w:rPr>
        <w:t>现场调查设置植被样方，经过整理分析，确定较典型的样方，满足《环境影响评价</w:t>
      </w:r>
      <w:r>
        <w:rPr>
          <w:rFonts w:ascii="宋体" w:hAnsi="宋体" w:eastAsia="宋体" w:cs="宋体"/>
          <w:spacing w:val="-1"/>
          <w:sz w:val="24"/>
          <w:szCs w:val="24"/>
        </w:rPr>
        <w:t>技术导则 生态影响》（</w:t>
      </w:r>
      <w:r>
        <w:rPr>
          <w:rFonts w:ascii="Times New Roman" w:hAnsi="Times New Roman" w:eastAsia="Times New Roman" w:cs="Times New Roman"/>
          <w:spacing w:val="-1"/>
          <w:sz w:val="24"/>
          <w:szCs w:val="24"/>
        </w:rPr>
        <w:t>HJ19-2022</w:t>
      </w:r>
      <w:r>
        <w:rPr>
          <w:rFonts w:ascii="宋体" w:hAnsi="宋体" w:eastAsia="宋体" w:cs="宋体"/>
          <w:spacing w:val="-1"/>
          <w:sz w:val="24"/>
          <w:szCs w:val="24"/>
        </w:rPr>
        <w:t>）相关要求，见</w:t>
      </w:r>
      <w:r>
        <w:rPr>
          <w:rFonts w:ascii="宋体" w:hAnsi="宋体" w:eastAsia="宋体" w:cs="宋体"/>
          <w:spacing w:val="-2"/>
          <w:sz w:val="24"/>
          <w:szCs w:val="24"/>
        </w:rPr>
        <w:t>附件样方调查表。</w:t>
      </w:r>
    </w:p>
    <w:p w14:paraId="70E6A87C">
      <w:pPr>
        <w:spacing w:line="233" w:lineRule="auto"/>
        <w:ind w:left="479"/>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w:t>
      </w:r>
      <w:r>
        <w:rPr>
          <w:rFonts w:ascii="Times New Roman" w:hAnsi="Times New Roman" w:eastAsia="Times New Roman" w:cs="Times New Roman"/>
          <w:spacing w:val="-1"/>
          <w:sz w:val="24"/>
          <w:szCs w:val="24"/>
        </w:rPr>
        <w:t xml:space="preserve">GPS </w:t>
      </w:r>
      <w:r>
        <w:rPr>
          <w:rFonts w:ascii="宋体" w:hAnsi="宋体" w:eastAsia="宋体" w:cs="宋体"/>
          <w:spacing w:val="-1"/>
          <w:sz w:val="24"/>
          <w:szCs w:val="24"/>
        </w:rPr>
        <w:t>地面类型取样</w:t>
      </w:r>
    </w:p>
    <w:p w14:paraId="65EC35A6">
      <w:pPr>
        <w:spacing w:before="164" w:line="360" w:lineRule="auto"/>
        <w:ind w:left="2" w:firstLine="480"/>
        <w:rPr>
          <w:rFonts w:ascii="宋体" w:hAnsi="宋体" w:eastAsia="宋体" w:cs="宋体"/>
          <w:sz w:val="24"/>
          <w:szCs w:val="24"/>
        </w:rPr>
      </w:pPr>
      <w:r>
        <w:rPr>
          <w:rFonts w:ascii="Times New Roman" w:hAnsi="Times New Roman" w:eastAsia="Times New Roman" w:cs="Times New Roman"/>
          <w:spacing w:val="-2"/>
          <w:sz w:val="24"/>
          <w:szCs w:val="24"/>
        </w:rPr>
        <w:t xml:space="preserve">GPS </w:t>
      </w:r>
      <w:r>
        <w:rPr>
          <w:rFonts w:ascii="宋体" w:hAnsi="宋体" w:eastAsia="宋体" w:cs="宋体"/>
          <w:spacing w:val="-2"/>
          <w:sz w:val="24"/>
          <w:szCs w:val="24"/>
        </w:rPr>
        <w:t>样点是卫星遥感影像判读各种景观类型的基础，根据室内判读的植被与土</w:t>
      </w:r>
      <w:r>
        <w:rPr>
          <w:rFonts w:ascii="宋体" w:hAnsi="宋体" w:eastAsia="宋体" w:cs="宋体"/>
          <w:spacing w:val="-3"/>
          <w:sz w:val="24"/>
          <w:szCs w:val="24"/>
        </w:rPr>
        <w:t>地利</w:t>
      </w:r>
      <w:r>
        <w:rPr>
          <w:rFonts w:ascii="宋体" w:hAnsi="宋体" w:eastAsia="宋体" w:cs="宋体"/>
          <w:spacing w:val="-4"/>
          <w:sz w:val="24"/>
          <w:szCs w:val="24"/>
        </w:rPr>
        <w:t>用类型初图，现场核实判读的正误率，并对每个</w:t>
      </w:r>
      <w:r>
        <w:rPr>
          <w:rFonts w:ascii="宋体" w:hAnsi="宋体" w:eastAsia="宋体" w:cs="宋体"/>
          <w:spacing w:val="-37"/>
          <w:sz w:val="24"/>
          <w:szCs w:val="24"/>
        </w:rPr>
        <w:t xml:space="preserve"> </w:t>
      </w:r>
      <w:r>
        <w:rPr>
          <w:rFonts w:ascii="Times New Roman" w:hAnsi="Times New Roman" w:eastAsia="Times New Roman" w:cs="Times New Roman"/>
          <w:spacing w:val="-4"/>
          <w:sz w:val="24"/>
          <w:szCs w:val="24"/>
        </w:rPr>
        <w:t xml:space="preserve">GPS </w:t>
      </w:r>
      <w:r>
        <w:rPr>
          <w:rFonts w:ascii="宋体" w:hAnsi="宋体" w:eastAsia="宋体" w:cs="宋体"/>
          <w:spacing w:val="-4"/>
          <w:sz w:val="24"/>
          <w:szCs w:val="24"/>
        </w:rPr>
        <w:t>取样点做如下详细记录：①海拔表</w:t>
      </w:r>
      <w:r>
        <w:rPr>
          <w:rFonts w:ascii="宋体" w:hAnsi="宋体" w:eastAsia="宋体" w:cs="宋体"/>
          <w:spacing w:val="-2"/>
          <w:sz w:val="24"/>
          <w:szCs w:val="24"/>
        </w:rPr>
        <w:t>读出测点的海拔值和经纬度；②记录样点植被类型，以群系为单位，同时记录坡向、坡度等；③记录样点优势植物以及观察动物的活动的情况；④拍摄典型植被外貌与结构特</w:t>
      </w:r>
      <w:r>
        <w:rPr>
          <w:rFonts w:ascii="宋体" w:hAnsi="宋体" w:eastAsia="宋体" w:cs="宋体"/>
          <w:spacing w:val="-11"/>
          <w:sz w:val="24"/>
          <w:szCs w:val="24"/>
        </w:rPr>
        <w:t>征。</w:t>
      </w:r>
    </w:p>
    <w:p w14:paraId="51BF598B">
      <w:pPr>
        <w:spacing w:line="234" w:lineRule="auto"/>
        <w:ind w:left="483"/>
        <w:rPr>
          <w:rFonts w:ascii="宋体" w:hAnsi="宋体" w:eastAsia="宋体" w:cs="宋体"/>
          <w:sz w:val="24"/>
          <w:szCs w:val="24"/>
        </w:rPr>
      </w:pPr>
      <w:r>
        <w:rPr>
          <w:rFonts w:ascii="Times New Roman" w:hAnsi="Times New Roman" w:eastAsia="Times New Roman" w:cs="Times New Roman"/>
          <w:spacing w:val="-4"/>
          <w:sz w:val="24"/>
          <w:szCs w:val="24"/>
        </w:rPr>
        <w:t>3</w:t>
      </w:r>
      <w:r>
        <w:rPr>
          <w:rFonts w:ascii="宋体" w:hAnsi="宋体" w:eastAsia="宋体" w:cs="宋体"/>
          <w:spacing w:val="-4"/>
          <w:sz w:val="24"/>
          <w:szCs w:val="24"/>
        </w:rPr>
        <w:t>）统计分析</w:t>
      </w:r>
    </w:p>
    <w:p w14:paraId="0FE14FC8">
      <w:pPr>
        <w:spacing w:before="165" w:line="359" w:lineRule="auto"/>
        <w:ind w:left="4" w:firstLine="479"/>
        <w:rPr>
          <w:rFonts w:ascii="宋体" w:hAnsi="宋体" w:eastAsia="宋体" w:cs="宋体"/>
          <w:sz w:val="24"/>
          <w:szCs w:val="24"/>
        </w:rPr>
      </w:pPr>
      <w:r>
        <w:rPr>
          <w:rFonts w:ascii="宋体" w:hAnsi="宋体" w:eastAsia="宋体" w:cs="宋体"/>
          <w:spacing w:val="-2"/>
          <w:sz w:val="24"/>
          <w:szCs w:val="24"/>
        </w:rPr>
        <w:t>根据野外调查样方资料，分析样方数据。根据样方调查资料、野外照片资料及评价</w:t>
      </w:r>
      <w:r>
        <w:rPr>
          <w:rFonts w:ascii="宋体" w:hAnsi="宋体" w:eastAsia="宋体" w:cs="宋体"/>
          <w:spacing w:val="-5"/>
          <w:sz w:val="24"/>
          <w:szCs w:val="24"/>
        </w:rPr>
        <w:t>区卫星地图等，按照《云南植被》的分类体系， 以及土地利用类型的分类体系，确定评</w:t>
      </w:r>
      <w:r>
        <w:rPr>
          <w:rFonts w:ascii="宋体" w:hAnsi="宋体" w:eastAsia="宋体" w:cs="宋体"/>
          <w:spacing w:val="-1"/>
          <w:sz w:val="24"/>
          <w:szCs w:val="24"/>
        </w:rPr>
        <w:t>价区植被类型体系和土地利用类型，统计各类型的面积。评价区海拔在</w:t>
      </w:r>
      <w:r>
        <w:rPr>
          <w:rFonts w:ascii="宋体" w:hAnsi="宋体" w:eastAsia="宋体" w:cs="宋体"/>
          <w:spacing w:val="-31"/>
          <w:sz w:val="24"/>
          <w:szCs w:val="24"/>
        </w:rPr>
        <w:t xml:space="preserve"> </w:t>
      </w:r>
      <w:r>
        <w:rPr>
          <w:rFonts w:ascii="Times New Roman" w:hAnsi="Times New Roman" w:eastAsia="Times New Roman" w:cs="Times New Roman"/>
          <w:spacing w:val="-1"/>
          <w:sz w:val="24"/>
          <w:szCs w:val="24"/>
        </w:rPr>
        <w:t xml:space="preserve">1656~2423m </w:t>
      </w:r>
      <w:r>
        <w:rPr>
          <w:rFonts w:ascii="宋体" w:hAnsi="宋体" w:eastAsia="宋体" w:cs="宋体"/>
          <w:spacing w:val="-1"/>
          <w:sz w:val="24"/>
          <w:szCs w:val="24"/>
        </w:rPr>
        <w:t>之</w:t>
      </w:r>
      <w:r>
        <w:rPr>
          <w:rFonts w:ascii="宋体" w:hAnsi="宋体" w:eastAsia="宋体" w:cs="宋体"/>
          <w:spacing w:val="-5"/>
          <w:sz w:val="24"/>
          <w:szCs w:val="24"/>
        </w:rPr>
        <w:t>间，海拔落差较小。</w:t>
      </w:r>
    </w:p>
    <w:p w14:paraId="6F22E83A">
      <w:pPr>
        <w:spacing w:before="4" w:line="236" w:lineRule="auto"/>
        <w:ind w:left="477"/>
        <w:rPr>
          <w:rFonts w:ascii="宋体" w:hAnsi="宋体" w:eastAsia="宋体" w:cs="宋体"/>
          <w:sz w:val="24"/>
          <w:szCs w:val="24"/>
        </w:rPr>
      </w:pPr>
      <w:r>
        <w:rPr>
          <w:rFonts w:ascii="Times New Roman" w:hAnsi="Times New Roman" w:eastAsia="Times New Roman" w:cs="Times New Roman"/>
          <w:spacing w:val="-4"/>
          <w:sz w:val="24"/>
          <w:szCs w:val="24"/>
        </w:rPr>
        <w:t>4</w:t>
      </w:r>
      <w:r>
        <w:rPr>
          <w:rFonts w:ascii="宋体" w:hAnsi="宋体" w:eastAsia="宋体" w:cs="宋体"/>
          <w:spacing w:val="-4"/>
          <w:sz w:val="24"/>
          <w:szCs w:val="24"/>
        </w:rPr>
        <w:t>）调查时间</w:t>
      </w:r>
    </w:p>
    <w:p w14:paraId="660BEB0A">
      <w:pPr>
        <w:spacing w:before="163" w:line="351" w:lineRule="auto"/>
        <w:ind w:left="2" w:right="4" w:firstLine="476"/>
        <w:rPr>
          <w:rFonts w:ascii="宋体" w:hAnsi="宋体" w:eastAsia="宋体" w:cs="宋体"/>
          <w:sz w:val="24"/>
          <w:szCs w:val="24"/>
        </w:rPr>
      </w:pPr>
      <w:r>
        <w:rPr>
          <w:rFonts w:ascii="Times New Roman" w:hAnsi="Times New Roman" w:eastAsia="Times New Roman" w:cs="Times New Roman"/>
          <w:spacing w:val="-3"/>
          <w:sz w:val="24"/>
          <w:szCs w:val="24"/>
        </w:rPr>
        <w:t xml:space="preserve">2025 </w:t>
      </w:r>
      <w:r>
        <w:rPr>
          <w:rFonts w:ascii="宋体" w:hAnsi="宋体" w:eastAsia="宋体" w:cs="宋体"/>
          <w:spacing w:val="-3"/>
          <w:sz w:val="24"/>
          <w:szCs w:val="24"/>
        </w:rPr>
        <w:t>年</w:t>
      </w:r>
      <w:r>
        <w:rPr>
          <w:rFonts w:ascii="宋体" w:hAnsi="宋体" w:eastAsia="宋体" w:cs="宋体"/>
          <w:spacing w:val="-56"/>
          <w:sz w:val="24"/>
          <w:szCs w:val="24"/>
        </w:rPr>
        <w:t xml:space="preserve"> </w:t>
      </w:r>
      <w:r>
        <w:rPr>
          <w:rFonts w:ascii="Times New Roman" w:hAnsi="Times New Roman" w:eastAsia="Times New Roman" w:cs="Times New Roman"/>
          <w:spacing w:val="-3"/>
          <w:sz w:val="24"/>
          <w:szCs w:val="24"/>
        </w:rPr>
        <w:t>4</w:t>
      </w:r>
      <w:r>
        <w:rPr>
          <w:rFonts w:ascii="Times New Roman" w:hAnsi="Times New Roman" w:eastAsia="Times New Roman" w:cs="Times New Roman"/>
          <w:spacing w:val="15"/>
          <w:sz w:val="24"/>
          <w:szCs w:val="24"/>
        </w:rPr>
        <w:t xml:space="preserve"> </w:t>
      </w:r>
      <w:r>
        <w:rPr>
          <w:rFonts w:ascii="宋体" w:hAnsi="宋体" w:eastAsia="宋体" w:cs="宋体"/>
          <w:spacing w:val="-3"/>
          <w:sz w:val="24"/>
          <w:szCs w:val="24"/>
        </w:rPr>
        <w:t>月，项目组对线路工程范围及</w:t>
      </w:r>
      <w:r>
        <w:rPr>
          <w:rFonts w:ascii="宋体" w:hAnsi="宋体" w:eastAsia="宋体" w:cs="宋体"/>
          <w:spacing w:val="-4"/>
          <w:sz w:val="24"/>
          <w:szCs w:val="24"/>
        </w:rPr>
        <w:t>周边区域进行实地调查，记录各工程区及周</w:t>
      </w:r>
      <w:r>
        <w:rPr>
          <w:rFonts w:ascii="宋体" w:hAnsi="宋体" w:eastAsia="宋体" w:cs="宋体"/>
          <w:spacing w:val="-1"/>
          <w:sz w:val="24"/>
          <w:szCs w:val="24"/>
        </w:rPr>
        <w:t>边生境、植被类型及特点，多点拍照，以作为分析各工程区占用的植</w:t>
      </w:r>
      <w:r>
        <w:rPr>
          <w:rFonts w:ascii="宋体" w:hAnsi="宋体" w:eastAsia="宋体" w:cs="宋体"/>
          <w:spacing w:val="-2"/>
          <w:sz w:val="24"/>
          <w:szCs w:val="24"/>
        </w:rPr>
        <w:t>被类型的依据。</w:t>
      </w:r>
    </w:p>
    <w:p w14:paraId="3E897B51">
      <w:pPr>
        <w:spacing w:before="23" w:line="233" w:lineRule="auto"/>
        <w:ind w:left="492"/>
        <w:rPr>
          <w:rFonts w:ascii="宋体" w:hAnsi="宋体" w:eastAsia="宋体" w:cs="宋体"/>
          <w:sz w:val="24"/>
          <w:szCs w:val="24"/>
        </w:rPr>
      </w:pPr>
      <w:r>
        <w:rPr>
          <w:rFonts w:ascii="宋体" w:hAnsi="宋体" w:eastAsia="宋体" w:cs="宋体"/>
          <w:b/>
          <w:bCs/>
          <w:spacing w:val="-7"/>
          <w:sz w:val="24"/>
          <w:szCs w:val="24"/>
        </w:rPr>
        <w:t>（</w:t>
      </w:r>
      <w:r>
        <w:rPr>
          <w:rFonts w:ascii="Times New Roman" w:hAnsi="Times New Roman" w:eastAsia="Times New Roman" w:cs="Times New Roman"/>
          <w:b/>
          <w:bCs/>
          <w:spacing w:val="-7"/>
          <w:sz w:val="24"/>
          <w:szCs w:val="24"/>
        </w:rPr>
        <w:t>2</w:t>
      </w:r>
      <w:r>
        <w:rPr>
          <w:rFonts w:ascii="宋体" w:hAnsi="宋体" w:eastAsia="宋体" w:cs="宋体"/>
          <w:b/>
          <w:bCs/>
          <w:spacing w:val="-7"/>
          <w:sz w:val="24"/>
          <w:szCs w:val="24"/>
        </w:rPr>
        <w:t>）植被区划</w:t>
      </w:r>
    </w:p>
    <w:p w14:paraId="16575D9D">
      <w:pPr>
        <w:spacing w:before="162" w:line="356" w:lineRule="auto"/>
        <w:ind w:firstLine="483"/>
        <w:jc w:val="both"/>
        <w:rPr>
          <w:rFonts w:ascii="宋体" w:hAnsi="宋体" w:eastAsia="宋体" w:cs="宋体"/>
          <w:sz w:val="24"/>
          <w:szCs w:val="24"/>
        </w:rPr>
      </w:pPr>
      <w:r>
        <w:rPr>
          <w:rFonts w:ascii="宋体" w:hAnsi="宋体" w:eastAsia="宋体" w:cs="宋体"/>
          <w:spacing w:val="-3"/>
          <w:sz w:val="24"/>
          <w:szCs w:val="24"/>
        </w:rPr>
        <w:t>根据《云南植被》对云南植被进行的区划，评价区属于</w:t>
      </w:r>
      <w:r>
        <w:rPr>
          <w:rFonts w:ascii="宋体" w:hAnsi="宋体" w:eastAsia="宋体" w:cs="宋体"/>
          <w:spacing w:val="-43"/>
          <w:sz w:val="24"/>
          <w:szCs w:val="24"/>
        </w:rPr>
        <w:t xml:space="preserve"> </w:t>
      </w:r>
      <w:r>
        <w:rPr>
          <w:rFonts w:ascii="Times New Roman" w:hAnsi="Times New Roman" w:eastAsia="Times New Roman" w:cs="Times New Roman"/>
          <w:spacing w:val="-3"/>
          <w:sz w:val="24"/>
          <w:szCs w:val="24"/>
        </w:rPr>
        <w:t xml:space="preserve">II </w:t>
      </w:r>
      <w:r>
        <w:rPr>
          <w:rFonts w:ascii="宋体" w:hAnsi="宋体" w:eastAsia="宋体" w:cs="宋体"/>
          <w:spacing w:val="-3"/>
          <w:sz w:val="24"/>
          <w:szCs w:val="24"/>
        </w:rPr>
        <w:t>亚热带常绿阔叶林区域—</w:t>
      </w:r>
      <w:r>
        <w:rPr>
          <w:rFonts w:ascii="宋体" w:hAnsi="宋体" w:eastAsia="宋体" w:cs="宋体"/>
          <w:sz w:val="24"/>
          <w:szCs w:val="24"/>
        </w:rPr>
        <w:t xml:space="preserve"> </w:t>
      </w:r>
      <w:r>
        <w:rPr>
          <w:rFonts w:ascii="Times New Roman" w:hAnsi="Times New Roman" w:eastAsia="Times New Roman" w:cs="Times New Roman"/>
          <w:spacing w:val="-1"/>
          <w:sz w:val="24"/>
          <w:szCs w:val="24"/>
        </w:rPr>
        <w:t xml:space="preserve">IIA  </w:t>
      </w:r>
      <w:r>
        <w:rPr>
          <w:rFonts w:ascii="宋体" w:hAnsi="宋体" w:eastAsia="宋体" w:cs="宋体"/>
          <w:spacing w:val="-1"/>
          <w:sz w:val="24"/>
          <w:szCs w:val="24"/>
        </w:rPr>
        <w:t>西部（半湿润）常绿阔叶林亚区域—</w:t>
      </w:r>
      <w:r>
        <w:rPr>
          <w:rFonts w:ascii="Times New Roman" w:hAnsi="Times New Roman" w:eastAsia="Times New Roman" w:cs="Times New Roman"/>
          <w:spacing w:val="-1"/>
          <w:sz w:val="24"/>
          <w:szCs w:val="24"/>
        </w:rPr>
        <w:t>IIAii</w:t>
      </w:r>
      <w:r>
        <w:rPr>
          <w:rFonts w:ascii="Times New Roman" w:hAnsi="Times New Roman" w:eastAsia="Times New Roman" w:cs="Times New Roman"/>
          <w:spacing w:val="26"/>
          <w:sz w:val="24"/>
          <w:szCs w:val="24"/>
        </w:rPr>
        <w:t xml:space="preserve"> </w:t>
      </w:r>
      <w:r>
        <w:rPr>
          <w:rFonts w:ascii="宋体" w:hAnsi="宋体" w:eastAsia="宋体" w:cs="宋体"/>
          <w:spacing w:val="-1"/>
          <w:sz w:val="24"/>
          <w:szCs w:val="24"/>
        </w:rPr>
        <w:t>高原亚热带北部常绿阔叶林地带—</w:t>
      </w:r>
      <w:r>
        <w:rPr>
          <w:rFonts w:ascii="Times New Roman" w:hAnsi="Times New Roman" w:eastAsia="Times New Roman" w:cs="Times New Roman"/>
          <w:spacing w:val="-1"/>
          <w:sz w:val="24"/>
          <w:szCs w:val="24"/>
        </w:rPr>
        <w:t>IIAii-1</w:t>
      </w:r>
      <w:r>
        <w:rPr>
          <w:rFonts w:ascii="宋体" w:hAnsi="宋体" w:eastAsia="宋体" w:cs="宋体"/>
          <w:sz w:val="24"/>
          <w:szCs w:val="24"/>
        </w:rPr>
        <w:t>滇中、滇东高原半湿润常绿阔叶林、云南松林区—</w:t>
      </w:r>
      <w:r>
        <w:rPr>
          <w:rFonts w:ascii="Times New Roman" w:hAnsi="Times New Roman" w:eastAsia="Times New Roman" w:cs="Times New Roman"/>
          <w:sz w:val="24"/>
          <w:szCs w:val="24"/>
        </w:rPr>
        <w:t xml:space="preserve">IIAii-1d  </w:t>
      </w:r>
      <w:r>
        <w:rPr>
          <w:rFonts w:ascii="宋体" w:hAnsi="宋体" w:eastAsia="宋体" w:cs="宋体"/>
          <w:sz w:val="24"/>
          <w:szCs w:val="24"/>
        </w:rPr>
        <w:t>滇东北高原高、中山云南松</w:t>
      </w:r>
      <w:r>
        <w:rPr>
          <w:rFonts w:ascii="宋体" w:hAnsi="宋体" w:eastAsia="宋体" w:cs="宋体"/>
          <w:spacing w:val="-5"/>
          <w:sz w:val="24"/>
          <w:szCs w:val="24"/>
        </w:rPr>
        <w:t>林羊草草甸亚区。</w:t>
      </w:r>
    </w:p>
    <w:p w14:paraId="1E4D1130">
      <w:pPr>
        <w:spacing w:before="24" w:line="233" w:lineRule="auto"/>
        <w:ind w:left="492"/>
        <w:rPr>
          <w:rFonts w:ascii="宋体" w:hAnsi="宋体" w:eastAsia="宋体" w:cs="宋体"/>
          <w:sz w:val="24"/>
          <w:szCs w:val="24"/>
        </w:rPr>
      </w:pPr>
      <w:r>
        <w:rPr>
          <w:rFonts w:ascii="宋体" w:hAnsi="宋体" w:eastAsia="宋体" w:cs="宋体"/>
          <w:b/>
          <w:bCs/>
          <w:spacing w:val="-5"/>
          <w:sz w:val="24"/>
          <w:szCs w:val="24"/>
        </w:rPr>
        <w:t>（</w:t>
      </w:r>
      <w:r>
        <w:rPr>
          <w:rFonts w:ascii="Times New Roman" w:hAnsi="Times New Roman" w:eastAsia="Times New Roman" w:cs="Times New Roman"/>
          <w:b/>
          <w:bCs/>
          <w:spacing w:val="-5"/>
          <w:sz w:val="24"/>
          <w:szCs w:val="24"/>
        </w:rPr>
        <w:t>3</w:t>
      </w:r>
      <w:r>
        <w:rPr>
          <w:rFonts w:ascii="宋体" w:hAnsi="宋体" w:eastAsia="宋体" w:cs="宋体"/>
          <w:b/>
          <w:bCs/>
          <w:spacing w:val="-5"/>
          <w:sz w:val="24"/>
          <w:szCs w:val="24"/>
        </w:rPr>
        <w:t>）主要植被类型</w:t>
      </w:r>
    </w:p>
    <w:p w14:paraId="316D8674">
      <w:pPr>
        <w:spacing w:line="233" w:lineRule="auto"/>
        <w:rPr>
          <w:rFonts w:ascii="宋体" w:hAnsi="宋体" w:eastAsia="宋体" w:cs="宋体"/>
          <w:sz w:val="24"/>
          <w:szCs w:val="24"/>
        </w:rPr>
        <w:sectPr>
          <w:footerReference r:id="rId156" w:type="default"/>
          <w:pgSz w:w="11907" w:h="16841"/>
          <w:pgMar w:top="400" w:right="1413" w:bottom="1126" w:left="1424" w:header="0" w:footer="925" w:gutter="0"/>
          <w:cols w:space="720" w:num="1"/>
        </w:sectPr>
      </w:pPr>
    </w:p>
    <w:p w14:paraId="425B90E5">
      <w:pPr>
        <w:spacing w:line="248" w:lineRule="auto"/>
        <w:rPr>
          <w:rFonts w:ascii="Arial"/>
          <w:sz w:val="21"/>
        </w:rPr>
      </w:pPr>
    </w:p>
    <w:p w14:paraId="5BDD528B">
      <w:pPr>
        <w:spacing w:line="248" w:lineRule="auto"/>
        <w:rPr>
          <w:rFonts w:ascii="Arial"/>
          <w:sz w:val="21"/>
        </w:rPr>
      </w:pPr>
    </w:p>
    <w:p w14:paraId="5C53324A">
      <w:pPr>
        <w:spacing w:line="249" w:lineRule="auto"/>
        <w:rPr>
          <w:rFonts w:ascii="Arial"/>
          <w:sz w:val="21"/>
        </w:rPr>
      </w:pPr>
    </w:p>
    <w:p w14:paraId="6F01E533">
      <w:pPr>
        <w:spacing w:line="249" w:lineRule="auto"/>
        <w:rPr>
          <w:rFonts w:ascii="Arial"/>
          <w:sz w:val="21"/>
        </w:rPr>
      </w:pPr>
    </w:p>
    <w:p w14:paraId="2A5C2C28">
      <w:pPr>
        <w:spacing w:line="249" w:lineRule="auto"/>
        <w:rPr>
          <w:rFonts w:ascii="Arial"/>
          <w:sz w:val="21"/>
        </w:rPr>
      </w:pPr>
    </w:p>
    <w:p w14:paraId="214CE26B">
      <w:pPr>
        <w:spacing w:before="78" w:line="344" w:lineRule="auto"/>
        <w:ind w:left="51" w:right="225" w:firstLine="479"/>
        <w:jc w:val="both"/>
        <w:rPr>
          <w:rFonts w:ascii="宋体" w:hAnsi="宋体" w:eastAsia="宋体" w:cs="宋体"/>
          <w:sz w:val="24"/>
          <w:szCs w:val="24"/>
        </w:rPr>
      </w:pPr>
      <w:r>
        <w:rPr>
          <w:rFonts w:ascii="宋体" w:hAnsi="宋体" w:eastAsia="宋体" w:cs="宋体"/>
          <w:spacing w:val="-2"/>
          <w:sz w:val="24"/>
          <w:szCs w:val="24"/>
        </w:rPr>
        <w:t>根据《中国植被》确定的植物群落学—生态学原则，即根据植物种类的组成、群落结构以及对环境条件的适应关系等，将评价区的植物群落划分为不同的植被类型。主要植被群落分类见表</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2-2</w:t>
      </w:r>
      <w:r>
        <w:rPr>
          <w:rFonts w:ascii="宋体" w:hAnsi="宋体" w:eastAsia="宋体" w:cs="宋体"/>
          <w:spacing w:val="-2"/>
          <w:sz w:val="24"/>
          <w:szCs w:val="24"/>
        </w:rPr>
        <w:t>。</w:t>
      </w:r>
    </w:p>
    <w:p w14:paraId="57C97DDC">
      <w:pPr>
        <w:spacing w:line="229" w:lineRule="auto"/>
        <w:ind w:left="2943"/>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7"/>
          <w:sz w:val="21"/>
          <w:szCs w:val="21"/>
        </w:rPr>
        <w:t xml:space="preserve"> </w:t>
      </w:r>
      <w:r>
        <w:rPr>
          <w:rFonts w:ascii="Times New Roman" w:hAnsi="Times New Roman" w:eastAsia="Times New Roman" w:cs="Times New Roman"/>
          <w:b/>
          <w:bCs/>
          <w:spacing w:val="-2"/>
          <w:sz w:val="21"/>
          <w:szCs w:val="21"/>
        </w:rPr>
        <w:t xml:space="preserve">2-2    </w:t>
      </w:r>
      <w:r>
        <w:rPr>
          <w:rFonts w:ascii="宋体" w:hAnsi="宋体" w:eastAsia="宋体" w:cs="宋体"/>
          <w:b/>
          <w:bCs/>
          <w:spacing w:val="-2"/>
          <w:sz w:val="21"/>
          <w:szCs w:val="21"/>
        </w:rPr>
        <w:t>评价区的植被类型和面积表</w:t>
      </w:r>
    </w:p>
    <w:tbl>
      <w:tblPr>
        <w:tblStyle w:val="5"/>
        <w:tblW w:w="9068" w:type="dxa"/>
        <w:tblInd w:w="4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4"/>
        <w:gridCol w:w="1118"/>
        <w:gridCol w:w="2125"/>
        <w:gridCol w:w="2834"/>
        <w:gridCol w:w="1135"/>
        <w:gridCol w:w="1132"/>
      </w:tblGrid>
      <w:tr w14:paraId="61EFA6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724" w:type="dxa"/>
            <w:vAlign w:val="top"/>
          </w:tcPr>
          <w:p w14:paraId="74F62E56">
            <w:pPr>
              <w:pStyle w:val="6"/>
              <w:spacing w:before="55" w:line="221" w:lineRule="auto"/>
              <w:ind w:left="157"/>
            </w:pPr>
            <w:r>
              <w:rPr>
                <w:b/>
                <w:bCs/>
                <w:spacing w:val="-4"/>
              </w:rPr>
              <w:t>植被</w:t>
            </w:r>
          </w:p>
          <w:p w14:paraId="723543C7">
            <w:pPr>
              <w:pStyle w:val="6"/>
              <w:spacing w:before="61" w:line="222" w:lineRule="auto"/>
              <w:ind w:left="158"/>
            </w:pPr>
            <w:r>
              <w:rPr>
                <w:b/>
                <w:bCs/>
                <w:spacing w:val="-5"/>
              </w:rPr>
              <w:t>属性</w:t>
            </w:r>
          </w:p>
        </w:tc>
        <w:tc>
          <w:tcPr>
            <w:tcW w:w="1118" w:type="dxa"/>
            <w:vAlign w:val="top"/>
          </w:tcPr>
          <w:p w14:paraId="499543AC">
            <w:pPr>
              <w:pStyle w:val="6"/>
              <w:spacing w:before="211" w:line="221" w:lineRule="auto"/>
              <w:ind w:left="247"/>
            </w:pPr>
            <w:r>
              <w:rPr>
                <w:b/>
                <w:bCs/>
                <w:spacing w:val="-4"/>
              </w:rPr>
              <w:t>植被型</w:t>
            </w:r>
          </w:p>
        </w:tc>
        <w:tc>
          <w:tcPr>
            <w:tcW w:w="2125" w:type="dxa"/>
            <w:vAlign w:val="top"/>
          </w:tcPr>
          <w:p w14:paraId="078CC09C">
            <w:pPr>
              <w:pStyle w:val="6"/>
              <w:spacing w:before="211" w:line="221" w:lineRule="auto"/>
              <w:ind w:left="646"/>
            </w:pPr>
            <w:r>
              <w:rPr>
                <w:b/>
                <w:bCs/>
                <w:spacing w:val="-4"/>
              </w:rPr>
              <w:t>植被亚型</w:t>
            </w:r>
          </w:p>
        </w:tc>
        <w:tc>
          <w:tcPr>
            <w:tcW w:w="2834" w:type="dxa"/>
            <w:vAlign w:val="top"/>
          </w:tcPr>
          <w:p w14:paraId="322690E8">
            <w:pPr>
              <w:pStyle w:val="6"/>
              <w:spacing w:before="211" w:line="221" w:lineRule="auto"/>
              <w:ind w:left="1213"/>
            </w:pPr>
            <w:r>
              <w:rPr>
                <w:b/>
                <w:bCs/>
                <w:spacing w:val="-4"/>
              </w:rPr>
              <w:t>群系</w:t>
            </w:r>
          </w:p>
        </w:tc>
        <w:tc>
          <w:tcPr>
            <w:tcW w:w="1135" w:type="dxa"/>
            <w:vAlign w:val="top"/>
          </w:tcPr>
          <w:p w14:paraId="655772BD">
            <w:pPr>
              <w:pStyle w:val="6"/>
              <w:spacing w:before="212" w:line="235" w:lineRule="auto"/>
              <w:ind w:left="152"/>
              <w:rPr>
                <w:rFonts w:ascii="Times New Roman" w:hAnsi="Times New Roman" w:eastAsia="Times New Roman" w:cs="Times New Roman"/>
                <w:sz w:val="13"/>
                <w:szCs w:val="13"/>
              </w:rPr>
            </w:pPr>
            <w:r>
              <w:rPr>
                <w:b/>
                <w:bCs/>
                <w:spacing w:val="-1"/>
              </w:rPr>
              <w:t>面积</w:t>
            </w:r>
            <w:r>
              <w:rPr>
                <w:rFonts w:ascii="Times New Roman" w:hAnsi="Times New Roman" w:eastAsia="Times New Roman" w:cs="Times New Roman"/>
                <w:b/>
                <w:bCs/>
                <w:spacing w:val="-1"/>
              </w:rPr>
              <w:t>/hm</w:t>
            </w:r>
            <w:r>
              <w:rPr>
                <w:rFonts w:ascii="Times New Roman" w:hAnsi="Times New Roman" w:eastAsia="Times New Roman" w:cs="Times New Roman"/>
                <w:b/>
                <w:bCs/>
                <w:spacing w:val="-1"/>
                <w:position w:val="6"/>
                <w:sz w:val="13"/>
                <w:szCs w:val="13"/>
              </w:rPr>
              <w:t>2</w:t>
            </w:r>
          </w:p>
        </w:tc>
        <w:tc>
          <w:tcPr>
            <w:tcW w:w="1132" w:type="dxa"/>
            <w:vAlign w:val="top"/>
          </w:tcPr>
          <w:p w14:paraId="091AC7F8">
            <w:pPr>
              <w:pStyle w:val="6"/>
              <w:spacing w:before="211" w:line="236" w:lineRule="auto"/>
              <w:ind w:left="249"/>
              <w:rPr>
                <w:rFonts w:ascii="Times New Roman" w:hAnsi="Times New Roman" w:eastAsia="Times New Roman" w:cs="Times New Roman"/>
              </w:rPr>
            </w:pPr>
            <w:r>
              <w:rPr>
                <w:b/>
                <w:bCs/>
                <w:spacing w:val="-8"/>
              </w:rPr>
              <w:t>比例</w:t>
            </w:r>
            <w:r>
              <w:rPr>
                <w:rFonts w:ascii="Times New Roman" w:hAnsi="Times New Roman" w:eastAsia="Times New Roman" w:cs="Times New Roman"/>
                <w:b/>
                <w:bCs/>
                <w:spacing w:val="-8"/>
              </w:rPr>
              <w:t>/%</w:t>
            </w:r>
          </w:p>
        </w:tc>
      </w:tr>
      <w:tr w14:paraId="53685B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5" w:hRule="atLeast"/>
        </w:trPr>
        <w:tc>
          <w:tcPr>
            <w:tcW w:w="724" w:type="dxa"/>
            <w:vMerge w:val="restart"/>
            <w:tcBorders>
              <w:bottom w:val="nil"/>
            </w:tcBorders>
            <w:vAlign w:val="top"/>
          </w:tcPr>
          <w:p w14:paraId="653D4F2C">
            <w:pPr>
              <w:spacing w:line="280" w:lineRule="auto"/>
              <w:rPr>
                <w:rFonts w:ascii="Arial"/>
                <w:sz w:val="21"/>
              </w:rPr>
            </w:pPr>
          </w:p>
          <w:p w14:paraId="1F6B7B7E">
            <w:pPr>
              <w:spacing w:line="281" w:lineRule="auto"/>
              <w:rPr>
                <w:rFonts w:ascii="Arial"/>
                <w:sz w:val="21"/>
              </w:rPr>
            </w:pPr>
          </w:p>
          <w:p w14:paraId="4F190695">
            <w:pPr>
              <w:spacing w:line="281" w:lineRule="auto"/>
              <w:rPr>
                <w:rFonts w:ascii="Arial"/>
                <w:sz w:val="21"/>
              </w:rPr>
            </w:pPr>
          </w:p>
          <w:p w14:paraId="244AA221">
            <w:pPr>
              <w:spacing w:line="281" w:lineRule="auto"/>
              <w:rPr>
                <w:rFonts w:ascii="Arial"/>
                <w:sz w:val="21"/>
              </w:rPr>
            </w:pPr>
          </w:p>
          <w:p w14:paraId="73B7F7B9">
            <w:pPr>
              <w:pStyle w:val="6"/>
              <w:spacing w:before="68" w:line="277" w:lineRule="auto"/>
              <w:ind w:left="157" w:right="148" w:firstLine="33"/>
            </w:pPr>
            <w:r>
              <w:rPr>
                <w:spacing w:val="-21"/>
              </w:rPr>
              <w:t>自然</w:t>
            </w:r>
            <w:r>
              <w:rPr>
                <w:spacing w:val="-4"/>
              </w:rPr>
              <w:t>植被</w:t>
            </w:r>
          </w:p>
        </w:tc>
        <w:tc>
          <w:tcPr>
            <w:tcW w:w="1118" w:type="dxa"/>
            <w:vMerge w:val="restart"/>
            <w:tcBorders>
              <w:bottom w:val="nil"/>
            </w:tcBorders>
            <w:vAlign w:val="top"/>
          </w:tcPr>
          <w:p w14:paraId="19D227FB">
            <w:pPr>
              <w:pStyle w:val="6"/>
              <w:spacing w:before="232" w:line="234" w:lineRule="auto"/>
              <w:ind w:left="109"/>
            </w:pPr>
            <w:r>
              <w:rPr>
                <w:rFonts w:ascii="Times New Roman" w:hAnsi="Times New Roman" w:eastAsia="Times New Roman" w:cs="Times New Roman"/>
                <w:spacing w:val="-1"/>
              </w:rPr>
              <w:t>Ⅰ.</w:t>
            </w:r>
            <w:r>
              <w:rPr>
                <w:spacing w:val="-1"/>
              </w:rPr>
              <w:t>针叶林</w:t>
            </w:r>
          </w:p>
        </w:tc>
        <w:tc>
          <w:tcPr>
            <w:tcW w:w="2125" w:type="dxa"/>
            <w:vMerge w:val="restart"/>
            <w:tcBorders>
              <w:bottom w:val="nil"/>
            </w:tcBorders>
            <w:vAlign w:val="top"/>
          </w:tcPr>
          <w:p w14:paraId="002B2BB3">
            <w:pPr>
              <w:pStyle w:val="6"/>
              <w:spacing w:before="232" w:line="234" w:lineRule="auto"/>
              <w:ind w:left="129"/>
            </w:pPr>
            <w:r>
              <w:rPr>
                <w:rFonts w:ascii="Times New Roman" w:hAnsi="Times New Roman" w:eastAsia="Times New Roman" w:cs="Times New Roman"/>
                <w:spacing w:val="-3"/>
              </w:rPr>
              <w:t>1.</w:t>
            </w:r>
            <w:r>
              <w:rPr>
                <w:spacing w:val="-3"/>
              </w:rPr>
              <w:t>暖温性针叶林</w:t>
            </w:r>
          </w:p>
        </w:tc>
        <w:tc>
          <w:tcPr>
            <w:tcW w:w="2834" w:type="dxa"/>
            <w:vAlign w:val="top"/>
          </w:tcPr>
          <w:p w14:paraId="79B3E4E1">
            <w:pPr>
              <w:pStyle w:val="6"/>
              <w:spacing w:before="61" w:line="232" w:lineRule="auto"/>
              <w:ind w:left="131"/>
            </w:pPr>
            <w:r>
              <w:rPr>
                <w:rFonts w:ascii="Times New Roman" w:hAnsi="Times New Roman" w:eastAsia="Times New Roman" w:cs="Times New Roman"/>
                <w:spacing w:val="-4"/>
              </w:rPr>
              <w:t>1</w:t>
            </w:r>
            <w:r>
              <w:rPr>
                <w:spacing w:val="-4"/>
              </w:rPr>
              <w:t>）云南松群落</w:t>
            </w:r>
          </w:p>
        </w:tc>
        <w:tc>
          <w:tcPr>
            <w:tcW w:w="1135" w:type="dxa"/>
            <w:vMerge w:val="restart"/>
            <w:tcBorders>
              <w:bottom w:val="nil"/>
            </w:tcBorders>
            <w:vAlign w:val="top"/>
          </w:tcPr>
          <w:p w14:paraId="68AD55F7">
            <w:pPr>
              <w:spacing w:before="266" w:line="233" w:lineRule="auto"/>
              <w:ind w:left="300"/>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126.99</w:t>
            </w:r>
          </w:p>
        </w:tc>
        <w:tc>
          <w:tcPr>
            <w:tcW w:w="1132" w:type="dxa"/>
            <w:vMerge w:val="restart"/>
            <w:tcBorders>
              <w:bottom w:val="nil"/>
            </w:tcBorders>
            <w:vAlign w:val="top"/>
          </w:tcPr>
          <w:p w14:paraId="6DA01AD7">
            <w:pPr>
              <w:spacing w:before="266" w:line="233" w:lineRule="auto"/>
              <w:ind w:left="38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5.88</w:t>
            </w:r>
          </w:p>
        </w:tc>
      </w:tr>
      <w:tr w14:paraId="569CC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6" w:hRule="atLeast"/>
        </w:trPr>
        <w:tc>
          <w:tcPr>
            <w:tcW w:w="724" w:type="dxa"/>
            <w:vMerge w:val="continue"/>
            <w:tcBorders>
              <w:top w:val="nil"/>
              <w:bottom w:val="nil"/>
            </w:tcBorders>
            <w:vAlign w:val="top"/>
          </w:tcPr>
          <w:p w14:paraId="5D457FBA">
            <w:pPr>
              <w:rPr>
                <w:rFonts w:ascii="Arial"/>
                <w:sz w:val="21"/>
              </w:rPr>
            </w:pPr>
          </w:p>
        </w:tc>
        <w:tc>
          <w:tcPr>
            <w:tcW w:w="1118" w:type="dxa"/>
            <w:vMerge w:val="continue"/>
            <w:tcBorders>
              <w:top w:val="nil"/>
            </w:tcBorders>
            <w:vAlign w:val="top"/>
          </w:tcPr>
          <w:p w14:paraId="2FA75FF5">
            <w:pPr>
              <w:rPr>
                <w:rFonts w:ascii="Arial"/>
                <w:sz w:val="21"/>
              </w:rPr>
            </w:pPr>
          </w:p>
        </w:tc>
        <w:tc>
          <w:tcPr>
            <w:tcW w:w="2125" w:type="dxa"/>
            <w:vMerge w:val="continue"/>
            <w:tcBorders>
              <w:top w:val="nil"/>
            </w:tcBorders>
            <w:vAlign w:val="top"/>
          </w:tcPr>
          <w:p w14:paraId="7329C098">
            <w:pPr>
              <w:rPr>
                <w:rFonts w:ascii="Arial"/>
                <w:sz w:val="21"/>
              </w:rPr>
            </w:pPr>
          </w:p>
        </w:tc>
        <w:tc>
          <w:tcPr>
            <w:tcW w:w="2834" w:type="dxa"/>
            <w:vAlign w:val="top"/>
          </w:tcPr>
          <w:p w14:paraId="5E5F9A5E">
            <w:pPr>
              <w:pStyle w:val="6"/>
              <w:spacing w:before="62" w:line="232" w:lineRule="auto"/>
              <w:ind w:left="110"/>
            </w:pPr>
            <w:r>
              <w:rPr>
                <w:rFonts w:ascii="Times New Roman" w:hAnsi="Times New Roman" w:eastAsia="Times New Roman" w:cs="Times New Roman"/>
                <w:spacing w:val="-1"/>
              </w:rPr>
              <w:t>2</w:t>
            </w:r>
            <w:r>
              <w:rPr>
                <w:spacing w:val="-1"/>
              </w:rPr>
              <w:t>）华山松群落</w:t>
            </w:r>
          </w:p>
        </w:tc>
        <w:tc>
          <w:tcPr>
            <w:tcW w:w="1135" w:type="dxa"/>
            <w:vMerge w:val="continue"/>
            <w:tcBorders>
              <w:top w:val="nil"/>
            </w:tcBorders>
            <w:vAlign w:val="top"/>
          </w:tcPr>
          <w:p w14:paraId="19F8631E">
            <w:pPr>
              <w:rPr>
                <w:rFonts w:ascii="Arial"/>
                <w:sz w:val="21"/>
              </w:rPr>
            </w:pPr>
          </w:p>
        </w:tc>
        <w:tc>
          <w:tcPr>
            <w:tcW w:w="1132" w:type="dxa"/>
            <w:vMerge w:val="continue"/>
            <w:tcBorders>
              <w:top w:val="nil"/>
            </w:tcBorders>
            <w:vAlign w:val="top"/>
          </w:tcPr>
          <w:p w14:paraId="7FD3B760">
            <w:pPr>
              <w:rPr>
                <w:rFonts w:ascii="Arial"/>
                <w:sz w:val="21"/>
              </w:rPr>
            </w:pPr>
          </w:p>
        </w:tc>
      </w:tr>
      <w:tr w14:paraId="5D44C3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24" w:type="dxa"/>
            <w:vMerge w:val="continue"/>
            <w:tcBorders>
              <w:top w:val="nil"/>
              <w:bottom w:val="nil"/>
            </w:tcBorders>
            <w:vAlign w:val="top"/>
          </w:tcPr>
          <w:p w14:paraId="54112186">
            <w:pPr>
              <w:rPr>
                <w:rFonts w:ascii="Arial"/>
                <w:sz w:val="21"/>
              </w:rPr>
            </w:pPr>
          </w:p>
        </w:tc>
        <w:tc>
          <w:tcPr>
            <w:tcW w:w="1118" w:type="dxa"/>
            <w:vMerge w:val="restart"/>
            <w:tcBorders>
              <w:bottom w:val="nil"/>
            </w:tcBorders>
            <w:vAlign w:val="top"/>
          </w:tcPr>
          <w:p w14:paraId="1CFCE817">
            <w:pPr>
              <w:spacing w:line="462" w:lineRule="auto"/>
              <w:rPr>
                <w:rFonts w:ascii="Arial"/>
                <w:sz w:val="21"/>
              </w:rPr>
            </w:pPr>
          </w:p>
          <w:p w14:paraId="75AF015C">
            <w:pPr>
              <w:pStyle w:val="6"/>
              <w:spacing w:before="69" w:line="221" w:lineRule="auto"/>
              <w:ind w:left="109"/>
            </w:pPr>
            <w:r>
              <w:rPr>
                <w:rFonts w:ascii="Times New Roman" w:hAnsi="Times New Roman" w:eastAsia="Times New Roman" w:cs="Times New Roman"/>
                <w:spacing w:val="-1"/>
              </w:rPr>
              <w:t>Ⅱ.</w:t>
            </w:r>
            <w:r>
              <w:rPr>
                <w:spacing w:val="-1"/>
              </w:rPr>
              <w:t>灌丛</w:t>
            </w:r>
          </w:p>
        </w:tc>
        <w:tc>
          <w:tcPr>
            <w:tcW w:w="2125" w:type="dxa"/>
            <w:vMerge w:val="restart"/>
            <w:tcBorders>
              <w:bottom w:val="nil"/>
            </w:tcBorders>
            <w:vAlign w:val="top"/>
          </w:tcPr>
          <w:p w14:paraId="395EB2C5">
            <w:pPr>
              <w:spacing w:line="463" w:lineRule="auto"/>
              <w:rPr>
                <w:rFonts w:ascii="Arial"/>
                <w:sz w:val="21"/>
              </w:rPr>
            </w:pPr>
          </w:p>
          <w:p w14:paraId="0816363F">
            <w:pPr>
              <w:pStyle w:val="6"/>
              <w:spacing w:before="68" w:line="234" w:lineRule="auto"/>
              <w:ind w:left="109"/>
            </w:pPr>
            <w:r>
              <w:rPr>
                <w:rFonts w:ascii="Times New Roman" w:hAnsi="Times New Roman" w:eastAsia="Times New Roman" w:cs="Times New Roman"/>
                <w:spacing w:val="-1"/>
              </w:rPr>
              <w:t>2.</w:t>
            </w:r>
            <w:r>
              <w:rPr>
                <w:spacing w:val="-1"/>
              </w:rPr>
              <w:t>干热灌丛</w:t>
            </w:r>
          </w:p>
        </w:tc>
        <w:tc>
          <w:tcPr>
            <w:tcW w:w="2834" w:type="dxa"/>
            <w:vAlign w:val="top"/>
          </w:tcPr>
          <w:p w14:paraId="619CAF1C">
            <w:pPr>
              <w:pStyle w:val="6"/>
              <w:spacing w:before="52" w:line="223" w:lineRule="auto"/>
              <w:ind w:left="115"/>
            </w:pPr>
            <w:r>
              <w:rPr>
                <w:rFonts w:ascii="Times New Roman" w:hAnsi="Times New Roman" w:eastAsia="Times New Roman" w:cs="Times New Roman"/>
                <w:spacing w:val="-1"/>
              </w:rPr>
              <w:t>3</w:t>
            </w:r>
            <w:r>
              <w:rPr>
                <w:spacing w:val="-1"/>
              </w:rPr>
              <w:t>）马桑灌丛</w:t>
            </w:r>
          </w:p>
        </w:tc>
        <w:tc>
          <w:tcPr>
            <w:tcW w:w="1135" w:type="dxa"/>
            <w:vMerge w:val="restart"/>
            <w:tcBorders>
              <w:bottom w:val="nil"/>
            </w:tcBorders>
            <w:vAlign w:val="top"/>
          </w:tcPr>
          <w:p w14:paraId="2701E493">
            <w:pPr>
              <w:spacing w:line="253" w:lineRule="auto"/>
              <w:rPr>
                <w:rFonts w:ascii="Arial"/>
                <w:sz w:val="21"/>
              </w:rPr>
            </w:pPr>
          </w:p>
          <w:p w14:paraId="2229AE4B">
            <w:pPr>
              <w:spacing w:line="253" w:lineRule="auto"/>
              <w:rPr>
                <w:rFonts w:ascii="Arial"/>
                <w:sz w:val="21"/>
              </w:rPr>
            </w:pPr>
          </w:p>
          <w:p w14:paraId="21583229">
            <w:pPr>
              <w:spacing w:before="60" w:line="233" w:lineRule="auto"/>
              <w:ind w:left="27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444.87</w:t>
            </w:r>
          </w:p>
        </w:tc>
        <w:tc>
          <w:tcPr>
            <w:tcW w:w="1132" w:type="dxa"/>
            <w:vMerge w:val="restart"/>
            <w:tcBorders>
              <w:bottom w:val="nil"/>
            </w:tcBorders>
            <w:vAlign w:val="top"/>
          </w:tcPr>
          <w:p w14:paraId="3314DDE6">
            <w:pPr>
              <w:spacing w:line="249" w:lineRule="auto"/>
              <w:rPr>
                <w:rFonts w:ascii="Arial"/>
                <w:sz w:val="21"/>
              </w:rPr>
            </w:pPr>
          </w:p>
          <w:p w14:paraId="037E7572">
            <w:pPr>
              <w:spacing w:line="249" w:lineRule="auto"/>
              <w:rPr>
                <w:rFonts w:ascii="Arial"/>
                <w:sz w:val="21"/>
              </w:rPr>
            </w:pPr>
          </w:p>
          <w:p w14:paraId="6848D346">
            <w:pPr>
              <w:spacing w:before="64" w:line="233" w:lineRule="auto"/>
              <w:ind w:left="321"/>
              <w:rPr>
                <w:rFonts w:ascii="Times New Roman" w:hAnsi="Times New Roman" w:eastAsia="Times New Roman" w:cs="Times New Roman"/>
                <w:sz w:val="22"/>
                <w:szCs w:val="22"/>
              </w:rPr>
            </w:pPr>
            <w:r>
              <w:rPr>
                <w:rFonts w:ascii="Times New Roman" w:hAnsi="Times New Roman" w:eastAsia="Times New Roman" w:cs="Times New Roman"/>
                <w:spacing w:val="-1"/>
                <w:sz w:val="22"/>
                <w:szCs w:val="22"/>
              </w:rPr>
              <w:t>20.60</w:t>
            </w:r>
          </w:p>
        </w:tc>
      </w:tr>
      <w:tr w14:paraId="202210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24" w:type="dxa"/>
            <w:vMerge w:val="continue"/>
            <w:tcBorders>
              <w:top w:val="nil"/>
              <w:bottom w:val="nil"/>
            </w:tcBorders>
            <w:vAlign w:val="top"/>
          </w:tcPr>
          <w:p w14:paraId="37323FCF">
            <w:pPr>
              <w:rPr>
                <w:rFonts w:ascii="Arial"/>
                <w:sz w:val="21"/>
              </w:rPr>
            </w:pPr>
          </w:p>
        </w:tc>
        <w:tc>
          <w:tcPr>
            <w:tcW w:w="1118" w:type="dxa"/>
            <w:vMerge w:val="continue"/>
            <w:tcBorders>
              <w:top w:val="nil"/>
              <w:bottom w:val="nil"/>
            </w:tcBorders>
            <w:vAlign w:val="top"/>
          </w:tcPr>
          <w:p w14:paraId="35FA98CA">
            <w:pPr>
              <w:rPr>
                <w:rFonts w:ascii="Arial"/>
                <w:sz w:val="21"/>
              </w:rPr>
            </w:pPr>
          </w:p>
        </w:tc>
        <w:tc>
          <w:tcPr>
            <w:tcW w:w="2125" w:type="dxa"/>
            <w:vMerge w:val="continue"/>
            <w:tcBorders>
              <w:top w:val="nil"/>
              <w:bottom w:val="nil"/>
            </w:tcBorders>
            <w:vAlign w:val="top"/>
          </w:tcPr>
          <w:p w14:paraId="07F9575C">
            <w:pPr>
              <w:rPr>
                <w:rFonts w:ascii="Arial"/>
                <w:sz w:val="21"/>
              </w:rPr>
            </w:pPr>
          </w:p>
        </w:tc>
        <w:tc>
          <w:tcPr>
            <w:tcW w:w="2834" w:type="dxa"/>
            <w:vAlign w:val="top"/>
          </w:tcPr>
          <w:p w14:paraId="6A14C760">
            <w:pPr>
              <w:pStyle w:val="6"/>
              <w:spacing w:before="52" w:line="223" w:lineRule="auto"/>
              <w:ind w:left="109"/>
            </w:pPr>
            <w:r>
              <w:rPr>
                <w:rFonts w:ascii="Times New Roman" w:hAnsi="Times New Roman" w:eastAsia="Times New Roman" w:cs="Times New Roman"/>
                <w:spacing w:val="-1"/>
              </w:rPr>
              <w:t>4</w:t>
            </w:r>
            <w:r>
              <w:rPr>
                <w:spacing w:val="-1"/>
              </w:rPr>
              <w:t>）清香木灌丛</w:t>
            </w:r>
          </w:p>
        </w:tc>
        <w:tc>
          <w:tcPr>
            <w:tcW w:w="1135" w:type="dxa"/>
            <w:vMerge w:val="continue"/>
            <w:tcBorders>
              <w:top w:val="nil"/>
              <w:bottom w:val="nil"/>
            </w:tcBorders>
            <w:vAlign w:val="top"/>
          </w:tcPr>
          <w:p w14:paraId="5E42F866">
            <w:pPr>
              <w:rPr>
                <w:rFonts w:ascii="Arial"/>
                <w:sz w:val="21"/>
              </w:rPr>
            </w:pPr>
          </w:p>
        </w:tc>
        <w:tc>
          <w:tcPr>
            <w:tcW w:w="1132" w:type="dxa"/>
            <w:vMerge w:val="continue"/>
            <w:tcBorders>
              <w:top w:val="nil"/>
              <w:bottom w:val="nil"/>
            </w:tcBorders>
            <w:vAlign w:val="top"/>
          </w:tcPr>
          <w:p w14:paraId="58E6878D">
            <w:pPr>
              <w:rPr>
                <w:rFonts w:ascii="Arial"/>
                <w:sz w:val="21"/>
              </w:rPr>
            </w:pPr>
          </w:p>
        </w:tc>
      </w:tr>
      <w:tr w14:paraId="143D6D5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24" w:type="dxa"/>
            <w:vMerge w:val="continue"/>
            <w:tcBorders>
              <w:top w:val="nil"/>
              <w:bottom w:val="nil"/>
            </w:tcBorders>
            <w:vAlign w:val="top"/>
          </w:tcPr>
          <w:p w14:paraId="1768DFE7">
            <w:pPr>
              <w:rPr>
                <w:rFonts w:ascii="Arial"/>
                <w:sz w:val="21"/>
              </w:rPr>
            </w:pPr>
          </w:p>
        </w:tc>
        <w:tc>
          <w:tcPr>
            <w:tcW w:w="1118" w:type="dxa"/>
            <w:vMerge w:val="continue"/>
            <w:tcBorders>
              <w:top w:val="nil"/>
              <w:bottom w:val="nil"/>
            </w:tcBorders>
            <w:vAlign w:val="top"/>
          </w:tcPr>
          <w:p w14:paraId="0CCCBB55">
            <w:pPr>
              <w:rPr>
                <w:rFonts w:ascii="Arial"/>
                <w:sz w:val="21"/>
              </w:rPr>
            </w:pPr>
          </w:p>
        </w:tc>
        <w:tc>
          <w:tcPr>
            <w:tcW w:w="2125" w:type="dxa"/>
            <w:vMerge w:val="continue"/>
            <w:tcBorders>
              <w:top w:val="nil"/>
              <w:bottom w:val="nil"/>
            </w:tcBorders>
            <w:vAlign w:val="top"/>
          </w:tcPr>
          <w:p w14:paraId="1F3A54C6">
            <w:pPr>
              <w:rPr>
                <w:rFonts w:ascii="Arial"/>
                <w:sz w:val="21"/>
              </w:rPr>
            </w:pPr>
          </w:p>
        </w:tc>
        <w:tc>
          <w:tcPr>
            <w:tcW w:w="2834" w:type="dxa"/>
            <w:vAlign w:val="top"/>
          </w:tcPr>
          <w:p w14:paraId="6CDBC51C">
            <w:pPr>
              <w:pStyle w:val="6"/>
              <w:spacing w:before="54" w:line="222" w:lineRule="auto"/>
              <w:ind w:left="116"/>
            </w:pPr>
            <w:r>
              <w:rPr>
                <w:rFonts w:ascii="Times New Roman" w:hAnsi="Times New Roman" w:eastAsia="Times New Roman" w:cs="Times New Roman"/>
                <w:spacing w:val="-1"/>
              </w:rPr>
              <w:t>5</w:t>
            </w:r>
            <w:r>
              <w:rPr>
                <w:spacing w:val="-1"/>
              </w:rPr>
              <w:t>）粉背黄栌灌丛</w:t>
            </w:r>
          </w:p>
        </w:tc>
        <w:tc>
          <w:tcPr>
            <w:tcW w:w="1135" w:type="dxa"/>
            <w:vMerge w:val="continue"/>
            <w:tcBorders>
              <w:top w:val="nil"/>
              <w:bottom w:val="nil"/>
            </w:tcBorders>
            <w:vAlign w:val="top"/>
          </w:tcPr>
          <w:p w14:paraId="64EC6960">
            <w:pPr>
              <w:rPr>
                <w:rFonts w:ascii="Arial"/>
                <w:sz w:val="21"/>
              </w:rPr>
            </w:pPr>
          </w:p>
        </w:tc>
        <w:tc>
          <w:tcPr>
            <w:tcW w:w="1132" w:type="dxa"/>
            <w:vMerge w:val="continue"/>
            <w:tcBorders>
              <w:top w:val="nil"/>
              <w:bottom w:val="nil"/>
            </w:tcBorders>
            <w:vAlign w:val="top"/>
          </w:tcPr>
          <w:p w14:paraId="3820DAD3">
            <w:pPr>
              <w:rPr>
                <w:rFonts w:ascii="Arial"/>
                <w:sz w:val="21"/>
              </w:rPr>
            </w:pPr>
          </w:p>
        </w:tc>
      </w:tr>
      <w:tr w14:paraId="35484A3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24" w:type="dxa"/>
            <w:vMerge w:val="continue"/>
            <w:tcBorders>
              <w:top w:val="nil"/>
              <w:bottom w:val="nil"/>
            </w:tcBorders>
            <w:vAlign w:val="top"/>
          </w:tcPr>
          <w:p w14:paraId="7DFD805C">
            <w:pPr>
              <w:rPr>
                <w:rFonts w:ascii="Arial"/>
                <w:sz w:val="21"/>
              </w:rPr>
            </w:pPr>
          </w:p>
        </w:tc>
        <w:tc>
          <w:tcPr>
            <w:tcW w:w="1118" w:type="dxa"/>
            <w:vMerge w:val="continue"/>
            <w:tcBorders>
              <w:top w:val="nil"/>
            </w:tcBorders>
            <w:vAlign w:val="top"/>
          </w:tcPr>
          <w:p w14:paraId="1CC011D2">
            <w:pPr>
              <w:rPr>
                <w:rFonts w:ascii="Arial"/>
                <w:sz w:val="21"/>
              </w:rPr>
            </w:pPr>
          </w:p>
        </w:tc>
        <w:tc>
          <w:tcPr>
            <w:tcW w:w="2125" w:type="dxa"/>
            <w:vMerge w:val="continue"/>
            <w:tcBorders>
              <w:top w:val="nil"/>
            </w:tcBorders>
            <w:vAlign w:val="top"/>
          </w:tcPr>
          <w:p w14:paraId="14C26F5D">
            <w:pPr>
              <w:rPr>
                <w:rFonts w:ascii="Arial"/>
                <w:sz w:val="21"/>
              </w:rPr>
            </w:pPr>
          </w:p>
        </w:tc>
        <w:tc>
          <w:tcPr>
            <w:tcW w:w="2834" w:type="dxa"/>
            <w:vAlign w:val="top"/>
          </w:tcPr>
          <w:p w14:paraId="7674AFE1">
            <w:pPr>
              <w:pStyle w:val="6"/>
              <w:spacing w:before="53" w:line="222" w:lineRule="auto"/>
              <w:ind w:left="115"/>
            </w:pPr>
            <w:r>
              <w:rPr>
                <w:rFonts w:ascii="Times New Roman" w:hAnsi="Times New Roman" w:eastAsia="Times New Roman" w:cs="Times New Roman"/>
                <w:spacing w:val="-2"/>
              </w:rPr>
              <w:t>6</w:t>
            </w:r>
            <w:r>
              <w:rPr>
                <w:spacing w:val="-2"/>
              </w:rPr>
              <w:t>）白刺花灌丛</w:t>
            </w:r>
          </w:p>
        </w:tc>
        <w:tc>
          <w:tcPr>
            <w:tcW w:w="1135" w:type="dxa"/>
            <w:vMerge w:val="continue"/>
            <w:tcBorders>
              <w:top w:val="nil"/>
            </w:tcBorders>
            <w:vAlign w:val="top"/>
          </w:tcPr>
          <w:p w14:paraId="06FE7DAB">
            <w:pPr>
              <w:rPr>
                <w:rFonts w:ascii="Arial"/>
                <w:sz w:val="21"/>
              </w:rPr>
            </w:pPr>
          </w:p>
        </w:tc>
        <w:tc>
          <w:tcPr>
            <w:tcW w:w="1132" w:type="dxa"/>
            <w:vMerge w:val="continue"/>
            <w:tcBorders>
              <w:top w:val="nil"/>
            </w:tcBorders>
            <w:vAlign w:val="top"/>
          </w:tcPr>
          <w:p w14:paraId="28D15606">
            <w:pPr>
              <w:rPr>
                <w:rFonts w:ascii="Arial"/>
                <w:sz w:val="21"/>
              </w:rPr>
            </w:pPr>
          </w:p>
        </w:tc>
      </w:tr>
      <w:tr w14:paraId="3339E4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24" w:type="dxa"/>
            <w:vMerge w:val="continue"/>
            <w:tcBorders>
              <w:top w:val="nil"/>
              <w:bottom w:val="nil"/>
            </w:tcBorders>
            <w:vAlign w:val="top"/>
          </w:tcPr>
          <w:p w14:paraId="0897227D">
            <w:pPr>
              <w:rPr>
                <w:rFonts w:ascii="Arial"/>
                <w:sz w:val="21"/>
              </w:rPr>
            </w:pPr>
          </w:p>
        </w:tc>
        <w:tc>
          <w:tcPr>
            <w:tcW w:w="1118" w:type="dxa"/>
            <w:vMerge w:val="restart"/>
            <w:tcBorders>
              <w:bottom w:val="nil"/>
            </w:tcBorders>
            <w:vAlign w:val="top"/>
          </w:tcPr>
          <w:p w14:paraId="0CA4818C">
            <w:pPr>
              <w:pStyle w:val="6"/>
              <w:spacing w:before="217" w:line="276" w:lineRule="auto"/>
              <w:ind w:left="113" w:right="104" w:hanging="4"/>
            </w:pPr>
            <w:r>
              <w:rPr>
                <w:rFonts w:ascii="Times New Roman" w:hAnsi="Times New Roman" w:eastAsia="Times New Roman" w:cs="Times New Roman"/>
                <w:spacing w:val="3"/>
              </w:rPr>
              <w:t>Ⅲ.</w:t>
            </w:r>
            <w:r>
              <w:rPr>
                <w:spacing w:val="3"/>
              </w:rPr>
              <w:t>稀树灌</w:t>
            </w:r>
            <w:r>
              <w:rPr>
                <w:spacing w:val="-2"/>
              </w:rPr>
              <w:t>草丛</w:t>
            </w:r>
          </w:p>
        </w:tc>
        <w:tc>
          <w:tcPr>
            <w:tcW w:w="2125" w:type="dxa"/>
            <w:vMerge w:val="restart"/>
            <w:tcBorders>
              <w:bottom w:val="nil"/>
            </w:tcBorders>
            <w:vAlign w:val="top"/>
          </w:tcPr>
          <w:p w14:paraId="65298A9C">
            <w:pPr>
              <w:spacing w:line="303" w:lineRule="auto"/>
              <w:rPr>
                <w:rFonts w:ascii="Arial"/>
                <w:sz w:val="21"/>
              </w:rPr>
            </w:pPr>
          </w:p>
          <w:p w14:paraId="294BA579">
            <w:pPr>
              <w:pStyle w:val="6"/>
              <w:spacing w:before="69" w:line="234" w:lineRule="auto"/>
              <w:ind w:left="113"/>
            </w:pPr>
            <w:r>
              <w:rPr>
                <w:rFonts w:ascii="Times New Roman" w:hAnsi="Times New Roman" w:eastAsia="Times New Roman" w:cs="Times New Roman"/>
                <w:spacing w:val="-1"/>
              </w:rPr>
              <w:t>3.</w:t>
            </w:r>
            <w:r>
              <w:rPr>
                <w:spacing w:val="-1"/>
              </w:rPr>
              <w:t>暖温性稀树灌草丛</w:t>
            </w:r>
          </w:p>
        </w:tc>
        <w:tc>
          <w:tcPr>
            <w:tcW w:w="2834" w:type="dxa"/>
            <w:vAlign w:val="top"/>
          </w:tcPr>
          <w:p w14:paraId="6012579D">
            <w:pPr>
              <w:pStyle w:val="6"/>
              <w:spacing w:before="56" w:line="222" w:lineRule="auto"/>
              <w:ind w:left="114"/>
            </w:pPr>
            <w:r>
              <w:rPr>
                <w:rFonts w:ascii="Times New Roman" w:hAnsi="Times New Roman" w:eastAsia="Times New Roman" w:cs="Times New Roman"/>
                <w:spacing w:val="-6"/>
              </w:rPr>
              <w:t>7</w:t>
            </w:r>
            <w:r>
              <w:rPr>
                <w:spacing w:val="-6"/>
              </w:rPr>
              <w:t>）云南松</w:t>
            </w:r>
            <w:r>
              <w:rPr>
                <w:rFonts w:ascii="Times New Roman" w:hAnsi="Times New Roman" w:eastAsia="Times New Roman" w:cs="Times New Roman"/>
                <w:spacing w:val="-6"/>
              </w:rPr>
              <w:t>-</w:t>
            </w:r>
            <w:r>
              <w:rPr>
                <w:spacing w:val="-6"/>
              </w:rPr>
              <w:t>白健秆稀树灌草丛</w:t>
            </w:r>
          </w:p>
        </w:tc>
        <w:tc>
          <w:tcPr>
            <w:tcW w:w="1135" w:type="dxa"/>
            <w:vMerge w:val="restart"/>
            <w:tcBorders>
              <w:bottom w:val="nil"/>
            </w:tcBorders>
            <w:vAlign w:val="top"/>
          </w:tcPr>
          <w:p w14:paraId="40F4A887">
            <w:pPr>
              <w:spacing w:line="346" w:lineRule="auto"/>
              <w:rPr>
                <w:rFonts w:ascii="Arial"/>
                <w:sz w:val="21"/>
              </w:rPr>
            </w:pPr>
          </w:p>
          <w:p w14:paraId="0C5F47A9">
            <w:pPr>
              <w:spacing w:before="60" w:line="233" w:lineRule="auto"/>
              <w:ind w:left="249"/>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1278.81</w:t>
            </w:r>
          </w:p>
        </w:tc>
        <w:tc>
          <w:tcPr>
            <w:tcW w:w="1132" w:type="dxa"/>
            <w:vMerge w:val="restart"/>
            <w:tcBorders>
              <w:bottom w:val="nil"/>
            </w:tcBorders>
            <w:vAlign w:val="top"/>
          </w:tcPr>
          <w:p w14:paraId="67FD40ED">
            <w:pPr>
              <w:spacing w:line="338" w:lineRule="auto"/>
              <w:rPr>
                <w:rFonts w:ascii="Arial"/>
                <w:sz w:val="21"/>
              </w:rPr>
            </w:pPr>
          </w:p>
          <w:p w14:paraId="009CF2D4">
            <w:pPr>
              <w:spacing w:before="63" w:line="233" w:lineRule="auto"/>
              <w:ind w:left="327"/>
              <w:rPr>
                <w:rFonts w:ascii="Times New Roman" w:hAnsi="Times New Roman" w:eastAsia="Times New Roman" w:cs="Times New Roman"/>
                <w:sz w:val="22"/>
                <w:szCs w:val="22"/>
              </w:rPr>
            </w:pPr>
            <w:r>
              <w:rPr>
                <w:rFonts w:ascii="Times New Roman" w:hAnsi="Times New Roman" w:eastAsia="Times New Roman" w:cs="Times New Roman"/>
                <w:spacing w:val="-2"/>
                <w:sz w:val="22"/>
                <w:szCs w:val="22"/>
              </w:rPr>
              <w:t>59.21</w:t>
            </w:r>
          </w:p>
        </w:tc>
      </w:tr>
      <w:tr w14:paraId="067529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24" w:type="dxa"/>
            <w:vMerge w:val="continue"/>
            <w:tcBorders>
              <w:top w:val="nil"/>
            </w:tcBorders>
            <w:vAlign w:val="top"/>
          </w:tcPr>
          <w:p w14:paraId="74638C8F">
            <w:pPr>
              <w:rPr>
                <w:rFonts w:ascii="Arial"/>
                <w:sz w:val="21"/>
              </w:rPr>
            </w:pPr>
          </w:p>
        </w:tc>
        <w:tc>
          <w:tcPr>
            <w:tcW w:w="1118" w:type="dxa"/>
            <w:vMerge w:val="continue"/>
            <w:tcBorders>
              <w:top w:val="nil"/>
            </w:tcBorders>
            <w:vAlign w:val="top"/>
          </w:tcPr>
          <w:p w14:paraId="0A65448D">
            <w:pPr>
              <w:rPr>
                <w:rFonts w:ascii="Arial"/>
                <w:sz w:val="21"/>
              </w:rPr>
            </w:pPr>
          </w:p>
        </w:tc>
        <w:tc>
          <w:tcPr>
            <w:tcW w:w="2125" w:type="dxa"/>
            <w:vMerge w:val="continue"/>
            <w:tcBorders>
              <w:top w:val="nil"/>
            </w:tcBorders>
            <w:vAlign w:val="top"/>
          </w:tcPr>
          <w:p w14:paraId="0307E6D7">
            <w:pPr>
              <w:rPr>
                <w:rFonts w:ascii="Arial"/>
                <w:sz w:val="21"/>
              </w:rPr>
            </w:pPr>
          </w:p>
        </w:tc>
        <w:tc>
          <w:tcPr>
            <w:tcW w:w="2834" w:type="dxa"/>
            <w:vAlign w:val="top"/>
          </w:tcPr>
          <w:p w14:paraId="52D2B123">
            <w:pPr>
              <w:pStyle w:val="6"/>
              <w:spacing w:before="53" w:line="248" w:lineRule="auto"/>
              <w:ind w:left="116" w:right="101" w:firstLine="2"/>
            </w:pPr>
            <w:r>
              <w:rPr>
                <w:rFonts w:ascii="Times New Roman" w:hAnsi="Times New Roman" w:eastAsia="Times New Roman" w:cs="Times New Roman"/>
                <w:spacing w:val="-7"/>
              </w:rPr>
              <w:t>8</w:t>
            </w:r>
            <w:r>
              <w:rPr>
                <w:spacing w:val="-7"/>
              </w:rPr>
              <w:t>）云南松</w:t>
            </w:r>
            <w:r>
              <w:rPr>
                <w:rFonts w:ascii="Times New Roman" w:hAnsi="Times New Roman" w:eastAsia="Times New Roman" w:cs="Times New Roman"/>
                <w:spacing w:val="-7"/>
              </w:rPr>
              <w:t>-</w:t>
            </w:r>
            <w:r>
              <w:rPr>
                <w:spacing w:val="-7"/>
              </w:rPr>
              <w:t>刺芒野古草稀树灌</w:t>
            </w:r>
            <w:r>
              <w:rPr>
                <w:spacing w:val="-2"/>
              </w:rPr>
              <w:t>草丛</w:t>
            </w:r>
          </w:p>
        </w:tc>
        <w:tc>
          <w:tcPr>
            <w:tcW w:w="1135" w:type="dxa"/>
            <w:vMerge w:val="continue"/>
            <w:tcBorders>
              <w:top w:val="nil"/>
            </w:tcBorders>
            <w:vAlign w:val="top"/>
          </w:tcPr>
          <w:p w14:paraId="30C14667">
            <w:pPr>
              <w:rPr>
                <w:rFonts w:ascii="Arial"/>
                <w:sz w:val="21"/>
              </w:rPr>
            </w:pPr>
          </w:p>
        </w:tc>
        <w:tc>
          <w:tcPr>
            <w:tcW w:w="1132" w:type="dxa"/>
            <w:vMerge w:val="continue"/>
            <w:tcBorders>
              <w:top w:val="nil"/>
            </w:tcBorders>
            <w:vAlign w:val="top"/>
          </w:tcPr>
          <w:p w14:paraId="32A4F053">
            <w:pPr>
              <w:rPr>
                <w:rFonts w:ascii="Arial"/>
                <w:sz w:val="21"/>
              </w:rPr>
            </w:pPr>
          </w:p>
        </w:tc>
      </w:tr>
      <w:tr w14:paraId="46B0F9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24" w:type="dxa"/>
            <w:vMerge w:val="restart"/>
            <w:tcBorders>
              <w:bottom w:val="nil"/>
            </w:tcBorders>
            <w:vAlign w:val="top"/>
          </w:tcPr>
          <w:p w14:paraId="050FC55C">
            <w:pPr>
              <w:pStyle w:val="6"/>
              <w:spacing w:before="60" w:line="223" w:lineRule="auto"/>
              <w:ind w:left="158"/>
            </w:pPr>
            <w:r>
              <w:rPr>
                <w:spacing w:val="-2"/>
              </w:rPr>
              <w:t>人工</w:t>
            </w:r>
          </w:p>
          <w:p w14:paraId="5E2FA6ED">
            <w:pPr>
              <w:pStyle w:val="6"/>
              <w:spacing w:before="57" w:line="221" w:lineRule="auto"/>
              <w:ind w:left="157"/>
            </w:pPr>
            <w:r>
              <w:rPr>
                <w:spacing w:val="-2"/>
              </w:rPr>
              <w:t>植被</w:t>
            </w:r>
          </w:p>
        </w:tc>
        <w:tc>
          <w:tcPr>
            <w:tcW w:w="1118" w:type="dxa"/>
            <w:vMerge w:val="restart"/>
            <w:tcBorders>
              <w:bottom w:val="nil"/>
            </w:tcBorders>
            <w:vAlign w:val="top"/>
          </w:tcPr>
          <w:p w14:paraId="18AB19DE">
            <w:pPr>
              <w:pStyle w:val="6"/>
              <w:spacing w:before="215" w:line="223" w:lineRule="auto"/>
              <w:ind w:left="109"/>
            </w:pPr>
            <w:r>
              <w:rPr>
                <w:rFonts w:ascii="Times New Roman" w:hAnsi="Times New Roman" w:eastAsia="Times New Roman" w:cs="Times New Roman"/>
                <w:spacing w:val="-1"/>
              </w:rPr>
              <w:t>Ⅳ.</w:t>
            </w:r>
            <w:r>
              <w:rPr>
                <w:spacing w:val="-1"/>
              </w:rPr>
              <w:t>农田</w:t>
            </w:r>
          </w:p>
        </w:tc>
        <w:tc>
          <w:tcPr>
            <w:tcW w:w="2125" w:type="dxa"/>
            <w:vAlign w:val="top"/>
          </w:tcPr>
          <w:p w14:paraId="3FEED8A9">
            <w:pPr>
              <w:pStyle w:val="6"/>
              <w:spacing w:before="54" w:line="221" w:lineRule="auto"/>
              <w:ind w:left="108"/>
            </w:pPr>
            <w:r>
              <w:rPr>
                <w:rFonts w:ascii="Times New Roman" w:hAnsi="Times New Roman" w:eastAsia="Times New Roman" w:cs="Times New Roman"/>
              </w:rPr>
              <w:t>4.</w:t>
            </w:r>
            <w:r>
              <w:t>旱地粮食作物</w:t>
            </w:r>
          </w:p>
        </w:tc>
        <w:tc>
          <w:tcPr>
            <w:tcW w:w="2834" w:type="dxa"/>
            <w:vAlign w:val="top"/>
          </w:tcPr>
          <w:p w14:paraId="3B721171">
            <w:pPr>
              <w:pStyle w:val="6"/>
              <w:spacing w:before="54" w:line="221" w:lineRule="auto"/>
              <w:ind w:left="114"/>
            </w:pPr>
            <w:r>
              <w:rPr>
                <w:rFonts w:ascii="Times New Roman" w:hAnsi="Times New Roman" w:eastAsia="Times New Roman" w:cs="Times New Roman"/>
                <w:spacing w:val="-1"/>
              </w:rPr>
              <w:t>9</w:t>
            </w:r>
            <w:r>
              <w:rPr>
                <w:spacing w:val="-1"/>
              </w:rPr>
              <w:t>）玉米、马铃薯、蔬菜等</w:t>
            </w:r>
          </w:p>
        </w:tc>
        <w:tc>
          <w:tcPr>
            <w:tcW w:w="1135" w:type="dxa"/>
            <w:vMerge w:val="restart"/>
            <w:tcBorders>
              <w:bottom w:val="nil"/>
            </w:tcBorders>
            <w:vAlign w:val="top"/>
          </w:tcPr>
          <w:p w14:paraId="2EBFD45A">
            <w:pPr>
              <w:spacing w:before="250" w:line="233" w:lineRule="auto"/>
              <w:ind w:left="28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309.06</w:t>
            </w:r>
          </w:p>
        </w:tc>
        <w:tc>
          <w:tcPr>
            <w:tcW w:w="1132" w:type="dxa"/>
            <w:vMerge w:val="restart"/>
            <w:tcBorders>
              <w:bottom w:val="nil"/>
            </w:tcBorders>
            <w:vAlign w:val="top"/>
          </w:tcPr>
          <w:p w14:paraId="396CB7B6">
            <w:pPr>
              <w:spacing w:before="246" w:line="233" w:lineRule="auto"/>
              <w:ind w:left="342"/>
              <w:rPr>
                <w:rFonts w:ascii="Times New Roman" w:hAnsi="Times New Roman" w:eastAsia="Times New Roman" w:cs="Times New Roman"/>
                <w:sz w:val="22"/>
                <w:szCs w:val="22"/>
              </w:rPr>
            </w:pPr>
            <w:r>
              <w:rPr>
                <w:rFonts w:ascii="Times New Roman" w:hAnsi="Times New Roman" w:eastAsia="Times New Roman" w:cs="Times New Roman"/>
                <w:spacing w:val="-4"/>
                <w:sz w:val="22"/>
                <w:szCs w:val="22"/>
              </w:rPr>
              <w:t>14.31</w:t>
            </w:r>
          </w:p>
        </w:tc>
      </w:tr>
      <w:tr w14:paraId="669309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24" w:type="dxa"/>
            <w:vMerge w:val="continue"/>
            <w:tcBorders>
              <w:top w:val="nil"/>
            </w:tcBorders>
            <w:vAlign w:val="top"/>
          </w:tcPr>
          <w:p w14:paraId="2A84A884">
            <w:pPr>
              <w:rPr>
                <w:rFonts w:ascii="Arial"/>
                <w:sz w:val="21"/>
              </w:rPr>
            </w:pPr>
          </w:p>
        </w:tc>
        <w:tc>
          <w:tcPr>
            <w:tcW w:w="1118" w:type="dxa"/>
            <w:vMerge w:val="continue"/>
            <w:tcBorders>
              <w:top w:val="nil"/>
            </w:tcBorders>
            <w:vAlign w:val="top"/>
          </w:tcPr>
          <w:p w14:paraId="370BD56E">
            <w:pPr>
              <w:rPr>
                <w:rFonts w:ascii="Arial"/>
                <w:sz w:val="21"/>
              </w:rPr>
            </w:pPr>
          </w:p>
        </w:tc>
        <w:tc>
          <w:tcPr>
            <w:tcW w:w="2125" w:type="dxa"/>
            <w:vAlign w:val="top"/>
          </w:tcPr>
          <w:p w14:paraId="67952E80">
            <w:pPr>
              <w:pStyle w:val="6"/>
              <w:spacing w:before="55" w:line="220" w:lineRule="auto"/>
              <w:ind w:left="114"/>
            </w:pPr>
            <w:r>
              <w:rPr>
                <w:rFonts w:ascii="Times New Roman" w:hAnsi="Times New Roman" w:eastAsia="Times New Roman" w:cs="Times New Roman"/>
                <w:spacing w:val="-2"/>
              </w:rPr>
              <w:t>5.</w:t>
            </w:r>
            <w:r>
              <w:rPr>
                <w:spacing w:val="-2"/>
              </w:rPr>
              <w:t>水田</w:t>
            </w:r>
          </w:p>
        </w:tc>
        <w:tc>
          <w:tcPr>
            <w:tcW w:w="2834" w:type="dxa"/>
            <w:vAlign w:val="top"/>
          </w:tcPr>
          <w:p w14:paraId="0B67461F">
            <w:pPr>
              <w:pStyle w:val="6"/>
              <w:spacing w:before="55" w:line="220" w:lineRule="auto"/>
              <w:ind w:left="131"/>
            </w:pPr>
            <w:r>
              <w:rPr>
                <w:rFonts w:ascii="Times New Roman" w:hAnsi="Times New Roman" w:eastAsia="Times New Roman" w:cs="Times New Roman"/>
                <w:spacing w:val="-4"/>
              </w:rPr>
              <w:t>10</w:t>
            </w:r>
            <w:r>
              <w:rPr>
                <w:spacing w:val="-4"/>
              </w:rPr>
              <w:t>）水稻</w:t>
            </w:r>
          </w:p>
        </w:tc>
        <w:tc>
          <w:tcPr>
            <w:tcW w:w="1135" w:type="dxa"/>
            <w:vMerge w:val="continue"/>
            <w:tcBorders>
              <w:top w:val="nil"/>
            </w:tcBorders>
            <w:vAlign w:val="top"/>
          </w:tcPr>
          <w:p w14:paraId="2B6B65AD">
            <w:pPr>
              <w:rPr>
                <w:rFonts w:ascii="Arial"/>
                <w:sz w:val="21"/>
              </w:rPr>
            </w:pPr>
          </w:p>
        </w:tc>
        <w:tc>
          <w:tcPr>
            <w:tcW w:w="1132" w:type="dxa"/>
            <w:vMerge w:val="continue"/>
            <w:tcBorders>
              <w:top w:val="nil"/>
            </w:tcBorders>
            <w:vAlign w:val="top"/>
          </w:tcPr>
          <w:p w14:paraId="27628627">
            <w:pPr>
              <w:rPr>
                <w:rFonts w:ascii="Arial"/>
                <w:sz w:val="21"/>
              </w:rPr>
            </w:pPr>
          </w:p>
        </w:tc>
      </w:tr>
      <w:tr w14:paraId="5DA3F6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6801" w:type="dxa"/>
            <w:gridSpan w:val="4"/>
            <w:vAlign w:val="top"/>
          </w:tcPr>
          <w:p w14:paraId="673B7457">
            <w:pPr>
              <w:pStyle w:val="6"/>
              <w:spacing w:before="55" w:line="222" w:lineRule="auto"/>
              <w:ind w:left="3199"/>
            </w:pPr>
            <w:r>
              <w:rPr>
                <w:spacing w:val="-2"/>
              </w:rPr>
              <w:t>合计</w:t>
            </w:r>
          </w:p>
        </w:tc>
        <w:tc>
          <w:tcPr>
            <w:tcW w:w="1135" w:type="dxa"/>
            <w:vAlign w:val="top"/>
          </w:tcPr>
          <w:p w14:paraId="6368A2E2">
            <w:pPr>
              <w:spacing w:before="90" w:line="219" w:lineRule="auto"/>
              <w:ind w:left="2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2159.73</w:t>
            </w:r>
          </w:p>
        </w:tc>
        <w:tc>
          <w:tcPr>
            <w:tcW w:w="1132" w:type="dxa"/>
            <w:vAlign w:val="top"/>
          </w:tcPr>
          <w:p w14:paraId="5D801EE9">
            <w:pPr>
              <w:spacing w:before="86" w:line="213" w:lineRule="auto"/>
              <w:ind w:left="423"/>
              <w:rPr>
                <w:rFonts w:ascii="Times New Roman" w:hAnsi="Times New Roman" w:eastAsia="Times New Roman" w:cs="Times New Roman"/>
                <w:sz w:val="22"/>
                <w:szCs w:val="22"/>
              </w:rPr>
            </w:pPr>
            <w:r>
              <w:rPr>
                <w:rFonts w:ascii="Times New Roman" w:hAnsi="Times New Roman" w:eastAsia="Times New Roman" w:cs="Times New Roman"/>
                <w:spacing w:val="-6"/>
                <w:sz w:val="22"/>
                <w:szCs w:val="22"/>
              </w:rPr>
              <w:t>100</w:t>
            </w:r>
          </w:p>
        </w:tc>
      </w:tr>
    </w:tbl>
    <w:p w14:paraId="52A5B69E">
      <w:pPr>
        <w:spacing w:before="145" w:line="232" w:lineRule="auto"/>
        <w:ind w:left="48"/>
        <w:rPr>
          <w:rFonts w:ascii="宋体" w:hAnsi="宋体" w:eastAsia="宋体" w:cs="宋体"/>
          <w:sz w:val="18"/>
          <w:szCs w:val="18"/>
        </w:rPr>
      </w:pPr>
      <w:r>
        <w:rPr>
          <w:rFonts w:ascii="宋体" w:hAnsi="宋体" w:eastAsia="宋体" w:cs="宋体"/>
          <w:spacing w:val="-2"/>
          <w:sz w:val="18"/>
          <w:szCs w:val="18"/>
        </w:rPr>
        <w:t>注：表中未包括住宅用地</w:t>
      </w:r>
      <w:r>
        <w:rPr>
          <w:rFonts w:ascii="宋体" w:hAnsi="宋体" w:eastAsia="宋体" w:cs="宋体"/>
          <w:spacing w:val="-29"/>
          <w:sz w:val="18"/>
          <w:szCs w:val="18"/>
        </w:rPr>
        <w:t xml:space="preserve"> </w:t>
      </w:r>
      <w:r>
        <w:rPr>
          <w:rFonts w:ascii="Times New Roman" w:hAnsi="Times New Roman" w:eastAsia="Times New Roman" w:cs="Times New Roman"/>
          <w:spacing w:val="-2"/>
          <w:sz w:val="18"/>
          <w:szCs w:val="18"/>
        </w:rPr>
        <w:t>2.52hm</w:t>
      </w:r>
      <w:r>
        <w:rPr>
          <w:rFonts w:ascii="Times New Roman" w:hAnsi="Times New Roman" w:eastAsia="Times New Roman" w:cs="Times New Roman"/>
          <w:spacing w:val="-2"/>
          <w:position w:val="5"/>
          <w:sz w:val="12"/>
          <w:szCs w:val="12"/>
        </w:rPr>
        <w:t>2</w:t>
      </w:r>
      <w:r>
        <w:rPr>
          <w:rFonts w:ascii="宋体" w:hAnsi="宋体" w:eastAsia="宋体" w:cs="宋体"/>
          <w:spacing w:val="-2"/>
          <w:sz w:val="18"/>
          <w:szCs w:val="18"/>
        </w:rPr>
        <w:t>，占评价区面积的</w:t>
      </w:r>
      <w:r>
        <w:rPr>
          <w:rFonts w:ascii="宋体" w:hAnsi="宋体" w:eastAsia="宋体" w:cs="宋体"/>
          <w:spacing w:val="-24"/>
          <w:sz w:val="18"/>
          <w:szCs w:val="18"/>
        </w:rPr>
        <w:t xml:space="preserve"> </w:t>
      </w:r>
      <w:r>
        <w:rPr>
          <w:rFonts w:ascii="Times New Roman" w:hAnsi="Times New Roman" w:eastAsia="Times New Roman" w:cs="Times New Roman"/>
          <w:spacing w:val="-2"/>
          <w:sz w:val="18"/>
          <w:szCs w:val="18"/>
        </w:rPr>
        <w:t>0.</w:t>
      </w:r>
      <w:r>
        <w:rPr>
          <w:rFonts w:ascii="Times New Roman" w:hAnsi="Times New Roman" w:eastAsia="Times New Roman" w:cs="Times New Roman"/>
          <w:spacing w:val="-23"/>
          <w:sz w:val="18"/>
          <w:szCs w:val="18"/>
        </w:rPr>
        <w:t xml:space="preserve"> </w:t>
      </w:r>
      <w:r>
        <w:rPr>
          <w:rFonts w:ascii="Times New Roman" w:hAnsi="Times New Roman" w:eastAsia="Times New Roman" w:cs="Times New Roman"/>
          <w:spacing w:val="-2"/>
          <w:sz w:val="18"/>
          <w:szCs w:val="18"/>
        </w:rPr>
        <w:t>12%</w:t>
      </w:r>
      <w:r>
        <w:rPr>
          <w:rFonts w:ascii="宋体" w:hAnsi="宋体" w:eastAsia="宋体" w:cs="宋体"/>
          <w:spacing w:val="-2"/>
          <w:sz w:val="18"/>
          <w:szCs w:val="18"/>
        </w:rPr>
        <w:t>。</w:t>
      </w:r>
    </w:p>
    <w:p w14:paraId="24FA9749">
      <w:pPr>
        <w:spacing w:before="212" w:line="360" w:lineRule="auto"/>
        <w:ind w:left="58" w:right="224" w:firstLine="472"/>
        <w:rPr>
          <w:rFonts w:ascii="宋体" w:hAnsi="宋体" w:eastAsia="宋体" w:cs="宋体"/>
          <w:sz w:val="24"/>
          <w:szCs w:val="24"/>
        </w:rPr>
      </w:pPr>
      <w:r>
        <w:rPr>
          <w:rFonts w:ascii="宋体" w:hAnsi="宋体" w:eastAsia="宋体" w:cs="宋体"/>
          <w:sz w:val="24"/>
          <w:szCs w:val="24"/>
        </w:rPr>
        <w:t>根据上述植被分类系统表，项目区域的自然植被可划分</w:t>
      </w:r>
      <w:r>
        <w:rPr>
          <w:rFonts w:ascii="宋体" w:hAnsi="宋体" w:eastAsia="宋体" w:cs="宋体"/>
          <w:spacing w:val="-1"/>
          <w:sz w:val="24"/>
          <w:szCs w:val="24"/>
        </w:rPr>
        <w:t>为</w:t>
      </w:r>
      <w:r>
        <w:rPr>
          <w:rFonts w:ascii="宋体" w:hAnsi="宋体" w:eastAsia="宋体" w:cs="宋体"/>
          <w:spacing w:val="-43"/>
          <w:sz w:val="24"/>
          <w:szCs w:val="24"/>
        </w:rPr>
        <w:t xml:space="preserve"> </w:t>
      </w: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个植被型，</w:t>
      </w:r>
      <w:r>
        <w:rPr>
          <w:rFonts w:ascii="Times New Roman" w:hAnsi="Times New Roman" w:eastAsia="Times New Roman" w:cs="Times New Roman"/>
          <w:spacing w:val="-1"/>
          <w:sz w:val="24"/>
          <w:szCs w:val="24"/>
        </w:rPr>
        <w:t xml:space="preserve">3 </w:t>
      </w:r>
      <w:r>
        <w:rPr>
          <w:rFonts w:ascii="宋体" w:hAnsi="宋体" w:eastAsia="宋体" w:cs="宋体"/>
          <w:spacing w:val="-1"/>
          <w:sz w:val="24"/>
          <w:szCs w:val="24"/>
        </w:rPr>
        <w:t>个植被亚</w:t>
      </w:r>
      <w:r>
        <w:rPr>
          <w:rFonts w:ascii="宋体" w:hAnsi="宋体" w:eastAsia="宋体" w:cs="宋体"/>
          <w:spacing w:val="-2"/>
          <w:sz w:val="24"/>
          <w:szCs w:val="24"/>
        </w:rPr>
        <w:t>型，</w:t>
      </w:r>
      <w:r>
        <w:rPr>
          <w:rFonts w:ascii="Times New Roman" w:hAnsi="Times New Roman" w:eastAsia="Times New Roman" w:cs="Times New Roman"/>
          <w:spacing w:val="-2"/>
          <w:sz w:val="24"/>
          <w:szCs w:val="24"/>
        </w:rPr>
        <w:t xml:space="preserve">8 </w:t>
      </w:r>
      <w:r>
        <w:rPr>
          <w:rFonts w:ascii="宋体" w:hAnsi="宋体" w:eastAsia="宋体" w:cs="宋体"/>
          <w:spacing w:val="-2"/>
          <w:sz w:val="24"/>
          <w:szCs w:val="24"/>
        </w:rPr>
        <w:t>个群系。此外，评价区内还有旱地、水田等人工植被。</w:t>
      </w:r>
    </w:p>
    <w:p w14:paraId="29F9F8DD">
      <w:pPr>
        <w:spacing w:before="3" w:line="358" w:lineRule="auto"/>
        <w:ind w:firstLine="529"/>
        <w:jc w:val="both"/>
        <w:rPr>
          <w:rFonts w:ascii="宋体" w:hAnsi="宋体" w:eastAsia="宋体" w:cs="宋体"/>
          <w:sz w:val="24"/>
          <w:szCs w:val="24"/>
        </w:rPr>
      </w:pPr>
      <w:r>
        <w:rPr>
          <w:rFonts w:ascii="宋体" w:hAnsi="宋体" w:eastAsia="宋体" w:cs="宋体"/>
          <w:spacing w:val="-2"/>
          <w:sz w:val="24"/>
          <w:szCs w:val="24"/>
        </w:rPr>
        <w:t>评价区内天然植被种类数量一般，植被型和植被亚型较少，群系相对较多；人工植</w:t>
      </w:r>
      <w:r>
        <w:rPr>
          <w:rFonts w:ascii="宋体" w:hAnsi="宋体" w:eastAsia="宋体" w:cs="宋体"/>
          <w:spacing w:val="4"/>
          <w:sz w:val="24"/>
          <w:szCs w:val="24"/>
        </w:rPr>
        <w:t xml:space="preserve"> </w:t>
      </w:r>
      <w:r>
        <w:rPr>
          <w:rFonts w:ascii="宋体" w:hAnsi="宋体" w:eastAsia="宋体" w:cs="宋体"/>
          <w:spacing w:val="-5"/>
          <w:sz w:val="24"/>
          <w:szCs w:val="24"/>
        </w:rPr>
        <w:t>被以耕地为主，包括水田和旱地。评价区内自然植被类型的多样性不高，</w:t>
      </w:r>
      <w:r>
        <w:rPr>
          <w:rFonts w:ascii="宋体" w:hAnsi="宋体" w:eastAsia="宋体" w:cs="宋体"/>
          <w:spacing w:val="62"/>
          <w:sz w:val="24"/>
          <w:szCs w:val="24"/>
        </w:rPr>
        <w:t xml:space="preserve"> </w:t>
      </w:r>
      <w:r>
        <w:rPr>
          <w:rFonts w:ascii="宋体" w:hAnsi="宋体" w:eastAsia="宋体" w:cs="宋体"/>
          <w:spacing w:val="-5"/>
          <w:sz w:val="24"/>
          <w:szCs w:val="24"/>
        </w:rPr>
        <w:t>针叶林、灌丛和灌草丛植被类型单一，森林景观特征明显。针叶林以云南松林（</w:t>
      </w:r>
      <w:r>
        <w:rPr>
          <w:rFonts w:ascii="Times New Roman" w:hAnsi="Times New Roman" w:eastAsia="Times New Roman" w:cs="Times New Roman"/>
          <w:spacing w:val="-5"/>
          <w:sz w:val="24"/>
          <w:szCs w:val="24"/>
        </w:rPr>
        <w:t>Form.</w:t>
      </w:r>
      <w:r>
        <w:rPr>
          <w:rFonts w:ascii="Times New Roman" w:hAnsi="Times New Roman" w:eastAsia="Times New Roman" w:cs="Times New Roman"/>
          <w:spacing w:val="-7"/>
          <w:sz w:val="24"/>
          <w:szCs w:val="24"/>
        </w:rPr>
        <w:t xml:space="preserve"> </w:t>
      </w:r>
      <w:r>
        <w:rPr>
          <w:rFonts w:ascii="Times New Roman" w:hAnsi="Times New Roman" w:eastAsia="Times New Roman" w:cs="Times New Roman"/>
          <w:i/>
          <w:iCs/>
          <w:spacing w:val="-5"/>
          <w:sz w:val="24"/>
          <w:szCs w:val="24"/>
        </w:rPr>
        <w:t>Pinus</w:t>
      </w:r>
      <w:r>
        <w:rPr>
          <w:rFonts w:ascii="Times New Roman" w:hAnsi="Times New Roman" w:eastAsia="Times New Roman" w:cs="Times New Roman"/>
          <w:i/>
          <w:iCs/>
          <w:spacing w:val="-33"/>
          <w:sz w:val="24"/>
          <w:szCs w:val="24"/>
        </w:rPr>
        <w:t xml:space="preserve"> </w:t>
      </w:r>
      <w:r>
        <w:rPr>
          <w:rFonts w:ascii="Times New Roman" w:hAnsi="Times New Roman" w:eastAsia="Times New Roman" w:cs="Times New Roman"/>
          <w:i/>
          <w:iCs/>
          <w:spacing w:val="-5"/>
          <w:sz w:val="24"/>
          <w:szCs w:val="24"/>
        </w:rPr>
        <w:t>yunnanensis</w:t>
      </w:r>
      <w:r>
        <w:rPr>
          <w:rFonts w:ascii="宋体" w:hAnsi="宋体" w:eastAsia="宋体" w:cs="宋体"/>
          <w:spacing w:val="-5"/>
          <w:sz w:val="24"/>
          <w:szCs w:val="24"/>
        </w:rPr>
        <w:t>）</w:t>
      </w:r>
      <w:r>
        <w:rPr>
          <w:rFonts w:ascii="宋体" w:hAnsi="宋体" w:eastAsia="宋体" w:cs="宋体"/>
          <w:sz w:val="24"/>
          <w:szCs w:val="24"/>
        </w:rPr>
        <w:t xml:space="preserve">为主，灌丛为干热灌丛植被亚型，调查到 </w:t>
      </w:r>
      <w:r>
        <w:rPr>
          <w:rFonts w:ascii="Times New Roman" w:hAnsi="Times New Roman" w:eastAsia="Times New Roman" w:cs="Times New Roman"/>
          <w:sz w:val="24"/>
          <w:szCs w:val="24"/>
        </w:rPr>
        <w:t xml:space="preserve">4  </w:t>
      </w:r>
      <w:r>
        <w:rPr>
          <w:rFonts w:ascii="宋体" w:hAnsi="宋体" w:eastAsia="宋体" w:cs="宋体"/>
          <w:sz w:val="24"/>
          <w:szCs w:val="24"/>
        </w:rPr>
        <w:t>种类型，分别为马桑灌丛（</w:t>
      </w:r>
      <w:r>
        <w:rPr>
          <w:rFonts w:ascii="Times New Roman" w:hAnsi="Times New Roman" w:eastAsia="Times New Roman" w:cs="Times New Roman"/>
          <w:sz w:val="24"/>
          <w:szCs w:val="24"/>
        </w:rPr>
        <w:t xml:space="preserve">Form.  </w:t>
      </w:r>
      <w:r>
        <w:rPr>
          <w:rFonts w:ascii="Times New Roman" w:hAnsi="Times New Roman" w:eastAsia="Times New Roman" w:cs="Times New Roman"/>
          <w:i/>
          <w:iCs/>
          <w:sz w:val="24"/>
          <w:szCs w:val="24"/>
        </w:rPr>
        <w:t>Coriaria</w:t>
      </w:r>
      <w:r>
        <w:rPr>
          <w:rFonts w:ascii="Times New Roman" w:hAnsi="Times New Roman" w:eastAsia="Times New Roman" w:cs="Times New Roman"/>
          <w:i/>
          <w:iCs/>
          <w:spacing w:val="2"/>
          <w:sz w:val="24"/>
          <w:szCs w:val="24"/>
        </w:rPr>
        <w:t xml:space="preserve">  </w:t>
      </w:r>
      <w:r>
        <w:rPr>
          <w:rFonts w:ascii="Times New Roman" w:hAnsi="Times New Roman" w:eastAsia="Times New Roman" w:cs="Times New Roman"/>
          <w:i/>
          <w:iCs/>
          <w:spacing w:val="-3"/>
          <w:sz w:val="24"/>
          <w:szCs w:val="24"/>
        </w:rPr>
        <w:t>nepalensis</w:t>
      </w:r>
      <w:r>
        <w:rPr>
          <w:rFonts w:ascii="宋体" w:hAnsi="宋体" w:eastAsia="宋体" w:cs="宋体"/>
          <w:spacing w:val="-3"/>
          <w:sz w:val="24"/>
          <w:szCs w:val="24"/>
        </w:rPr>
        <w:t>）、清香木灌丛（</w:t>
      </w:r>
      <w:r>
        <w:rPr>
          <w:rFonts w:ascii="Times New Roman" w:hAnsi="Times New Roman" w:eastAsia="Times New Roman" w:cs="Times New Roman"/>
          <w:spacing w:val="-3"/>
          <w:sz w:val="24"/>
          <w:szCs w:val="24"/>
        </w:rPr>
        <w:t>Form.</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i/>
          <w:iCs/>
          <w:spacing w:val="-3"/>
          <w:sz w:val="24"/>
          <w:szCs w:val="24"/>
        </w:rPr>
        <w:t>Pistacia weinmanniifolia</w:t>
      </w:r>
      <w:r>
        <w:rPr>
          <w:rFonts w:ascii="宋体" w:hAnsi="宋体" w:eastAsia="宋体" w:cs="宋体"/>
          <w:spacing w:val="-3"/>
          <w:sz w:val="24"/>
          <w:szCs w:val="24"/>
        </w:rPr>
        <w:t>）、白刺花灌丛（</w:t>
      </w:r>
      <w:r>
        <w:rPr>
          <w:rFonts w:ascii="Times New Roman" w:hAnsi="Times New Roman" w:eastAsia="Times New Roman" w:cs="Times New Roman"/>
          <w:spacing w:val="-3"/>
          <w:sz w:val="24"/>
          <w:szCs w:val="24"/>
        </w:rPr>
        <w:t>Form</w:t>
      </w:r>
      <w:r>
        <w:rPr>
          <w:rFonts w:ascii="Times New Roman" w:hAnsi="Times New Roman" w:eastAsia="Times New Roman" w:cs="Times New Roman"/>
          <w:spacing w:val="-4"/>
          <w:sz w:val="24"/>
          <w:szCs w:val="24"/>
        </w:rPr>
        <w:t>.</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i/>
          <w:iCs/>
          <w:spacing w:val="-4"/>
          <w:sz w:val="24"/>
          <w:szCs w:val="24"/>
        </w:rPr>
        <w:t>Sophora</w:t>
      </w:r>
      <w:r>
        <w:rPr>
          <w:rFonts w:ascii="Times New Roman" w:hAnsi="Times New Roman" w:eastAsia="Times New Roman" w:cs="Times New Roman"/>
          <w:i/>
          <w:iCs/>
          <w:sz w:val="24"/>
          <w:szCs w:val="24"/>
        </w:rPr>
        <w:t xml:space="preserve">  davidii</w:t>
      </w:r>
      <w:r>
        <w:rPr>
          <w:rFonts w:ascii="宋体" w:hAnsi="宋体" w:eastAsia="宋体" w:cs="宋体"/>
          <w:spacing w:val="5"/>
          <w:sz w:val="24"/>
          <w:szCs w:val="24"/>
        </w:rPr>
        <w:t>）以及粉背黄栌灌丛（</w:t>
      </w:r>
      <w:r>
        <w:rPr>
          <w:rFonts w:ascii="Times New Roman" w:hAnsi="Times New Roman" w:eastAsia="Times New Roman" w:cs="Times New Roman"/>
          <w:sz w:val="24"/>
          <w:szCs w:val="24"/>
        </w:rPr>
        <w:t>Form</w:t>
      </w:r>
      <w:r>
        <w:rPr>
          <w:rFonts w:ascii="Times New Roman" w:hAnsi="Times New Roman" w:eastAsia="Times New Roman" w:cs="Times New Roman"/>
          <w:spacing w:val="5"/>
          <w:sz w:val="24"/>
          <w:szCs w:val="24"/>
        </w:rPr>
        <w:t xml:space="preserve">. </w:t>
      </w:r>
      <w:r>
        <w:rPr>
          <w:rFonts w:ascii="Times New Roman" w:hAnsi="Times New Roman" w:eastAsia="Times New Roman" w:cs="Times New Roman"/>
          <w:i/>
          <w:iCs/>
          <w:sz w:val="24"/>
          <w:szCs w:val="24"/>
        </w:rPr>
        <w:t>Cotinuscoggygria</w:t>
      </w:r>
      <w:r>
        <w:rPr>
          <w:rFonts w:ascii="Times New Roman" w:hAnsi="Times New Roman" w:eastAsia="Times New Roman" w:cs="Times New Roman"/>
          <w:sz w:val="24"/>
          <w:szCs w:val="24"/>
        </w:rPr>
        <w:t>var</w:t>
      </w:r>
      <w:r>
        <w:rPr>
          <w:rFonts w:ascii="Times New Roman" w:hAnsi="Times New Roman" w:eastAsia="Times New Roman" w:cs="Times New Roman"/>
          <w:spacing w:val="5"/>
          <w:sz w:val="24"/>
          <w:szCs w:val="24"/>
        </w:rPr>
        <w:t>.</w:t>
      </w:r>
      <w:r>
        <w:rPr>
          <w:rFonts w:ascii="Times New Roman" w:hAnsi="Times New Roman" w:eastAsia="Times New Roman" w:cs="Times New Roman"/>
          <w:spacing w:val="-22"/>
          <w:sz w:val="24"/>
          <w:szCs w:val="24"/>
        </w:rPr>
        <w:t xml:space="preserve"> </w:t>
      </w:r>
      <w:r>
        <w:rPr>
          <w:rFonts w:ascii="Times New Roman" w:hAnsi="Times New Roman" w:eastAsia="Times New Roman" w:cs="Times New Roman"/>
          <w:i/>
          <w:iCs/>
          <w:sz w:val="24"/>
          <w:szCs w:val="24"/>
        </w:rPr>
        <w:t>glaucophylla</w:t>
      </w:r>
      <w:r>
        <w:rPr>
          <w:rFonts w:ascii="宋体" w:hAnsi="宋体" w:eastAsia="宋体" w:cs="宋体"/>
          <w:spacing w:val="5"/>
          <w:sz w:val="24"/>
          <w:szCs w:val="24"/>
        </w:rPr>
        <w:t>）。农业植被主要</w:t>
      </w:r>
      <w:r>
        <w:rPr>
          <w:rFonts w:ascii="宋体" w:hAnsi="宋体" w:eastAsia="宋体" w:cs="宋体"/>
          <w:sz w:val="24"/>
          <w:szCs w:val="24"/>
        </w:rPr>
        <w:t>以玉米（</w:t>
      </w:r>
      <w:r>
        <w:rPr>
          <w:rFonts w:ascii="Times New Roman" w:hAnsi="Times New Roman" w:eastAsia="Times New Roman" w:cs="Times New Roman"/>
          <w:sz w:val="24"/>
          <w:szCs w:val="24"/>
        </w:rPr>
        <w:t xml:space="preserve">Form. </w:t>
      </w:r>
      <w:r>
        <w:rPr>
          <w:rFonts w:ascii="Times New Roman" w:hAnsi="Times New Roman" w:eastAsia="Times New Roman" w:cs="Times New Roman"/>
          <w:i/>
          <w:iCs/>
          <w:sz w:val="24"/>
          <w:szCs w:val="24"/>
        </w:rPr>
        <w:t>Zea mays</w:t>
      </w:r>
      <w:r>
        <w:rPr>
          <w:rFonts w:ascii="宋体" w:hAnsi="宋体" w:eastAsia="宋体" w:cs="宋体"/>
          <w:sz w:val="24"/>
          <w:szCs w:val="24"/>
        </w:rPr>
        <w:t>）、马铃薯（</w:t>
      </w:r>
      <w:r>
        <w:rPr>
          <w:rFonts w:ascii="Times New Roman" w:hAnsi="Times New Roman" w:eastAsia="Times New Roman" w:cs="Times New Roman"/>
          <w:sz w:val="24"/>
          <w:szCs w:val="24"/>
        </w:rPr>
        <w:t xml:space="preserve">Form. </w:t>
      </w:r>
      <w:r>
        <w:rPr>
          <w:rFonts w:ascii="Times New Roman" w:hAnsi="Times New Roman" w:eastAsia="Times New Roman" w:cs="Times New Roman"/>
          <w:i/>
          <w:iCs/>
          <w:sz w:val="24"/>
          <w:szCs w:val="24"/>
        </w:rPr>
        <w:t>Solanum tuberosum</w:t>
      </w:r>
      <w:r>
        <w:rPr>
          <w:rFonts w:ascii="宋体" w:hAnsi="宋体" w:eastAsia="宋体" w:cs="宋体"/>
          <w:sz w:val="24"/>
          <w:szCs w:val="24"/>
        </w:rPr>
        <w:t>）以及蚕豆（</w:t>
      </w:r>
      <w:r>
        <w:rPr>
          <w:rFonts w:ascii="Times New Roman" w:hAnsi="Times New Roman" w:eastAsia="Times New Roman" w:cs="Times New Roman"/>
          <w:sz w:val="24"/>
          <w:szCs w:val="24"/>
        </w:rPr>
        <w:t>Fo</w:t>
      </w:r>
      <w:r>
        <w:rPr>
          <w:rFonts w:ascii="Times New Roman" w:hAnsi="Times New Roman" w:eastAsia="Times New Roman" w:cs="Times New Roman"/>
          <w:spacing w:val="-1"/>
          <w:sz w:val="24"/>
          <w:szCs w:val="24"/>
        </w:rPr>
        <w:t>rm.</w:t>
      </w:r>
      <w:r>
        <w:rPr>
          <w:rFonts w:ascii="Times New Roman" w:hAnsi="Times New Roman" w:eastAsia="Times New Roman" w:cs="Times New Roman"/>
          <w:spacing w:val="26"/>
          <w:sz w:val="24"/>
          <w:szCs w:val="24"/>
        </w:rPr>
        <w:t xml:space="preserve"> </w:t>
      </w:r>
      <w:r>
        <w:rPr>
          <w:rFonts w:ascii="Times New Roman" w:hAnsi="Times New Roman" w:eastAsia="Times New Roman" w:cs="Times New Roman"/>
          <w:i/>
          <w:iCs/>
          <w:spacing w:val="-1"/>
          <w:sz w:val="24"/>
          <w:szCs w:val="24"/>
        </w:rPr>
        <w:t>Vicia</w:t>
      </w:r>
      <w:r>
        <w:rPr>
          <w:rFonts w:ascii="Times New Roman" w:hAnsi="Times New Roman" w:eastAsia="Times New Roman" w:cs="Times New Roman"/>
          <w:i/>
          <w:iCs/>
          <w:sz w:val="24"/>
          <w:szCs w:val="24"/>
        </w:rPr>
        <w:t xml:space="preserve">   faba</w:t>
      </w:r>
      <w:r>
        <w:rPr>
          <w:rFonts w:ascii="宋体" w:hAnsi="宋体" w:eastAsia="宋体" w:cs="宋体"/>
          <w:spacing w:val="1"/>
          <w:sz w:val="24"/>
          <w:szCs w:val="24"/>
        </w:rPr>
        <w:t>）等农作物和蔬菜为主。</w:t>
      </w:r>
    </w:p>
    <w:p w14:paraId="5A317934">
      <w:pPr>
        <w:spacing w:before="18" w:line="233" w:lineRule="auto"/>
        <w:ind w:left="549"/>
        <w:rPr>
          <w:rFonts w:ascii="宋体" w:hAnsi="宋体" w:eastAsia="宋体" w:cs="宋体"/>
          <w:sz w:val="24"/>
          <w:szCs w:val="24"/>
        </w:rPr>
      </w:pPr>
      <w:r>
        <w:rPr>
          <w:rFonts w:ascii="Times New Roman" w:hAnsi="Times New Roman" w:eastAsia="Times New Roman" w:cs="Times New Roman"/>
          <w:spacing w:val="-6"/>
          <w:sz w:val="24"/>
          <w:szCs w:val="24"/>
        </w:rPr>
        <w:t>1</w:t>
      </w:r>
      <w:r>
        <w:rPr>
          <w:rFonts w:ascii="宋体" w:hAnsi="宋体" w:eastAsia="宋体" w:cs="宋体"/>
          <w:spacing w:val="-6"/>
          <w:sz w:val="24"/>
          <w:szCs w:val="24"/>
        </w:rPr>
        <w:t>）云南松群落</w:t>
      </w:r>
    </w:p>
    <w:p w14:paraId="75F0432A">
      <w:pPr>
        <w:spacing w:before="163" w:line="354" w:lineRule="auto"/>
        <w:ind w:left="57" w:right="157" w:firstLine="480"/>
        <w:rPr>
          <w:rFonts w:ascii="宋体" w:hAnsi="宋体" w:eastAsia="宋体" w:cs="宋体"/>
          <w:sz w:val="24"/>
          <w:szCs w:val="24"/>
        </w:rPr>
      </w:pPr>
      <w:r>
        <w:rPr>
          <w:rFonts w:ascii="宋体" w:hAnsi="宋体" w:eastAsia="宋体" w:cs="宋体"/>
          <w:spacing w:val="-7"/>
          <w:sz w:val="24"/>
          <w:szCs w:val="24"/>
        </w:rPr>
        <w:t>云南松群落是评价区内主要的乔木林地，在评价区内较为常见。乔木层盖度约</w:t>
      </w:r>
      <w:r>
        <w:rPr>
          <w:rFonts w:ascii="宋体" w:hAnsi="宋体" w:eastAsia="宋体" w:cs="宋体"/>
          <w:spacing w:val="-51"/>
          <w:sz w:val="24"/>
          <w:szCs w:val="24"/>
        </w:rPr>
        <w:t xml:space="preserve"> </w:t>
      </w:r>
      <w:r>
        <w:rPr>
          <w:rFonts w:ascii="Times New Roman" w:hAnsi="Times New Roman" w:eastAsia="Times New Roman" w:cs="Times New Roman"/>
          <w:spacing w:val="-7"/>
          <w:sz w:val="24"/>
          <w:szCs w:val="24"/>
        </w:rPr>
        <w:t>40%</w:t>
      </w:r>
      <w:r>
        <w:rPr>
          <w:rFonts w:ascii="宋体" w:hAnsi="宋体" w:eastAsia="宋体" w:cs="宋体"/>
          <w:spacing w:val="-7"/>
          <w:sz w:val="24"/>
          <w:szCs w:val="24"/>
        </w:rPr>
        <w:t>，</w:t>
      </w:r>
      <w:r>
        <w:rPr>
          <w:rFonts w:ascii="宋体" w:hAnsi="宋体" w:eastAsia="宋体" w:cs="宋体"/>
          <w:spacing w:val="-1"/>
          <w:sz w:val="24"/>
          <w:szCs w:val="24"/>
        </w:rPr>
        <w:t>高</w:t>
      </w:r>
      <w:r>
        <w:rPr>
          <w:rFonts w:ascii="宋体" w:hAnsi="宋体" w:eastAsia="宋体" w:cs="宋体"/>
          <w:spacing w:val="-35"/>
          <w:sz w:val="24"/>
          <w:szCs w:val="24"/>
        </w:rPr>
        <w:t xml:space="preserve"> </w:t>
      </w:r>
      <w:r>
        <w:rPr>
          <w:rFonts w:ascii="Times New Roman" w:hAnsi="Times New Roman" w:eastAsia="Times New Roman" w:cs="Times New Roman"/>
          <w:spacing w:val="-1"/>
          <w:sz w:val="24"/>
          <w:szCs w:val="24"/>
        </w:rPr>
        <w:t>5-14m</w:t>
      </w:r>
      <w:r>
        <w:rPr>
          <w:rFonts w:ascii="宋体" w:hAnsi="宋体" w:eastAsia="宋体" w:cs="宋体"/>
          <w:spacing w:val="-1"/>
          <w:sz w:val="24"/>
          <w:szCs w:val="24"/>
        </w:rPr>
        <w:t>，胸径</w:t>
      </w:r>
      <w:r>
        <w:rPr>
          <w:rFonts w:ascii="宋体" w:hAnsi="宋体" w:eastAsia="宋体" w:cs="宋体"/>
          <w:spacing w:val="-38"/>
          <w:sz w:val="24"/>
          <w:szCs w:val="24"/>
        </w:rPr>
        <w:t xml:space="preserve"> </w:t>
      </w:r>
      <w:r>
        <w:rPr>
          <w:rFonts w:ascii="Times New Roman" w:hAnsi="Times New Roman" w:eastAsia="Times New Roman" w:cs="Times New Roman"/>
          <w:spacing w:val="-1"/>
          <w:sz w:val="24"/>
          <w:szCs w:val="24"/>
        </w:rPr>
        <w:t>6-8cm</w:t>
      </w:r>
      <w:r>
        <w:rPr>
          <w:rFonts w:ascii="宋体" w:hAnsi="宋体" w:eastAsia="宋体" w:cs="宋体"/>
          <w:spacing w:val="-1"/>
          <w:sz w:val="24"/>
          <w:szCs w:val="24"/>
        </w:rPr>
        <w:t>，物种组成有云南松</w:t>
      </w:r>
      <w:r>
        <w:rPr>
          <w:rFonts w:ascii="宋体" w:hAnsi="宋体" w:eastAsia="宋体" w:cs="宋体"/>
          <w:spacing w:val="-52"/>
          <w:sz w:val="24"/>
          <w:szCs w:val="24"/>
        </w:rPr>
        <w:t xml:space="preserve"> </w:t>
      </w:r>
      <w:r>
        <w:rPr>
          <w:rFonts w:ascii="Times New Roman" w:hAnsi="Times New Roman" w:eastAsia="Times New Roman" w:cs="Times New Roman"/>
          <w:i/>
          <w:iCs/>
          <w:spacing w:val="-1"/>
          <w:sz w:val="24"/>
          <w:szCs w:val="24"/>
        </w:rPr>
        <w:t>Pinus</w:t>
      </w:r>
      <w:r>
        <w:rPr>
          <w:rFonts w:ascii="Times New Roman" w:hAnsi="Times New Roman" w:eastAsia="Times New Roman" w:cs="Times New Roman"/>
          <w:i/>
          <w:iCs/>
          <w:spacing w:val="-19"/>
          <w:sz w:val="24"/>
          <w:szCs w:val="24"/>
        </w:rPr>
        <w:t xml:space="preserve"> </w:t>
      </w:r>
      <w:r>
        <w:rPr>
          <w:rFonts w:ascii="Times New Roman" w:hAnsi="Times New Roman" w:eastAsia="Times New Roman" w:cs="Times New Roman"/>
          <w:i/>
          <w:iCs/>
          <w:spacing w:val="-1"/>
          <w:sz w:val="24"/>
          <w:szCs w:val="24"/>
        </w:rPr>
        <w:t>yunnanensis</w:t>
      </w:r>
      <w:r>
        <w:rPr>
          <w:rFonts w:ascii="宋体" w:hAnsi="宋体" w:eastAsia="宋体" w:cs="宋体"/>
          <w:spacing w:val="-1"/>
          <w:sz w:val="24"/>
          <w:szCs w:val="24"/>
        </w:rPr>
        <w:t>、华山松</w:t>
      </w:r>
      <w:r>
        <w:rPr>
          <w:rFonts w:ascii="宋体" w:hAnsi="宋体" w:eastAsia="宋体" w:cs="宋体"/>
          <w:spacing w:val="-52"/>
          <w:sz w:val="24"/>
          <w:szCs w:val="24"/>
        </w:rPr>
        <w:t xml:space="preserve"> </w:t>
      </w:r>
      <w:r>
        <w:rPr>
          <w:rFonts w:ascii="Times New Roman" w:hAnsi="Times New Roman" w:eastAsia="Times New Roman" w:cs="Times New Roman"/>
          <w:i/>
          <w:iCs/>
          <w:spacing w:val="-1"/>
          <w:sz w:val="24"/>
          <w:szCs w:val="24"/>
        </w:rPr>
        <w:t xml:space="preserve">Pinus armandi </w:t>
      </w:r>
      <w:r>
        <w:rPr>
          <w:rFonts w:ascii="宋体" w:hAnsi="宋体" w:eastAsia="宋体" w:cs="宋体"/>
          <w:spacing w:val="-1"/>
          <w:sz w:val="24"/>
          <w:szCs w:val="24"/>
        </w:rPr>
        <w:t>及云南油杉</w:t>
      </w:r>
      <w:r>
        <w:rPr>
          <w:rFonts w:ascii="宋体" w:hAnsi="宋体" w:eastAsia="宋体" w:cs="宋体"/>
          <w:spacing w:val="-50"/>
          <w:sz w:val="24"/>
          <w:szCs w:val="24"/>
        </w:rPr>
        <w:t xml:space="preserve"> </w:t>
      </w:r>
      <w:r>
        <w:rPr>
          <w:rFonts w:ascii="Times New Roman" w:hAnsi="Times New Roman" w:eastAsia="Times New Roman" w:cs="Times New Roman"/>
          <w:i/>
          <w:iCs/>
          <w:spacing w:val="-1"/>
          <w:sz w:val="24"/>
          <w:szCs w:val="24"/>
        </w:rPr>
        <w:t>Keteleeria evelyniana</w:t>
      </w:r>
      <w:r>
        <w:rPr>
          <w:rFonts w:ascii="宋体" w:hAnsi="宋体" w:eastAsia="宋体" w:cs="宋体"/>
          <w:spacing w:val="-1"/>
          <w:sz w:val="24"/>
          <w:szCs w:val="24"/>
        </w:rPr>
        <w:t>。</w:t>
      </w:r>
    </w:p>
    <w:p w14:paraId="552B616B">
      <w:pPr>
        <w:spacing w:line="354" w:lineRule="auto"/>
        <w:rPr>
          <w:rFonts w:ascii="宋体" w:hAnsi="宋体" w:eastAsia="宋体" w:cs="宋体"/>
          <w:sz w:val="24"/>
          <w:szCs w:val="24"/>
        </w:rPr>
        <w:sectPr>
          <w:footerReference r:id="rId157" w:type="default"/>
          <w:pgSz w:w="11907" w:h="16841"/>
          <w:pgMar w:top="400" w:right="1189" w:bottom="1126" w:left="1377" w:header="0" w:footer="925" w:gutter="0"/>
          <w:cols w:space="720" w:num="1"/>
        </w:sectPr>
      </w:pPr>
    </w:p>
    <w:p w14:paraId="166B1620">
      <w:pPr>
        <w:spacing w:line="249" w:lineRule="auto"/>
        <w:rPr>
          <w:rFonts w:ascii="Arial"/>
          <w:sz w:val="21"/>
        </w:rPr>
      </w:pPr>
    </w:p>
    <w:p w14:paraId="5E43B1B9">
      <w:pPr>
        <w:spacing w:line="249" w:lineRule="auto"/>
        <w:rPr>
          <w:rFonts w:ascii="Arial"/>
          <w:sz w:val="21"/>
        </w:rPr>
      </w:pPr>
    </w:p>
    <w:p w14:paraId="058AF291">
      <w:pPr>
        <w:spacing w:line="249" w:lineRule="auto"/>
        <w:rPr>
          <w:rFonts w:ascii="Arial"/>
          <w:sz w:val="21"/>
        </w:rPr>
      </w:pPr>
    </w:p>
    <w:p w14:paraId="42F75405">
      <w:pPr>
        <w:spacing w:line="249" w:lineRule="auto"/>
        <w:rPr>
          <w:rFonts w:ascii="Arial"/>
          <w:sz w:val="21"/>
        </w:rPr>
      </w:pPr>
    </w:p>
    <w:p w14:paraId="06AE5ED3">
      <w:pPr>
        <w:spacing w:line="250" w:lineRule="auto"/>
        <w:rPr>
          <w:rFonts w:ascii="Arial"/>
          <w:sz w:val="21"/>
        </w:rPr>
      </w:pPr>
    </w:p>
    <w:p w14:paraId="6CAE34B1">
      <w:pPr>
        <w:spacing w:before="78" w:line="355" w:lineRule="auto"/>
        <w:ind w:left="45" w:right="180" w:firstLine="488"/>
        <w:jc w:val="both"/>
        <w:rPr>
          <w:rFonts w:ascii="宋体" w:hAnsi="宋体" w:eastAsia="宋体" w:cs="宋体"/>
          <w:sz w:val="24"/>
          <w:szCs w:val="24"/>
        </w:rPr>
      </w:pPr>
      <w:r>
        <w:rPr>
          <w:rFonts w:ascii="宋体" w:hAnsi="宋体" w:eastAsia="宋体" w:cs="宋体"/>
          <w:spacing w:val="-1"/>
          <w:sz w:val="24"/>
          <w:szCs w:val="24"/>
        </w:rPr>
        <w:t>灌木层盖度较低，约</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5-10%</w:t>
      </w:r>
      <w:r>
        <w:rPr>
          <w:rFonts w:ascii="宋体" w:hAnsi="宋体" w:eastAsia="宋体" w:cs="宋体"/>
          <w:spacing w:val="-1"/>
          <w:sz w:val="24"/>
          <w:szCs w:val="24"/>
        </w:rPr>
        <w:t>，高不足</w:t>
      </w:r>
      <w:r>
        <w:rPr>
          <w:rFonts w:ascii="宋体" w:hAnsi="宋体" w:eastAsia="宋体" w:cs="宋体"/>
          <w:spacing w:val="-34"/>
          <w:sz w:val="24"/>
          <w:szCs w:val="24"/>
        </w:rPr>
        <w:t xml:space="preserve"> </w:t>
      </w:r>
      <w:r>
        <w:rPr>
          <w:rFonts w:ascii="Times New Roman" w:hAnsi="Times New Roman" w:eastAsia="Times New Roman" w:cs="Times New Roman"/>
          <w:spacing w:val="-1"/>
          <w:sz w:val="24"/>
          <w:szCs w:val="24"/>
        </w:rPr>
        <w:t>2m</w:t>
      </w:r>
      <w:r>
        <w:rPr>
          <w:rFonts w:ascii="宋体" w:hAnsi="宋体" w:eastAsia="宋体" w:cs="宋体"/>
          <w:spacing w:val="-1"/>
          <w:sz w:val="24"/>
          <w:szCs w:val="24"/>
        </w:rPr>
        <w:t>，物种组成有珍珠花</w:t>
      </w:r>
      <w:r>
        <w:rPr>
          <w:rFonts w:ascii="宋体" w:hAnsi="宋体" w:eastAsia="宋体" w:cs="宋体"/>
          <w:spacing w:val="-47"/>
          <w:sz w:val="24"/>
          <w:szCs w:val="24"/>
        </w:rPr>
        <w:t xml:space="preserve"> </w:t>
      </w:r>
      <w:r>
        <w:rPr>
          <w:rFonts w:ascii="Times New Roman" w:hAnsi="Times New Roman" w:eastAsia="Times New Roman" w:cs="Times New Roman"/>
          <w:i/>
          <w:iCs/>
          <w:spacing w:val="-1"/>
          <w:sz w:val="24"/>
          <w:szCs w:val="24"/>
        </w:rPr>
        <w:t>Lyonia</w:t>
      </w:r>
      <w:r>
        <w:rPr>
          <w:rFonts w:ascii="Times New Roman" w:hAnsi="Times New Roman" w:eastAsia="Times New Roman" w:cs="Times New Roman"/>
          <w:i/>
          <w:iCs/>
          <w:spacing w:val="38"/>
          <w:w w:val="101"/>
          <w:sz w:val="24"/>
          <w:szCs w:val="24"/>
        </w:rPr>
        <w:t xml:space="preserve"> </w:t>
      </w:r>
      <w:r>
        <w:rPr>
          <w:rFonts w:ascii="Times New Roman" w:hAnsi="Times New Roman" w:eastAsia="Times New Roman" w:cs="Times New Roman"/>
          <w:i/>
          <w:iCs/>
          <w:spacing w:val="-2"/>
          <w:sz w:val="24"/>
          <w:szCs w:val="24"/>
        </w:rPr>
        <w:t>ovalifolia</w:t>
      </w:r>
      <w:r>
        <w:rPr>
          <w:rFonts w:ascii="宋体" w:hAnsi="宋体" w:eastAsia="宋体" w:cs="宋体"/>
          <w:spacing w:val="-2"/>
          <w:sz w:val="24"/>
          <w:szCs w:val="24"/>
        </w:rPr>
        <w:t>、金</w:t>
      </w:r>
      <w:r>
        <w:rPr>
          <w:rFonts w:ascii="宋体" w:hAnsi="宋体" w:eastAsia="宋体" w:cs="宋体"/>
          <w:spacing w:val="10"/>
          <w:sz w:val="24"/>
          <w:szCs w:val="24"/>
        </w:rPr>
        <w:t xml:space="preserve">花小檗 </w:t>
      </w:r>
      <w:r>
        <w:rPr>
          <w:rFonts w:ascii="Times New Roman" w:hAnsi="Times New Roman" w:eastAsia="Times New Roman" w:cs="Times New Roman"/>
          <w:i/>
          <w:iCs/>
          <w:sz w:val="24"/>
          <w:szCs w:val="24"/>
        </w:rPr>
        <w:t>Berberis</w:t>
      </w:r>
      <w:r>
        <w:rPr>
          <w:rFonts w:ascii="Times New Roman" w:hAnsi="Times New Roman" w:eastAsia="Times New Roman" w:cs="Times New Roman"/>
          <w:i/>
          <w:iCs/>
          <w:spacing w:val="57"/>
          <w:w w:val="101"/>
          <w:sz w:val="24"/>
          <w:szCs w:val="24"/>
        </w:rPr>
        <w:t xml:space="preserve"> </w:t>
      </w:r>
      <w:r>
        <w:rPr>
          <w:rFonts w:ascii="Times New Roman" w:hAnsi="Times New Roman" w:eastAsia="Times New Roman" w:cs="Times New Roman"/>
          <w:i/>
          <w:iCs/>
          <w:sz w:val="24"/>
          <w:szCs w:val="24"/>
        </w:rPr>
        <w:t>wilsonae</w:t>
      </w:r>
      <w:r>
        <w:rPr>
          <w:rFonts w:ascii="宋体" w:hAnsi="宋体" w:eastAsia="宋体" w:cs="宋体"/>
          <w:spacing w:val="10"/>
          <w:sz w:val="24"/>
          <w:szCs w:val="24"/>
        </w:rPr>
        <w:t xml:space="preserve">、火棘 </w:t>
      </w:r>
      <w:r>
        <w:rPr>
          <w:rFonts w:ascii="Times New Roman" w:hAnsi="Times New Roman" w:eastAsia="Times New Roman" w:cs="Times New Roman"/>
          <w:i/>
          <w:iCs/>
          <w:sz w:val="24"/>
          <w:szCs w:val="24"/>
        </w:rPr>
        <w:t>Pyracantha</w:t>
      </w:r>
      <w:r>
        <w:rPr>
          <w:rFonts w:ascii="Times New Roman" w:hAnsi="Times New Roman" w:eastAsia="Times New Roman" w:cs="Times New Roman"/>
          <w:i/>
          <w:iCs/>
          <w:spacing w:val="10"/>
          <w:sz w:val="24"/>
          <w:szCs w:val="24"/>
        </w:rPr>
        <w:t xml:space="preserve"> </w:t>
      </w:r>
      <w:r>
        <w:rPr>
          <w:rFonts w:ascii="Times New Roman" w:hAnsi="Times New Roman" w:eastAsia="Times New Roman" w:cs="Times New Roman"/>
          <w:i/>
          <w:iCs/>
          <w:sz w:val="24"/>
          <w:szCs w:val="24"/>
        </w:rPr>
        <w:t>fortuneana</w:t>
      </w:r>
      <w:r>
        <w:rPr>
          <w:rFonts w:ascii="宋体" w:hAnsi="宋体" w:eastAsia="宋体" w:cs="宋体"/>
          <w:spacing w:val="10"/>
          <w:sz w:val="24"/>
          <w:szCs w:val="24"/>
        </w:rPr>
        <w:t xml:space="preserve">、栽秧泡 </w:t>
      </w:r>
      <w:r>
        <w:rPr>
          <w:rFonts w:ascii="Times New Roman" w:hAnsi="Times New Roman" w:eastAsia="Times New Roman" w:cs="Times New Roman"/>
          <w:i/>
          <w:iCs/>
          <w:sz w:val="24"/>
          <w:szCs w:val="24"/>
        </w:rPr>
        <w:t>Rubus</w:t>
      </w:r>
      <w:r>
        <w:rPr>
          <w:rFonts w:ascii="Times New Roman" w:hAnsi="Times New Roman" w:eastAsia="Times New Roman" w:cs="Times New Roman"/>
          <w:i/>
          <w:iCs/>
          <w:spacing w:val="10"/>
          <w:sz w:val="24"/>
          <w:szCs w:val="24"/>
        </w:rPr>
        <w:t xml:space="preserve">  </w:t>
      </w:r>
      <w:r>
        <w:rPr>
          <w:rFonts w:ascii="Times New Roman" w:hAnsi="Times New Roman" w:eastAsia="Times New Roman" w:cs="Times New Roman"/>
          <w:i/>
          <w:iCs/>
          <w:sz w:val="24"/>
          <w:szCs w:val="24"/>
        </w:rPr>
        <w:t>ellipticus</w:t>
      </w:r>
      <w:r>
        <w:rPr>
          <w:rFonts w:ascii="Times New Roman" w:hAnsi="Times New Roman" w:eastAsia="Times New Roman" w:cs="Times New Roman"/>
          <w:i/>
          <w:iCs/>
          <w:spacing w:val="10"/>
          <w:sz w:val="24"/>
          <w:szCs w:val="24"/>
        </w:rPr>
        <w:t xml:space="preserve">  </w:t>
      </w:r>
      <w:r>
        <w:rPr>
          <w:rFonts w:ascii="Times New Roman" w:hAnsi="Times New Roman" w:eastAsia="Times New Roman" w:cs="Times New Roman"/>
          <w:sz w:val="24"/>
          <w:szCs w:val="24"/>
        </w:rPr>
        <w:t>var</w:t>
      </w:r>
      <w:r>
        <w:rPr>
          <w:rFonts w:ascii="Times New Roman" w:hAnsi="Times New Roman" w:eastAsia="Times New Roman" w:cs="Times New Roman"/>
          <w:spacing w:val="10"/>
          <w:sz w:val="24"/>
          <w:szCs w:val="24"/>
        </w:rPr>
        <w:t>.</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obcordatus</w:t>
      </w:r>
      <w:r>
        <w:rPr>
          <w:rFonts w:ascii="宋体" w:hAnsi="宋体" w:eastAsia="宋体" w:cs="宋体"/>
          <w:spacing w:val="5"/>
          <w:sz w:val="24"/>
          <w:szCs w:val="24"/>
        </w:rPr>
        <w:t xml:space="preserve">、西南金丝桃 </w:t>
      </w:r>
      <w:r>
        <w:rPr>
          <w:rFonts w:ascii="Times New Roman" w:hAnsi="Times New Roman" w:eastAsia="Times New Roman" w:cs="Times New Roman"/>
          <w:i/>
          <w:iCs/>
          <w:sz w:val="24"/>
          <w:szCs w:val="24"/>
        </w:rPr>
        <w:t>Hypericum</w:t>
      </w:r>
      <w:r>
        <w:rPr>
          <w:rFonts w:ascii="Times New Roman" w:hAnsi="Times New Roman" w:eastAsia="Times New Roman" w:cs="Times New Roman"/>
          <w:i/>
          <w:iCs/>
          <w:spacing w:val="38"/>
          <w:sz w:val="24"/>
          <w:szCs w:val="24"/>
        </w:rPr>
        <w:t xml:space="preserve"> </w:t>
      </w:r>
      <w:r>
        <w:rPr>
          <w:rFonts w:ascii="Times New Roman" w:hAnsi="Times New Roman" w:eastAsia="Times New Roman" w:cs="Times New Roman"/>
          <w:i/>
          <w:iCs/>
          <w:sz w:val="24"/>
          <w:szCs w:val="24"/>
        </w:rPr>
        <w:t>henryi</w:t>
      </w:r>
      <w:r>
        <w:rPr>
          <w:rFonts w:ascii="宋体" w:hAnsi="宋体" w:eastAsia="宋体" w:cs="宋体"/>
          <w:spacing w:val="5"/>
          <w:sz w:val="24"/>
          <w:szCs w:val="24"/>
        </w:rPr>
        <w:t xml:space="preserve">、地果 </w:t>
      </w:r>
      <w:r>
        <w:rPr>
          <w:rFonts w:ascii="Times New Roman" w:hAnsi="Times New Roman" w:eastAsia="Times New Roman" w:cs="Times New Roman"/>
          <w:i/>
          <w:iCs/>
          <w:sz w:val="24"/>
          <w:szCs w:val="24"/>
        </w:rPr>
        <w:t>Ficus</w:t>
      </w:r>
      <w:r>
        <w:rPr>
          <w:rFonts w:ascii="Times New Roman" w:hAnsi="Times New Roman" w:eastAsia="Times New Roman" w:cs="Times New Roman"/>
          <w:i/>
          <w:iCs/>
          <w:spacing w:val="43"/>
          <w:w w:val="101"/>
          <w:sz w:val="24"/>
          <w:szCs w:val="24"/>
        </w:rPr>
        <w:t xml:space="preserve"> </w:t>
      </w:r>
      <w:r>
        <w:rPr>
          <w:rFonts w:ascii="Times New Roman" w:hAnsi="Times New Roman" w:eastAsia="Times New Roman" w:cs="Times New Roman"/>
          <w:i/>
          <w:iCs/>
          <w:sz w:val="24"/>
          <w:szCs w:val="24"/>
        </w:rPr>
        <w:t>tikoua</w:t>
      </w:r>
      <w:r>
        <w:rPr>
          <w:rFonts w:ascii="宋体" w:hAnsi="宋体" w:eastAsia="宋体" w:cs="宋体"/>
          <w:spacing w:val="5"/>
          <w:sz w:val="24"/>
          <w:szCs w:val="24"/>
        </w:rPr>
        <w:t xml:space="preserve">、小叶栒子 </w:t>
      </w:r>
      <w:r>
        <w:rPr>
          <w:rFonts w:ascii="Times New Roman" w:hAnsi="Times New Roman" w:eastAsia="Times New Roman" w:cs="Times New Roman"/>
          <w:i/>
          <w:iCs/>
          <w:sz w:val="24"/>
          <w:szCs w:val="24"/>
        </w:rPr>
        <w:t xml:space="preserve">Cotoneaster </w:t>
      </w:r>
      <w:r>
        <w:rPr>
          <w:rFonts w:ascii="Times New Roman" w:hAnsi="Times New Roman" w:eastAsia="Times New Roman" w:cs="Times New Roman"/>
          <w:i/>
          <w:iCs/>
          <w:spacing w:val="-1"/>
          <w:sz w:val="24"/>
          <w:szCs w:val="24"/>
        </w:rPr>
        <w:t>microphyllus</w:t>
      </w:r>
      <w:r>
        <w:rPr>
          <w:rFonts w:ascii="宋体" w:hAnsi="宋体" w:eastAsia="宋体" w:cs="宋体"/>
          <w:spacing w:val="-1"/>
          <w:sz w:val="24"/>
          <w:szCs w:val="24"/>
        </w:rPr>
        <w:t>、铁仔</w:t>
      </w:r>
      <w:r>
        <w:rPr>
          <w:rFonts w:ascii="宋体" w:hAnsi="宋体" w:eastAsia="宋体" w:cs="宋体"/>
          <w:spacing w:val="-39"/>
          <w:sz w:val="24"/>
          <w:szCs w:val="24"/>
        </w:rPr>
        <w:t xml:space="preserve"> </w:t>
      </w:r>
      <w:r>
        <w:rPr>
          <w:rFonts w:ascii="Times New Roman" w:hAnsi="Times New Roman" w:eastAsia="Times New Roman" w:cs="Times New Roman"/>
          <w:i/>
          <w:iCs/>
          <w:spacing w:val="-1"/>
          <w:sz w:val="24"/>
          <w:szCs w:val="24"/>
        </w:rPr>
        <w:t>Myrsine africana</w:t>
      </w:r>
      <w:r>
        <w:rPr>
          <w:rFonts w:ascii="宋体" w:hAnsi="宋体" w:eastAsia="宋体" w:cs="宋体"/>
          <w:spacing w:val="-1"/>
          <w:sz w:val="24"/>
          <w:szCs w:val="24"/>
        </w:rPr>
        <w:t xml:space="preserve">、乌鸦果 </w:t>
      </w:r>
      <w:r>
        <w:rPr>
          <w:rFonts w:ascii="Times New Roman" w:hAnsi="Times New Roman" w:eastAsia="Times New Roman" w:cs="Times New Roman"/>
          <w:i/>
          <w:iCs/>
          <w:spacing w:val="-1"/>
          <w:sz w:val="24"/>
          <w:szCs w:val="24"/>
        </w:rPr>
        <w:t>Vaccinium</w:t>
      </w:r>
      <w:r>
        <w:rPr>
          <w:rFonts w:ascii="Times New Roman" w:hAnsi="Times New Roman" w:eastAsia="Times New Roman" w:cs="Times New Roman"/>
          <w:i/>
          <w:iCs/>
          <w:spacing w:val="-42"/>
          <w:sz w:val="24"/>
          <w:szCs w:val="24"/>
        </w:rPr>
        <w:t xml:space="preserve"> </w:t>
      </w:r>
      <w:r>
        <w:rPr>
          <w:rFonts w:ascii="Times New Roman" w:hAnsi="Times New Roman" w:eastAsia="Times New Roman" w:cs="Times New Roman"/>
          <w:i/>
          <w:iCs/>
          <w:spacing w:val="-1"/>
          <w:sz w:val="24"/>
          <w:szCs w:val="24"/>
        </w:rPr>
        <w:t xml:space="preserve">fragile </w:t>
      </w:r>
      <w:r>
        <w:rPr>
          <w:rFonts w:ascii="宋体" w:hAnsi="宋体" w:eastAsia="宋体" w:cs="宋体"/>
          <w:spacing w:val="-1"/>
          <w:sz w:val="24"/>
          <w:szCs w:val="24"/>
        </w:rPr>
        <w:t>等。</w:t>
      </w:r>
    </w:p>
    <w:p w14:paraId="2F1B5B21">
      <w:pPr>
        <w:spacing w:before="26" w:line="355" w:lineRule="auto"/>
        <w:ind w:left="29" w:right="195" w:firstLine="502"/>
        <w:rPr>
          <w:rFonts w:ascii="宋体" w:hAnsi="宋体" w:eastAsia="宋体" w:cs="宋体"/>
          <w:sz w:val="24"/>
          <w:szCs w:val="24"/>
        </w:rPr>
      </w:pPr>
      <w:r>
        <w:rPr>
          <w:rFonts w:ascii="宋体" w:hAnsi="宋体" w:eastAsia="宋体" w:cs="宋体"/>
          <w:sz w:val="24"/>
          <w:szCs w:val="24"/>
        </w:rPr>
        <w:t xml:space="preserve">草本层盖度 </w:t>
      </w:r>
      <w:r>
        <w:rPr>
          <w:rFonts w:ascii="Times New Roman" w:hAnsi="Times New Roman" w:eastAsia="Times New Roman" w:cs="Times New Roman"/>
          <w:sz w:val="24"/>
          <w:szCs w:val="24"/>
        </w:rPr>
        <w:t>15-25%</w:t>
      </w:r>
      <w:r>
        <w:rPr>
          <w:rFonts w:ascii="宋体" w:hAnsi="宋体" w:eastAsia="宋体" w:cs="宋体"/>
          <w:sz w:val="24"/>
          <w:szCs w:val="24"/>
        </w:rPr>
        <w:t xml:space="preserve">，高约 </w:t>
      </w:r>
      <w:r>
        <w:rPr>
          <w:rFonts w:ascii="Times New Roman" w:hAnsi="Times New Roman" w:eastAsia="Times New Roman" w:cs="Times New Roman"/>
          <w:sz w:val="24"/>
          <w:szCs w:val="24"/>
        </w:rPr>
        <w:t>0.5m</w:t>
      </w:r>
      <w:r>
        <w:rPr>
          <w:rFonts w:ascii="宋体" w:hAnsi="宋体" w:eastAsia="宋体" w:cs="宋体"/>
          <w:sz w:val="24"/>
          <w:szCs w:val="24"/>
        </w:rPr>
        <w:t xml:space="preserve">，物种主要有白健秆 </w:t>
      </w:r>
      <w:r>
        <w:rPr>
          <w:rFonts w:ascii="Times New Roman" w:hAnsi="Times New Roman" w:eastAsia="Times New Roman" w:cs="Times New Roman"/>
          <w:i/>
          <w:iCs/>
          <w:sz w:val="24"/>
          <w:szCs w:val="24"/>
        </w:rPr>
        <w:t>Eu</w:t>
      </w:r>
      <w:r>
        <w:rPr>
          <w:rFonts w:ascii="Times New Roman" w:hAnsi="Times New Roman" w:eastAsia="Times New Roman" w:cs="Times New Roman"/>
          <w:i/>
          <w:iCs/>
          <w:spacing w:val="-1"/>
          <w:sz w:val="24"/>
          <w:szCs w:val="24"/>
        </w:rPr>
        <w:t>lalia pallens</w:t>
      </w:r>
      <w:r>
        <w:rPr>
          <w:rFonts w:ascii="宋体" w:hAnsi="宋体" w:eastAsia="宋体" w:cs="宋体"/>
          <w:spacing w:val="-1"/>
          <w:sz w:val="24"/>
          <w:szCs w:val="24"/>
        </w:rPr>
        <w:t>、刺芒野古草</w:t>
      </w:r>
      <w:r>
        <w:rPr>
          <w:rFonts w:ascii="Times New Roman" w:hAnsi="Times New Roman" w:eastAsia="Times New Roman" w:cs="Times New Roman"/>
          <w:i/>
          <w:iCs/>
          <w:sz w:val="24"/>
          <w:szCs w:val="24"/>
        </w:rPr>
        <w:t>Arundinella</w:t>
      </w:r>
      <w:r>
        <w:rPr>
          <w:rFonts w:ascii="Times New Roman" w:hAnsi="Times New Roman" w:eastAsia="Times New Roman" w:cs="Times New Roman"/>
          <w:i/>
          <w:iCs/>
          <w:spacing w:val="30"/>
          <w:sz w:val="24"/>
          <w:szCs w:val="24"/>
        </w:rPr>
        <w:t xml:space="preserve"> </w:t>
      </w:r>
      <w:r>
        <w:rPr>
          <w:rFonts w:ascii="Times New Roman" w:hAnsi="Times New Roman" w:eastAsia="Times New Roman" w:cs="Times New Roman"/>
          <w:i/>
          <w:iCs/>
          <w:sz w:val="24"/>
          <w:szCs w:val="24"/>
        </w:rPr>
        <w:t>setosa</w:t>
      </w:r>
      <w:r>
        <w:rPr>
          <w:rFonts w:ascii="宋体" w:hAnsi="宋体" w:eastAsia="宋体" w:cs="宋体"/>
          <w:sz w:val="24"/>
          <w:szCs w:val="24"/>
        </w:rPr>
        <w:t>、千里光</w:t>
      </w:r>
      <w:r>
        <w:rPr>
          <w:rFonts w:ascii="宋体" w:hAnsi="宋体" w:eastAsia="宋体" w:cs="宋体"/>
          <w:spacing w:val="-32"/>
          <w:sz w:val="24"/>
          <w:szCs w:val="24"/>
        </w:rPr>
        <w:t xml:space="preserve"> </w:t>
      </w:r>
      <w:r>
        <w:rPr>
          <w:rFonts w:ascii="Times New Roman" w:hAnsi="Times New Roman" w:eastAsia="Times New Roman" w:cs="Times New Roman"/>
          <w:i/>
          <w:iCs/>
          <w:sz w:val="24"/>
          <w:szCs w:val="24"/>
        </w:rPr>
        <w:t>Senecio</w:t>
      </w:r>
      <w:r>
        <w:rPr>
          <w:rFonts w:ascii="Times New Roman" w:hAnsi="Times New Roman" w:eastAsia="Times New Roman" w:cs="Times New Roman"/>
          <w:i/>
          <w:iCs/>
          <w:spacing w:val="30"/>
          <w:sz w:val="24"/>
          <w:szCs w:val="24"/>
        </w:rPr>
        <w:t xml:space="preserve"> </w:t>
      </w:r>
      <w:r>
        <w:rPr>
          <w:rFonts w:ascii="Times New Roman" w:hAnsi="Times New Roman" w:eastAsia="Times New Roman" w:cs="Times New Roman"/>
          <w:i/>
          <w:iCs/>
          <w:sz w:val="24"/>
          <w:szCs w:val="24"/>
        </w:rPr>
        <w:t>scandens</w:t>
      </w:r>
      <w:r>
        <w:rPr>
          <w:rFonts w:ascii="宋体" w:hAnsi="宋体" w:eastAsia="宋体" w:cs="宋体"/>
          <w:sz w:val="24"/>
          <w:szCs w:val="24"/>
        </w:rPr>
        <w:t>、滇蔗茅</w:t>
      </w:r>
      <w:r>
        <w:rPr>
          <w:rFonts w:ascii="宋体" w:hAnsi="宋体" w:eastAsia="宋体" w:cs="宋体"/>
          <w:spacing w:val="-28"/>
          <w:sz w:val="24"/>
          <w:szCs w:val="24"/>
        </w:rPr>
        <w:t xml:space="preserve"> </w:t>
      </w:r>
      <w:r>
        <w:rPr>
          <w:rFonts w:ascii="Times New Roman" w:hAnsi="Times New Roman" w:eastAsia="Times New Roman" w:cs="Times New Roman"/>
          <w:i/>
          <w:iCs/>
          <w:sz w:val="24"/>
          <w:szCs w:val="24"/>
        </w:rPr>
        <w:t>Erianthus</w:t>
      </w:r>
      <w:r>
        <w:rPr>
          <w:rFonts w:ascii="Times New Roman" w:hAnsi="Times New Roman" w:eastAsia="Times New Roman" w:cs="Times New Roman"/>
          <w:i/>
          <w:iCs/>
          <w:spacing w:val="42"/>
          <w:sz w:val="24"/>
          <w:szCs w:val="24"/>
        </w:rPr>
        <w:t xml:space="preserve"> </w:t>
      </w:r>
      <w:r>
        <w:rPr>
          <w:rFonts w:ascii="Times New Roman" w:hAnsi="Times New Roman" w:eastAsia="Times New Roman" w:cs="Times New Roman"/>
          <w:i/>
          <w:iCs/>
          <w:sz w:val="24"/>
          <w:szCs w:val="24"/>
        </w:rPr>
        <w:t>l</w:t>
      </w:r>
      <w:r>
        <w:rPr>
          <w:rFonts w:ascii="Times New Roman" w:hAnsi="Times New Roman" w:eastAsia="Times New Roman" w:cs="Times New Roman"/>
          <w:i/>
          <w:iCs/>
          <w:spacing w:val="-1"/>
          <w:sz w:val="24"/>
          <w:szCs w:val="24"/>
        </w:rPr>
        <w:t>ongisetosus</w:t>
      </w:r>
      <w:r>
        <w:rPr>
          <w:rFonts w:ascii="宋体" w:hAnsi="宋体" w:eastAsia="宋体" w:cs="宋体"/>
          <w:spacing w:val="-1"/>
          <w:sz w:val="24"/>
          <w:szCs w:val="24"/>
        </w:rPr>
        <w:t>、硬秆子草</w:t>
      </w:r>
      <w:r>
        <w:rPr>
          <w:rFonts w:ascii="Times New Roman" w:hAnsi="Times New Roman" w:eastAsia="Times New Roman" w:cs="Times New Roman"/>
          <w:i/>
          <w:iCs/>
          <w:spacing w:val="-1"/>
          <w:sz w:val="24"/>
          <w:szCs w:val="24"/>
        </w:rPr>
        <w:t>Capillipedium assimile</w:t>
      </w:r>
      <w:r>
        <w:rPr>
          <w:rFonts w:ascii="宋体" w:hAnsi="宋体" w:eastAsia="宋体" w:cs="宋体"/>
          <w:spacing w:val="-1"/>
          <w:sz w:val="24"/>
          <w:szCs w:val="24"/>
        </w:rPr>
        <w:t>、白茅</w:t>
      </w:r>
      <w:r>
        <w:rPr>
          <w:rFonts w:ascii="宋体" w:hAnsi="宋体" w:eastAsia="宋体" w:cs="宋体"/>
          <w:spacing w:val="-67"/>
          <w:sz w:val="24"/>
          <w:szCs w:val="24"/>
        </w:rPr>
        <w:t xml:space="preserve"> </w:t>
      </w:r>
      <w:r>
        <w:rPr>
          <w:rFonts w:ascii="Times New Roman" w:hAnsi="Times New Roman" w:eastAsia="Times New Roman" w:cs="Times New Roman"/>
          <w:i/>
          <w:iCs/>
          <w:spacing w:val="-1"/>
          <w:sz w:val="24"/>
          <w:szCs w:val="24"/>
        </w:rPr>
        <w:t>Imp</w:t>
      </w:r>
      <w:r>
        <w:rPr>
          <w:rFonts w:ascii="Times New Roman" w:hAnsi="Times New Roman" w:eastAsia="Times New Roman" w:cs="Times New Roman"/>
          <w:i/>
          <w:iCs/>
          <w:spacing w:val="-2"/>
          <w:sz w:val="24"/>
          <w:szCs w:val="24"/>
        </w:rPr>
        <w:t xml:space="preserve">erata cylindrica </w:t>
      </w:r>
      <w:r>
        <w:rPr>
          <w:rFonts w:ascii="Times New Roman" w:hAnsi="Times New Roman" w:eastAsia="Times New Roman" w:cs="Times New Roman"/>
          <w:spacing w:val="-2"/>
          <w:sz w:val="24"/>
          <w:szCs w:val="24"/>
        </w:rPr>
        <w:t>var.</w:t>
      </w:r>
      <w:r>
        <w:rPr>
          <w:rFonts w:ascii="Times New Roman" w:hAnsi="Times New Roman" w:eastAsia="Times New Roman" w:cs="Times New Roman"/>
          <w:spacing w:val="-11"/>
          <w:sz w:val="24"/>
          <w:szCs w:val="24"/>
        </w:rPr>
        <w:t xml:space="preserve"> </w:t>
      </w:r>
      <w:r>
        <w:rPr>
          <w:rFonts w:ascii="Times New Roman" w:hAnsi="Times New Roman" w:eastAsia="Times New Roman" w:cs="Times New Roman"/>
          <w:i/>
          <w:iCs/>
          <w:spacing w:val="-2"/>
          <w:sz w:val="24"/>
          <w:szCs w:val="24"/>
        </w:rPr>
        <w:t>major</w:t>
      </w:r>
      <w:r>
        <w:rPr>
          <w:rFonts w:ascii="宋体" w:hAnsi="宋体" w:eastAsia="宋体" w:cs="宋体"/>
          <w:spacing w:val="-2"/>
          <w:sz w:val="24"/>
          <w:szCs w:val="24"/>
        </w:rPr>
        <w:t>、黄茅</w:t>
      </w:r>
      <w:r>
        <w:rPr>
          <w:rFonts w:ascii="宋体" w:hAnsi="宋体" w:eastAsia="宋体" w:cs="宋体"/>
          <w:spacing w:val="-66"/>
          <w:sz w:val="24"/>
          <w:szCs w:val="24"/>
        </w:rPr>
        <w:t xml:space="preserve"> </w:t>
      </w:r>
      <w:r>
        <w:rPr>
          <w:rFonts w:ascii="Times New Roman" w:hAnsi="Times New Roman" w:eastAsia="Times New Roman" w:cs="Times New Roman"/>
          <w:i/>
          <w:iCs/>
          <w:spacing w:val="-2"/>
          <w:sz w:val="24"/>
          <w:szCs w:val="24"/>
        </w:rPr>
        <w:t>Heteropogon contortus</w:t>
      </w:r>
      <w:r>
        <w:rPr>
          <w:rFonts w:ascii="宋体" w:hAnsi="宋体" w:eastAsia="宋体" w:cs="宋体"/>
          <w:spacing w:val="-2"/>
          <w:sz w:val="24"/>
          <w:szCs w:val="24"/>
        </w:rPr>
        <w:t>、</w:t>
      </w:r>
      <w:r>
        <w:rPr>
          <w:rFonts w:ascii="宋体" w:hAnsi="宋体" w:eastAsia="宋体" w:cs="宋体"/>
          <w:spacing w:val="-1"/>
          <w:sz w:val="24"/>
          <w:szCs w:val="24"/>
        </w:rPr>
        <w:t>龙葵</w:t>
      </w:r>
      <w:r>
        <w:rPr>
          <w:rFonts w:ascii="宋体" w:hAnsi="宋体" w:eastAsia="宋体" w:cs="宋体"/>
          <w:spacing w:val="-42"/>
          <w:sz w:val="24"/>
          <w:szCs w:val="24"/>
        </w:rPr>
        <w:t xml:space="preserve"> </w:t>
      </w:r>
      <w:r>
        <w:rPr>
          <w:rFonts w:ascii="Times New Roman" w:hAnsi="Times New Roman" w:eastAsia="Times New Roman" w:cs="Times New Roman"/>
          <w:i/>
          <w:iCs/>
          <w:spacing w:val="-1"/>
          <w:sz w:val="24"/>
          <w:szCs w:val="24"/>
        </w:rPr>
        <w:t xml:space="preserve">Solanum nigrum </w:t>
      </w:r>
      <w:r>
        <w:rPr>
          <w:rFonts w:ascii="宋体" w:hAnsi="宋体" w:eastAsia="宋体" w:cs="宋体"/>
          <w:spacing w:val="-1"/>
          <w:sz w:val="24"/>
          <w:szCs w:val="24"/>
        </w:rPr>
        <w:t>等。</w:t>
      </w:r>
    </w:p>
    <w:p w14:paraId="501DF8D1">
      <w:pPr>
        <w:spacing w:before="26" w:line="233" w:lineRule="auto"/>
        <w:ind w:left="526"/>
        <w:rPr>
          <w:rFonts w:ascii="宋体" w:hAnsi="宋体" w:eastAsia="宋体" w:cs="宋体"/>
          <w:sz w:val="24"/>
          <w:szCs w:val="24"/>
        </w:rPr>
      </w:pPr>
      <w:r>
        <w:rPr>
          <w:rFonts w:ascii="Times New Roman" w:hAnsi="Times New Roman" w:eastAsia="Times New Roman" w:cs="Times New Roman"/>
          <w:spacing w:val="-3"/>
          <w:sz w:val="24"/>
          <w:szCs w:val="24"/>
        </w:rPr>
        <w:t>2</w:t>
      </w:r>
      <w:r>
        <w:rPr>
          <w:rFonts w:ascii="宋体" w:hAnsi="宋体" w:eastAsia="宋体" w:cs="宋体"/>
          <w:spacing w:val="-3"/>
          <w:sz w:val="24"/>
          <w:szCs w:val="24"/>
        </w:rPr>
        <w:t>）华山松群落</w:t>
      </w:r>
    </w:p>
    <w:p w14:paraId="66AFA06A">
      <w:pPr>
        <w:spacing w:before="164" w:line="360" w:lineRule="auto"/>
        <w:ind w:left="69" w:right="183" w:firstLine="462"/>
        <w:rPr>
          <w:rFonts w:ascii="宋体" w:hAnsi="宋体" w:eastAsia="宋体" w:cs="宋体"/>
          <w:sz w:val="24"/>
          <w:szCs w:val="24"/>
        </w:rPr>
      </w:pPr>
      <w:r>
        <w:rPr>
          <w:rFonts w:ascii="宋体" w:hAnsi="宋体" w:eastAsia="宋体" w:cs="宋体"/>
          <w:spacing w:val="-2"/>
          <w:sz w:val="24"/>
          <w:szCs w:val="24"/>
        </w:rPr>
        <w:t xml:space="preserve">华山松群落主要分布在评价区中部。群落乔木层盖度 </w:t>
      </w:r>
      <w:r>
        <w:rPr>
          <w:rFonts w:ascii="Times New Roman" w:hAnsi="Times New Roman" w:eastAsia="Times New Roman" w:cs="Times New Roman"/>
          <w:spacing w:val="-2"/>
          <w:sz w:val="24"/>
          <w:szCs w:val="24"/>
        </w:rPr>
        <w:t>50-60%</w:t>
      </w:r>
      <w:r>
        <w:rPr>
          <w:rFonts w:ascii="宋体" w:hAnsi="宋体" w:eastAsia="宋体" w:cs="宋体"/>
          <w:spacing w:val="-2"/>
          <w:sz w:val="24"/>
          <w:szCs w:val="24"/>
        </w:rPr>
        <w:t xml:space="preserve">，高 </w:t>
      </w:r>
      <w:r>
        <w:rPr>
          <w:rFonts w:ascii="Times New Roman" w:hAnsi="Times New Roman" w:eastAsia="Times New Roman" w:cs="Times New Roman"/>
          <w:spacing w:val="-2"/>
          <w:sz w:val="24"/>
          <w:szCs w:val="24"/>
        </w:rPr>
        <w:t>6-12m</w:t>
      </w:r>
      <w:r>
        <w:rPr>
          <w:rFonts w:ascii="宋体" w:hAnsi="宋体" w:eastAsia="宋体" w:cs="宋体"/>
          <w:spacing w:val="-2"/>
          <w:sz w:val="24"/>
          <w:szCs w:val="24"/>
        </w:rPr>
        <w:t xml:space="preserve">，胸径 </w:t>
      </w:r>
      <w:r>
        <w:rPr>
          <w:rFonts w:ascii="Times New Roman" w:hAnsi="Times New Roman" w:eastAsia="Times New Roman" w:cs="Times New Roman"/>
          <w:spacing w:val="-2"/>
          <w:sz w:val="24"/>
          <w:szCs w:val="24"/>
        </w:rPr>
        <w:t>5-</w:t>
      </w:r>
      <w:r>
        <w:rPr>
          <w:rFonts w:ascii="Times New Roman" w:hAnsi="Times New Roman" w:eastAsia="Times New Roman" w:cs="Times New Roman"/>
          <w:spacing w:val="4"/>
          <w:sz w:val="24"/>
          <w:szCs w:val="24"/>
        </w:rPr>
        <w:t xml:space="preserve"> </w:t>
      </w:r>
      <w:r>
        <w:rPr>
          <w:rFonts w:ascii="Times New Roman" w:hAnsi="Times New Roman" w:eastAsia="Times New Roman" w:cs="Times New Roman"/>
          <w:spacing w:val="-1"/>
          <w:sz w:val="24"/>
          <w:szCs w:val="24"/>
        </w:rPr>
        <w:t>14cm</w:t>
      </w:r>
      <w:r>
        <w:rPr>
          <w:rFonts w:ascii="宋体" w:hAnsi="宋体" w:eastAsia="宋体" w:cs="宋体"/>
          <w:spacing w:val="-1"/>
          <w:sz w:val="24"/>
          <w:szCs w:val="24"/>
        </w:rPr>
        <w:t>，物种主要以华山松为主，伴生有云南松、银荆树</w:t>
      </w:r>
      <w:r>
        <w:rPr>
          <w:rFonts w:ascii="宋体" w:hAnsi="宋体" w:eastAsia="宋体" w:cs="宋体"/>
          <w:spacing w:val="-55"/>
          <w:sz w:val="24"/>
          <w:szCs w:val="24"/>
        </w:rPr>
        <w:t xml:space="preserve"> </w:t>
      </w:r>
      <w:r>
        <w:rPr>
          <w:rFonts w:ascii="Times New Roman" w:hAnsi="Times New Roman" w:eastAsia="Times New Roman" w:cs="Times New Roman"/>
          <w:i/>
          <w:iCs/>
          <w:spacing w:val="-1"/>
          <w:sz w:val="24"/>
          <w:szCs w:val="24"/>
        </w:rPr>
        <w:t xml:space="preserve">Acacia dealbata </w:t>
      </w:r>
      <w:r>
        <w:rPr>
          <w:rFonts w:ascii="宋体" w:hAnsi="宋体" w:eastAsia="宋体" w:cs="宋体"/>
          <w:spacing w:val="-1"/>
          <w:sz w:val="24"/>
          <w:szCs w:val="24"/>
        </w:rPr>
        <w:t>等。</w:t>
      </w:r>
    </w:p>
    <w:p w14:paraId="66AF765C">
      <w:pPr>
        <w:spacing w:line="355" w:lineRule="auto"/>
        <w:ind w:left="45" w:right="182" w:firstLine="488"/>
        <w:rPr>
          <w:rFonts w:ascii="宋体" w:hAnsi="宋体" w:eastAsia="宋体" w:cs="宋体"/>
          <w:sz w:val="24"/>
          <w:szCs w:val="24"/>
        </w:rPr>
      </w:pPr>
      <w:r>
        <w:rPr>
          <w:rFonts w:ascii="宋体" w:hAnsi="宋体" w:eastAsia="宋体" w:cs="宋体"/>
          <w:spacing w:val="-8"/>
          <w:sz w:val="24"/>
          <w:szCs w:val="24"/>
        </w:rPr>
        <w:t>灌木层盖度</w:t>
      </w:r>
      <w:r>
        <w:rPr>
          <w:rFonts w:ascii="宋体" w:hAnsi="宋体" w:eastAsia="宋体" w:cs="宋体"/>
          <w:spacing w:val="-44"/>
          <w:sz w:val="24"/>
          <w:szCs w:val="24"/>
        </w:rPr>
        <w:t xml:space="preserve"> </w:t>
      </w:r>
      <w:r>
        <w:rPr>
          <w:rFonts w:ascii="Times New Roman" w:hAnsi="Times New Roman" w:eastAsia="Times New Roman" w:cs="Times New Roman"/>
          <w:spacing w:val="-8"/>
          <w:sz w:val="24"/>
          <w:szCs w:val="24"/>
        </w:rPr>
        <w:t>10-15%</w:t>
      </w:r>
      <w:r>
        <w:rPr>
          <w:rFonts w:ascii="宋体" w:hAnsi="宋体" w:eastAsia="宋体" w:cs="宋体"/>
          <w:spacing w:val="-8"/>
          <w:sz w:val="24"/>
          <w:szCs w:val="24"/>
        </w:rPr>
        <w:t>，高约</w:t>
      </w:r>
      <w:r>
        <w:rPr>
          <w:rFonts w:ascii="宋体" w:hAnsi="宋体" w:eastAsia="宋体" w:cs="宋体"/>
          <w:spacing w:val="-44"/>
          <w:sz w:val="24"/>
          <w:szCs w:val="24"/>
        </w:rPr>
        <w:t xml:space="preserve"> </w:t>
      </w:r>
      <w:r>
        <w:rPr>
          <w:rFonts w:ascii="Times New Roman" w:hAnsi="Times New Roman" w:eastAsia="Times New Roman" w:cs="Times New Roman"/>
          <w:spacing w:val="-8"/>
          <w:sz w:val="24"/>
          <w:szCs w:val="24"/>
        </w:rPr>
        <w:t>1.5m</w:t>
      </w:r>
      <w:r>
        <w:rPr>
          <w:rFonts w:ascii="宋体" w:hAnsi="宋体" w:eastAsia="宋体" w:cs="宋体"/>
          <w:spacing w:val="-8"/>
          <w:sz w:val="24"/>
          <w:szCs w:val="24"/>
        </w:rPr>
        <w:t>，物种组成有马桑</w:t>
      </w:r>
      <w:r>
        <w:rPr>
          <w:rFonts w:ascii="宋体" w:hAnsi="宋体" w:eastAsia="宋体" w:cs="宋体"/>
          <w:spacing w:val="-55"/>
          <w:sz w:val="24"/>
          <w:szCs w:val="24"/>
        </w:rPr>
        <w:t xml:space="preserve"> </w:t>
      </w:r>
      <w:r>
        <w:rPr>
          <w:rFonts w:ascii="Times New Roman" w:hAnsi="Times New Roman" w:eastAsia="Times New Roman" w:cs="Times New Roman"/>
          <w:i/>
          <w:iCs/>
          <w:spacing w:val="-8"/>
          <w:sz w:val="24"/>
          <w:szCs w:val="24"/>
        </w:rPr>
        <w:t>Coriaria nepalensi</w:t>
      </w:r>
      <w:r>
        <w:rPr>
          <w:rFonts w:ascii="Times New Roman" w:hAnsi="Times New Roman" w:eastAsia="Times New Roman" w:cs="Times New Roman"/>
          <w:i/>
          <w:iCs/>
          <w:spacing w:val="-9"/>
          <w:sz w:val="24"/>
          <w:szCs w:val="24"/>
        </w:rPr>
        <w:t>s</w:t>
      </w:r>
      <w:r>
        <w:rPr>
          <w:rFonts w:ascii="宋体" w:hAnsi="宋体" w:eastAsia="宋体" w:cs="宋体"/>
          <w:spacing w:val="-9"/>
          <w:sz w:val="24"/>
          <w:szCs w:val="24"/>
        </w:rPr>
        <w:t>、白刺花</w:t>
      </w:r>
      <w:r>
        <w:rPr>
          <w:rFonts w:ascii="宋体" w:hAnsi="宋体" w:eastAsia="宋体" w:cs="宋体"/>
          <w:spacing w:val="-71"/>
          <w:sz w:val="24"/>
          <w:szCs w:val="24"/>
        </w:rPr>
        <w:t xml:space="preserve"> </w:t>
      </w:r>
      <w:r>
        <w:rPr>
          <w:rFonts w:ascii="Times New Roman" w:hAnsi="Times New Roman" w:eastAsia="Times New Roman" w:cs="Times New Roman"/>
          <w:i/>
          <w:iCs/>
          <w:spacing w:val="-9"/>
          <w:sz w:val="24"/>
          <w:szCs w:val="24"/>
        </w:rPr>
        <w:t>Sophora</w:t>
      </w:r>
      <w:r>
        <w:rPr>
          <w:rFonts w:ascii="Times New Roman" w:hAnsi="Times New Roman" w:eastAsia="Times New Roman" w:cs="Times New Roman"/>
          <w:i/>
          <w:iCs/>
          <w:sz w:val="24"/>
          <w:szCs w:val="24"/>
        </w:rPr>
        <w:t xml:space="preserve"> </w:t>
      </w:r>
      <w:r>
        <w:rPr>
          <w:rFonts w:ascii="Times New Roman" w:hAnsi="Times New Roman" w:eastAsia="Times New Roman" w:cs="Times New Roman"/>
          <w:i/>
          <w:iCs/>
          <w:spacing w:val="-6"/>
          <w:sz w:val="24"/>
          <w:szCs w:val="24"/>
        </w:rPr>
        <w:t>davidii</w:t>
      </w:r>
      <w:r>
        <w:rPr>
          <w:rFonts w:ascii="宋体" w:hAnsi="宋体" w:eastAsia="宋体" w:cs="宋体"/>
          <w:spacing w:val="-6"/>
          <w:sz w:val="24"/>
          <w:szCs w:val="24"/>
        </w:rPr>
        <w:t>、沙针</w:t>
      </w:r>
      <w:r>
        <w:rPr>
          <w:rFonts w:ascii="宋体" w:hAnsi="宋体" w:eastAsia="宋体" w:cs="宋体"/>
          <w:spacing w:val="-46"/>
          <w:sz w:val="24"/>
          <w:szCs w:val="24"/>
        </w:rPr>
        <w:t xml:space="preserve"> </w:t>
      </w:r>
      <w:r>
        <w:rPr>
          <w:rFonts w:ascii="Times New Roman" w:hAnsi="Times New Roman" w:eastAsia="Times New Roman" w:cs="Times New Roman"/>
          <w:i/>
          <w:iCs/>
          <w:spacing w:val="-6"/>
          <w:sz w:val="24"/>
          <w:szCs w:val="24"/>
        </w:rPr>
        <w:t>Osyris wightiana</w:t>
      </w:r>
      <w:r>
        <w:rPr>
          <w:rFonts w:ascii="宋体" w:hAnsi="宋体" w:eastAsia="宋体" w:cs="宋体"/>
          <w:spacing w:val="-6"/>
          <w:sz w:val="24"/>
          <w:szCs w:val="24"/>
        </w:rPr>
        <w:t>、火棘、小雀花</w:t>
      </w:r>
      <w:r>
        <w:rPr>
          <w:rFonts w:ascii="宋体" w:hAnsi="宋体" w:eastAsia="宋体" w:cs="宋体"/>
          <w:spacing w:val="-43"/>
          <w:sz w:val="24"/>
          <w:szCs w:val="24"/>
        </w:rPr>
        <w:t xml:space="preserve"> </w:t>
      </w:r>
      <w:r>
        <w:rPr>
          <w:rFonts w:ascii="Times New Roman" w:hAnsi="Times New Roman" w:eastAsia="Times New Roman" w:cs="Times New Roman"/>
          <w:i/>
          <w:iCs/>
          <w:spacing w:val="-6"/>
          <w:sz w:val="24"/>
          <w:szCs w:val="24"/>
        </w:rPr>
        <w:t>Campylotropis</w:t>
      </w:r>
      <w:r>
        <w:rPr>
          <w:rFonts w:ascii="Times New Roman" w:hAnsi="Times New Roman" w:eastAsia="Times New Roman" w:cs="Times New Roman"/>
          <w:i/>
          <w:iCs/>
          <w:spacing w:val="-40"/>
          <w:sz w:val="24"/>
          <w:szCs w:val="24"/>
        </w:rPr>
        <w:t xml:space="preserve"> </w:t>
      </w:r>
      <w:r>
        <w:rPr>
          <w:rFonts w:ascii="Times New Roman" w:hAnsi="Times New Roman" w:eastAsia="Times New Roman" w:cs="Times New Roman"/>
          <w:i/>
          <w:iCs/>
          <w:spacing w:val="-6"/>
          <w:sz w:val="24"/>
          <w:szCs w:val="24"/>
        </w:rPr>
        <w:t>p</w:t>
      </w:r>
      <w:r>
        <w:rPr>
          <w:rFonts w:ascii="Times New Roman" w:hAnsi="Times New Roman" w:eastAsia="Times New Roman" w:cs="Times New Roman"/>
          <w:i/>
          <w:iCs/>
          <w:spacing w:val="-7"/>
          <w:sz w:val="24"/>
          <w:szCs w:val="24"/>
        </w:rPr>
        <w:t>olyantha</w:t>
      </w:r>
      <w:r>
        <w:rPr>
          <w:rFonts w:ascii="宋体" w:hAnsi="宋体" w:eastAsia="宋体" w:cs="宋体"/>
          <w:spacing w:val="-7"/>
          <w:sz w:val="24"/>
          <w:szCs w:val="24"/>
        </w:rPr>
        <w:t>、川梨</w:t>
      </w:r>
      <w:r>
        <w:rPr>
          <w:rFonts w:ascii="宋体" w:hAnsi="宋体" w:eastAsia="宋体" w:cs="宋体"/>
          <w:spacing w:val="-65"/>
          <w:sz w:val="24"/>
          <w:szCs w:val="24"/>
        </w:rPr>
        <w:t xml:space="preserve"> </w:t>
      </w:r>
      <w:r>
        <w:rPr>
          <w:rFonts w:ascii="Times New Roman" w:hAnsi="Times New Roman" w:eastAsia="Times New Roman" w:cs="Times New Roman"/>
          <w:i/>
          <w:iCs/>
          <w:spacing w:val="-7"/>
          <w:sz w:val="24"/>
          <w:szCs w:val="24"/>
        </w:rPr>
        <w:t>Pyruspashia</w:t>
      </w:r>
      <w:r>
        <w:rPr>
          <w:rFonts w:ascii="Times New Roman" w:hAnsi="Times New Roman" w:eastAsia="Times New Roman" w:cs="Times New Roman"/>
          <w:i/>
          <w:iCs/>
          <w:spacing w:val="-33"/>
          <w:sz w:val="24"/>
          <w:szCs w:val="24"/>
        </w:rPr>
        <w:t xml:space="preserve"> </w:t>
      </w:r>
      <w:r>
        <w:rPr>
          <w:rFonts w:ascii="宋体" w:hAnsi="宋体" w:eastAsia="宋体" w:cs="宋体"/>
          <w:spacing w:val="-7"/>
          <w:sz w:val="24"/>
          <w:szCs w:val="24"/>
        </w:rPr>
        <w:t>、</w:t>
      </w:r>
      <w:r>
        <w:rPr>
          <w:rFonts w:ascii="宋体" w:hAnsi="宋体" w:eastAsia="宋体" w:cs="宋体"/>
          <w:spacing w:val="10"/>
          <w:sz w:val="24"/>
          <w:szCs w:val="24"/>
        </w:rPr>
        <w:t xml:space="preserve">牛筋条 </w:t>
      </w:r>
      <w:r>
        <w:rPr>
          <w:rFonts w:ascii="Times New Roman" w:hAnsi="Times New Roman" w:eastAsia="Times New Roman" w:cs="Times New Roman"/>
          <w:i/>
          <w:iCs/>
          <w:sz w:val="24"/>
          <w:szCs w:val="24"/>
        </w:rPr>
        <w:t>Dichotomanthes</w:t>
      </w:r>
      <w:r>
        <w:rPr>
          <w:rFonts w:ascii="Times New Roman" w:hAnsi="Times New Roman" w:eastAsia="Times New Roman" w:cs="Times New Roman"/>
          <w:i/>
          <w:iCs/>
          <w:spacing w:val="63"/>
          <w:w w:val="101"/>
          <w:sz w:val="24"/>
          <w:szCs w:val="24"/>
        </w:rPr>
        <w:t xml:space="preserve"> </w:t>
      </w:r>
      <w:r>
        <w:rPr>
          <w:rFonts w:ascii="Times New Roman" w:hAnsi="Times New Roman" w:eastAsia="Times New Roman" w:cs="Times New Roman"/>
          <w:i/>
          <w:iCs/>
          <w:sz w:val="24"/>
          <w:szCs w:val="24"/>
        </w:rPr>
        <w:t>tristaniaecarpa</w:t>
      </w:r>
      <w:r>
        <w:rPr>
          <w:rFonts w:ascii="宋体" w:hAnsi="宋体" w:eastAsia="宋体" w:cs="宋体"/>
          <w:spacing w:val="10"/>
          <w:sz w:val="24"/>
          <w:szCs w:val="24"/>
        </w:rPr>
        <w:t xml:space="preserve">、密蒙花 </w:t>
      </w:r>
      <w:r>
        <w:rPr>
          <w:rFonts w:ascii="Times New Roman" w:hAnsi="Times New Roman" w:eastAsia="Times New Roman" w:cs="Times New Roman"/>
          <w:i/>
          <w:iCs/>
          <w:sz w:val="24"/>
          <w:szCs w:val="24"/>
        </w:rPr>
        <w:t>Buddleja</w:t>
      </w:r>
      <w:r>
        <w:rPr>
          <w:rFonts w:ascii="Times New Roman" w:hAnsi="Times New Roman" w:eastAsia="Times New Roman" w:cs="Times New Roman"/>
          <w:i/>
          <w:iCs/>
          <w:spacing w:val="10"/>
          <w:sz w:val="24"/>
          <w:szCs w:val="24"/>
        </w:rPr>
        <w:t xml:space="preserve">  </w:t>
      </w:r>
      <w:r>
        <w:rPr>
          <w:rFonts w:ascii="Times New Roman" w:hAnsi="Times New Roman" w:eastAsia="Times New Roman" w:cs="Times New Roman"/>
          <w:i/>
          <w:iCs/>
          <w:sz w:val="24"/>
          <w:szCs w:val="24"/>
        </w:rPr>
        <w:t>officinalis</w:t>
      </w:r>
      <w:r>
        <w:rPr>
          <w:rFonts w:ascii="宋体" w:hAnsi="宋体" w:eastAsia="宋体" w:cs="宋体"/>
          <w:spacing w:val="10"/>
          <w:sz w:val="24"/>
          <w:szCs w:val="24"/>
        </w:rPr>
        <w:t xml:space="preserve">、清香木 </w:t>
      </w:r>
      <w:r>
        <w:rPr>
          <w:rFonts w:ascii="Times New Roman" w:hAnsi="Times New Roman" w:eastAsia="Times New Roman" w:cs="Times New Roman"/>
          <w:i/>
          <w:iCs/>
          <w:sz w:val="24"/>
          <w:szCs w:val="24"/>
        </w:rPr>
        <w:t xml:space="preserve">Pistacia </w:t>
      </w:r>
      <w:r>
        <w:rPr>
          <w:rFonts w:ascii="Times New Roman" w:hAnsi="Times New Roman" w:eastAsia="Times New Roman" w:cs="Times New Roman"/>
          <w:i/>
          <w:iCs/>
          <w:spacing w:val="-1"/>
          <w:sz w:val="24"/>
          <w:szCs w:val="24"/>
        </w:rPr>
        <w:t xml:space="preserve">weinmannifolia </w:t>
      </w:r>
      <w:r>
        <w:rPr>
          <w:rFonts w:ascii="宋体" w:hAnsi="宋体" w:eastAsia="宋体" w:cs="宋体"/>
          <w:spacing w:val="-1"/>
          <w:sz w:val="24"/>
          <w:szCs w:val="24"/>
        </w:rPr>
        <w:t>等。</w:t>
      </w:r>
    </w:p>
    <w:p w14:paraId="5675AFD1">
      <w:pPr>
        <w:spacing w:before="24" w:line="354" w:lineRule="auto"/>
        <w:ind w:left="42" w:right="182" w:firstLine="489"/>
        <w:jc w:val="both"/>
        <w:rPr>
          <w:rFonts w:ascii="宋体" w:hAnsi="宋体" w:eastAsia="宋体" w:cs="宋体"/>
          <w:sz w:val="24"/>
          <w:szCs w:val="24"/>
        </w:rPr>
      </w:pPr>
      <w:r>
        <w:rPr>
          <w:rFonts w:ascii="宋体" w:hAnsi="宋体" w:eastAsia="宋体" w:cs="宋体"/>
          <w:spacing w:val="-1"/>
          <w:sz w:val="24"/>
          <w:szCs w:val="24"/>
        </w:rPr>
        <w:t>草本层盖度</w:t>
      </w:r>
      <w:r>
        <w:rPr>
          <w:rFonts w:ascii="宋体" w:hAnsi="宋体" w:eastAsia="宋体" w:cs="宋体"/>
          <w:spacing w:val="-42"/>
          <w:sz w:val="24"/>
          <w:szCs w:val="24"/>
        </w:rPr>
        <w:t xml:space="preserve"> </w:t>
      </w:r>
      <w:r>
        <w:rPr>
          <w:rFonts w:ascii="Times New Roman" w:hAnsi="Times New Roman" w:eastAsia="Times New Roman" w:cs="Times New Roman"/>
          <w:spacing w:val="-1"/>
          <w:sz w:val="24"/>
          <w:szCs w:val="24"/>
        </w:rPr>
        <w:t>5-10%</w:t>
      </w:r>
      <w:r>
        <w:rPr>
          <w:rFonts w:ascii="宋体" w:hAnsi="宋体" w:eastAsia="宋体" w:cs="宋体"/>
          <w:spacing w:val="-1"/>
          <w:sz w:val="24"/>
          <w:szCs w:val="24"/>
        </w:rPr>
        <w:t>，高约</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0.4m</w:t>
      </w:r>
      <w:r>
        <w:rPr>
          <w:rFonts w:ascii="宋体" w:hAnsi="宋体" w:eastAsia="宋体" w:cs="宋体"/>
          <w:spacing w:val="-1"/>
          <w:sz w:val="24"/>
          <w:szCs w:val="24"/>
        </w:rPr>
        <w:t>，主要有刺芒野古草、白茅、蕨</w:t>
      </w:r>
      <w:r>
        <w:rPr>
          <w:rFonts w:ascii="宋体" w:hAnsi="宋体" w:eastAsia="宋体" w:cs="宋体"/>
          <w:spacing w:val="-52"/>
          <w:sz w:val="24"/>
          <w:szCs w:val="24"/>
        </w:rPr>
        <w:t xml:space="preserve"> </w:t>
      </w:r>
      <w:r>
        <w:rPr>
          <w:rFonts w:ascii="Times New Roman" w:hAnsi="Times New Roman" w:eastAsia="Times New Roman" w:cs="Times New Roman"/>
          <w:i/>
          <w:iCs/>
          <w:spacing w:val="-1"/>
          <w:sz w:val="24"/>
          <w:szCs w:val="24"/>
        </w:rPr>
        <w:t>Pteridium</w:t>
      </w:r>
      <w:r>
        <w:rPr>
          <w:rFonts w:ascii="Times New Roman" w:hAnsi="Times New Roman" w:eastAsia="Times New Roman" w:cs="Times New Roman"/>
          <w:i/>
          <w:iCs/>
          <w:spacing w:val="17"/>
          <w:w w:val="101"/>
          <w:sz w:val="24"/>
          <w:szCs w:val="24"/>
        </w:rPr>
        <w:t xml:space="preserve"> </w:t>
      </w:r>
      <w:r>
        <w:rPr>
          <w:rFonts w:ascii="Times New Roman" w:hAnsi="Times New Roman" w:eastAsia="Times New Roman" w:cs="Times New Roman"/>
          <w:i/>
          <w:iCs/>
          <w:spacing w:val="-1"/>
          <w:sz w:val="24"/>
          <w:szCs w:val="24"/>
        </w:rPr>
        <w:t>aquilinum</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var</w:t>
      </w:r>
      <w:r>
        <w:rPr>
          <w:rFonts w:ascii="Times New Roman" w:hAnsi="Times New Roman" w:eastAsia="Times New Roman" w:cs="Times New Roman"/>
          <w:spacing w:val="1"/>
          <w:sz w:val="24"/>
          <w:szCs w:val="24"/>
        </w:rPr>
        <w:t>.</w:t>
      </w:r>
      <w:r>
        <w:rPr>
          <w:rFonts w:ascii="Times New Roman" w:hAnsi="Times New Roman" w:eastAsia="Times New Roman" w:cs="Times New Roman"/>
          <w:spacing w:val="54"/>
          <w:sz w:val="24"/>
          <w:szCs w:val="24"/>
        </w:rPr>
        <w:t xml:space="preserve"> </w:t>
      </w:r>
      <w:r>
        <w:rPr>
          <w:rFonts w:ascii="Times New Roman" w:hAnsi="Times New Roman" w:eastAsia="Times New Roman" w:cs="Times New Roman"/>
          <w:i/>
          <w:iCs/>
          <w:sz w:val="24"/>
          <w:szCs w:val="24"/>
        </w:rPr>
        <w:t>latiusculum</w:t>
      </w:r>
      <w:r>
        <w:rPr>
          <w:rFonts w:ascii="宋体" w:hAnsi="宋体" w:eastAsia="宋体" w:cs="宋体"/>
          <w:spacing w:val="1"/>
          <w:sz w:val="24"/>
          <w:szCs w:val="24"/>
        </w:rPr>
        <w:t>、西南委陵菜</w:t>
      </w:r>
      <w:r>
        <w:rPr>
          <w:rFonts w:ascii="宋体" w:hAnsi="宋体" w:eastAsia="宋体" w:cs="宋体"/>
          <w:spacing w:val="-54"/>
          <w:sz w:val="24"/>
          <w:szCs w:val="24"/>
        </w:rPr>
        <w:t xml:space="preserve"> </w:t>
      </w:r>
      <w:r>
        <w:rPr>
          <w:rFonts w:ascii="Times New Roman" w:hAnsi="Times New Roman" w:eastAsia="Times New Roman" w:cs="Times New Roman"/>
          <w:i/>
          <w:iCs/>
          <w:sz w:val="24"/>
          <w:szCs w:val="24"/>
        </w:rPr>
        <w:t>Potentilla</w:t>
      </w:r>
      <w:r>
        <w:rPr>
          <w:rFonts w:ascii="Times New Roman" w:hAnsi="Times New Roman" w:eastAsia="Times New Roman" w:cs="Times New Roman"/>
          <w:i/>
          <w:iCs/>
          <w:spacing w:val="1"/>
          <w:sz w:val="24"/>
          <w:szCs w:val="24"/>
        </w:rPr>
        <w:t xml:space="preserve"> </w:t>
      </w:r>
      <w:r>
        <w:rPr>
          <w:rFonts w:ascii="Times New Roman" w:hAnsi="Times New Roman" w:eastAsia="Times New Roman" w:cs="Times New Roman"/>
          <w:i/>
          <w:iCs/>
          <w:sz w:val="24"/>
          <w:szCs w:val="24"/>
        </w:rPr>
        <w:t>fulgens</w:t>
      </w:r>
      <w:r>
        <w:rPr>
          <w:rFonts w:ascii="宋体" w:hAnsi="宋体" w:eastAsia="宋体" w:cs="宋体"/>
          <w:spacing w:val="1"/>
          <w:sz w:val="24"/>
          <w:szCs w:val="24"/>
        </w:rPr>
        <w:t>、鬼针草</w:t>
      </w:r>
      <w:r>
        <w:rPr>
          <w:rFonts w:ascii="宋体" w:hAnsi="宋体" w:eastAsia="宋体" w:cs="宋体"/>
          <w:spacing w:val="-54"/>
          <w:sz w:val="24"/>
          <w:szCs w:val="24"/>
        </w:rPr>
        <w:t xml:space="preserve"> </w:t>
      </w:r>
      <w:r>
        <w:rPr>
          <w:rFonts w:ascii="Times New Roman" w:hAnsi="Times New Roman" w:eastAsia="Times New Roman" w:cs="Times New Roman"/>
          <w:i/>
          <w:iCs/>
          <w:sz w:val="24"/>
          <w:szCs w:val="24"/>
        </w:rPr>
        <w:t>Bidens</w:t>
      </w:r>
      <w:r>
        <w:rPr>
          <w:rFonts w:ascii="Times New Roman" w:hAnsi="Times New Roman" w:eastAsia="Times New Roman" w:cs="Times New Roman"/>
          <w:i/>
          <w:iCs/>
          <w:spacing w:val="1"/>
          <w:sz w:val="24"/>
          <w:szCs w:val="24"/>
        </w:rPr>
        <w:t xml:space="preserve"> </w:t>
      </w:r>
      <w:r>
        <w:rPr>
          <w:rFonts w:ascii="Times New Roman" w:hAnsi="Times New Roman" w:eastAsia="Times New Roman" w:cs="Times New Roman"/>
          <w:i/>
          <w:iCs/>
          <w:sz w:val="24"/>
          <w:szCs w:val="24"/>
        </w:rPr>
        <w:t>pilosa</w:t>
      </w:r>
      <w:r>
        <w:rPr>
          <w:rFonts w:ascii="宋体" w:hAnsi="宋体" w:eastAsia="宋体" w:cs="宋体"/>
          <w:spacing w:val="1"/>
          <w:sz w:val="24"/>
          <w:szCs w:val="24"/>
        </w:rPr>
        <w:t>、皱叶酸模</w:t>
      </w:r>
      <w:r>
        <w:rPr>
          <w:rFonts w:ascii="宋体" w:hAnsi="宋体" w:eastAsia="宋体" w:cs="宋体"/>
          <w:spacing w:val="-55"/>
          <w:sz w:val="24"/>
          <w:szCs w:val="24"/>
        </w:rPr>
        <w:t xml:space="preserve"> </w:t>
      </w:r>
      <w:r>
        <w:rPr>
          <w:rFonts w:ascii="Times New Roman" w:hAnsi="Times New Roman" w:eastAsia="Times New Roman" w:cs="Times New Roman"/>
          <w:i/>
          <w:iCs/>
          <w:sz w:val="24"/>
          <w:szCs w:val="24"/>
        </w:rPr>
        <w:t>Rumex crispus</w:t>
      </w:r>
      <w:r>
        <w:rPr>
          <w:rFonts w:ascii="宋体" w:hAnsi="宋体" w:eastAsia="宋体" w:cs="宋体"/>
          <w:sz w:val="24"/>
          <w:szCs w:val="24"/>
        </w:rPr>
        <w:t>、荩草</w:t>
      </w:r>
      <w:r>
        <w:rPr>
          <w:rFonts w:ascii="宋体" w:hAnsi="宋体" w:eastAsia="宋体" w:cs="宋体"/>
          <w:spacing w:val="-61"/>
          <w:sz w:val="24"/>
          <w:szCs w:val="24"/>
        </w:rPr>
        <w:t xml:space="preserve"> </w:t>
      </w:r>
      <w:r>
        <w:rPr>
          <w:rFonts w:ascii="Times New Roman" w:hAnsi="Times New Roman" w:eastAsia="Times New Roman" w:cs="Times New Roman"/>
          <w:i/>
          <w:iCs/>
          <w:sz w:val="24"/>
          <w:szCs w:val="24"/>
        </w:rPr>
        <w:t xml:space="preserve">Arthraxon hispidus </w:t>
      </w:r>
      <w:r>
        <w:rPr>
          <w:rFonts w:ascii="宋体" w:hAnsi="宋体" w:eastAsia="宋体" w:cs="宋体"/>
          <w:sz w:val="24"/>
          <w:szCs w:val="24"/>
        </w:rPr>
        <w:t>等物种组成。</w:t>
      </w:r>
    </w:p>
    <w:p w14:paraId="026F7C18">
      <w:pPr>
        <w:spacing w:before="25" w:line="233" w:lineRule="auto"/>
        <w:ind w:left="530"/>
        <w:rPr>
          <w:rFonts w:ascii="宋体" w:hAnsi="宋体" w:eastAsia="宋体" w:cs="宋体"/>
          <w:sz w:val="24"/>
          <w:szCs w:val="24"/>
        </w:rPr>
      </w:pPr>
      <w:r>
        <w:rPr>
          <w:rFonts w:ascii="Times New Roman" w:hAnsi="Times New Roman" w:eastAsia="Times New Roman" w:cs="Times New Roman"/>
          <w:spacing w:val="-4"/>
          <w:sz w:val="24"/>
          <w:szCs w:val="24"/>
        </w:rPr>
        <w:t>3</w:t>
      </w:r>
      <w:r>
        <w:rPr>
          <w:rFonts w:ascii="宋体" w:hAnsi="宋体" w:eastAsia="宋体" w:cs="宋体"/>
          <w:spacing w:val="-4"/>
          <w:sz w:val="24"/>
          <w:szCs w:val="24"/>
        </w:rPr>
        <w:t>）马桑群落</w:t>
      </w:r>
    </w:p>
    <w:p w14:paraId="0CEA5410">
      <w:pPr>
        <w:spacing w:before="163" w:line="354" w:lineRule="auto"/>
        <w:ind w:left="46" w:right="186" w:firstLine="491"/>
        <w:rPr>
          <w:rFonts w:ascii="宋体" w:hAnsi="宋体" w:eastAsia="宋体" w:cs="宋体"/>
          <w:sz w:val="24"/>
          <w:szCs w:val="24"/>
        </w:rPr>
      </w:pPr>
      <w:r>
        <w:rPr>
          <w:rFonts w:ascii="宋体" w:hAnsi="宋体" w:eastAsia="宋体" w:cs="宋体"/>
          <w:spacing w:val="-2"/>
          <w:sz w:val="24"/>
          <w:szCs w:val="24"/>
        </w:rPr>
        <w:t>马桑群落在评价区内沿线均有分布。群落灌木层盖度</w:t>
      </w:r>
      <w:r>
        <w:rPr>
          <w:rFonts w:ascii="宋体" w:hAnsi="宋体" w:eastAsia="宋体" w:cs="宋体"/>
          <w:spacing w:val="-41"/>
          <w:sz w:val="24"/>
          <w:szCs w:val="24"/>
        </w:rPr>
        <w:t xml:space="preserve"> </w:t>
      </w:r>
      <w:r>
        <w:rPr>
          <w:rFonts w:ascii="Times New Roman" w:hAnsi="Times New Roman" w:eastAsia="Times New Roman" w:cs="Times New Roman"/>
          <w:spacing w:val="-2"/>
          <w:sz w:val="24"/>
          <w:szCs w:val="24"/>
        </w:rPr>
        <w:t>30-40%</w:t>
      </w:r>
      <w:r>
        <w:rPr>
          <w:rFonts w:ascii="宋体" w:hAnsi="宋体" w:eastAsia="宋体" w:cs="宋体"/>
          <w:spacing w:val="-2"/>
          <w:sz w:val="24"/>
          <w:szCs w:val="24"/>
        </w:rPr>
        <w:t>，高约</w:t>
      </w:r>
      <w:r>
        <w:rPr>
          <w:rFonts w:ascii="宋体" w:hAnsi="宋体" w:eastAsia="宋体" w:cs="宋体"/>
          <w:spacing w:val="-54"/>
          <w:sz w:val="24"/>
          <w:szCs w:val="24"/>
        </w:rPr>
        <w:t xml:space="preserve"> </w:t>
      </w:r>
      <w:r>
        <w:rPr>
          <w:rFonts w:ascii="Times New Roman" w:hAnsi="Times New Roman" w:eastAsia="Times New Roman" w:cs="Times New Roman"/>
          <w:spacing w:val="-2"/>
          <w:sz w:val="24"/>
          <w:szCs w:val="24"/>
        </w:rPr>
        <w:t>2m</w:t>
      </w:r>
      <w:r>
        <w:rPr>
          <w:rFonts w:ascii="宋体" w:hAnsi="宋体" w:eastAsia="宋体" w:cs="宋体"/>
          <w:spacing w:val="-2"/>
          <w:sz w:val="24"/>
          <w:szCs w:val="24"/>
        </w:rPr>
        <w:t>，物种组成</w:t>
      </w:r>
      <w:r>
        <w:rPr>
          <w:rFonts w:ascii="宋体" w:hAnsi="宋体" w:eastAsia="宋体" w:cs="宋体"/>
          <w:spacing w:val="-11"/>
          <w:sz w:val="24"/>
          <w:szCs w:val="24"/>
        </w:rPr>
        <w:t>有马桑、川梨、火棘、白刺花、牛奶子</w:t>
      </w:r>
      <w:r>
        <w:rPr>
          <w:rFonts w:ascii="宋体" w:hAnsi="宋体" w:eastAsia="宋体" w:cs="宋体"/>
          <w:spacing w:val="-64"/>
          <w:sz w:val="24"/>
          <w:szCs w:val="24"/>
        </w:rPr>
        <w:t xml:space="preserve"> </w:t>
      </w:r>
      <w:r>
        <w:rPr>
          <w:rFonts w:ascii="Times New Roman" w:hAnsi="Times New Roman" w:eastAsia="Times New Roman" w:cs="Times New Roman"/>
          <w:i/>
          <w:iCs/>
          <w:spacing w:val="-11"/>
          <w:sz w:val="24"/>
          <w:szCs w:val="24"/>
        </w:rPr>
        <w:t>Elaeagnus umbella</w:t>
      </w:r>
      <w:r>
        <w:rPr>
          <w:rFonts w:ascii="Times New Roman" w:hAnsi="Times New Roman" w:eastAsia="Times New Roman" w:cs="Times New Roman"/>
          <w:i/>
          <w:iCs/>
          <w:spacing w:val="-12"/>
          <w:sz w:val="24"/>
          <w:szCs w:val="24"/>
        </w:rPr>
        <w:t>ta</w:t>
      </w:r>
      <w:r>
        <w:rPr>
          <w:rFonts w:ascii="宋体" w:hAnsi="宋体" w:eastAsia="宋体" w:cs="宋体"/>
          <w:spacing w:val="-12"/>
          <w:sz w:val="24"/>
          <w:szCs w:val="24"/>
        </w:rPr>
        <w:t>、牛筋条、尖萼金丝桃</w:t>
      </w:r>
      <w:r>
        <w:rPr>
          <w:rFonts w:ascii="宋体" w:hAnsi="宋体" w:eastAsia="宋体" w:cs="宋体"/>
          <w:spacing w:val="-65"/>
          <w:sz w:val="24"/>
          <w:szCs w:val="24"/>
        </w:rPr>
        <w:t xml:space="preserve"> </w:t>
      </w:r>
      <w:r>
        <w:rPr>
          <w:rFonts w:ascii="Times New Roman" w:hAnsi="Times New Roman" w:eastAsia="Times New Roman" w:cs="Times New Roman"/>
          <w:i/>
          <w:iCs/>
          <w:spacing w:val="-12"/>
          <w:sz w:val="24"/>
          <w:szCs w:val="24"/>
        </w:rPr>
        <w:t>Hypericum</w:t>
      </w:r>
      <w:r>
        <w:rPr>
          <w:rFonts w:ascii="Times New Roman" w:hAnsi="Times New Roman" w:eastAsia="Times New Roman" w:cs="Times New Roman"/>
          <w:i/>
          <w:iCs/>
          <w:sz w:val="24"/>
          <w:szCs w:val="24"/>
        </w:rPr>
        <w:t xml:space="preserve"> </w:t>
      </w:r>
      <w:r>
        <w:rPr>
          <w:rFonts w:ascii="Times New Roman" w:hAnsi="Times New Roman" w:eastAsia="Times New Roman" w:cs="Times New Roman"/>
          <w:i/>
          <w:iCs/>
          <w:spacing w:val="-2"/>
          <w:sz w:val="24"/>
          <w:szCs w:val="24"/>
        </w:rPr>
        <w:t>acmosepalum</w:t>
      </w:r>
      <w:r>
        <w:rPr>
          <w:rFonts w:ascii="宋体" w:hAnsi="宋体" w:eastAsia="宋体" w:cs="宋体"/>
          <w:spacing w:val="-2"/>
          <w:sz w:val="24"/>
          <w:szCs w:val="24"/>
        </w:rPr>
        <w:t>、密蒙花、清香木等。</w:t>
      </w:r>
    </w:p>
    <w:p w14:paraId="2FDA6138">
      <w:pPr>
        <w:spacing w:before="24" w:line="354" w:lineRule="auto"/>
        <w:ind w:right="183" w:firstLine="532"/>
        <w:jc w:val="both"/>
        <w:rPr>
          <w:rFonts w:ascii="宋体" w:hAnsi="宋体" w:eastAsia="宋体" w:cs="宋体"/>
          <w:sz w:val="24"/>
          <w:szCs w:val="24"/>
        </w:rPr>
      </w:pPr>
      <w:r>
        <w:rPr>
          <w:rFonts w:ascii="宋体" w:hAnsi="宋体" w:eastAsia="宋体" w:cs="宋体"/>
          <w:spacing w:val="-16"/>
          <w:sz w:val="24"/>
          <w:szCs w:val="24"/>
        </w:rPr>
        <w:t>草本层盖度</w:t>
      </w:r>
      <w:r>
        <w:rPr>
          <w:rFonts w:ascii="宋体" w:hAnsi="宋体" w:eastAsia="宋体" w:cs="宋体"/>
          <w:spacing w:val="-45"/>
          <w:sz w:val="24"/>
          <w:szCs w:val="24"/>
        </w:rPr>
        <w:t xml:space="preserve"> </w:t>
      </w:r>
      <w:r>
        <w:rPr>
          <w:rFonts w:ascii="Times New Roman" w:hAnsi="Times New Roman" w:eastAsia="Times New Roman" w:cs="Times New Roman"/>
          <w:spacing w:val="-16"/>
          <w:sz w:val="24"/>
          <w:szCs w:val="24"/>
        </w:rPr>
        <w:t>10-20%</w:t>
      </w:r>
      <w:r>
        <w:rPr>
          <w:rFonts w:ascii="宋体" w:hAnsi="宋体" w:eastAsia="宋体" w:cs="宋体"/>
          <w:spacing w:val="-16"/>
          <w:sz w:val="24"/>
          <w:szCs w:val="24"/>
        </w:rPr>
        <w:t>，高约</w:t>
      </w:r>
      <w:r>
        <w:rPr>
          <w:rFonts w:ascii="Times New Roman" w:hAnsi="Times New Roman" w:eastAsia="Times New Roman" w:cs="Times New Roman"/>
          <w:spacing w:val="-16"/>
          <w:sz w:val="24"/>
          <w:szCs w:val="24"/>
        </w:rPr>
        <w:t>0.5m</w:t>
      </w:r>
      <w:r>
        <w:rPr>
          <w:rFonts w:ascii="宋体" w:hAnsi="宋体" w:eastAsia="宋体" w:cs="宋体"/>
          <w:spacing w:val="-16"/>
          <w:sz w:val="24"/>
          <w:szCs w:val="24"/>
        </w:rPr>
        <w:t>，主要有白茅、戟叶酸模、荩草、蕨、狗脊蕨</w:t>
      </w:r>
      <w:r>
        <w:rPr>
          <w:rFonts w:ascii="宋体" w:hAnsi="宋体" w:eastAsia="宋体" w:cs="宋体"/>
          <w:spacing w:val="-53"/>
          <w:sz w:val="24"/>
          <w:szCs w:val="24"/>
        </w:rPr>
        <w:t xml:space="preserve"> </w:t>
      </w:r>
      <w:r>
        <w:rPr>
          <w:rFonts w:ascii="Times New Roman" w:hAnsi="Times New Roman" w:eastAsia="Times New Roman" w:cs="Times New Roman"/>
          <w:i/>
          <w:iCs/>
          <w:spacing w:val="-16"/>
          <w:sz w:val="24"/>
          <w:szCs w:val="24"/>
        </w:rPr>
        <w:t>Woodwardia</w:t>
      </w:r>
      <w:r>
        <w:rPr>
          <w:rFonts w:ascii="Times New Roman" w:hAnsi="Times New Roman" w:eastAsia="Times New Roman" w:cs="Times New Roman"/>
          <w:i/>
          <w:iCs/>
          <w:sz w:val="24"/>
          <w:szCs w:val="24"/>
        </w:rPr>
        <w:t xml:space="preserve"> japonica</w:t>
      </w:r>
      <w:r>
        <w:rPr>
          <w:rFonts w:ascii="Times New Roman" w:hAnsi="Times New Roman" w:eastAsia="Times New Roman" w:cs="Times New Roman"/>
          <w:i/>
          <w:iCs/>
          <w:spacing w:val="14"/>
          <w:sz w:val="24"/>
          <w:szCs w:val="24"/>
        </w:rPr>
        <w:t xml:space="preserve"> </w:t>
      </w:r>
      <w:r>
        <w:rPr>
          <w:rFonts w:ascii="宋体" w:hAnsi="宋体" w:eastAsia="宋体" w:cs="宋体"/>
          <w:spacing w:val="14"/>
          <w:sz w:val="24"/>
          <w:szCs w:val="24"/>
        </w:rPr>
        <w:t>、野艾蒿</w:t>
      </w:r>
      <w:r>
        <w:rPr>
          <w:rFonts w:ascii="宋体" w:hAnsi="宋体" w:eastAsia="宋体" w:cs="宋体"/>
          <w:spacing w:val="42"/>
          <w:sz w:val="24"/>
          <w:szCs w:val="24"/>
        </w:rPr>
        <w:t xml:space="preserve"> </w:t>
      </w:r>
      <w:r>
        <w:rPr>
          <w:rFonts w:ascii="Times New Roman" w:hAnsi="Times New Roman" w:eastAsia="Times New Roman" w:cs="Times New Roman"/>
          <w:i/>
          <w:iCs/>
          <w:sz w:val="24"/>
          <w:szCs w:val="24"/>
        </w:rPr>
        <w:t>Artemisia</w:t>
      </w:r>
      <w:r>
        <w:rPr>
          <w:rFonts w:ascii="Times New Roman" w:hAnsi="Times New Roman" w:eastAsia="Times New Roman" w:cs="Times New Roman"/>
          <w:i/>
          <w:iCs/>
          <w:spacing w:val="14"/>
          <w:sz w:val="24"/>
          <w:szCs w:val="24"/>
        </w:rPr>
        <w:t xml:space="preserve">  </w:t>
      </w:r>
      <w:r>
        <w:rPr>
          <w:rFonts w:ascii="Times New Roman" w:hAnsi="Times New Roman" w:eastAsia="Times New Roman" w:cs="Times New Roman"/>
          <w:i/>
          <w:iCs/>
          <w:sz w:val="24"/>
          <w:szCs w:val="24"/>
        </w:rPr>
        <w:t>lavandulaefolia</w:t>
      </w:r>
      <w:r>
        <w:rPr>
          <w:rFonts w:ascii="Times New Roman" w:hAnsi="Times New Roman" w:eastAsia="Times New Roman" w:cs="Times New Roman"/>
          <w:i/>
          <w:iCs/>
          <w:spacing w:val="14"/>
          <w:sz w:val="24"/>
          <w:szCs w:val="24"/>
        </w:rPr>
        <w:t xml:space="preserve"> </w:t>
      </w:r>
      <w:r>
        <w:rPr>
          <w:rFonts w:ascii="宋体" w:hAnsi="宋体" w:eastAsia="宋体" w:cs="宋体"/>
          <w:spacing w:val="14"/>
          <w:sz w:val="24"/>
          <w:szCs w:val="24"/>
        </w:rPr>
        <w:t xml:space="preserve">、珠光香青 </w:t>
      </w:r>
      <w:r>
        <w:rPr>
          <w:rFonts w:ascii="Times New Roman" w:hAnsi="Times New Roman" w:eastAsia="Times New Roman" w:cs="Times New Roman"/>
          <w:i/>
          <w:iCs/>
          <w:sz w:val="24"/>
          <w:szCs w:val="24"/>
        </w:rPr>
        <w:t>Anaphalis</w:t>
      </w:r>
      <w:r>
        <w:rPr>
          <w:rFonts w:ascii="Times New Roman" w:hAnsi="Times New Roman" w:eastAsia="Times New Roman" w:cs="Times New Roman"/>
          <w:i/>
          <w:iCs/>
          <w:spacing w:val="14"/>
          <w:sz w:val="24"/>
          <w:szCs w:val="24"/>
        </w:rPr>
        <w:t xml:space="preserve">  </w:t>
      </w:r>
      <w:r>
        <w:rPr>
          <w:rFonts w:ascii="Times New Roman" w:hAnsi="Times New Roman" w:eastAsia="Times New Roman" w:cs="Times New Roman"/>
          <w:i/>
          <w:iCs/>
          <w:sz w:val="24"/>
          <w:szCs w:val="24"/>
        </w:rPr>
        <w:t>margaritacea</w:t>
      </w:r>
      <w:r>
        <w:rPr>
          <w:rFonts w:ascii="Times New Roman" w:hAnsi="Times New Roman" w:eastAsia="Times New Roman" w:cs="Times New Roman"/>
          <w:i/>
          <w:iCs/>
          <w:spacing w:val="14"/>
          <w:sz w:val="24"/>
          <w:szCs w:val="24"/>
        </w:rPr>
        <w:t xml:space="preserve">  </w:t>
      </w:r>
      <w:r>
        <w:rPr>
          <w:rFonts w:ascii="Times New Roman" w:hAnsi="Times New Roman" w:eastAsia="Times New Roman" w:cs="Times New Roman"/>
          <w:sz w:val="24"/>
          <w:szCs w:val="24"/>
        </w:rPr>
        <w:t>var</w:t>
      </w:r>
      <w:r>
        <w:rPr>
          <w:rFonts w:ascii="Times New Roman" w:hAnsi="Times New Roman" w:eastAsia="Times New Roman" w:cs="Times New Roman"/>
          <w:spacing w:val="14"/>
          <w:sz w:val="24"/>
          <w:szCs w:val="24"/>
        </w:rPr>
        <w:t>.</w:t>
      </w:r>
      <w:r>
        <w:rPr>
          <w:rFonts w:ascii="Times New Roman" w:hAnsi="Times New Roman" w:eastAsia="Times New Roman" w:cs="Times New Roman"/>
          <w:sz w:val="24"/>
          <w:szCs w:val="24"/>
        </w:rPr>
        <w:t xml:space="preserve"> </w:t>
      </w:r>
      <w:r>
        <w:rPr>
          <w:rFonts w:ascii="Times New Roman" w:hAnsi="Times New Roman" w:eastAsia="Times New Roman" w:cs="Times New Roman"/>
          <w:i/>
          <w:iCs/>
          <w:sz w:val="24"/>
          <w:szCs w:val="24"/>
        </w:rPr>
        <w:t>margaritacea</w:t>
      </w:r>
      <w:r>
        <w:rPr>
          <w:rFonts w:ascii="宋体" w:hAnsi="宋体" w:eastAsia="宋体" w:cs="宋体"/>
          <w:spacing w:val="2"/>
          <w:sz w:val="24"/>
          <w:szCs w:val="24"/>
        </w:rPr>
        <w:t>、白酒草</w:t>
      </w:r>
      <w:r>
        <w:rPr>
          <w:rFonts w:ascii="宋体" w:hAnsi="宋体" w:eastAsia="宋体" w:cs="宋体"/>
          <w:spacing w:val="-29"/>
          <w:sz w:val="24"/>
          <w:szCs w:val="24"/>
        </w:rPr>
        <w:t xml:space="preserve"> </w:t>
      </w:r>
      <w:r>
        <w:rPr>
          <w:rFonts w:ascii="Times New Roman" w:hAnsi="Times New Roman" w:eastAsia="Times New Roman" w:cs="Times New Roman"/>
          <w:i/>
          <w:iCs/>
          <w:sz w:val="24"/>
          <w:szCs w:val="24"/>
        </w:rPr>
        <w:t>Conyza</w:t>
      </w:r>
      <w:r>
        <w:rPr>
          <w:rFonts w:ascii="Times New Roman" w:hAnsi="Times New Roman" w:eastAsia="Times New Roman" w:cs="Times New Roman"/>
          <w:i/>
          <w:iCs/>
          <w:spacing w:val="-41"/>
          <w:sz w:val="24"/>
          <w:szCs w:val="24"/>
        </w:rPr>
        <w:t xml:space="preserve"> </w:t>
      </w:r>
      <w:r>
        <w:rPr>
          <w:rFonts w:ascii="Times New Roman" w:hAnsi="Times New Roman" w:eastAsia="Times New Roman" w:cs="Times New Roman"/>
          <w:i/>
          <w:iCs/>
          <w:sz w:val="24"/>
          <w:szCs w:val="24"/>
        </w:rPr>
        <w:t>japonica</w:t>
      </w:r>
      <w:r>
        <w:rPr>
          <w:rFonts w:ascii="Times New Roman" w:hAnsi="Times New Roman" w:eastAsia="Times New Roman" w:cs="Times New Roman"/>
          <w:i/>
          <w:iCs/>
          <w:spacing w:val="2"/>
          <w:sz w:val="24"/>
          <w:szCs w:val="24"/>
        </w:rPr>
        <w:t xml:space="preserve"> </w:t>
      </w:r>
      <w:r>
        <w:rPr>
          <w:rFonts w:ascii="宋体" w:hAnsi="宋体" w:eastAsia="宋体" w:cs="宋体"/>
          <w:spacing w:val="2"/>
          <w:sz w:val="24"/>
          <w:szCs w:val="24"/>
        </w:rPr>
        <w:t>等物种组成。</w:t>
      </w:r>
    </w:p>
    <w:p w14:paraId="3AA55EA6">
      <w:pPr>
        <w:spacing w:before="25" w:line="233" w:lineRule="auto"/>
        <w:ind w:left="524"/>
        <w:rPr>
          <w:rFonts w:ascii="宋体" w:hAnsi="宋体" w:eastAsia="宋体" w:cs="宋体"/>
          <w:sz w:val="24"/>
          <w:szCs w:val="24"/>
        </w:rPr>
      </w:pPr>
      <w:r>
        <w:rPr>
          <w:rFonts w:ascii="Times New Roman" w:hAnsi="Times New Roman" w:eastAsia="Times New Roman" w:cs="Times New Roman"/>
          <w:spacing w:val="-2"/>
          <w:sz w:val="24"/>
          <w:szCs w:val="24"/>
        </w:rPr>
        <w:t>4</w:t>
      </w:r>
      <w:r>
        <w:rPr>
          <w:rFonts w:ascii="宋体" w:hAnsi="宋体" w:eastAsia="宋体" w:cs="宋体"/>
          <w:spacing w:val="-2"/>
          <w:sz w:val="24"/>
          <w:szCs w:val="24"/>
        </w:rPr>
        <w:t>）清香木群落</w:t>
      </w:r>
    </w:p>
    <w:p w14:paraId="0EA13124">
      <w:pPr>
        <w:spacing w:before="163" w:line="354" w:lineRule="auto"/>
        <w:ind w:left="46" w:firstLine="483"/>
        <w:rPr>
          <w:rFonts w:ascii="宋体" w:hAnsi="宋体" w:eastAsia="宋体" w:cs="宋体"/>
          <w:sz w:val="24"/>
          <w:szCs w:val="24"/>
        </w:rPr>
      </w:pPr>
      <w:r>
        <w:rPr>
          <w:rFonts w:ascii="宋体" w:hAnsi="宋体" w:eastAsia="宋体" w:cs="宋体"/>
          <w:spacing w:val="-4"/>
          <w:sz w:val="24"/>
          <w:szCs w:val="24"/>
        </w:rPr>
        <w:t>清香木灌丛主要分布在评价区内的河沟等湿度相对较高的区域。灌木层盖度</w:t>
      </w:r>
      <w:r>
        <w:rPr>
          <w:rFonts w:ascii="Times New Roman" w:hAnsi="Times New Roman" w:eastAsia="Times New Roman" w:cs="Times New Roman"/>
          <w:spacing w:val="-4"/>
          <w:sz w:val="24"/>
          <w:szCs w:val="24"/>
        </w:rPr>
        <w:t>30-40%</w:t>
      </w:r>
      <w:r>
        <w:rPr>
          <w:rFonts w:ascii="宋体" w:hAnsi="宋体" w:eastAsia="宋体" w:cs="宋体"/>
          <w:spacing w:val="-4"/>
          <w:sz w:val="24"/>
          <w:szCs w:val="24"/>
        </w:rPr>
        <w:t>，</w:t>
      </w:r>
      <w:r>
        <w:rPr>
          <w:rFonts w:ascii="宋体" w:hAnsi="宋体" w:eastAsia="宋体" w:cs="宋体"/>
          <w:spacing w:val="1"/>
          <w:sz w:val="24"/>
          <w:szCs w:val="24"/>
        </w:rPr>
        <w:t xml:space="preserve">高约 </w:t>
      </w:r>
      <w:r>
        <w:rPr>
          <w:rFonts w:ascii="Times New Roman" w:hAnsi="Times New Roman" w:eastAsia="Times New Roman" w:cs="Times New Roman"/>
          <w:spacing w:val="1"/>
          <w:sz w:val="24"/>
          <w:szCs w:val="24"/>
        </w:rPr>
        <w:t>2m</w:t>
      </w:r>
      <w:r>
        <w:rPr>
          <w:rFonts w:ascii="宋体" w:hAnsi="宋体" w:eastAsia="宋体" w:cs="宋体"/>
          <w:spacing w:val="1"/>
          <w:sz w:val="24"/>
          <w:szCs w:val="24"/>
        </w:rPr>
        <w:t xml:space="preserve">，物种主要有清香木、栓皮栎 </w:t>
      </w:r>
      <w:r>
        <w:rPr>
          <w:rFonts w:ascii="Times New Roman" w:hAnsi="Times New Roman" w:eastAsia="Times New Roman" w:cs="Times New Roman"/>
          <w:i/>
          <w:iCs/>
          <w:sz w:val="24"/>
          <w:szCs w:val="24"/>
        </w:rPr>
        <w:t>Quercus</w:t>
      </w:r>
      <w:r>
        <w:rPr>
          <w:rFonts w:ascii="Times New Roman" w:hAnsi="Times New Roman" w:eastAsia="Times New Roman" w:cs="Times New Roman"/>
          <w:i/>
          <w:iCs/>
          <w:spacing w:val="46"/>
          <w:w w:val="101"/>
          <w:sz w:val="24"/>
          <w:szCs w:val="24"/>
        </w:rPr>
        <w:t xml:space="preserve"> </w:t>
      </w:r>
      <w:r>
        <w:rPr>
          <w:rFonts w:ascii="Times New Roman" w:hAnsi="Times New Roman" w:eastAsia="Times New Roman" w:cs="Times New Roman"/>
          <w:i/>
          <w:iCs/>
          <w:sz w:val="24"/>
          <w:szCs w:val="24"/>
        </w:rPr>
        <w:t>variabilis</w:t>
      </w:r>
      <w:r>
        <w:rPr>
          <w:rFonts w:ascii="宋体" w:hAnsi="宋体" w:eastAsia="宋体" w:cs="宋体"/>
          <w:spacing w:val="1"/>
          <w:sz w:val="24"/>
          <w:szCs w:val="24"/>
        </w:rPr>
        <w:t xml:space="preserve">、沙针、竹叶椒 </w:t>
      </w:r>
      <w:r>
        <w:rPr>
          <w:rFonts w:ascii="Times New Roman" w:hAnsi="Times New Roman" w:eastAsia="Times New Roman" w:cs="Times New Roman"/>
          <w:i/>
          <w:iCs/>
          <w:sz w:val="24"/>
          <w:szCs w:val="24"/>
        </w:rPr>
        <w:t>Zanthoxylum  armatum</w:t>
      </w:r>
      <w:r>
        <w:rPr>
          <w:rFonts w:ascii="宋体" w:hAnsi="宋体" w:eastAsia="宋体" w:cs="宋体"/>
          <w:sz w:val="24"/>
          <w:szCs w:val="24"/>
        </w:rPr>
        <w:t>、小雀花、盐肤木</w:t>
      </w:r>
      <w:r>
        <w:rPr>
          <w:rFonts w:ascii="宋体" w:hAnsi="宋体" w:eastAsia="宋体" w:cs="宋体"/>
          <w:spacing w:val="-49"/>
          <w:sz w:val="24"/>
          <w:szCs w:val="24"/>
        </w:rPr>
        <w:t xml:space="preserve"> </w:t>
      </w:r>
      <w:r>
        <w:rPr>
          <w:rFonts w:ascii="Times New Roman" w:hAnsi="Times New Roman" w:eastAsia="Times New Roman" w:cs="Times New Roman"/>
          <w:i/>
          <w:iCs/>
          <w:sz w:val="24"/>
          <w:szCs w:val="24"/>
        </w:rPr>
        <w:t>Rhus</w:t>
      </w:r>
      <w:r>
        <w:rPr>
          <w:rFonts w:ascii="Times New Roman" w:hAnsi="Times New Roman" w:eastAsia="Times New Roman" w:cs="Times New Roman"/>
          <w:i/>
          <w:iCs/>
          <w:spacing w:val="28"/>
          <w:sz w:val="24"/>
          <w:szCs w:val="24"/>
        </w:rPr>
        <w:t xml:space="preserve"> </w:t>
      </w:r>
      <w:r>
        <w:rPr>
          <w:rFonts w:ascii="Times New Roman" w:hAnsi="Times New Roman" w:eastAsia="Times New Roman" w:cs="Times New Roman"/>
          <w:i/>
          <w:iCs/>
          <w:sz w:val="24"/>
          <w:szCs w:val="24"/>
        </w:rPr>
        <w:t>chinensis</w:t>
      </w:r>
      <w:r>
        <w:rPr>
          <w:rFonts w:ascii="宋体" w:hAnsi="宋体" w:eastAsia="宋体" w:cs="宋体"/>
          <w:sz w:val="24"/>
          <w:szCs w:val="24"/>
        </w:rPr>
        <w:t>、白刺花、锥连栎</w:t>
      </w:r>
      <w:r>
        <w:rPr>
          <w:rFonts w:ascii="宋体" w:hAnsi="宋体" w:eastAsia="宋体" w:cs="宋体"/>
          <w:spacing w:val="-48"/>
          <w:sz w:val="24"/>
          <w:szCs w:val="24"/>
        </w:rPr>
        <w:t xml:space="preserve"> </w:t>
      </w:r>
      <w:r>
        <w:rPr>
          <w:rFonts w:ascii="Times New Roman" w:hAnsi="Times New Roman" w:eastAsia="Times New Roman" w:cs="Times New Roman"/>
          <w:i/>
          <w:iCs/>
          <w:sz w:val="24"/>
          <w:szCs w:val="24"/>
        </w:rPr>
        <w:t>Quercus</w:t>
      </w:r>
      <w:r>
        <w:rPr>
          <w:rFonts w:ascii="Times New Roman" w:hAnsi="Times New Roman" w:eastAsia="Times New Roman" w:cs="Times New Roman"/>
          <w:i/>
          <w:iCs/>
          <w:spacing w:val="-19"/>
          <w:sz w:val="24"/>
          <w:szCs w:val="24"/>
        </w:rPr>
        <w:t xml:space="preserve"> </w:t>
      </w:r>
      <w:r>
        <w:rPr>
          <w:rFonts w:ascii="Times New Roman" w:hAnsi="Times New Roman" w:eastAsia="Times New Roman" w:cs="Times New Roman"/>
          <w:i/>
          <w:iCs/>
          <w:sz w:val="24"/>
          <w:szCs w:val="24"/>
        </w:rPr>
        <w:t>franchetii</w:t>
      </w:r>
      <w:r>
        <w:rPr>
          <w:rFonts w:ascii="宋体" w:hAnsi="宋体" w:eastAsia="宋体" w:cs="宋体"/>
          <w:sz w:val="24"/>
          <w:szCs w:val="24"/>
        </w:rPr>
        <w:t>、余甘子</w:t>
      </w:r>
    </w:p>
    <w:p w14:paraId="2FB8EB90">
      <w:pPr>
        <w:spacing w:line="354" w:lineRule="auto"/>
        <w:rPr>
          <w:rFonts w:ascii="宋体" w:hAnsi="宋体" w:eastAsia="宋体" w:cs="宋体"/>
          <w:sz w:val="24"/>
          <w:szCs w:val="24"/>
        </w:rPr>
        <w:sectPr>
          <w:footerReference r:id="rId158" w:type="default"/>
          <w:pgSz w:w="11907" w:h="16841"/>
          <w:pgMar w:top="400" w:right="1229" w:bottom="1126" w:left="1377" w:header="0" w:footer="925" w:gutter="0"/>
          <w:cols w:space="720" w:num="1"/>
        </w:sectPr>
      </w:pPr>
    </w:p>
    <w:p w14:paraId="2B64B9A1">
      <w:pPr>
        <w:spacing w:line="249" w:lineRule="auto"/>
        <w:rPr>
          <w:rFonts w:ascii="Arial"/>
          <w:sz w:val="21"/>
        </w:rPr>
      </w:pPr>
    </w:p>
    <w:p w14:paraId="699AED41">
      <w:pPr>
        <w:spacing w:line="249" w:lineRule="auto"/>
        <w:rPr>
          <w:rFonts w:ascii="Arial"/>
          <w:sz w:val="21"/>
        </w:rPr>
      </w:pPr>
    </w:p>
    <w:p w14:paraId="12AE263D">
      <w:pPr>
        <w:spacing w:line="249" w:lineRule="auto"/>
        <w:rPr>
          <w:rFonts w:ascii="Arial"/>
          <w:sz w:val="21"/>
        </w:rPr>
      </w:pPr>
    </w:p>
    <w:p w14:paraId="3340D11D">
      <w:pPr>
        <w:spacing w:line="249" w:lineRule="auto"/>
        <w:rPr>
          <w:rFonts w:ascii="Arial"/>
          <w:sz w:val="21"/>
        </w:rPr>
      </w:pPr>
    </w:p>
    <w:p w14:paraId="07FF9553">
      <w:pPr>
        <w:spacing w:line="249" w:lineRule="auto"/>
        <w:rPr>
          <w:rFonts w:ascii="Arial"/>
          <w:sz w:val="21"/>
        </w:rPr>
      </w:pPr>
    </w:p>
    <w:p w14:paraId="702AAE6C">
      <w:pPr>
        <w:spacing w:before="78" w:line="212" w:lineRule="auto"/>
        <w:ind w:left="1"/>
        <w:rPr>
          <w:rFonts w:ascii="宋体" w:hAnsi="宋体" w:eastAsia="宋体" w:cs="宋体"/>
          <w:sz w:val="24"/>
          <w:szCs w:val="24"/>
        </w:rPr>
      </w:pPr>
      <w:r>
        <w:rPr>
          <w:rFonts w:ascii="Times New Roman" w:hAnsi="Times New Roman" w:eastAsia="Times New Roman" w:cs="Times New Roman"/>
          <w:i/>
          <w:iCs/>
          <w:sz w:val="24"/>
          <w:szCs w:val="24"/>
        </w:rPr>
        <w:t>Phyllanthus emblica</w:t>
      </w:r>
      <w:r>
        <w:rPr>
          <w:rFonts w:ascii="宋体" w:hAnsi="宋体" w:eastAsia="宋体" w:cs="宋体"/>
          <w:sz w:val="24"/>
          <w:szCs w:val="24"/>
        </w:rPr>
        <w:t>、石柿</w:t>
      </w:r>
      <w:r>
        <w:rPr>
          <w:rFonts w:ascii="宋体" w:hAnsi="宋体" w:eastAsia="宋体" w:cs="宋体"/>
          <w:spacing w:val="-55"/>
          <w:sz w:val="24"/>
          <w:szCs w:val="24"/>
        </w:rPr>
        <w:t xml:space="preserve"> </w:t>
      </w:r>
      <w:r>
        <w:rPr>
          <w:rFonts w:ascii="Times New Roman" w:hAnsi="Times New Roman" w:eastAsia="Times New Roman" w:cs="Times New Roman"/>
          <w:i/>
          <w:iCs/>
          <w:sz w:val="24"/>
          <w:szCs w:val="24"/>
        </w:rPr>
        <w:t xml:space="preserve">Diospyros </w:t>
      </w:r>
      <w:r>
        <w:rPr>
          <w:rFonts w:ascii="Times New Roman" w:hAnsi="Times New Roman" w:eastAsia="Times New Roman" w:cs="Times New Roman"/>
          <w:i/>
          <w:iCs/>
          <w:spacing w:val="-1"/>
          <w:sz w:val="24"/>
          <w:szCs w:val="24"/>
        </w:rPr>
        <w:t xml:space="preserve">dumetorum </w:t>
      </w:r>
      <w:r>
        <w:rPr>
          <w:rFonts w:ascii="宋体" w:hAnsi="宋体" w:eastAsia="宋体" w:cs="宋体"/>
          <w:spacing w:val="-1"/>
          <w:sz w:val="24"/>
          <w:szCs w:val="24"/>
        </w:rPr>
        <w:t>等。</w:t>
      </w:r>
    </w:p>
    <w:p w14:paraId="742484B0">
      <w:pPr>
        <w:spacing w:before="193" w:line="350" w:lineRule="auto"/>
        <w:ind w:left="16" w:firstLine="481"/>
        <w:rPr>
          <w:rFonts w:ascii="宋体" w:hAnsi="宋体" w:eastAsia="宋体" w:cs="宋体"/>
          <w:sz w:val="24"/>
          <w:szCs w:val="24"/>
        </w:rPr>
      </w:pPr>
      <w:r>
        <w:rPr>
          <w:rFonts w:ascii="宋体" w:hAnsi="宋体" w:eastAsia="宋体" w:cs="宋体"/>
          <w:spacing w:val="-2"/>
          <w:sz w:val="24"/>
          <w:szCs w:val="24"/>
        </w:rPr>
        <w:t xml:space="preserve">草本层盖度 </w:t>
      </w:r>
      <w:r>
        <w:rPr>
          <w:rFonts w:ascii="Times New Roman" w:hAnsi="Times New Roman" w:eastAsia="Times New Roman" w:cs="Times New Roman"/>
          <w:spacing w:val="-2"/>
          <w:sz w:val="24"/>
          <w:szCs w:val="24"/>
        </w:rPr>
        <w:t>10-15%</w:t>
      </w:r>
      <w:r>
        <w:rPr>
          <w:rFonts w:ascii="宋体" w:hAnsi="宋体" w:eastAsia="宋体" w:cs="宋体"/>
          <w:spacing w:val="-2"/>
          <w:sz w:val="24"/>
          <w:szCs w:val="24"/>
        </w:rPr>
        <w:t>，高约</w:t>
      </w:r>
      <w:r>
        <w:rPr>
          <w:rFonts w:ascii="宋体" w:hAnsi="宋体" w:eastAsia="宋体" w:cs="宋体"/>
          <w:spacing w:val="-40"/>
          <w:sz w:val="24"/>
          <w:szCs w:val="24"/>
        </w:rPr>
        <w:t xml:space="preserve"> </w:t>
      </w:r>
      <w:r>
        <w:rPr>
          <w:rFonts w:ascii="Times New Roman" w:hAnsi="Times New Roman" w:eastAsia="Times New Roman" w:cs="Times New Roman"/>
          <w:spacing w:val="-2"/>
          <w:sz w:val="24"/>
          <w:szCs w:val="24"/>
        </w:rPr>
        <w:t>0.5m</w:t>
      </w:r>
      <w:r>
        <w:rPr>
          <w:rFonts w:ascii="宋体" w:hAnsi="宋体" w:eastAsia="宋体" w:cs="宋体"/>
          <w:spacing w:val="-2"/>
          <w:sz w:val="24"/>
          <w:szCs w:val="24"/>
        </w:rPr>
        <w:t>，物</w:t>
      </w:r>
      <w:r>
        <w:rPr>
          <w:rFonts w:ascii="宋体" w:hAnsi="宋体" w:eastAsia="宋体" w:cs="宋体"/>
          <w:spacing w:val="-3"/>
          <w:sz w:val="24"/>
          <w:szCs w:val="24"/>
        </w:rPr>
        <w:t>种组成有白酒草、白茅、千里光、戟叶酸模、</w:t>
      </w:r>
      <w:r>
        <w:rPr>
          <w:rFonts w:ascii="宋体" w:hAnsi="宋体" w:eastAsia="宋体" w:cs="宋体"/>
          <w:spacing w:val="-1"/>
          <w:sz w:val="24"/>
          <w:szCs w:val="24"/>
        </w:rPr>
        <w:t>荩草、土牛膝</w:t>
      </w:r>
      <w:r>
        <w:rPr>
          <w:rFonts w:ascii="宋体" w:hAnsi="宋体" w:eastAsia="宋体" w:cs="宋体"/>
          <w:spacing w:val="-61"/>
          <w:sz w:val="24"/>
          <w:szCs w:val="24"/>
        </w:rPr>
        <w:t xml:space="preserve"> </w:t>
      </w:r>
      <w:r>
        <w:rPr>
          <w:rFonts w:ascii="Times New Roman" w:hAnsi="Times New Roman" w:eastAsia="Times New Roman" w:cs="Times New Roman"/>
          <w:i/>
          <w:iCs/>
          <w:spacing w:val="-1"/>
          <w:sz w:val="24"/>
          <w:szCs w:val="24"/>
        </w:rPr>
        <w:t>Achyranthes</w:t>
      </w:r>
      <w:r>
        <w:rPr>
          <w:rFonts w:ascii="Times New Roman" w:hAnsi="Times New Roman" w:eastAsia="Times New Roman" w:cs="Times New Roman"/>
          <w:i/>
          <w:iCs/>
          <w:spacing w:val="29"/>
          <w:sz w:val="24"/>
          <w:szCs w:val="24"/>
        </w:rPr>
        <w:t xml:space="preserve"> </w:t>
      </w:r>
      <w:r>
        <w:rPr>
          <w:rFonts w:ascii="Times New Roman" w:hAnsi="Times New Roman" w:eastAsia="Times New Roman" w:cs="Times New Roman"/>
          <w:i/>
          <w:iCs/>
          <w:spacing w:val="-1"/>
          <w:sz w:val="24"/>
          <w:szCs w:val="24"/>
        </w:rPr>
        <w:t>asper</w:t>
      </w:r>
      <w:r>
        <w:rPr>
          <w:rFonts w:ascii="宋体" w:hAnsi="宋体" w:eastAsia="宋体" w:cs="宋体"/>
          <w:spacing w:val="-1"/>
          <w:sz w:val="24"/>
          <w:szCs w:val="24"/>
        </w:rPr>
        <w:t>、剪股颖</w:t>
      </w:r>
      <w:r>
        <w:rPr>
          <w:rFonts w:ascii="宋体" w:hAnsi="宋体" w:eastAsia="宋体" w:cs="宋体"/>
          <w:spacing w:val="-60"/>
          <w:sz w:val="24"/>
          <w:szCs w:val="24"/>
        </w:rPr>
        <w:t xml:space="preserve"> </w:t>
      </w:r>
      <w:r>
        <w:rPr>
          <w:rFonts w:ascii="Times New Roman" w:hAnsi="Times New Roman" w:eastAsia="Times New Roman" w:cs="Times New Roman"/>
          <w:i/>
          <w:iCs/>
          <w:spacing w:val="-1"/>
          <w:sz w:val="24"/>
          <w:szCs w:val="24"/>
        </w:rPr>
        <w:t>Agrostis</w:t>
      </w:r>
      <w:r>
        <w:rPr>
          <w:rFonts w:ascii="Times New Roman" w:hAnsi="Times New Roman" w:eastAsia="Times New Roman" w:cs="Times New Roman"/>
          <w:i/>
          <w:iCs/>
          <w:spacing w:val="28"/>
          <w:w w:val="101"/>
          <w:sz w:val="24"/>
          <w:szCs w:val="24"/>
        </w:rPr>
        <w:t xml:space="preserve"> </w:t>
      </w:r>
      <w:r>
        <w:rPr>
          <w:rFonts w:ascii="Times New Roman" w:hAnsi="Times New Roman" w:eastAsia="Times New Roman" w:cs="Times New Roman"/>
          <w:i/>
          <w:iCs/>
          <w:spacing w:val="-1"/>
          <w:sz w:val="24"/>
          <w:szCs w:val="24"/>
        </w:rPr>
        <w:t>clavata</w:t>
      </w:r>
      <w:r>
        <w:rPr>
          <w:rFonts w:ascii="宋体" w:hAnsi="宋体" w:eastAsia="宋体" w:cs="宋体"/>
          <w:spacing w:val="-1"/>
          <w:sz w:val="24"/>
          <w:szCs w:val="24"/>
        </w:rPr>
        <w:t>、青蒿</w:t>
      </w:r>
      <w:r>
        <w:rPr>
          <w:rFonts w:ascii="宋体" w:hAnsi="宋体" w:eastAsia="宋体" w:cs="宋体"/>
          <w:spacing w:val="-54"/>
          <w:sz w:val="24"/>
          <w:szCs w:val="24"/>
        </w:rPr>
        <w:t xml:space="preserve"> </w:t>
      </w:r>
      <w:r>
        <w:rPr>
          <w:rFonts w:ascii="Times New Roman" w:hAnsi="Times New Roman" w:eastAsia="Times New Roman" w:cs="Times New Roman"/>
          <w:i/>
          <w:iCs/>
          <w:spacing w:val="-1"/>
          <w:sz w:val="24"/>
          <w:szCs w:val="24"/>
        </w:rPr>
        <w:t>Artemisia</w:t>
      </w:r>
      <w:r>
        <w:rPr>
          <w:rFonts w:ascii="Times New Roman" w:hAnsi="Times New Roman" w:eastAsia="Times New Roman" w:cs="Times New Roman"/>
          <w:i/>
          <w:iCs/>
          <w:spacing w:val="28"/>
          <w:sz w:val="24"/>
          <w:szCs w:val="24"/>
        </w:rPr>
        <w:t xml:space="preserve"> </w:t>
      </w:r>
      <w:r>
        <w:rPr>
          <w:rFonts w:ascii="Times New Roman" w:hAnsi="Times New Roman" w:eastAsia="Times New Roman" w:cs="Times New Roman"/>
          <w:i/>
          <w:iCs/>
          <w:spacing w:val="-1"/>
          <w:sz w:val="24"/>
          <w:szCs w:val="24"/>
        </w:rPr>
        <w:t xml:space="preserve">carvifolia </w:t>
      </w:r>
      <w:r>
        <w:rPr>
          <w:rFonts w:ascii="宋体" w:hAnsi="宋体" w:eastAsia="宋体" w:cs="宋体"/>
          <w:spacing w:val="-1"/>
          <w:sz w:val="24"/>
          <w:szCs w:val="24"/>
        </w:rPr>
        <w:t>等。</w:t>
      </w:r>
    </w:p>
    <w:p w14:paraId="1CEB76A6">
      <w:pPr>
        <w:spacing w:before="25" w:line="233" w:lineRule="auto"/>
        <w:ind w:left="498"/>
        <w:rPr>
          <w:rFonts w:ascii="宋体" w:hAnsi="宋体" w:eastAsia="宋体" w:cs="宋体"/>
          <w:sz w:val="24"/>
          <w:szCs w:val="24"/>
        </w:rPr>
      </w:pPr>
      <w:r>
        <w:rPr>
          <w:rFonts w:ascii="Times New Roman" w:hAnsi="Times New Roman" w:eastAsia="Times New Roman" w:cs="Times New Roman"/>
          <w:spacing w:val="-3"/>
          <w:sz w:val="24"/>
          <w:szCs w:val="24"/>
        </w:rPr>
        <w:t>5</w:t>
      </w:r>
      <w:r>
        <w:rPr>
          <w:rFonts w:ascii="宋体" w:hAnsi="宋体" w:eastAsia="宋体" w:cs="宋体"/>
          <w:spacing w:val="-3"/>
          <w:sz w:val="24"/>
          <w:szCs w:val="24"/>
        </w:rPr>
        <w:t>）粉背黄栌群落</w:t>
      </w:r>
    </w:p>
    <w:p w14:paraId="216B0703">
      <w:pPr>
        <w:spacing w:before="165" w:line="355" w:lineRule="auto"/>
        <w:ind w:right="2" w:firstLine="495"/>
        <w:rPr>
          <w:rFonts w:ascii="宋体" w:hAnsi="宋体" w:eastAsia="宋体" w:cs="宋体"/>
          <w:sz w:val="24"/>
          <w:szCs w:val="24"/>
        </w:rPr>
      </w:pPr>
      <w:r>
        <w:rPr>
          <w:rFonts w:ascii="宋体" w:hAnsi="宋体" w:eastAsia="宋体" w:cs="宋体"/>
          <w:spacing w:val="-4"/>
          <w:sz w:val="24"/>
          <w:szCs w:val="24"/>
        </w:rPr>
        <w:t>粉背黄栌灌丛主要分布在沟谷内较为湿润的区域。群落灌木层盖度</w:t>
      </w:r>
      <w:r>
        <w:rPr>
          <w:rFonts w:ascii="宋体" w:hAnsi="宋体" w:eastAsia="宋体" w:cs="宋体"/>
          <w:spacing w:val="-44"/>
          <w:sz w:val="24"/>
          <w:szCs w:val="24"/>
        </w:rPr>
        <w:t xml:space="preserve"> </w:t>
      </w:r>
      <w:r>
        <w:rPr>
          <w:rFonts w:ascii="Times New Roman" w:hAnsi="Times New Roman" w:eastAsia="Times New Roman" w:cs="Times New Roman"/>
          <w:spacing w:val="-4"/>
          <w:sz w:val="24"/>
          <w:szCs w:val="24"/>
        </w:rPr>
        <w:t>30-40%</w:t>
      </w:r>
      <w:r>
        <w:rPr>
          <w:rFonts w:ascii="宋体" w:hAnsi="宋体" w:eastAsia="宋体" w:cs="宋体"/>
          <w:spacing w:val="-4"/>
          <w:sz w:val="24"/>
          <w:szCs w:val="24"/>
        </w:rPr>
        <w:t>，高</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1.4-</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8"/>
          <w:sz w:val="24"/>
          <w:szCs w:val="24"/>
        </w:rPr>
        <w:t>2.</w:t>
      </w:r>
      <w:r>
        <w:rPr>
          <w:rFonts w:ascii="Times New Roman" w:hAnsi="Times New Roman" w:eastAsia="Times New Roman" w:cs="Times New Roman"/>
          <w:spacing w:val="-20"/>
          <w:sz w:val="24"/>
          <w:szCs w:val="24"/>
        </w:rPr>
        <w:t xml:space="preserve"> </w:t>
      </w:r>
      <w:r>
        <w:rPr>
          <w:rFonts w:ascii="Times New Roman" w:hAnsi="Times New Roman" w:eastAsia="Times New Roman" w:cs="Times New Roman"/>
          <w:spacing w:val="8"/>
          <w:sz w:val="24"/>
          <w:szCs w:val="24"/>
        </w:rPr>
        <w:t>1m</w:t>
      </w:r>
      <w:r>
        <w:rPr>
          <w:rFonts w:ascii="宋体" w:hAnsi="宋体" w:eastAsia="宋体" w:cs="宋体"/>
          <w:spacing w:val="8"/>
          <w:sz w:val="24"/>
          <w:szCs w:val="24"/>
        </w:rPr>
        <w:t xml:space="preserve">，物种组成有粉背黄栌 </w:t>
      </w:r>
      <w:r>
        <w:rPr>
          <w:rFonts w:ascii="Times New Roman" w:hAnsi="Times New Roman" w:eastAsia="Times New Roman" w:cs="Times New Roman"/>
          <w:i/>
          <w:iCs/>
          <w:sz w:val="24"/>
          <w:szCs w:val="24"/>
        </w:rPr>
        <w:t>Cotinus</w:t>
      </w:r>
      <w:r>
        <w:rPr>
          <w:rFonts w:ascii="Times New Roman" w:hAnsi="Times New Roman" w:eastAsia="Times New Roman" w:cs="Times New Roman"/>
          <w:i/>
          <w:iCs/>
          <w:spacing w:val="8"/>
          <w:sz w:val="24"/>
          <w:szCs w:val="24"/>
        </w:rPr>
        <w:t xml:space="preserve">  </w:t>
      </w:r>
      <w:r>
        <w:rPr>
          <w:rFonts w:ascii="Times New Roman" w:hAnsi="Times New Roman" w:eastAsia="Times New Roman" w:cs="Times New Roman"/>
          <w:i/>
          <w:iCs/>
          <w:sz w:val="24"/>
          <w:szCs w:val="24"/>
        </w:rPr>
        <w:t>coggygria</w:t>
      </w:r>
      <w:r>
        <w:rPr>
          <w:rFonts w:ascii="Times New Roman" w:hAnsi="Times New Roman" w:eastAsia="Times New Roman" w:cs="Times New Roman"/>
          <w:i/>
          <w:iCs/>
          <w:spacing w:val="44"/>
          <w:sz w:val="24"/>
          <w:szCs w:val="24"/>
        </w:rPr>
        <w:t xml:space="preserve"> </w:t>
      </w:r>
      <w:r>
        <w:rPr>
          <w:rFonts w:ascii="Times New Roman" w:hAnsi="Times New Roman" w:eastAsia="Times New Roman" w:cs="Times New Roman"/>
          <w:sz w:val="24"/>
          <w:szCs w:val="24"/>
        </w:rPr>
        <w:t>var</w:t>
      </w:r>
      <w:r>
        <w:rPr>
          <w:rFonts w:ascii="Times New Roman" w:hAnsi="Times New Roman" w:eastAsia="Times New Roman" w:cs="Times New Roman"/>
          <w:spacing w:val="8"/>
          <w:sz w:val="24"/>
          <w:szCs w:val="24"/>
        </w:rPr>
        <w:t>.</w:t>
      </w:r>
      <w:r>
        <w:rPr>
          <w:rFonts w:ascii="Times New Roman" w:hAnsi="Times New Roman" w:eastAsia="Times New Roman" w:cs="Times New Roman"/>
          <w:spacing w:val="34"/>
          <w:sz w:val="24"/>
          <w:szCs w:val="24"/>
        </w:rPr>
        <w:t xml:space="preserve"> </w:t>
      </w:r>
      <w:r>
        <w:rPr>
          <w:rFonts w:ascii="Times New Roman" w:hAnsi="Times New Roman" w:eastAsia="Times New Roman" w:cs="Times New Roman"/>
          <w:i/>
          <w:iCs/>
          <w:sz w:val="24"/>
          <w:szCs w:val="24"/>
        </w:rPr>
        <w:t>glaucophylla</w:t>
      </w:r>
      <w:r>
        <w:rPr>
          <w:rFonts w:ascii="宋体" w:hAnsi="宋体" w:eastAsia="宋体" w:cs="宋体"/>
          <w:spacing w:val="8"/>
          <w:sz w:val="24"/>
          <w:szCs w:val="24"/>
        </w:rPr>
        <w:t>、白刺花、昆明木蓝</w:t>
      </w:r>
      <w:r>
        <w:rPr>
          <w:rFonts w:ascii="宋体" w:hAnsi="宋体" w:eastAsia="宋体" w:cs="宋体"/>
          <w:sz w:val="24"/>
          <w:szCs w:val="24"/>
        </w:rPr>
        <w:t xml:space="preserve"> </w:t>
      </w:r>
      <w:r>
        <w:rPr>
          <w:rFonts w:ascii="Times New Roman" w:hAnsi="Times New Roman" w:eastAsia="Times New Roman" w:cs="Times New Roman"/>
          <w:i/>
          <w:iCs/>
          <w:spacing w:val="-9"/>
          <w:sz w:val="24"/>
          <w:szCs w:val="24"/>
        </w:rPr>
        <w:t>Indigofera</w:t>
      </w:r>
      <w:r>
        <w:rPr>
          <w:rFonts w:ascii="Times New Roman" w:hAnsi="Times New Roman" w:eastAsia="Times New Roman" w:cs="Times New Roman"/>
          <w:i/>
          <w:iCs/>
          <w:spacing w:val="-42"/>
          <w:sz w:val="24"/>
          <w:szCs w:val="24"/>
        </w:rPr>
        <w:t xml:space="preserve"> </w:t>
      </w:r>
      <w:r>
        <w:rPr>
          <w:rFonts w:ascii="Times New Roman" w:hAnsi="Times New Roman" w:eastAsia="Times New Roman" w:cs="Times New Roman"/>
          <w:i/>
          <w:iCs/>
          <w:spacing w:val="-9"/>
          <w:sz w:val="24"/>
          <w:szCs w:val="24"/>
        </w:rPr>
        <w:t>pampaniniana</w:t>
      </w:r>
      <w:r>
        <w:rPr>
          <w:rFonts w:ascii="宋体" w:hAnsi="宋体" w:eastAsia="宋体" w:cs="宋体"/>
          <w:spacing w:val="-9"/>
          <w:sz w:val="24"/>
          <w:szCs w:val="24"/>
        </w:rPr>
        <w:t>、马桑、清香木、盐肤木、小雀花、漆树</w:t>
      </w:r>
      <w:r>
        <w:rPr>
          <w:rFonts w:ascii="宋体" w:hAnsi="宋体" w:eastAsia="宋体" w:cs="宋体"/>
          <w:spacing w:val="-39"/>
          <w:sz w:val="24"/>
          <w:szCs w:val="24"/>
        </w:rPr>
        <w:t xml:space="preserve"> </w:t>
      </w:r>
      <w:r>
        <w:rPr>
          <w:rFonts w:ascii="Times New Roman" w:hAnsi="Times New Roman" w:eastAsia="Times New Roman" w:cs="Times New Roman"/>
          <w:i/>
          <w:iCs/>
          <w:spacing w:val="-9"/>
          <w:sz w:val="24"/>
          <w:szCs w:val="24"/>
        </w:rPr>
        <w:t>Toxicodend</w:t>
      </w:r>
      <w:r>
        <w:rPr>
          <w:rFonts w:ascii="Times New Roman" w:hAnsi="Times New Roman" w:eastAsia="Times New Roman" w:cs="Times New Roman"/>
          <w:i/>
          <w:iCs/>
          <w:spacing w:val="-10"/>
          <w:sz w:val="24"/>
          <w:szCs w:val="24"/>
        </w:rPr>
        <w:t>ron vernicifluum</w:t>
      </w:r>
      <w:r>
        <w:rPr>
          <w:rFonts w:ascii="宋体" w:hAnsi="宋体" w:eastAsia="宋体" w:cs="宋体"/>
          <w:spacing w:val="-10"/>
          <w:sz w:val="24"/>
          <w:szCs w:val="24"/>
        </w:rPr>
        <w:t>、</w:t>
      </w:r>
      <w:r>
        <w:rPr>
          <w:rFonts w:ascii="宋体" w:hAnsi="宋体" w:eastAsia="宋体" w:cs="宋体"/>
          <w:sz w:val="24"/>
          <w:szCs w:val="24"/>
        </w:rPr>
        <w:t>两头毛</w:t>
      </w:r>
      <w:r>
        <w:rPr>
          <w:rFonts w:ascii="宋体" w:hAnsi="宋体" w:eastAsia="宋体" w:cs="宋体"/>
          <w:spacing w:val="-67"/>
          <w:sz w:val="24"/>
          <w:szCs w:val="24"/>
        </w:rPr>
        <w:t xml:space="preserve"> </w:t>
      </w:r>
      <w:r>
        <w:rPr>
          <w:rFonts w:ascii="Times New Roman" w:hAnsi="Times New Roman" w:eastAsia="Times New Roman" w:cs="Times New Roman"/>
          <w:i/>
          <w:iCs/>
          <w:sz w:val="24"/>
          <w:szCs w:val="24"/>
        </w:rPr>
        <w:t xml:space="preserve">Incarvillea arguta </w:t>
      </w:r>
      <w:r>
        <w:rPr>
          <w:rFonts w:ascii="宋体" w:hAnsi="宋体" w:eastAsia="宋体" w:cs="宋体"/>
          <w:sz w:val="24"/>
          <w:szCs w:val="24"/>
        </w:rPr>
        <w:t>等。</w:t>
      </w:r>
    </w:p>
    <w:p w14:paraId="56A7A4AF">
      <w:pPr>
        <w:spacing w:before="26" w:line="350" w:lineRule="auto"/>
        <w:ind w:left="23" w:right="100" w:firstLine="475"/>
        <w:rPr>
          <w:rFonts w:ascii="宋体" w:hAnsi="宋体" w:eastAsia="宋体" w:cs="宋体"/>
          <w:sz w:val="24"/>
          <w:szCs w:val="24"/>
        </w:rPr>
      </w:pPr>
      <w:r>
        <w:rPr>
          <w:rFonts w:ascii="宋体" w:hAnsi="宋体" w:eastAsia="宋体" w:cs="宋体"/>
          <w:spacing w:val="-2"/>
          <w:sz w:val="24"/>
          <w:szCs w:val="24"/>
        </w:rPr>
        <w:t xml:space="preserve">草本层盖度 </w:t>
      </w:r>
      <w:r>
        <w:rPr>
          <w:rFonts w:ascii="Times New Roman" w:hAnsi="Times New Roman" w:eastAsia="Times New Roman" w:cs="Times New Roman"/>
          <w:spacing w:val="-2"/>
          <w:sz w:val="24"/>
          <w:szCs w:val="24"/>
        </w:rPr>
        <w:t>10-30%</w:t>
      </w:r>
      <w:r>
        <w:rPr>
          <w:rFonts w:ascii="宋体" w:hAnsi="宋体" w:eastAsia="宋体" w:cs="宋体"/>
          <w:spacing w:val="-2"/>
          <w:sz w:val="24"/>
          <w:szCs w:val="24"/>
        </w:rPr>
        <w:t>，高约</w:t>
      </w:r>
      <w:r>
        <w:rPr>
          <w:rFonts w:ascii="宋体" w:hAnsi="宋体" w:eastAsia="宋体" w:cs="宋体"/>
          <w:spacing w:val="-36"/>
          <w:sz w:val="24"/>
          <w:szCs w:val="24"/>
        </w:rPr>
        <w:t xml:space="preserve"> </w:t>
      </w:r>
      <w:r>
        <w:rPr>
          <w:rFonts w:ascii="Times New Roman" w:hAnsi="Times New Roman" w:eastAsia="Times New Roman" w:cs="Times New Roman"/>
          <w:spacing w:val="-2"/>
          <w:sz w:val="24"/>
          <w:szCs w:val="24"/>
        </w:rPr>
        <w:t>0.5m</w:t>
      </w:r>
      <w:r>
        <w:rPr>
          <w:rFonts w:ascii="宋体" w:hAnsi="宋体" w:eastAsia="宋体" w:cs="宋体"/>
          <w:spacing w:val="-2"/>
          <w:sz w:val="24"/>
          <w:szCs w:val="24"/>
        </w:rPr>
        <w:t>，物种有刺芒野古草、皱叶酸模、荩草、小白酒草</w:t>
      </w:r>
      <w:r>
        <w:rPr>
          <w:rFonts w:ascii="Times New Roman" w:hAnsi="Times New Roman" w:eastAsia="Times New Roman" w:cs="Times New Roman"/>
          <w:i/>
          <w:iCs/>
          <w:spacing w:val="-1"/>
          <w:sz w:val="24"/>
          <w:szCs w:val="24"/>
        </w:rPr>
        <w:t>Conyza canadensis</w:t>
      </w:r>
      <w:r>
        <w:rPr>
          <w:rFonts w:ascii="宋体" w:hAnsi="宋体" w:eastAsia="宋体" w:cs="宋体"/>
          <w:spacing w:val="-1"/>
          <w:sz w:val="24"/>
          <w:szCs w:val="24"/>
        </w:rPr>
        <w:t>、沿阶草</w:t>
      </w:r>
      <w:r>
        <w:rPr>
          <w:rFonts w:ascii="宋体" w:hAnsi="宋体" w:eastAsia="宋体" w:cs="宋体"/>
          <w:spacing w:val="-34"/>
          <w:sz w:val="24"/>
          <w:szCs w:val="24"/>
        </w:rPr>
        <w:t xml:space="preserve"> </w:t>
      </w:r>
      <w:r>
        <w:rPr>
          <w:rFonts w:ascii="Times New Roman" w:hAnsi="Times New Roman" w:eastAsia="Times New Roman" w:cs="Times New Roman"/>
          <w:i/>
          <w:iCs/>
          <w:spacing w:val="-1"/>
          <w:sz w:val="24"/>
          <w:szCs w:val="24"/>
        </w:rPr>
        <w:t>O</w:t>
      </w:r>
      <w:r>
        <w:rPr>
          <w:rFonts w:ascii="Times New Roman" w:hAnsi="Times New Roman" w:eastAsia="Times New Roman" w:cs="Times New Roman"/>
          <w:i/>
          <w:iCs/>
          <w:spacing w:val="-2"/>
          <w:sz w:val="24"/>
          <w:szCs w:val="24"/>
        </w:rPr>
        <w:t>phiopogon bodinieri</w:t>
      </w:r>
      <w:r>
        <w:rPr>
          <w:rFonts w:ascii="宋体" w:hAnsi="宋体" w:eastAsia="宋体" w:cs="宋体"/>
          <w:spacing w:val="-2"/>
          <w:sz w:val="24"/>
          <w:szCs w:val="24"/>
        </w:rPr>
        <w:t>、鬼针草等。</w:t>
      </w:r>
    </w:p>
    <w:p w14:paraId="177DAF00">
      <w:pPr>
        <w:spacing w:before="26" w:line="350" w:lineRule="auto"/>
        <w:ind w:left="9" w:right="89" w:firstLine="487"/>
        <w:rPr>
          <w:rFonts w:ascii="宋体" w:hAnsi="宋体" w:eastAsia="宋体" w:cs="宋体"/>
          <w:sz w:val="24"/>
          <w:szCs w:val="24"/>
        </w:rPr>
      </w:pPr>
      <w:r>
        <w:rPr>
          <w:rFonts w:ascii="宋体" w:hAnsi="宋体" w:eastAsia="宋体" w:cs="宋体"/>
          <w:sz w:val="24"/>
          <w:szCs w:val="24"/>
        </w:rPr>
        <w:t>层间层物种共调查到</w:t>
      </w:r>
      <w:r>
        <w:rPr>
          <w:rFonts w:ascii="宋体" w:hAnsi="宋体" w:eastAsia="宋体" w:cs="宋体"/>
          <w:spacing w:val="-56"/>
          <w:sz w:val="24"/>
          <w:szCs w:val="24"/>
        </w:rPr>
        <w:t xml:space="preserve"> </w:t>
      </w:r>
      <w:r>
        <w:rPr>
          <w:rFonts w:ascii="Times New Roman" w:hAnsi="Times New Roman" w:eastAsia="Times New Roman" w:cs="Times New Roman"/>
          <w:sz w:val="24"/>
          <w:szCs w:val="24"/>
        </w:rPr>
        <w:t xml:space="preserve">4 </w:t>
      </w:r>
      <w:r>
        <w:rPr>
          <w:rFonts w:ascii="宋体" w:hAnsi="宋体" w:eastAsia="宋体" w:cs="宋体"/>
          <w:sz w:val="24"/>
          <w:szCs w:val="24"/>
        </w:rPr>
        <w:t>种，菟丝子</w:t>
      </w:r>
      <w:r>
        <w:rPr>
          <w:rFonts w:ascii="宋体" w:hAnsi="宋体" w:eastAsia="宋体" w:cs="宋体"/>
          <w:spacing w:val="-43"/>
          <w:sz w:val="24"/>
          <w:szCs w:val="24"/>
        </w:rPr>
        <w:t xml:space="preserve"> </w:t>
      </w:r>
      <w:r>
        <w:rPr>
          <w:rFonts w:ascii="Times New Roman" w:hAnsi="Times New Roman" w:eastAsia="Times New Roman" w:cs="Times New Roman"/>
          <w:i/>
          <w:iCs/>
          <w:sz w:val="24"/>
          <w:szCs w:val="24"/>
        </w:rPr>
        <w:t>Cus</w:t>
      </w:r>
      <w:r>
        <w:rPr>
          <w:rFonts w:ascii="Times New Roman" w:hAnsi="Times New Roman" w:eastAsia="Times New Roman" w:cs="Times New Roman"/>
          <w:i/>
          <w:iCs/>
          <w:spacing w:val="-1"/>
          <w:sz w:val="24"/>
          <w:szCs w:val="24"/>
        </w:rPr>
        <w:t>cuta</w:t>
      </w:r>
      <w:r>
        <w:rPr>
          <w:rFonts w:ascii="Times New Roman" w:hAnsi="Times New Roman" w:eastAsia="Times New Roman" w:cs="Times New Roman"/>
          <w:i/>
          <w:iCs/>
          <w:spacing w:val="36"/>
          <w:sz w:val="24"/>
          <w:szCs w:val="24"/>
        </w:rPr>
        <w:t xml:space="preserve"> </w:t>
      </w:r>
      <w:r>
        <w:rPr>
          <w:rFonts w:ascii="Times New Roman" w:hAnsi="Times New Roman" w:eastAsia="Times New Roman" w:cs="Times New Roman"/>
          <w:i/>
          <w:iCs/>
          <w:spacing w:val="-1"/>
          <w:sz w:val="24"/>
          <w:szCs w:val="24"/>
        </w:rPr>
        <w:t>chinensis</w:t>
      </w:r>
      <w:r>
        <w:rPr>
          <w:rFonts w:ascii="宋体" w:hAnsi="宋体" w:eastAsia="宋体" w:cs="宋体"/>
          <w:spacing w:val="-1"/>
          <w:sz w:val="24"/>
          <w:szCs w:val="24"/>
        </w:rPr>
        <w:t>、毛果铁线莲</w:t>
      </w:r>
      <w:r>
        <w:rPr>
          <w:rFonts w:ascii="宋体" w:hAnsi="宋体" w:eastAsia="宋体" w:cs="宋体"/>
          <w:spacing w:val="-33"/>
          <w:sz w:val="24"/>
          <w:szCs w:val="24"/>
        </w:rPr>
        <w:t xml:space="preserve"> </w:t>
      </w:r>
      <w:r>
        <w:rPr>
          <w:rFonts w:ascii="Times New Roman" w:hAnsi="Times New Roman" w:eastAsia="Times New Roman" w:cs="Times New Roman"/>
          <w:i/>
          <w:iCs/>
          <w:spacing w:val="-1"/>
          <w:sz w:val="24"/>
          <w:szCs w:val="24"/>
        </w:rPr>
        <w:t>Clematis peterae</w:t>
      </w:r>
      <w:r>
        <w:rPr>
          <w:rFonts w:ascii="Times New Roman" w:hAnsi="Times New Roman" w:eastAsia="Times New Roman" w:cs="Times New Roman"/>
          <w:i/>
          <w:iCs/>
          <w:sz w:val="24"/>
          <w:szCs w:val="24"/>
        </w:rPr>
        <w:t xml:space="preserve"> </w:t>
      </w:r>
      <w:r>
        <w:rPr>
          <w:rFonts w:ascii="Times New Roman" w:hAnsi="Times New Roman" w:eastAsia="Times New Roman" w:cs="Times New Roman"/>
          <w:sz w:val="24"/>
          <w:szCs w:val="24"/>
        </w:rPr>
        <w:t xml:space="preserve">var. </w:t>
      </w:r>
      <w:r>
        <w:rPr>
          <w:rFonts w:ascii="Times New Roman" w:hAnsi="Times New Roman" w:eastAsia="Times New Roman" w:cs="Times New Roman"/>
          <w:i/>
          <w:iCs/>
          <w:sz w:val="24"/>
          <w:szCs w:val="24"/>
        </w:rPr>
        <w:t>trichocarpa</w:t>
      </w:r>
      <w:r>
        <w:rPr>
          <w:rFonts w:ascii="宋体" w:hAnsi="宋体" w:eastAsia="宋体" w:cs="宋体"/>
          <w:sz w:val="24"/>
          <w:szCs w:val="24"/>
        </w:rPr>
        <w:t>、何首乌</w:t>
      </w:r>
      <w:r>
        <w:rPr>
          <w:rFonts w:ascii="宋体" w:hAnsi="宋体" w:eastAsia="宋体" w:cs="宋体"/>
          <w:spacing w:val="-54"/>
          <w:sz w:val="24"/>
          <w:szCs w:val="24"/>
        </w:rPr>
        <w:t xml:space="preserve"> </w:t>
      </w:r>
      <w:r>
        <w:rPr>
          <w:rFonts w:ascii="Times New Roman" w:hAnsi="Times New Roman" w:eastAsia="Times New Roman" w:cs="Times New Roman"/>
          <w:i/>
          <w:iCs/>
          <w:sz w:val="24"/>
          <w:szCs w:val="24"/>
        </w:rPr>
        <w:t>Fallopia multiflora</w:t>
      </w:r>
      <w:r>
        <w:rPr>
          <w:rFonts w:ascii="宋体" w:hAnsi="宋体" w:eastAsia="宋体" w:cs="宋体"/>
          <w:sz w:val="24"/>
          <w:szCs w:val="24"/>
        </w:rPr>
        <w:t>、薯蓣</w:t>
      </w:r>
      <w:r>
        <w:rPr>
          <w:rFonts w:ascii="宋体" w:hAnsi="宋体" w:eastAsia="宋体" w:cs="宋体"/>
          <w:spacing w:val="-67"/>
          <w:sz w:val="24"/>
          <w:szCs w:val="24"/>
        </w:rPr>
        <w:t xml:space="preserve"> </w:t>
      </w:r>
      <w:r>
        <w:rPr>
          <w:rFonts w:ascii="Times New Roman" w:hAnsi="Times New Roman" w:eastAsia="Times New Roman" w:cs="Times New Roman"/>
          <w:i/>
          <w:iCs/>
          <w:sz w:val="24"/>
          <w:szCs w:val="24"/>
        </w:rPr>
        <w:t>Dioscorea opposita</w:t>
      </w:r>
      <w:r>
        <w:rPr>
          <w:rFonts w:ascii="宋体" w:hAnsi="宋体" w:eastAsia="宋体" w:cs="宋体"/>
          <w:sz w:val="24"/>
          <w:szCs w:val="24"/>
        </w:rPr>
        <w:t>。</w:t>
      </w:r>
    </w:p>
    <w:p w14:paraId="284710A6">
      <w:pPr>
        <w:spacing w:before="25" w:line="233" w:lineRule="auto"/>
        <w:ind w:left="497"/>
        <w:rPr>
          <w:rFonts w:ascii="宋体" w:hAnsi="宋体" w:eastAsia="宋体" w:cs="宋体"/>
          <w:sz w:val="24"/>
          <w:szCs w:val="24"/>
        </w:rPr>
      </w:pPr>
      <w:r>
        <w:rPr>
          <w:rFonts w:ascii="Times New Roman" w:hAnsi="Times New Roman" w:eastAsia="Times New Roman" w:cs="Times New Roman"/>
          <w:spacing w:val="-3"/>
          <w:sz w:val="24"/>
          <w:szCs w:val="24"/>
        </w:rPr>
        <w:t>6</w:t>
      </w:r>
      <w:r>
        <w:rPr>
          <w:rFonts w:ascii="宋体" w:hAnsi="宋体" w:eastAsia="宋体" w:cs="宋体"/>
          <w:spacing w:val="-3"/>
          <w:sz w:val="24"/>
          <w:szCs w:val="24"/>
        </w:rPr>
        <w:t>）白刺花群落</w:t>
      </w:r>
    </w:p>
    <w:p w14:paraId="33D889EA">
      <w:pPr>
        <w:spacing w:before="165" w:line="357" w:lineRule="auto"/>
        <w:ind w:left="17" w:right="2" w:firstLine="513"/>
        <w:rPr>
          <w:rFonts w:ascii="宋体" w:hAnsi="宋体" w:eastAsia="宋体" w:cs="宋体"/>
          <w:sz w:val="24"/>
          <w:szCs w:val="24"/>
        </w:rPr>
      </w:pPr>
      <w:r>
        <w:rPr>
          <w:rFonts w:ascii="宋体" w:hAnsi="宋体" w:eastAsia="宋体" w:cs="宋体"/>
          <w:spacing w:val="-3"/>
          <w:sz w:val="24"/>
          <w:szCs w:val="24"/>
        </w:rPr>
        <w:t>白刺花群落主要分布在评价区内道路、耕地及村庄等人为干扰较大的区域。灌木层</w:t>
      </w:r>
      <w:r>
        <w:rPr>
          <w:rFonts w:ascii="宋体" w:hAnsi="宋体" w:eastAsia="宋体" w:cs="宋体"/>
          <w:spacing w:val="-14"/>
          <w:sz w:val="24"/>
          <w:szCs w:val="24"/>
        </w:rPr>
        <w:t>盖度</w:t>
      </w:r>
      <w:r>
        <w:rPr>
          <w:rFonts w:ascii="宋体" w:hAnsi="宋体" w:eastAsia="宋体" w:cs="宋体"/>
          <w:spacing w:val="-55"/>
          <w:sz w:val="24"/>
          <w:szCs w:val="24"/>
        </w:rPr>
        <w:t xml:space="preserve"> </w:t>
      </w:r>
      <w:r>
        <w:rPr>
          <w:rFonts w:ascii="Times New Roman" w:hAnsi="Times New Roman" w:eastAsia="Times New Roman" w:cs="Times New Roman"/>
          <w:spacing w:val="-14"/>
          <w:sz w:val="24"/>
          <w:szCs w:val="24"/>
        </w:rPr>
        <w:t>30-50%</w:t>
      </w:r>
      <w:r>
        <w:rPr>
          <w:rFonts w:ascii="宋体" w:hAnsi="宋体" w:eastAsia="宋体" w:cs="宋体"/>
          <w:spacing w:val="-14"/>
          <w:sz w:val="24"/>
          <w:szCs w:val="24"/>
        </w:rPr>
        <w:t>，高约</w:t>
      </w:r>
      <w:r>
        <w:rPr>
          <w:rFonts w:ascii="宋体" w:hAnsi="宋体" w:eastAsia="宋体" w:cs="宋体"/>
          <w:spacing w:val="-36"/>
          <w:sz w:val="24"/>
          <w:szCs w:val="24"/>
        </w:rPr>
        <w:t xml:space="preserve"> </w:t>
      </w:r>
      <w:r>
        <w:rPr>
          <w:rFonts w:ascii="Times New Roman" w:hAnsi="Times New Roman" w:eastAsia="Times New Roman" w:cs="Times New Roman"/>
          <w:spacing w:val="-14"/>
          <w:sz w:val="24"/>
          <w:szCs w:val="24"/>
        </w:rPr>
        <w:t>1.5m</w:t>
      </w:r>
      <w:r>
        <w:rPr>
          <w:rFonts w:ascii="宋体" w:hAnsi="宋体" w:eastAsia="宋体" w:cs="宋体"/>
          <w:spacing w:val="-14"/>
          <w:sz w:val="24"/>
          <w:szCs w:val="24"/>
        </w:rPr>
        <w:t>，物种组成为白刺花、马桑、川梨、火棘、滇杨</w:t>
      </w:r>
      <w:r>
        <w:rPr>
          <w:rFonts w:ascii="宋体" w:hAnsi="宋体" w:eastAsia="宋体" w:cs="宋体"/>
          <w:spacing w:val="-70"/>
          <w:sz w:val="24"/>
          <w:szCs w:val="24"/>
        </w:rPr>
        <w:t xml:space="preserve"> </w:t>
      </w:r>
      <w:r>
        <w:rPr>
          <w:rFonts w:ascii="Times New Roman" w:hAnsi="Times New Roman" w:eastAsia="Times New Roman" w:cs="Times New Roman"/>
          <w:i/>
          <w:iCs/>
          <w:spacing w:val="-14"/>
          <w:sz w:val="24"/>
          <w:szCs w:val="24"/>
        </w:rPr>
        <w:t>Populus</w:t>
      </w:r>
      <w:r>
        <w:rPr>
          <w:rFonts w:ascii="Times New Roman" w:hAnsi="Times New Roman" w:eastAsia="Times New Roman" w:cs="Times New Roman"/>
          <w:i/>
          <w:iCs/>
          <w:spacing w:val="-32"/>
          <w:sz w:val="24"/>
          <w:szCs w:val="24"/>
        </w:rPr>
        <w:t xml:space="preserve"> </w:t>
      </w:r>
      <w:r>
        <w:rPr>
          <w:rFonts w:ascii="Times New Roman" w:hAnsi="Times New Roman" w:eastAsia="Times New Roman" w:cs="Times New Roman"/>
          <w:i/>
          <w:iCs/>
          <w:spacing w:val="-14"/>
          <w:sz w:val="24"/>
          <w:szCs w:val="24"/>
        </w:rPr>
        <w:t>yun</w:t>
      </w:r>
      <w:r>
        <w:rPr>
          <w:rFonts w:ascii="Times New Roman" w:hAnsi="Times New Roman" w:eastAsia="Times New Roman" w:cs="Times New Roman"/>
          <w:i/>
          <w:iCs/>
          <w:spacing w:val="-15"/>
          <w:sz w:val="24"/>
          <w:szCs w:val="24"/>
        </w:rPr>
        <w:t>nanensis</w:t>
      </w:r>
      <w:r>
        <w:rPr>
          <w:rFonts w:ascii="宋体" w:hAnsi="宋体" w:eastAsia="宋体" w:cs="宋体"/>
          <w:spacing w:val="-15"/>
          <w:sz w:val="24"/>
          <w:szCs w:val="24"/>
        </w:rPr>
        <w:t>、</w:t>
      </w:r>
      <w:r>
        <w:rPr>
          <w:rFonts w:ascii="宋体" w:hAnsi="宋体" w:eastAsia="宋体" w:cs="宋体"/>
          <w:spacing w:val="-1"/>
          <w:sz w:val="24"/>
          <w:szCs w:val="24"/>
        </w:rPr>
        <w:t>水麻</w:t>
      </w:r>
      <w:r>
        <w:rPr>
          <w:rFonts w:ascii="宋体" w:hAnsi="宋体" w:eastAsia="宋体" w:cs="宋体"/>
          <w:spacing w:val="-67"/>
          <w:sz w:val="24"/>
          <w:szCs w:val="24"/>
        </w:rPr>
        <w:t xml:space="preserve"> </w:t>
      </w:r>
      <w:r>
        <w:rPr>
          <w:rFonts w:ascii="Times New Roman" w:hAnsi="Times New Roman" w:eastAsia="Times New Roman" w:cs="Times New Roman"/>
          <w:i/>
          <w:iCs/>
          <w:spacing w:val="-1"/>
          <w:sz w:val="24"/>
          <w:szCs w:val="24"/>
        </w:rPr>
        <w:t>Debregeasia orientalis</w:t>
      </w:r>
      <w:r>
        <w:rPr>
          <w:rFonts w:ascii="宋体" w:hAnsi="宋体" w:eastAsia="宋体" w:cs="宋体"/>
          <w:spacing w:val="-1"/>
          <w:sz w:val="24"/>
          <w:szCs w:val="24"/>
        </w:rPr>
        <w:t>、干香柏</w:t>
      </w:r>
      <w:r>
        <w:rPr>
          <w:rFonts w:ascii="宋体" w:hAnsi="宋体" w:eastAsia="宋体" w:cs="宋体"/>
          <w:spacing w:val="-44"/>
          <w:sz w:val="24"/>
          <w:szCs w:val="24"/>
        </w:rPr>
        <w:t xml:space="preserve"> </w:t>
      </w:r>
      <w:r>
        <w:rPr>
          <w:rFonts w:ascii="Times New Roman" w:hAnsi="Times New Roman" w:eastAsia="Times New Roman" w:cs="Times New Roman"/>
          <w:i/>
          <w:iCs/>
          <w:spacing w:val="-1"/>
          <w:sz w:val="24"/>
          <w:szCs w:val="24"/>
        </w:rPr>
        <w:t>Cupressus</w:t>
      </w:r>
      <w:r>
        <w:rPr>
          <w:rFonts w:ascii="Times New Roman" w:hAnsi="Times New Roman" w:eastAsia="Times New Roman" w:cs="Times New Roman"/>
          <w:i/>
          <w:iCs/>
          <w:spacing w:val="-11"/>
          <w:sz w:val="24"/>
          <w:szCs w:val="24"/>
        </w:rPr>
        <w:t xml:space="preserve"> </w:t>
      </w:r>
      <w:r>
        <w:rPr>
          <w:rFonts w:ascii="Times New Roman" w:hAnsi="Times New Roman" w:eastAsia="Times New Roman" w:cs="Times New Roman"/>
          <w:i/>
          <w:iCs/>
          <w:spacing w:val="-1"/>
          <w:sz w:val="24"/>
          <w:szCs w:val="24"/>
        </w:rPr>
        <w:t>duclouxiana</w:t>
      </w:r>
      <w:r>
        <w:rPr>
          <w:rFonts w:ascii="宋体" w:hAnsi="宋体" w:eastAsia="宋体" w:cs="宋体"/>
          <w:spacing w:val="-1"/>
          <w:sz w:val="24"/>
          <w:szCs w:val="24"/>
        </w:rPr>
        <w:t>、清香木、粉</w:t>
      </w:r>
      <w:r>
        <w:rPr>
          <w:rFonts w:ascii="宋体" w:hAnsi="宋体" w:eastAsia="宋体" w:cs="宋体"/>
          <w:spacing w:val="-2"/>
          <w:sz w:val="24"/>
          <w:szCs w:val="24"/>
        </w:rPr>
        <w:t>背黄栌、牛筋条</w:t>
      </w:r>
      <w:r>
        <w:rPr>
          <w:rFonts w:ascii="宋体" w:hAnsi="宋体" w:eastAsia="宋体" w:cs="宋体"/>
          <w:spacing w:val="-12"/>
          <w:sz w:val="24"/>
          <w:szCs w:val="24"/>
        </w:rPr>
        <w:t>等。</w:t>
      </w:r>
    </w:p>
    <w:p w14:paraId="0E63F616">
      <w:pPr>
        <w:spacing w:before="14" w:line="354" w:lineRule="auto"/>
        <w:ind w:left="16" w:right="122" w:firstLine="481"/>
        <w:jc w:val="both"/>
        <w:rPr>
          <w:rFonts w:ascii="宋体" w:hAnsi="宋体" w:eastAsia="宋体" w:cs="宋体"/>
          <w:sz w:val="24"/>
          <w:szCs w:val="24"/>
        </w:rPr>
      </w:pPr>
      <w:r>
        <w:rPr>
          <w:rFonts w:ascii="宋体" w:hAnsi="宋体" w:eastAsia="宋体" w:cs="宋体"/>
          <w:spacing w:val="-6"/>
          <w:sz w:val="24"/>
          <w:szCs w:val="24"/>
        </w:rPr>
        <w:t>草本层盖度</w:t>
      </w:r>
      <w:r>
        <w:rPr>
          <w:rFonts w:ascii="宋体" w:hAnsi="宋体" w:eastAsia="宋体" w:cs="宋体"/>
          <w:spacing w:val="-32"/>
          <w:sz w:val="24"/>
          <w:szCs w:val="24"/>
        </w:rPr>
        <w:t xml:space="preserve"> </w:t>
      </w:r>
      <w:r>
        <w:rPr>
          <w:rFonts w:ascii="Times New Roman" w:hAnsi="Times New Roman" w:eastAsia="Times New Roman" w:cs="Times New Roman"/>
          <w:spacing w:val="-6"/>
          <w:sz w:val="24"/>
          <w:szCs w:val="24"/>
        </w:rPr>
        <w:t>10-30%</w:t>
      </w:r>
      <w:r>
        <w:rPr>
          <w:rFonts w:ascii="宋体" w:hAnsi="宋体" w:eastAsia="宋体" w:cs="宋体"/>
          <w:spacing w:val="-6"/>
          <w:sz w:val="24"/>
          <w:szCs w:val="24"/>
        </w:rPr>
        <w:t>，高</w:t>
      </w:r>
      <w:r>
        <w:rPr>
          <w:rFonts w:ascii="宋体" w:hAnsi="宋体" w:eastAsia="宋体" w:cs="宋体"/>
          <w:spacing w:val="-41"/>
          <w:sz w:val="24"/>
          <w:szCs w:val="24"/>
        </w:rPr>
        <w:t xml:space="preserve"> </w:t>
      </w:r>
      <w:r>
        <w:rPr>
          <w:rFonts w:ascii="Times New Roman" w:hAnsi="Times New Roman" w:eastAsia="Times New Roman" w:cs="Times New Roman"/>
          <w:spacing w:val="-6"/>
          <w:sz w:val="24"/>
          <w:szCs w:val="24"/>
        </w:rPr>
        <w:t>0.5-1m</w:t>
      </w:r>
      <w:r>
        <w:rPr>
          <w:rFonts w:ascii="宋体" w:hAnsi="宋体" w:eastAsia="宋体" w:cs="宋体"/>
          <w:spacing w:val="-6"/>
          <w:sz w:val="24"/>
          <w:szCs w:val="24"/>
        </w:rPr>
        <w:t>，主要由刺芒</w:t>
      </w:r>
      <w:r>
        <w:rPr>
          <w:rFonts w:ascii="宋体" w:hAnsi="宋体" w:eastAsia="宋体" w:cs="宋体"/>
          <w:spacing w:val="-7"/>
          <w:sz w:val="24"/>
          <w:szCs w:val="24"/>
        </w:rPr>
        <w:t>野古草、白酒草、鬼针草、皱叶酸模、</w:t>
      </w:r>
      <w:r>
        <w:rPr>
          <w:rFonts w:ascii="宋体" w:hAnsi="宋体" w:eastAsia="宋体" w:cs="宋体"/>
          <w:spacing w:val="-2"/>
          <w:sz w:val="24"/>
          <w:szCs w:val="24"/>
        </w:rPr>
        <w:t>千里光、皱叶狗尾草</w:t>
      </w:r>
      <w:r>
        <w:rPr>
          <w:rFonts w:ascii="宋体" w:hAnsi="宋体" w:eastAsia="宋体" w:cs="宋体"/>
          <w:spacing w:val="-40"/>
          <w:sz w:val="24"/>
          <w:szCs w:val="24"/>
        </w:rPr>
        <w:t xml:space="preserve"> </w:t>
      </w:r>
      <w:r>
        <w:rPr>
          <w:rFonts w:ascii="Times New Roman" w:hAnsi="Times New Roman" w:eastAsia="Times New Roman" w:cs="Times New Roman"/>
          <w:i/>
          <w:iCs/>
          <w:spacing w:val="-2"/>
          <w:sz w:val="24"/>
          <w:szCs w:val="24"/>
        </w:rPr>
        <w:t>Setaria</w:t>
      </w:r>
      <w:r>
        <w:rPr>
          <w:rFonts w:ascii="Times New Roman" w:hAnsi="Times New Roman" w:eastAsia="Times New Roman" w:cs="Times New Roman"/>
          <w:i/>
          <w:iCs/>
          <w:spacing w:val="-40"/>
          <w:sz w:val="24"/>
          <w:szCs w:val="24"/>
        </w:rPr>
        <w:t xml:space="preserve"> </w:t>
      </w:r>
      <w:r>
        <w:rPr>
          <w:rFonts w:ascii="Times New Roman" w:hAnsi="Times New Roman" w:eastAsia="Times New Roman" w:cs="Times New Roman"/>
          <w:i/>
          <w:iCs/>
          <w:spacing w:val="-2"/>
          <w:sz w:val="24"/>
          <w:szCs w:val="24"/>
        </w:rPr>
        <w:t>plicata</w:t>
      </w:r>
      <w:r>
        <w:rPr>
          <w:rFonts w:ascii="宋体" w:hAnsi="宋体" w:eastAsia="宋体" w:cs="宋体"/>
          <w:spacing w:val="-2"/>
          <w:sz w:val="24"/>
          <w:szCs w:val="24"/>
        </w:rPr>
        <w:t>、滇蔗茅</w:t>
      </w:r>
      <w:r>
        <w:rPr>
          <w:rFonts w:ascii="宋体" w:hAnsi="宋体" w:eastAsia="宋体" w:cs="宋体"/>
          <w:spacing w:val="-65"/>
          <w:sz w:val="24"/>
          <w:szCs w:val="24"/>
        </w:rPr>
        <w:t xml:space="preserve"> </w:t>
      </w:r>
      <w:r>
        <w:rPr>
          <w:rFonts w:ascii="Times New Roman" w:hAnsi="Times New Roman" w:eastAsia="Times New Roman" w:cs="Times New Roman"/>
          <w:i/>
          <w:iCs/>
          <w:spacing w:val="-2"/>
          <w:sz w:val="24"/>
          <w:szCs w:val="24"/>
        </w:rPr>
        <w:t>Erianthus longisetosus</w:t>
      </w:r>
      <w:r>
        <w:rPr>
          <w:rFonts w:ascii="宋体" w:hAnsi="宋体" w:eastAsia="宋体" w:cs="宋体"/>
          <w:spacing w:val="-2"/>
          <w:sz w:val="24"/>
          <w:szCs w:val="24"/>
        </w:rPr>
        <w:t>、菅</w:t>
      </w:r>
      <w:r>
        <w:rPr>
          <w:rFonts w:ascii="宋体" w:hAnsi="宋体" w:eastAsia="宋体" w:cs="宋体"/>
          <w:spacing w:val="-28"/>
          <w:sz w:val="24"/>
          <w:szCs w:val="24"/>
        </w:rPr>
        <w:t xml:space="preserve"> </w:t>
      </w:r>
      <w:r>
        <w:rPr>
          <w:rFonts w:ascii="Times New Roman" w:hAnsi="Times New Roman" w:eastAsia="Times New Roman" w:cs="Times New Roman"/>
          <w:i/>
          <w:iCs/>
          <w:spacing w:val="-2"/>
          <w:sz w:val="24"/>
          <w:szCs w:val="24"/>
        </w:rPr>
        <w:t>Themedavillosa</w:t>
      </w:r>
      <w:r>
        <w:rPr>
          <w:rFonts w:ascii="宋体" w:hAnsi="宋体" w:eastAsia="宋体" w:cs="宋体"/>
          <w:spacing w:val="-2"/>
          <w:sz w:val="24"/>
          <w:szCs w:val="24"/>
        </w:rPr>
        <w:t>、青蒿、马鞭草</w:t>
      </w:r>
      <w:r>
        <w:rPr>
          <w:rFonts w:ascii="宋体" w:hAnsi="宋体" w:eastAsia="宋体" w:cs="宋体"/>
          <w:spacing w:val="-23"/>
          <w:sz w:val="24"/>
          <w:szCs w:val="24"/>
        </w:rPr>
        <w:t xml:space="preserve"> </w:t>
      </w:r>
      <w:r>
        <w:rPr>
          <w:rFonts w:ascii="Times New Roman" w:hAnsi="Times New Roman" w:eastAsia="Times New Roman" w:cs="Times New Roman"/>
          <w:i/>
          <w:iCs/>
          <w:spacing w:val="-2"/>
          <w:sz w:val="24"/>
          <w:szCs w:val="24"/>
        </w:rPr>
        <w:t xml:space="preserve">Verbena officinalis </w:t>
      </w:r>
      <w:r>
        <w:rPr>
          <w:rFonts w:ascii="宋体" w:hAnsi="宋体" w:eastAsia="宋体" w:cs="宋体"/>
          <w:spacing w:val="-2"/>
          <w:sz w:val="24"/>
          <w:szCs w:val="24"/>
        </w:rPr>
        <w:t>等。</w:t>
      </w:r>
    </w:p>
    <w:p w14:paraId="4EBE492D">
      <w:pPr>
        <w:spacing w:before="25" w:line="352" w:lineRule="auto"/>
        <w:ind w:left="20" w:right="101" w:firstLine="476"/>
        <w:rPr>
          <w:rFonts w:ascii="宋体" w:hAnsi="宋体" w:eastAsia="宋体" w:cs="宋体"/>
          <w:sz w:val="24"/>
          <w:szCs w:val="24"/>
        </w:rPr>
      </w:pPr>
      <w:r>
        <w:rPr>
          <w:rFonts w:ascii="宋体" w:hAnsi="宋体" w:eastAsia="宋体" w:cs="宋体"/>
          <w:sz w:val="24"/>
          <w:szCs w:val="24"/>
        </w:rPr>
        <w:t>层间层有毛果铁线莲、圆锥菝葜</w:t>
      </w:r>
      <w:r>
        <w:rPr>
          <w:rFonts w:ascii="宋体" w:hAnsi="宋体" w:eastAsia="宋体" w:cs="宋体"/>
          <w:spacing w:val="-58"/>
          <w:sz w:val="24"/>
          <w:szCs w:val="24"/>
        </w:rPr>
        <w:t xml:space="preserve"> </w:t>
      </w:r>
      <w:r>
        <w:rPr>
          <w:rFonts w:ascii="Times New Roman" w:hAnsi="Times New Roman" w:eastAsia="Times New Roman" w:cs="Times New Roman"/>
          <w:i/>
          <w:iCs/>
          <w:sz w:val="24"/>
          <w:szCs w:val="24"/>
        </w:rPr>
        <w:t>Smilax bractea</w:t>
      </w:r>
      <w:r>
        <w:rPr>
          <w:rFonts w:ascii="Times New Roman" w:hAnsi="Times New Roman" w:eastAsia="Times New Roman" w:cs="Times New Roman"/>
          <w:i/>
          <w:iCs/>
          <w:spacing w:val="-1"/>
          <w:sz w:val="24"/>
          <w:szCs w:val="24"/>
        </w:rPr>
        <w:t>ta</w:t>
      </w:r>
      <w:r>
        <w:rPr>
          <w:rFonts w:ascii="宋体" w:hAnsi="宋体" w:eastAsia="宋体" w:cs="宋体"/>
          <w:spacing w:val="-1"/>
          <w:sz w:val="24"/>
          <w:szCs w:val="24"/>
        </w:rPr>
        <w:t>、圆叶牵牛</w:t>
      </w:r>
      <w:r>
        <w:rPr>
          <w:rFonts w:ascii="宋体" w:hAnsi="宋体" w:eastAsia="宋体" w:cs="宋体"/>
          <w:spacing w:val="-65"/>
          <w:sz w:val="24"/>
          <w:szCs w:val="24"/>
        </w:rPr>
        <w:t xml:space="preserve"> </w:t>
      </w:r>
      <w:r>
        <w:rPr>
          <w:rFonts w:ascii="Times New Roman" w:hAnsi="Times New Roman" w:eastAsia="Times New Roman" w:cs="Times New Roman"/>
          <w:i/>
          <w:iCs/>
          <w:spacing w:val="-1"/>
          <w:sz w:val="24"/>
          <w:szCs w:val="24"/>
        </w:rPr>
        <w:t>Pharbitis</w:t>
      </w:r>
      <w:r>
        <w:rPr>
          <w:rFonts w:ascii="Times New Roman" w:hAnsi="Times New Roman" w:eastAsia="Times New Roman" w:cs="Times New Roman"/>
          <w:i/>
          <w:iCs/>
          <w:spacing w:val="-42"/>
          <w:sz w:val="24"/>
          <w:szCs w:val="24"/>
        </w:rPr>
        <w:t xml:space="preserve"> </w:t>
      </w:r>
      <w:r>
        <w:rPr>
          <w:rFonts w:ascii="Times New Roman" w:hAnsi="Times New Roman" w:eastAsia="Times New Roman" w:cs="Times New Roman"/>
          <w:i/>
          <w:iCs/>
          <w:spacing w:val="-1"/>
          <w:sz w:val="24"/>
          <w:szCs w:val="24"/>
        </w:rPr>
        <w:t>purpurea</w:t>
      </w:r>
      <w:r>
        <w:rPr>
          <w:rFonts w:ascii="宋体" w:hAnsi="宋体" w:eastAsia="宋体" w:cs="宋体"/>
          <w:spacing w:val="-1"/>
          <w:sz w:val="24"/>
          <w:szCs w:val="24"/>
        </w:rPr>
        <w:t>、何</w:t>
      </w:r>
      <w:r>
        <w:rPr>
          <w:rFonts w:ascii="宋体" w:hAnsi="宋体" w:eastAsia="宋体" w:cs="宋体"/>
          <w:spacing w:val="-10"/>
          <w:sz w:val="24"/>
          <w:szCs w:val="24"/>
        </w:rPr>
        <w:t>首乌等。</w:t>
      </w:r>
    </w:p>
    <w:p w14:paraId="450AE2D7">
      <w:pPr>
        <w:spacing w:before="22" w:line="233" w:lineRule="auto"/>
        <w:ind w:left="496"/>
        <w:rPr>
          <w:rFonts w:ascii="宋体" w:hAnsi="宋体" w:eastAsia="宋体" w:cs="宋体"/>
          <w:sz w:val="24"/>
          <w:szCs w:val="24"/>
        </w:rPr>
      </w:pPr>
      <w:r>
        <w:rPr>
          <w:rFonts w:ascii="Times New Roman" w:hAnsi="Times New Roman" w:eastAsia="Times New Roman" w:cs="Times New Roman"/>
          <w:spacing w:val="-1"/>
          <w:sz w:val="24"/>
          <w:szCs w:val="24"/>
        </w:rPr>
        <w:t>7</w:t>
      </w:r>
      <w:r>
        <w:rPr>
          <w:rFonts w:ascii="宋体" w:hAnsi="宋体" w:eastAsia="宋体" w:cs="宋体"/>
          <w:spacing w:val="-1"/>
          <w:sz w:val="24"/>
          <w:szCs w:val="24"/>
        </w:rPr>
        <w:t>）云南松</w:t>
      </w:r>
      <w:r>
        <w:rPr>
          <w:rFonts w:ascii="Times New Roman" w:hAnsi="Times New Roman" w:eastAsia="Times New Roman" w:cs="Times New Roman"/>
          <w:spacing w:val="-1"/>
          <w:sz w:val="24"/>
          <w:szCs w:val="24"/>
        </w:rPr>
        <w:t>-</w:t>
      </w:r>
      <w:r>
        <w:rPr>
          <w:rFonts w:ascii="宋体" w:hAnsi="宋体" w:eastAsia="宋体" w:cs="宋体"/>
          <w:spacing w:val="-1"/>
          <w:sz w:val="24"/>
          <w:szCs w:val="24"/>
        </w:rPr>
        <w:t>白健秆稀树灌草丛</w:t>
      </w:r>
    </w:p>
    <w:p w14:paraId="4A04EE60">
      <w:pPr>
        <w:spacing w:before="165" w:line="360" w:lineRule="auto"/>
        <w:ind w:left="17" w:right="91" w:firstLine="483"/>
        <w:rPr>
          <w:rFonts w:ascii="宋体" w:hAnsi="宋体" w:eastAsia="宋体" w:cs="宋体"/>
          <w:sz w:val="24"/>
          <w:szCs w:val="24"/>
        </w:rPr>
      </w:pPr>
      <w:r>
        <w:rPr>
          <w:rFonts w:ascii="宋体" w:hAnsi="宋体" w:eastAsia="宋体" w:cs="宋体"/>
          <w:spacing w:val="-2"/>
          <w:sz w:val="24"/>
          <w:szCs w:val="24"/>
        </w:rPr>
        <w:t>该群落乔木层稀疏，仅有零星云南松分布，为云南松林破坏后的产物。灌木层盖度</w:t>
      </w:r>
      <w:r>
        <w:rPr>
          <w:rFonts w:ascii="Times New Roman" w:hAnsi="Times New Roman" w:eastAsia="Times New Roman" w:cs="Times New Roman"/>
          <w:spacing w:val="-7"/>
          <w:sz w:val="24"/>
          <w:szCs w:val="24"/>
        </w:rPr>
        <w:t>3-5%</w:t>
      </w:r>
      <w:r>
        <w:rPr>
          <w:rFonts w:ascii="宋体" w:hAnsi="宋体" w:eastAsia="宋体" w:cs="宋体"/>
          <w:spacing w:val="-7"/>
          <w:sz w:val="24"/>
          <w:szCs w:val="24"/>
        </w:rPr>
        <w:t>，高约</w:t>
      </w:r>
      <w:r>
        <w:rPr>
          <w:rFonts w:ascii="宋体" w:hAnsi="宋体" w:eastAsia="宋体" w:cs="宋体"/>
          <w:spacing w:val="-32"/>
          <w:sz w:val="24"/>
          <w:szCs w:val="24"/>
        </w:rPr>
        <w:t xml:space="preserve"> </w:t>
      </w:r>
      <w:r>
        <w:rPr>
          <w:rFonts w:ascii="Times New Roman" w:hAnsi="Times New Roman" w:eastAsia="Times New Roman" w:cs="Times New Roman"/>
          <w:spacing w:val="-7"/>
          <w:sz w:val="24"/>
          <w:szCs w:val="24"/>
        </w:rPr>
        <w:t>1m</w:t>
      </w:r>
      <w:r>
        <w:rPr>
          <w:rFonts w:ascii="宋体" w:hAnsi="宋体" w:eastAsia="宋体" w:cs="宋体"/>
          <w:spacing w:val="-7"/>
          <w:sz w:val="24"/>
          <w:szCs w:val="24"/>
        </w:rPr>
        <w:t>，物种组成为马桑、珍珠花、粉背黄栌、昆明木蓝、清香木、白</w:t>
      </w:r>
      <w:r>
        <w:rPr>
          <w:rFonts w:ascii="宋体" w:hAnsi="宋体" w:eastAsia="宋体" w:cs="宋体"/>
          <w:spacing w:val="-8"/>
          <w:sz w:val="24"/>
          <w:szCs w:val="24"/>
        </w:rPr>
        <w:t>刺花等。</w:t>
      </w:r>
    </w:p>
    <w:p w14:paraId="5F3E2CCE">
      <w:pPr>
        <w:spacing w:before="1" w:line="355" w:lineRule="auto"/>
        <w:ind w:left="17" w:right="23" w:firstLine="479"/>
        <w:rPr>
          <w:rFonts w:ascii="宋体" w:hAnsi="宋体" w:eastAsia="宋体" w:cs="宋体"/>
          <w:sz w:val="24"/>
          <w:szCs w:val="24"/>
        </w:rPr>
      </w:pPr>
      <w:r>
        <w:rPr>
          <w:rFonts w:ascii="宋体" w:hAnsi="宋体" w:eastAsia="宋体" w:cs="宋体"/>
          <w:spacing w:val="-10"/>
          <w:sz w:val="24"/>
          <w:szCs w:val="24"/>
        </w:rPr>
        <w:t>群落以草本层为优势层，多为中草草丛，一般高</w:t>
      </w:r>
      <w:r>
        <w:rPr>
          <w:rFonts w:ascii="宋体" w:hAnsi="宋体" w:eastAsia="宋体" w:cs="宋体"/>
          <w:spacing w:val="-65"/>
          <w:sz w:val="24"/>
          <w:szCs w:val="24"/>
        </w:rPr>
        <w:t xml:space="preserve"> </w:t>
      </w:r>
      <w:r>
        <w:rPr>
          <w:rFonts w:ascii="Times New Roman" w:hAnsi="Times New Roman" w:eastAsia="Times New Roman" w:cs="Times New Roman"/>
          <w:spacing w:val="-10"/>
          <w:sz w:val="24"/>
          <w:szCs w:val="24"/>
        </w:rPr>
        <w:t>0</w:t>
      </w:r>
      <w:r>
        <w:rPr>
          <w:rFonts w:ascii="Times New Roman" w:hAnsi="Times New Roman" w:eastAsia="Times New Roman" w:cs="Times New Roman"/>
          <w:spacing w:val="-11"/>
          <w:sz w:val="24"/>
          <w:szCs w:val="24"/>
        </w:rPr>
        <w:t>.5-1m</w:t>
      </w:r>
      <w:r>
        <w:rPr>
          <w:rFonts w:ascii="宋体" w:hAnsi="宋体" w:eastAsia="宋体" w:cs="宋体"/>
          <w:spacing w:val="-11"/>
          <w:sz w:val="24"/>
          <w:szCs w:val="24"/>
        </w:rPr>
        <w:t>，经常放牧处草丛高</w:t>
      </w:r>
      <w:r>
        <w:rPr>
          <w:rFonts w:ascii="宋体" w:hAnsi="宋体" w:eastAsia="宋体" w:cs="宋体"/>
          <w:spacing w:val="-46"/>
          <w:sz w:val="24"/>
          <w:szCs w:val="24"/>
        </w:rPr>
        <w:t xml:space="preserve"> </w:t>
      </w:r>
      <w:r>
        <w:rPr>
          <w:rFonts w:ascii="Times New Roman" w:hAnsi="Times New Roman" w:eastAsia="Times New Roman" w:cs="Times New Roman"/>
          <w:spacing w:val="-11"/>
          <w:sz w:val="24"/>
          <w:szCs w:val="24"/>
        </w:rPr>
        <w:t>10-30cm</w:t>
      </w:r>
      <w:r>
        <w:rPr>
          <w:rFonts w:ascii="宋体" w:hAnsi="宋体" w:eastAsia="宋体" w:cs="宋体"/>
          <w:spacing w:val="-11"/>
          <w:sz w:val="24"/>
          <w:szCs w:val="24"/>
        </w:rPr>
        <w:t>，</w:t>
      </w:r>
      <w:r>
        <w:rPr>
          <w:rFonts w:ascii="宋体" w:hAnsi="宋体" w:eastAsia="宋体" w:cs="宋体"/>
          <w:spacing w:val="-1"/>
          <w:sz w:val="24"/>
          <w:szCs w:val="24"/>
        </w:rPr>
        <w:t>盖度约</w:t>
      </w:r>
      <w:r>
        <w:rPr>
          <w:rFonts w:ascii="宋体" w:hAnsi="宋体" w:eastAsia="宋体" w:cs="宋体"/>
          <w:spacing w:val="-33"/>
          <w:sz w:val="24"/>
          <w:szCs w:val="24"/>
        </w:rPr>
        <w:t xml:space="preserve"> </w:t>
      </w:r>
      <w:r>
        <w:rPr>
          <w:rFonts w:ascii="Times New Roman" w:hAnsi="Times New Roman" w:eastAsia="Times New Roman" w:cs="Times New Roman"/>
          <w:spacing w:val="-1"/>
          <w:sz w:val="24"/>
          <w:szCs w:val="24"/>
        </w:rPr>
        <w:t>50-80%</w:t>
      </w:r>
      <w:r>
        <w:rPr>
          <w:rFonts w:ascii="宋体" w:hAnsi="宋体" w:eastAsia="宋体" w:cs="宋体"/>
          <w:spacing w:val="-1"/>
          <w:sz w:val="24"/>
          <w:szCs w:val="24"/>
        </w:rPr>
        <w:t>，主要由白健秆、刺芒野古草、白茅、矛叶荩草</w:t>
      </w:r>
      <w:r>
        <w:rPr>
          <w:rFonts w:ascii="宋体" w:hAnsi="宋体" w:eastAsia="宋体" w:cs="宋体"/>
          <w:spacing w:val="-70"/>
          <w:sz w:val="24"/>
          <w:szCs w:val="24"/>
        </w:rPr>
        <w:t xml:space="preserve"> </w:t>
      </w:r>
      <w:r>
        <w:rPr>
          <w:rFonts w:ascii="Times New Roman" w:hAnsi="Times New Roman" w:eastAsia="Times New Roman" w:cs="Times New Roman"/>
          <w:i/>
          <w:iCs/>
          <w:spacing w:val="-1"/>
          <w:sz w:val="24"/>
          <w:szCs w:val="24"/>
        </w:rPr>
        <w:t>Arthraxon</w:t>
      </w:r>
      <w:r>
        <w:rPr>
          <w:rFonts w:ascii="Times New Roman" w:hAnsi="Times New Roman" w:eastAsia="Times New Roman" w:cs="Times New Roman"/>
          <w:i/>
          <w:iCs/>
          <w:spacing w:val="-41"/>
          <w:sz w:val="24"/>
          <w:szCs w:val="24"/>
        </w:rPr>
        <w:t xml:space="preserve"> </w:t>
      </w:r>
      <w:r>
        <w:rPr>
          <w:rFonts w:ascii="Times New Roman" w:hAnsi="Times New Roman" w:eastAsia="Times New Roman" w:cs="Times New Roman"/>
          <w:i/>
          <w:iCs/>
          <w:spacing w:val="-1"/>
          <w:sz w:val="24"/>
          <w:szCs w:val="24"/>
        </w:rPr>
        <w:t>prionodes</w:t>
      </w:r>
      <w:r>
        <w:rPr>
          <w:rFonts w:ascii="宋体" w:hAnsi="宋体" w:eastAsia="宋体" w:cs="宋体"/>
          <w:spacing w:val="-1"/>
          <w:sz w:val="24"/>
          <w:szCs w:val="24"/>
        </w:rPr>
        <w:t>、黄</w:t>
      </w:r>
      <w:r>
        <w:rPr>
          <w:rFonts w:ascii="宋体" w:hAnsi="宋体" w:eastAsia="宋体" w:cs="宋体"/>
          <w:sz w:val="24"/>
          <w:szCs w:val="24"/>
        </w:rPr>
        <w:t>背草</w:t>
      </w:r>
      <w:r>
        <w:rPr>
          <w:rFonts w:ascii="宋体" w:hAnsi="宋体" w:eastAsia="宋体" w:cs="宋体"/>
          <w:spacing w:val="-32"/>
          <w:sz w:val="24"/>
          <w:szCs w:val="24"/>
        </w:rPr>
        <w:t xml:space="preserve"> </w:t>
      </w:r>
      <w:r>
        <w:rPr>
          <w:rFonts w:ascii="Times New Roman" w:hAnsi="Times New Roman" w:eastAsia="Times New Roman" w:cs="Times New Roman"/>
          <w:i/>
          <w:iCs/>
          <w:sz w:val="24"/>
          <w:szCs w:val="24"/>
        </w:rPr>
        <w:t xml:space="preserve">Themedatriandra </w:t>
      </w:r>
      <w:r>
        <w:rPr>
          <w:rFonts w:ascii="宋体" w:hAnsi="宋体" w:eastAsia="宋体" w:cs="宋体"/>
          <w:sz w:val="24"/>
          <w:szCs w:val="24"/>
        </w:rPr>
        <w:t>等禾草，以及鬼针草、白酒草、粉花月见草</w:t>
      </w:r>
      <w:r>
        <w:rPr>
          <w:rFonts w:ascii="宋体" w:hAnsi="宋体" w:eastAsia="宋体" w:cs="宋体"/>
          <w:spacing w:val="-45"/>
          <w:sz w:val="24"/>
          <w:szCs w:val="24"/>
        </w:rPr>
        <w:t xml:space="preserve"> </w:t>
      </w:r>
      <w:r>
        <w:rPr>
          <w:rFonts w:ascii="Times New Roman" w:hAnsi="Times New Roman" w:eastAsia="Times New Roman" w:cs="Times New Roman"/>
          <w:i/>
          <w:iCs/>
          <w:sz w:val="24"/>
          <w:szCs w:val="24"/>
        </w:rPr>
        <w:t>Oenothera rosea</w:t>
      </w:r>
      <w:r>
        <w:rPr>
          <w:rFonts w:ascii="宋体" w:hAnsi="宋体" w:eastAsia="宋体" w:cs="宋体"/>
          <w:sz w:val="24"/>
          <w:szCs w:val="24"/>
        </w:rPr>
        <w:t>、云南兔儿风</w:t>
      </w:r>
      <w:r>
        <w:rPr>
          <w:rFonts w:ascii="宋体" w:hAnsi="宋体" w:eastAsia="宋体" w:cs="宋体"/>
          <w:spacing w:val="-72"/>
          <w:sz w:val="24"/>
          <w:szCs w:val="24"/>
        </w:rPr>
        <w:t xml:space="preserve"> </w:t>
      </w:r>
      <w:r>
        <w:rPr>
          <w:rFonts w:ascii="Times New Roman" w:hAnsi="Times New Roman" w:eastAsia="Times New Roman" w:cs="Times New Roman"/>
          <w:i/>
          <w:iCs/>
          <w:sz w:val="24"/>
          <w:szCs w:val="24"/>
        </w:rPr>
        <w:t>Ainsliaea</w:t>
      </w:r>
      <w:r>
        <w:rPr>
          <w:rFonts w:ascii="Times New Roman" w:hAnsi="Times New Roman" w:eastAsia="Times New Roman" w:cs="Times New Roman"/>
          <w:i/>
          <w:iCs/>
          <w:spacing w:val="-19"/>
          <w:sz w:val="24"/>
          <w:szCs w:val="24"/>
        </w:rPr>
        <w:t xml:space="preserve"> </w:t>
      </w:r>
      <w:r>
        <w:rPr>
          <w:rFonts w:ascii="Times New Roman" w:hAnsi="Times New Roman" w:eastAsia="Times New Roman" w:cs="Times New Roman"/>
          <w:i/>
          <w:iCs/>
          <w:sz w:val="24"/>
          <w:szCs w:val="24"/>
        </w:rPr>
        <w:t>yunnanensi</w:t>
      </w:r>
      <w:r>
        <w:rPr>
          <w:rFonts w:ascii="Times New Roman" w:hAnsi="Times New Roman" w:eastAsia="Times New Roman" w:cs="Times New Roman"/>
          <w:i/>
          <w:iCs/>
          <w:spacing w:val="-1"/>
          <w:sz w:val="24"/>
          <w:szCs w:val="24"/>
        </w:rPr>
        <w:t xml:space="preserve">s </w:t>
      </w:r>
      <w:r>
        <w:rPr>
          <w:rFonts w:ascii="宋体" w:hAnsi="宋体" w:eastAsia="宋体" w:cs="宋体"/>
          <w:spacing w:val="-1"/>
          <w:sz w:val="24"/>
          <w:szCs w:val="24"/>
        </w:rPr>
        <w:t>等草本植物组成。</w:t>
      </w:r>
    </w:p>
    <w:p w14:paraId="56F02780">
      <w:pPr>
        <w:spacing w:line="355" w:lineRule="auto"/>
        <w:rPr>
          <w:rFonts w:ascii="宋体" w:hAnsi="宋体" w:eastAsia="宋体" w:cs="宋体"/>
          <w:sz w:val="24"/>
          <w:szCs w:val="24"/>
        </w:rPr>
        <w:sectPr>
          <w:footerReference r:id="rId159" w:type="default"/>
          <w:pgSz w:w="11907" w:h="16841"/>
          <w:pgMar w:top="400" w:right="1325" w:bottom="1126" w:left="1411" w:header="0" w:footer="925" w:gutter="0"/>
          <w:cols w:space="720" w:num="1"/>
        </w:sectPr>
      </w:pPr>
    </w:p>
    <w:p w14:paraId="6A0D2BB8">
      <w:pPr>
        <w:spacing w:line="249" w:lineRule="auto"/>
        <w:rPr>
          <w:rFonts w:ascii="Arial"/>
          <w:sz w:val="21"/>
        </w:rPr>
      </w:pPr>
    </w:p>
    <w:p w14:paraId="55C4BD1D">
      <w:pPr>
        <w:spacing w:line="249" w:lineRule="auto"/>
        <w:rPr>
          <w:rFonts w:ascii="Arial"/>
          <w:sz w:val="21"/>
        </w:rPr>
      </w:pPr>
    </w:p>
    <w:p w14:paraId="4FCEEA24">
      <w:pPr>
        <w:spacing w:line="249" w:lineRule="auto"/>
        <w:rPr>
          <w:rFonts w:ascii="Arial"/>
          <w:sz w:val="21"/>
        </w:rPr>
      </w:pPr>
    </w:p>
    <w:p w14:paraId="0A4CEEE0">
      <w:pPr>
        <w:spacing w:line="249" w:lineRule="auto"/>
        <w:rPr>
          <w:rFonts w:ascii="Arial"/>
          <w:sz w:val="21"/>
        </w:rPr>
      </w:pPr>
    </w:p>
    <w:p w14:paraId="2AAFBBA2">
      <w:pPr>
        <w:spacing w:line="249" w:lineRule="auto"/>
        <w:rPr>
          <w:rFonts w:ascii="Arial"/>
          <w:sz w:val="21"/>
        </w:rPr>
      </w:pPr>
    </w:p>
    <w:p w14:paraId="7C84CB89">
      <w:pPr>
        <w:spacing w:before="78" w:line="233" w:lineRule="auto"/>
        <w:ind w:left="486"/>
        <w:rPr>
          <w:rFonts w:ascii="宋体" w:hAnsi="宋体" w:eastAsia="宋体" w:cs="宋体"/>
          <w:sz w:val="24"/>
          <w:szCs w:val="24"/>
        </w:rPr>
      </w:pPr>
      <w:r>
        <w:rPr>
          <w:rFonts w:ascii="Times New Roman" w:hAnsi="Times New Roman" w:eastAsia="Times New Roman" w:cs="Times New Roman"/>
          <w:spacing w:val="-1"/>
          <w:sz w:val="24"/>
          <w:szCs w:val="24"/>
        </w:rPr>
        <w:t>8</w:t>
      </w:r>
      <w:r>
        <w:rPr>
          <w:rFonts w:ascii="宋体" w:hAnsi="宋体" w:eastAsia="宋体" w:cs="宋体"/>
          <w:spacing w:val="-1"/>
          <w:sz w:val="24"/>
          <w:szCs w:val="24"/>
        </w:rPr>
        <w:t>）云南松</w:t>
      </w:r>
      <w:r>
        <w:rPr>
          <w:rFonts w:ascii="Times New Roman" w:hAnsi="Times New Roman" w:eastAsia="Times New Roman" w:cs="Times New Roman"/>
          <w:spacing w:val="-1"/>
          <w:sz w:val="24"/>
          <w:szCs w:val="24"/>
        </w:rPr>
        <w:t>-</w:t>
      </w:r>
      <w:r>
        <w:rPr>
          <w:rFonts w:ascii="宋体" w:hAnsi="宋体" w:eastAsia="宋体" w:cs="宋体"/>
          <w:spacing w:val="-1"/>
          <w:sz w:val="24"/>
          <w:szCs w:val="24"/>
        </w:rPr>
        <w:t>刺芒野古草稀树灌草丛</w:t>
      </w:r>
    </w:p>
    <w:p w14:paraId="7A13EFDE">
      <w:pPr>
        <w:spacing w:before="165" w:line="354" w:lineRule="auto"/>
        <w:ind w:right="34" w:firstLine="483"/>
        <w:rPr>
          <w:rFonts w:ascii="宋体" w:hAnsi="宋体" w:eastAsia="宋体" w:cs="宋体"/>
          <w:sz w:val="24"/>
          <w:szCs w:val="24"/>
        </w:rPr>
      </w:pPr>
      <w:r>
        <w:rPr>
          <w:rFonts w:ascii="宋体" w:hAnsi="宋体" w:eastAsia="宋体" w:cs="宋体"/>
          <w:spacing w:val="-5"/>
          <w:sz w:val="24"/>
          <w:szCs w:val="24"/>
        </w:rPr>
        <w:t>该群落乔木层仅有零星云南松分布，盖度仅</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5%</w:t>
      </w:r>
      <w:r>
        <w:rPr>
          <w:rFonts w:ascii="宋体" w:hAnsi="宋体" w:eastAsia="宋体" w:cs="宋体"/>
          <w:spacing w:val="-5"/>
          <w:sz w:val="24"/>
          <w:szCs w:val="24"/>
        </w:rPr>
        <w:t>左右。灌木层盖度</w:t>
      </w:r>
      <w:r>
        <w:rPr>
          <w:rFonts w:ascii="Times New Roman" w:hAnsi="Times New Roman" w:eastAsia="Times New Roman" w:cs="Times New Roman"/>
          <w:spacing w:val="-5"/>
          <w:sz w:val="24"/>
          <w:szCs w:val="24"/>
        </w:rPr>
        <w:t>3-</w:t>
      </w:r>
      <w:r>
        <w:rPr>
          <w:rFonts w:ascii="Times New Roman" w:hAnsi="Times New Roman" w:eastAsia="Times New Roman" w:cs="Times New Roman"/>
          <w:spacing w:val="-6"/>
          <w:sz w:val="24"/>
          <w:szCs w:val="24"/>
        </w:rPr>
        <w:t>5%</w:t>
      </w:r>
      <w:r>
        <w:rPr>
          <w:rFonts w:ascii="宋体" w:hAnsi="宋体" w:eastAsia="宋体" w:cs="宋体"/>
          <w:spacing w:val="-6"/>
          <w:sz w:val="24"/>
          <w:szCs w:val="24"/>
        </w:rPr>
        <w:t>，高约</w:t>
      </w:r>
      <w:r>
        <w:rPr>
          <w:rFonts w:ascii="宋体" w:hAnsi="宋体" w:eastAsia="宋体" w:cs="宋体"/>
          <w:spacing w:val="-31"/>
          <w:sz w:val="24"/>
          <w:szCs w:val="24"/>
        </w:rPr>
        <w:t xml:space="preserve"> </w:t>
      </w:r>
      <w:r>
        <w:rPr>
          <w:rFonts w:ascii="Times New Roman" w:hAnsi="Times New Roman" w:eastAsia="Times New Roman" w:cs="Times New Roman"/>
          <w:spacing w:val="-6"/>
          <w:sz w:val="24"/>
          <w:szCs w:val="24"/>
        </w:rPr>
        <w:t>1m</w:t>
      </w:r>
      <w:r>
        <w:rPr>
          <w:rFonts w:ascii="宋体" w:hAnsi="宋体" w:eastAsia="宋体" w:cs="宋体"/>
          <w:spacing w:val="-6"/>
          <w:sz w:val="24"/>
          <w:szCs w:val="24"/>
        </w:rPr>
        <w:t>，</w:t>
      </w:r>
      <w:r>
        <w:rPr>
          <w:rFonts w:ascii="宋体" w:hAnsi="宋体" w:eastAsia="宋体" w:cs="宋体"/>
          <w:spacing w:val="-2"/>
          <w:sz w:val="24"/>
          <w:szCs w:val="24"/>
        </w:rPr>
        <w:t>物种组成为珍珠花、粉背黄栌、川楝</w:t>
      </w:r>
      <w:r>
        <w:rPr>
          <w:rFonts w:ascii="宋体" w:hAnsi="宋体" w:eastAsia="宋体" w:cs="宋体"/>
          <w:spacing w:val="-60"/>
          <w:sz w:val="24"/>
          <w:szCs w:val="24"/>
        </w:rPr>
        <w:t xml:space="preserve"> </w:t>
      </w:r>
      <w:r>
        <w:rPr>
          <w:rFonts w:ascii="Times New Roman" w:hAnsi="Times New Roman" w:eastAsia="Times New Roman" w:cs="Times New Roman"/>
          <w:i/>
          <w:iCs/>
          <w:spacing w:val="-2"/>
          <w:sz w:val="24"/>
          <w:szCs w:val="24"/>
        </w:rPr>
        <w:t>Melia</w:t>
      </w:r>
      <w:r>
        <w:rPr>
          <w:rFonts w:ascii="Times New Roman" w:hAnsi="Times New Roman" w:eastAsia="Times New Roman" w:cs="Times New Roman"/>
          <w:i/>
          <w:iCs/>
          <w:spacing w:val="38"/>
          <w:w w:val="101"/>
          <w:sz w:val="24"/>
          <w:szCs w:val="24"/>
        </w:rPr>
        <w:t xml:space="preserve"> </w:t>
      </w:r>
      <w:r>
        <w:rPr>
          <w:rFonts w:ascii="Times New Roman" w:hAnsi="Times New Roman" w:eastAsia="Times New Roman" w:cs="Times New Roman"/>
          <w:i/>
          <w:iCs/>
          <w:spacing w:val="-2"/>
          <w:sz w:val="24"/>
          <w:szCs w:val="24"/>
        </w:rPr>
        <w:t>toosendan</w:t>
      </w:r>
      <w:r>
        <w:rPr>
          <w:rFonts w:ascii="宋体" w:hAnsi="宋体" w:eastAsia="宋体" w:cs="宋体"/>
          <w:spacing w:val="-2"/>
          <w:sz w:val="24"/>
          <w:szCs w:val="24"/>
        </w:rPr>
        <w:t>、地桃花</w:t>
      </w:r>
      <w:r>
        <w:rPr>
          <w:rFonts w:ascii="宋体" w:hAnsi="宋体" w:eastAsia="宋体" w:cs="宋体"/>
          <w:spacing w:val="-24"/>
          <w:sz w:val="24"/>
          <w:szCs w:val="24"/>
        </w:rPr>
        <w:t xml:space="preserve"> </w:t>
      </w:r>
      <w:r>
        <w:rPr>
          <w:rFonts w:ascii="Times New Roman" w:hAnsi="Times New Roman" w:eastAsia="Times New Roman" w:cs="Times New Roman"/>
          <w:i/>
          <w:iCs/>
          <w:spacing w:val="-2"/>
          <w:sz w:val="24"/>
          <w:szCs w:val="24"/>
        </w:rPr>
        <w:t>Urena</w:t>
      </w:r>
      <w:r>
        <w:rPr>
          <w:rFonts w:ascii="Times New Roman" w:hAnsi="Times New Roman" w:eastAsia="Times New Roman" w:cs="Times New Roman"/>
          <w:i/>
          <w:iCs/>
          <w:spacing w:val="40"/>
          <w:w w:val="101"/>
          <w:sz w:val="24"/>
          <w:szCs w:val="24"/>
        </w:rPr>
        <w:t xml:space="preserve"> </w:t>
      </w:r>
      <w:r>
        <w:rPr>
          <w:rFonts w:ascii="Times New Roman" w:hAnsi="Times New Roman" w:eastAsia="Times New Roman" w:cs="Times New Roman"/>
          <w:i/>
          <w:iCs/>
          <w:spacing w:val="-2"/>
          <w:sz w:val="24"/>
          <w:szCs w:val="24"/>
        </w:rPr>
        <w:t>lobata</w:t>
      </w:r>
      <w:r>
        <w:rPr>
          <w:rFonts w:ascii="宋体" w:hAnsi="宋体" w:eastAsia="宋体" w:cs="宋体"/>
          <w:spacing w:val="-2"/>
          <w:sz w:val="24"/>
          <w:szCs w:val="24"/>
        </w:rPr>
        <w:t>、清香木、</w:t>
      </w:r>
      <w:r>
        <w:rPr>
          <w:rFonts w:ascii="宋体" w:hAnsi="宋体" w:eastAsia="宋体" w:cs="宋体"/>
          <w:spacing w:val="-8"/>
          <w:sz w:val="24"/>
          <w:szCs w:val="24"/>
        </w:rPr>
        <w:t>白刺花等。</w:t>
      </w:r>
    </w:p>
    <w:p w14:paraId="196AD209">
      <w:pPr>
        <w:spacing w:before="21" w:line="354" w:lineRule="auto"/>
        <w:ind w:right="11" w:firstLine="480"/>
        <w:rPr>
          <w:rFonts w:ascii="宋体" w:hAnsi="宋体" w:eastAsia="宋体" w:cs="宋体"/>
          <w:sz w:val="24"/>
          <w:szCs w:val="24"/>
        </w:rPr>
      </w:pPr>
      <w:r>
        <w:rPr>
          <w:rFonts w:ascii="宋体" w:hAnsi="宋体" w:eastAsia="宋体" w:cs="宋体"/>
          <w:spacing w:val="-2"/>
          <w:sz w:val="24"/>
          <w:szCs w:val="24"/>
        </w:rPr>
        <w:t>群落以草本层为优势层，高约</w:t>
      </w:r>
      <w:r>
        <w:rPr>
          <w:rFonts w:ascii="宋体" w:hAnsi="宋体" w:eastAsia="宋体" w:cs="宋体"/>
          <w:spacing w:val="-39"/>
          <w:sz w:val="24"/>
          <w:szCs w:val="24"/>
        </w:rPr>
        <w:t xml:space="preserve"> </w:t>
      </w:r>
      <w:r>
        <w:rPr>
          <w:rFonts w:ascii="Times New Roman" w:hAnsi="Times New Roman" w:eastAsia="Times New Roman" w:cs="Times New Roman"/>
          <w:spacing w:val="-2"/>
          <w:sz w:val="24"/>
          <w:szCs w:val="24"/>
        </w:rPr>
        <w:t>0.5m</w:t>
      </w:r>
      <w:r>
        <w:rPr>
          <w:rFonts w:ascii="宋体" w:hAnsi="宋体" w:eastAsia="宋体" w:cs="宋体"/>
          <w:spacing w:val="-2"/>
          <w:sz w:val="24"/>
          <w:szCs w:val="24"/>
        </w:rPr>
        <w:t xml:space="preserve">，盖度约 </w:t>
      </w:r>
      <w:r>
        <w:rPr>
          <w:rFonts w:ascii="Times New Roman" w:hAnsi="Times New Roman" w:eastAsia="Times New Roman" w:cs="Times New Roman"/>
          <w:spacing w:val="-3"/>
          <w:sz w:val="24"/>
          <w:szCs w:val="24"/>
        </w:rPr>
        <w:t>50-70%</w:t>
      </w:r>
      <w:r>
        <w:rPr>
          <w:rFonts w:ascii="宋体" w:hAnsi="宋体" w:eastAsia="宋体" w:cs="宋体"/>
          <w:spacing w:val="-3"/>
          <w:sz w:val="24"/>
          <w:szCs w:val="24"/>
        </w:rPr>
        <w:t>，主要由刺芒野古草、白茅、</w:t>
      </w:r>
      <w:r>
        <w:rPr>
          <w:rFonts w:ascii="宋体" w:hAnsi="宋体" w:eastAsia="宋体" w:cs="宋体"/>
          <w:spacing w:val="-1"/>
          <w:sz w:val="24"/>
          <w:szCs w:val="24"/>
        </w:rPr>
        <w:t>硬秆子草、旱茅、细柄草</w:t>
      </w:r>
      <w:r>
        <w:rPr>
          <w:rFonts w:ascii="宋体" w:hAnsi="宋体" w:eastAsia="宋体" w:cs="宋体"/>
          <w:spacing w:val="-36"/>
          <w:sz w:val="24"/>
          <w:szCs w:val="24"/>
        </w:rPr>
        <w:t xml:space="preserve"> </w:t>
      </w:r>
      <w:r>
        <w:rPr>
          <w:rFonts w:ascii="Times New Roman" w:hAnsi="Times New Roman" w:eastAsia="Times New Roman" w:cs="Times New Roman"/>
          <w:i/>
          <w:iCs/>
          <w:spacing w:val="-1"/>
          <w:sz w:val="24"/>
          <w:szCs w:val="24"/>
        </w:rPr>
        <w:t>Capillipedium</w:t>
      </w:r>
      <w:r>
        <w:rPr>
          <w:rFonts w:ascii="Times New Roman" w:hAnsi="Times New Roman" w:eastAsia="Times New Roman" w:cs="Times New Roman"/>
          <w:i/>
          <w:iCs/>
          <w:spacing w:val="-41"/>
          <w:sz w:val="24"/>
          <w:szCs w:val="24"/>
        </w:rPr>
        <w:t xml:space="preserve"> </w:t>
      </w:r>
      <w:r>
        <w:rPr>
          <w:rFonts w:ascii="Times New Roman" w:hAnsi="Times New Roman" w:eastAsia="Times New Roman" w:cs="Times New Roman"/>
          <w:i/>
          <w:iCs/>
          <w:spacing w:val="-1"/>
          <w:sz w:val="24"/>
          <w:szCs w:val="24"/>
        </w:rPr>
        <w:t>parviflorum</w:t>
      </w:r>
      <w:r>
        <w:rPr>
          <w:rFonts w:ascii="宋体" w:hAnsi="宋体" w:eastAsia="宋体" w:cs="宋体"/>
          <w:spacing w:val="-1"/>
          <w:sz w:val="24"/>
          <w:szCs w:val="24"/>
        </w:rPr>
        <w:t>、荩草、剪股颖等禾草，以及皱叶酸模、沿阶草、白酒草、野拔子</w:t>
      </w:r>
      <w:r>
        <w:rPr>
          <w:rFonts w:ascii="宋体" w:hAnsi="宋体" w:eastAsia="宋体" w:cs="宋体"/>
          <w:spacing w:val="-56"/>
          <w:sz w:val="24"/>
          <w:szCs w:val="24"/>
        </w:rPr>
        <w:t xml:space="preserve"> </w:t>
      </w:r>
      <w:r>
        <w:rPr>
          <w:rFonts w:ascii="Times New Roman" w:hAnsi="Times New Roman" w:eastAsia="Times New Roman" w:cs="Times New Roman"/>
          <w:i/>
          <w:iCs/>
          <w:spacing w:val="-1"/>
          <w:sz w:val="24"/>
          <w:szCs w:val="24"/>
        </w:rPr>
        <w:t xml:space="preserve">Elsholtzia rugulosa </w:t>
      </w:r>
      <w:r>
        <w:rPr>
          <w:rFonts w:ascii="宋体" w:hAnsi="宋体" w:eastAsia="宋体" w:cs="宋体"/>
          <w:spacing w:val="-1"/>
          <w:sz w:val="24"/>
          <w:szCs w:val="24"/>
        </w:rPr>
        <w:t>等草本植物组成。</w:t>
      </w:r>
    </w:p>
    <w:p w14:paraId="76AFC2D9">
      <w:pPr>
        <w:spacing w:before="25" w:line="233" w:lineRule="auto"/>
        <w:ind w:left="481"/>
        <w:rPr>
          <w:rFonts w:ascii="宋体" w:hAnsi="宋体" w:eastAsia="宋体" w:cs="宋体"/>
          <w:sz w:val="24"/>
          <w:szCs w:val="24"/>
        </w:rPr>
      </w:pPr>
      <w:r>
        <w:rPr>
          <w:rFonts w:ascii="Times New Roman" w:hAnsi="Times New Roman" w:eastAsia="Times New Roman" w:cs="Times New Roman"/>
          <w:spacing w:val="-3"/>
          <w:sz w:val="24"/>
          <w:szCs w:val="24"/>
        </w:rPr>
        <w:t>9</w:t>
      </w:r>
      <w:r>
        <w:rPr>
          <w:rFonts w:ascii="宋体" w:hAnsi="宋体" w:eastAsia="宋体" w:cs="宋体"/>
          <w:spacing w:val="-3"/>
          <w:sz w:val="24"/>
          <w:szCs w:val="24"/>
        </w:rPr>
        <w:t>）人工植被</w:t>
      </w:r>
    </w:p>
    <w:p w14:paraId="485ED362">
      <w:pPr>
        <w:spacing w:before="165" w:line="360" w:lineRule="auto"/>
        <w:ind w:left="8" w:right="34" w:firstLine="471"/>
        <w:rPr>
          <w:rFonts w:ascii="宋体" w:hAnsi="宋体" w:eastAsia="宋体" w:cs="宋体"/>
          <w:sz w:val="24"/>
          <w:szCs w:val="24"/>
        </w:rPr>
      </w:pPr>
      <w:r>
        <w:rPr>
          <w:rFonts w:ascii="宋体" w:hAnsi="宋体" w:eastAsia="宋体" w:cs="宋体"/>
          <w:spacing w:val="-9"/>
          <w:sz w:val="24"/>
          <w:szCs w:val="24"/>
        </w:rPr>
        <w:t>评价区内有大量人工植被，主要为农田植被。其中耕地以旱地为主，主要种植玉米、</w:t>
      </w:r>
      <w:r>
        <w:rPr>
          <w:rFonts w:ascii="宋体" w:hAnsi="宋体" w:eastAsia="宋体" w:cs="宋体"/>
          <w:spacing w:val="-5"/>
          <w:sz w:val="24"/>
          <w:szCs w:val="24"/>
        </w:rPr>
        <w:t>马铃薯及各类蔬菜等。</w:t>
      </w:r>
    </w:p>
    <w:p w14:paraId="058B3059">
      <w:pPr>
        <w:spacing w:line="232" w:lineRule="auto"/>
        <w:ind w:left="489"/>
        <w:rPr>
          <w:rFonts w:ascii="宋体" w:hAnsi="宋体" w:eastAsia="宋体" w:cs="宋体"/>
          <w:sz w:val="24"/>
          <w:szCs w:val="24"/>
        </w:rPr>
      </w:pPr>
      <w:r>
        <w:rPr>
          <w:rFonts w:ascii="宋体" w:hAnsi="宋体" w:eastAsia="宋体" w:cs="宋体"/>
          <w:b/>
          <w:bCs/>
          <w:spacing w:val="-5"/>
          <w:sz w:val="24"/>
          <w:szCs w:val="24"/>
        </w:rPr>
        <w:t>（</w:t>
      </w:r>
      <w:r>
        <w:rPr>
          <w:rFonts w:ascii="Times New Roman" w:hAnsi="Times New Roman" w:eastAsia="Times New Roman" w:cs="Times New Roman"/>
          <w:b/>
          <w:bCs/>
          <w:spacing w:val="-5"/>
          <w:sz w:val="24"/>
          <w:szCs w:val="24"/>
        </w:rPr>
        <w:t>4</w:t>
      </w:r>
      <w:r>
        <w:rPr>
          <w:rFonts w:ascii="宋体" w:hAnsi="宋体" w:eastAsia="宋体" w:cs="宋体"/>
          <w:b/>
          <w:bCs/>
          <w:spacing w:val="-5"/>
          <w:sz w:val="24"/>
          <w:szCs w:val="24"/>
        </w:rPr>
        <w:t>）植被分布特征</w:t>
      </w:r>
    </w:p>
    <w:p w14:paraId="4F5AB017">
      <w:pPr>
        <w:spacing w:before="166" w:line="233" w:lineRule="auto"/>
        <w:ind w:left="499"/>
        <w:rPr>
          <w:rFonts w:ascii="宋体" w:hAnsi="宋体" w:eastAsia="宋体" w:cs="宋体"/>
          <w:sz w:val="24"/>
          <w:szCs w:val="24"/>
        </w:rPr>
      </w:pPr>
      <w:r>
        <w:rPr>
          <w:rFonts w:ascii="Times New Roman" w:hAnsi="Times New Roman" w:eastAsia="Times New Roman" w:cs="Times New Roman"/>
          <w:spacing w:val="-1"/>
          <w:sz w:val="24"/>
          <w:szCs w:val="24"/>
        </w:rPr>
        <w:t>1</w:t>
      </w:r>
      <w:r>
        <w:rPr>
          <w:rFonts w:ascii="宋体" w:hAnsi="宋体" w:eastAsia="宋体" w:cs="宋体"/>
          <w:spacing w:val="-1"/>
          <w:sz w:val="24"/>
          <w:szCs w:val="24"/>
        </w:rPr>
        <w:t>）区域地质与土壤特征主导的植被分异—喀斯特与酸性土植被并存</w:t>
      </w:r>
    </w:p>
    <w:p w14:paraId="4D6F9605">
      <w:pPr>
        <w:spacing w:before="165" w:line="360" w:lineRule="auto"/>
        <w:ind w:firstLine="510"/>
        <w:rPr>
          <w:rFonts w:ascii="宋体" w:hAnsi="宋体" w:eastAsia="宋体" w:cs="宋体"/>
          <w:sz w:val="24"/>
          <w:szCs w:val="24"/>
        </w:rPr>
      </w:pPr>
      <w:r>
        <w:rPr>
          <w:rFonts w:ascii="宋体" w:hAnsi="宋体" w:eastAsia="宋体" w:cs="宋体"/>
          <w:spacing w:val="-2"/>
          <w:sz w:val="24"/>
          <w:szCs w:val="24"/>
        </w:rPr>
        <w:t>由于评价区域广泛分布着各类碳酸盐类岩石，</w:t>
      </w:r>
      <w:r>
        <w:rPr>
          <w:rFonts w:ascii="宋体" w:hAnsi="宋体" w:eastAsia="宋体" w:cs="宋体"/>
          <w:spacing w:val="-3"/>
          <w:sz w:val="24"/>
          <w:szCs w:val="24"/>
        </w:rPr>
        <w:t>喀斯特发育典型。在亚热带水热条件</w:t>
      </w:r>
      <w:r>
        <w:rPr>
          <w:rFonts w:ascii="宋体" w:hAnsi="宋体" w:eastAsia="宋体" w:cs="宋体"/>
          <w:spacing w:val="-2"/>
          <w:sz w:val="24"/>
          <w:szCs w:val="24"/>
        </w:rPr>
        <w:t>下，喀斯特地区的土壤多发育成典型的石灰土（包括黑色石灰土、黄色石灰土以及由石</w:t>
      </w:r>
      <w:r>
        <w:rPr>
          <w:rFonts w:ascii="宋体" w:hAnsi="宋体" w:eastAsia="宋体" w:cs="宋体"/>
          <w:spacing w:val="-6"/>
          <w:sz w:val="24"/>
          <w:szCs w:val="24"/>
        </w:rPr>
        <w:t>灰土发育形成的各种耕作土）。受地质地貌条件和</w:t>
      </w:r>
      <w:r>
        <w:rPr>
          <w:rFonts w:ascii="宋体" w:hAnsi="宋体" w:eastAsia="宋体" w:cs="宋体"/>
          <w:spacing w:val="-7"/>
          <w:sz w:val="24"/>
          <w:szCs w:val="24"/>
        </w:rPr>
        <w:t>土壤环境的影响，</w:t>
      </w:r>
      <w:r>
        <w:rPr>
          <w:rFonts w:ascii="宋体" w:hAnsi="宋体" w:eastAsia="宋体" w:cs="宋体"/>
          <w:spacing w:val="64"/>
          <w:sz w:val="24"/>
          <w:szCs w:val="24"/>
        </w:rPr>
        <w:t xml:space="preserve"> </w:t>
      </w:r>
      <w:r>
        <w:rPr>
          <w:rFonts w:ascii="宋体" w:hAnsi="宋体" w:eastAsia="宋体" w:cs="宋体"/>
          <w:spacing w:val="-7"/>
          <w:sz w:val="24"/>
          <w:szCs w:val="24"/>
        </w:rPr>
        <w:t>区内发育了以适应</w:t>
      </w:r>
      <w:r>
        <w:rPr>
          <w:rFonts w:ascii="宋体" w:hAnsi="宋体" w:eastAsia="宋体" w:cs="宋体"/>
          <w:spacing w:val="-2"/>
          <w:sz w:val="24"/>
          <w:szCs w:val="24"/>
        </w:rPr>
        <w:t>喀斯特钙质土生态环境的喀斯特植被类型，如粉背黄栌、白刺花、马桑等为主的灌丛在</w:t>
      </w:r>
      <w:r>
        <w:rPr>
          <w:rFonts w:ascii="宋体" w:hAnsi="宋体" w:eastAsia="宋体" w:cs="宋体"/>
          <w:spacing w:val="-5"/>
          <w:sz w:val="24"/>
          <w:szCs w:val="24"/>
        </w:rPr>
        <w:t>评价区域分布比较普遍。而由于砂页岩等碎屑岩石常常与碳酸岩交错分布， 典型的酸性土壤（黄壤、红壤、黄红壤、黄棕壤） 植物群落，如云南松林比较常见，其不但分布在</w:t>
      </w:r>
      <w:r>
        <w:rPr>
          <w:rFonts w:ascii="宋体" w:hAnsi="宋体" w:eastAsia="宋体" w:cs="宋体"/>
          <w:spacing w:val="-1"/>
          <w:sz w:val="24"/>
          <w:szCs w:val="24"/>
        </w:rPr>
        <w:t>碎屑岩酸性土壤上，同时也分布在碳酸岩老风</w:t>
      </w:r>
      <w:r>
        <w:rPr>
          <w:rFonts w:ascii="宋体" w:hAnsi="宋体" w:eastAsia="宋体" w:cs="宋体"/>
          <w:spacing w:val="-2"/>
          <w:sz w:val="24"/>
          <w:szCs w:val="24"/>
        </w:rPr>
        <w:t>化壳发育形成的厚层土壤上，反映出喀斯特植被与酸性土植被两大系列植被类型在本区并重的植被特征。</w:t>
      </w:r>
    </w:p>
    <w:p w14:paraId="0E81F545">
      <w:pPr>
        <w:spacing w:before="1" w:line="233" w:lineRule="auto"/>
        <w:ind w:left="476"/>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）植被的次生性较明显</w:t>
      </w:r>
    </w:p>
    <w:p w14:paraId="6DD0B76B">
      <w:pPr>
        <w:spacing w:before="165" w:line="360" w:lineRule="auto"/>
        <w:ind w:right="1" w:firstLine="480"/>
        <w:rPr>
          <w:rFonts w:ascii="宋体" w:hAnsi="宋体" w:eastAsia="宋体" w:cs="宋体"/>
          <w:sz w:val="24"/>
          <w:szCs w:val="24"/>
        </w:rPr>
      </w:pPr>
      <w:r>
        <w:rPr>
          <w:rFonts w:ascii="宋体" w:hAnsi="宋体" w:eastAsia="宋体" w:cs="宋体"/>
          <w:spacing w:val="-5"/>
          <w:sz w:val="24"/>
          <w:szCs w:val="24"/>
        </w:rPr>
        <w:t>根据《云南植被》对植被的区划结果， 该评价区属于滇东北高原高、中山云南松林</w:t>
      </w:r>
      <w:r>
        <w:rPr>
          <w:rFonts w:ascii="宋体" w:hAnsi="宋体" w:eastAsia="宋体" w:cs="宋体"/>
          <w:spacing w:val="-2"/>
          <w:sz w:val="24"/>
          <w:szCs w:val="24"/>
        </w:rPr>
        <w:t>羊草草甸亚区，根据调查结果，评价区植被现状多为灌丛及草丛等次生性植被，如粉背</w:t>
      </w:r>
      <w:r>
        <w:rPr>
          <w:rFonts w:ascii="宋体" w:hAnsi="宋体" w:eastAsia="宋体" w:cs="宋体"/>
          <w:spacing w:val="-6"/>
          <w:sz w:val="24"/>
          <w:szCs w:val="24"/>
        </w:rPr>
        <w:t>黄栌、白刺花灌丛等。同时，</w:t>
      </w:r>
      <w:r>
        <w:rPr>
          <w:rFonts w:ascii="宋体" w:hAnsi="宋体" w:eastAsia="宋体" w:cs="宋体"/>
          <w:spacing w:val="54"/>
          <w:sz w:val="24"/>
          <w:szCs w:val="24"/>
        </w:rPr>
        <w:t xml:space="preserve"> </w:t>
      </w:r>
      <w:r>
        <w:rPr>
          <w:rFonts w:ascii="宋体" w:hAnsi="宋体" w:eastAsia="宋体" w:cs="宋体"/>
          <w:spacing w:val="-6"/>
          <w:sz w:val="24"/>
          <w:szCs w:val="24"/>
        </w:rPr>
        <w:t>植被明显的次生性，包括针叶林、灌丛及灌草丛</w:t>
      </w:r>
      <w:r>
        <w:rPr>
          <w:rFonts w:ascii="宋体" w:hAnsi="宋体" w:eastAsia="宋体" w:cs="宋体"/>
          <w:spacing w:val="-7"/>
          <w:sz w:val="24"/>
          <w:szCs w:val="24"/>
        </w:rPr>
        <w:t>在评价区</w:t>
      </w:r>
      <w:r>
        <w:rPr>
          <w:rFonts w:ascii="宋体" w:hAnsi="宋体" w:eastAsia="宋体" w:cs="宋体"/>
          <w:spacing w:val="-2"/>
          <w:sz w:val="24"/>
          <w:szCs w:val="24"/>
        </w:rPr>
        <w:t>域的广泛分布，致使区内植被生态效应的有效性、生物物种的多样性及植被生物量的丰</w:t>
      </w:r>
      <w:r>
        <w:rPr>
          <w:rFonts w:ascii="宋体" w:hAnsi="宋体" w:eastAsia="宋体" w:cs="宋体"/>
          <w:spacing w:val="-4"/>
          <w:sz w:val="24"/>
          <w:szCs w:val="24"/>
        </w:rPr>
        <w:t>富程度都受到一定的影响。</w:t>
      </w:r>
    </w:p>
    <w:p w14:paraId="4EB3C840">
      <w:pPr>
        <w:spacing w:before="1" w:line="232" w:lineRule="auto"/>
        <w:ind w:left="481"/>
        <w:rPr>
          <w:rFonts w:ascii="宋体" w:hAnsi="宋体" w:eastAsia="宋体" w:cs="宋体"/>
          <w:sz w:val="24"/>
          <w:szCs w:val="24"/>
        </w:rPr>
      </w:pPr>
      <w:r>
        <w:rPr>
          <w:rFonts w:ascii="Times New Roman" w:hAnsi="Times New Roman" w:eastAsia="Times New Roman" w:cs="Times New Roman"/>
          <w:spacing w:val="-2"/>
          <w:sz w:val="24"/>
          <w:szCs w:val="24"/>
        </w:rPr>
        <w:t>3</w:t>
      </w:r>
      <w:r>
        <w:rPr>
          <w:rFonts w:ascii="宋体" w:hAnsi="宋体" w:eastAsia="宋体" w:cs="宋体"/>
          <w:spacing w:val="-2"/>
          <w:sz w:val="24"/>
          <w:szCs w:val="24"/>
        </w:rPr>
        <w:t>）森林植被较为缺乏，质量欠佳且分布不均</w:t>
      </w:r>
    </w:p>
    <w:p w14:paraId="1C222581">
      <w:pPr>
        <w:spacing w:before="165" w:line="362" w:lineRule="auto"/>
        <w:ind w:left="1" w:right="3" w:firstLine="508"/>
        <w:rPr>
          <w:rFonts w:ascii="宋体" w:hAnsi="宋体" w:eastAsia="宋体" w:cs="宋体"/>
          <w:sz w:val="24"/>
          <w:szCs w:val="24"/>
        </w:rPr>
      </w:pPr>
      <w:r>
        <w:rPr>
          <w:rFonts w:ascii="宋体" w:hAnsi="宋体" w:eastAsia="宋体" w:cs="宋体"/>
          <w:spacing w:val="-3"/>
          <w:sz w:val="24"/>
          <w:szCs w:val="24"/>
        </w:rPr>
        <w:t>由于自然和人为的种种原因，评价区的森林植被较为贫乏。本区除森林面积少、森</w:t>
      </w:r>
      <w:r>
        <w:rPr>
          <w:rFonts w:ascii="宋体" w:hAnsi="宋体" w:eastAsia="宋体" w:cs="宋体"/>
          <w:spacing w:val="-2"/>
          <w:sz w:val="24"/>
          <w:szCs w:val="24"/>
        </w:rPr>
        <w:t>林覆盖率低外，由于森林多为中幼龄林，因此森林蓄积量也较低。而且由于自然环境因</w:t>
      </w:r>
    </w:p>
    <w:p w14:paraId="3EBBE3EF">
      <w:pPr>
        <w:spacing w:line="362" w:lineRule="auto"/>
        <w:rPr>
          <w:rFonts w:ascii="宋体" w:hAnsi="宋体" w:eastAsia="宋体" w:cs="宋体"/>
          <w:sz w:val="24"/>
          <w:szCs w:val="24"/>
        </w:rPr>
        <w:sectPr>
          <w:footerReference r:id="rId160" w:type="default"/>
          <w:pgSz w:w="11907" w:h="16841"/>
          <w:pgMar w:top="400" w:right="1414" w:bottom="1126" w:left="1427" w:header="0" w:footer="925" w:gutter="0"/>
          <w:cols w:space="720" w:num="1"/>
        </w:sectPr>
      </w:pPr>
    </w:p>
    <w:p w14:paraId="0A355F2F">
      <w:pPr>
        <w:spacing w:line="249" w:lineRule="auto"/>
        <w:rPr>
          <w:rFonts w:ascii="Arial"/>
          <w:sz w:val="21"/>
        </w:rPr>
      </w:pPr>
    </w:p>
    <w:p w14:paraId="1F5FC162">
      <w:pPr>
        <w:spacing w:line="249" w:lineRule="auto"/>
        <w:rPr>
          <w:rFonts w:ascii="Arial"/>
          <w:sz w:val="21"/>
        </w:rPr>
      </w:pPr>
    </w:p>
    <w:p w14:paraId="275D396A">
      <w:pPr>
        <w:spacing w:line="249" w:lineRule="auto"/>
        <w:rPr>
          <w:rFonts w:ascii="Arial"/>
          <w:sz w:val="21"/>
        </w:rPr>
      </w:pPr>
    </w:p>
    <w:p w14:paraId="3917EA45">
      <w:pPr>
        <w:spacing w:line="249" w:lineRule="auto"/>
        <w:rPr>
          <w:rFonts w:ascii="Arial"/>
          <w:sz w:val="21"/>
        </w:rPr>
      </w:pPr>
    </w:p>
    <w:p w14:paraId="7992C8A3">
      <w:pPr>
        <w:spacing w:line="249" w:lineRule="auto"/>
        <w:rPr>
          <w:rFonts w:ascii="Arial"/>
          <w:sz w:val="21"/>
        </w:rPr>
      </w:pPr>
    </w:p>
    <w:p w14:paraId="507158AA">
      <w:pPr>
        <w:spacing w:before="78" w:line="360" w:lineRule="auto"/>
        <w:ind w:left="9" w:right="125" w:firstLine="2"/>
        <w:jc w:val="both"/>
        <w:rPr>
          <w:rFonts w:ascii="宋体" w:hAnsi="宋体" w:eastAsia="宋体" w:cs="宋体"/>
          <w:sz w:val="24"/>
          <w:szCs w:val="24"/>
        </w:rPr>
      </w:pPr>
      <w:r>
        <w:rPr>
          <w:rFonts w:ascii="宋体" w:hAnsi="宋体" w:eastAsia="宋体" w:cs="宋体"/>
          <w:spacing w:val="-2"/>
          <w:sz w:val="24"/>
          <w:szCs w:val="24"/>
        </w:rPr>
        <w:t>素和人为活动的影响，森林发育较差，所以目前保存的森林也多为近十余年成长起来的中幼龄林，森林群落结构简单，郁闭度低，生物量及生产力较低，因此，森林植被的生</w:t>
      </w:r>
      <w:r>
        <w:rPr>
          <w:rFonts w:ascii="宋体" w:hAnsi="宋体" w:eastAsia="宋体" w:cs="宋体"/>
          <w:spacing w:val="-6"/>
          <w:sz w:val="24"/>
          <w:szCs w:val="24"/>
        </w:rPr>
        <w:t>态效应较差。不少地区由于缺乏森林植被的保护，</w:t>
      </w:r>
      <w:r>
        <w:rPr>
          <w:rFonts w:ascii="宋体" w:hAnsi="宋体" w:eastAsia="宋体" w:cs="宋体"/>
          <w:spacing w:val="49"/>
          <w:sz w:val="24"/>
          <w:szCs w:val="24"/>
        </w:rPr>
        <w:t xml:space="preserve"> </w:t>
      </w:r>
      <w:r>
        <w:rPr>
          <w:rFonts w:ascii="宋体" w:hAnsi="宋体" w:eastAsia="宋体" w:cs="宋体"/>
          <w:spacing w:val="-6"/>
          <w:sz w:val="24"/>
          <w:szCs w:val="24"/>
        </w:rPr>
        <w:t>水土流失严重，基岩大面积裸露</w:t>
      </w:r>
      <w:r>
        <w:rPr>
          <w:rFonts w:ascii="宋体" w:hAnsi="宋体" w:eastAsia="宋体" w:cs="宋体"/>
          <w:spacing w:val="-7"/>
          <w:sz w:val="24"/>
          <w:szCs w:val="24"/>
        </w:rPr>
        <w:t>的石</w:t>
      </w:r>
      <w:r>
        <w:rPr>
          <w:rFonts w:ascii="宋体" w:hAnsi="宋体" w:eastAsia="宋体" w:cs="宋体"/>
          <w:sz w:val="24"/>
          <w:szCs w:val="24"/>
        </w:rPr>
        <w:t>山、半石山较为普遍，生态环境日趋恶化。这一植被特征要求拟建输变电工程建设中，需注意保护现有森林植被，并在工程施工的同时，采取有效措施促进森林植被的恢复，</w:t>
      </w:r>
      <w:r>
        <w:rPr>
          <w:rFonts w:ascii="宋体" w:hAnsi="宋体" w:eastAsia="宋体" w:cs="宋体"/>
          <w:spacing w:val="-5"/>
          <w:sz w:val="24"/>
          <w:szCs w:val="24"/>
        </w:rPr>
        <w:t>可以充分利用区内现存植被中灌丛、灌草丛植被分布较多的特点， 加强人工封闭或人工</w:t>
      </w:r>
      <w:r>
        <w:rPr>
          <w:rFonts w:ascii="宋体" w:hAnsi="宋体" w:eastAsia="宋体" w:cs="宋体"/>
          <w:spacing w:val="-1"/>
          <w:sz w:val="24"/>
          <w:szCs w:val="24"/>
        </w:rPr>
        <w:t>促进措施，做好封山育林工作，使灌丛植被尽快地向森林植被演替。</w:t>
      </w:r>
    </w:p>
    <w:p w14:paraId="2B3F433F">
      <w:pPr>
        <w:spacing w:line="232" w:lineRule="auto"/>
        <w:ind w:left="483"/>
        <w:rPr>
          <w:rFonts w:ascii="宋体" w:hAnsi="宋体" w:eastAsia="宋体" w:cs="宋体"/>
          <w:sz w:val="24"/>
          <w:szCs w:val="24"/>
        </w:rPr>
      </w:pPr>
      <w:r>
        <w:rPr>
          <w:rFonts w:ascii="Times New Roman" w:hAnsi="Times New Roman" w:eastAsia="Times New Roman" w:cs="Times New Roman"/>
          <w:spacing w:val="-2"/>
          <w:sz w:val="24"/>
          <w:szCs w:val="24"/>
        </w:rPr>
        <w:t>4</w:t>
      </w:r>
      <w:r>
        <w:rPr>
          <w:rFonts w:ascii="宋体" w:hAnsi="宋体" w:eastAsia="宋体" w:cs="宋体"/>
          <w:spacing w:val="-2"/>
          <w:sz w:val="24"/>
          <w:szCs w:val="24"/>
        </w:rPr>
        <w:t>）农田植被分布广泛</w:t>
      </w:r>
    </w:p>
    <w:p w14:paraId="3E9A0800">
      <w:pPr>
        <w:spacing w:before="166" w:line="360" w:lineRule="auto"/>
        <w:ind w:left="10" w:firstLine="479"/>
        <w:rPr>
          <w:rFonts w:ascii="宋体" w:hAnsi="宋体" w:eastAsia="宋体" w:cs="宋体"/>
          <w:sz w:val="24"/>
          <w:szCs w:val="24"/>
        </w:rPr>
      </w:pPr>
      <w:r>
        <w:rPr>
          <w:rFonts w:ascii="宋体" w:hAnsi="宋体" w:eastAsia="宋体" w:cs="宋体"/>
          <w:spacing w:val="-2"/>
          <w:sz w:val="24"/>
          <w:szCs w:val="24"/>
        </w:rPr>
        <w:t>农田植被在评价区占明显优势。大面积的农田植被对于解决区内人口的粮食、蔬菜</w:t>
      </w:r>
      <w:r>
        <w:rPr>
          <w:rFonts w:ascii="宋体" w:hAnsi="宋体" w:eastAsia="宋体" w:cs="宋体"/>
          <w:spacing w:val="-3"/>
          <w:sz w:val="24"/>
          <w:szCs w:val="24"/>
        </w:rPr>
        <w:t>等起到了重要作用，但是由于不少旱地是在河谷斜坡和丘陵山地的斜坡面上开垦出来的，</w:t>
      </w:r>
      <w:r>
        <w:rPr>
          <w:rFonts w:ascii="宋体" w:hAnsi="宋体" w:eastAsia="宋体" w:cs="宋体"/>
          <w:spacing w:val="-2"/>
          <w:sz w:val="24"/>
          <w:szCs w:val="24"/>
        </w:rPr>
        <w:t>这种坡耕旱地在人类长期的翻耕种植下，会加速土壤的侵蚀，使山区生态环境进一步退</w:t>
      </w:r>
      <w:r>
        <w:rPr>
          <w:rFonts w:ascii="宋体" w:hAnsi="宋体" w:eastAsia="宋体" w:cs="宋体"/>
          <w:spacing w:val="-12"/>
          <w:sz w:val="24"/>
          <w:szCs w:val="24"/>
        </w:rPr>
        <w:t>化。</w:t>
      </w:r>
    </w:p>
    <w:p w14:paraId="058EE57E">
      <w:pPr>
        <w:spacing w:line="233" w:lineRule="auto"/>
        <w:ind w:left="498"/>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5</w:t>
      </w:r>
      <w:r>
        <w:rPr>
          <w:rFonts w:ascii="宋体" w:hAnsi="宋体" w:eastAsia="宋体" w:cs="宋体"/>
          <w:b/>
          <w:bCs/>
          <w:spacing w:val="-4"/>
          <w:sz w:val="24"/>
          <w:szCs w:val="24"/>
        </w:rPr>
        <w:t>）植物多样性现状及特点</w:t>
      </w:r>
    </w:p>
    <w:p w14:paraId="19123069">
      <w:pPr>
        <w:spacing w:before="164" w:line="234" w:lineRule="auto"/>
        <w:ind w:left="508"/>
        <w:rPr>
          <w:rFonts w:ascii="宋体" w:hAnsi="宋体" w:eastAsia="宋体" w:cs="宋体"/>
          <w:sz w:val="24"/>
          <w:szCs w:val="24"/>
        </w:rPr>
      </w:pPr>
      <w:r>
        <w:rPr>
          <w:rFonts w:ascii="Times New Roman" w:hAnsi="Times New Roman" w:eastAsia="Times New Roman" w:cs="Times New Roman"/>
          <w:spacing w:val="-7"/>
          <w:sz w:val="24"/>
          <w:szCs w:val="24"/>
        </w:rPr>
        <w:t>1</w:t>
      </w:r>
      <w:r>
        <w:rPr>
          <w:rFonts w:ascii="宋体" w:hAnsi="宋体" w:eastAsia="宋体" w:cs="宋体"/>
          <w:spacing w:val="-7"/>
          <w:sz w:val="24"/>
          <w:szCs w:val="24"/>
        </w:rPr>
        <w:t>）物种组成</w:t>
      </w:r>
    </w:p>
    <w:p w14:paraId="086769A4">
      <w:pPr>
        <w:spacing w:before="163" w:line="336" w:lineRule="auto"/>
        <w:ind w:left="10" w:right="184" w:firstLine="480"/>
        <w:rPr>
          <w:rFonts w:ascii="宋体" w:hAnsi="宋体" w:eastAsia="宋体" w:cs="宋体"/>
          <w:sz w:val="24"/>
          <w:szCs w:val="24"/>
        </w:rPr>
      </w:pPr>
      <w:r>
        <w:rPr>
          <w:rFonts w:ascii="宋体" w:hAnsi="宋体" w:eastAsia="宋体" w:cs="宋体"/>
          <w:spacing w:val="-4"/>
          <w:sz w:val="24"/>
          <w:szCs w:val="24"/>
        </w:rPr>
        <w:t>经实地调查，记录到影响评价区维管植物</w:t>
      </w:r>
      <w:r>
        <w:rPr>
          <w:rFonts w:ascii="宋体" w:hAnsi="宋体" w:eastAsia="宋体" w:cs="宋体"/>
          <w:spacing w:val="-36"/>
          <w:sz w:val="24"/>
          <w:szCs w:val="24"/>
        </w:rPr>
        <w:t xml:space="preserve"> </w:t>
      </w:r>
      <w:r>
        <w:rPr>
          <w:rFonts w:ascii="Times New Roman" w:hAnsi="Times New Roman" w:eastAsia="Times New Roman" w:cs="Times New Roman"/>
          <w:spacing w:val="-4"/>
          <w:sz w:val="24"/>
          <w:szCs w:val="24"/>
        </w:rPr>
        <w:t>74</w:t>
      </w:r>
      <w:r>
        <w:rPr>
          <w:rFonts w:ascii="Times New Roman" w:hAnsi="Times New Roman" w:eastAsia="Times New Roman" w:cs="Times New Roman"/>
          <w:spacing w:val="16"/>
          <w:w w:val="101"/>
          <w:sz w:val="24"/>
          <w:szCs w:val="24"/>
        </w:rPr>
        <w:t xml:space="preserve"> </w:t>
      </w:r>
      <w:r>
        <w:rPr>
          <w:rFonts w:ascii="宋体" w:hAnsi="宋体" w:eastAsia="宋体" w:cs="宋体"/>
          <w:spacing w:val="-4"/>
          <w:sz w:val="24"/>
          <w:szCs w:val="24"/>
        </w:rPr>
        <w:t>科</w:t>
      </w:r>
      <w:r>
        <w:rPr>
          <w:rFonts w:ascii="宋体" w:hAnsi="宋体" w:eastAsia="宋体" w:cs="宋体"/>
          <w:spacing w:val="-23"/>
          <w:sz w:val="24"/>
          <w:szCs w:val="24"/>
        </w:rPr>
        <w:t xml:space="preserve"> </w:t>
      </w:r>
      <w:r>
        <w:rPr>
          <w:rFonts w:ascii="Times New Roman" w:hAnsi="Times New Roman" w:eastAsia="Times New Roman" w:cs="Times New Roman"/>
          <w:spacing w:val="-4"/>
          <w:sz w:val="24"/>
          <w:szCs w:val="24"/>
        </w:rPr>
        <w:t>159</w:t>
      </w:r>
      <w:r>
        <w:rPr>
          <w:rFonts w:ascii="Times New Roman" w:hAnsi="Times New Roman" w:eastAsia="Times New Roman" w:cs="Times New Roman"/>
          <w:spacing w:val="21"/>
          <w:w w:val="101"/>
          <w:sz w:val="24"/>
          <w:szCs w:val="24"/>
        </w:rPr>
        <w:t xml:space="preserve"> </w:t>
      </w:r>
      <w:r>
        <w:rPr>
          <w:rFonts w:ascii="宋体" w:hAnsi="宋体" w:eastAsia="宋体" w:cs="宋体"/>
          <w:spacing w:val="-4"/>
          <w:sz w:val="24"/>
          <w:szCs w:val="24"/>
        </w:rPr>
        <w:t xml:space="preserve">属 </w:t>
      </w:r>
      <w:r>
        <w:rPr>
          <w:rFonts w:ascii="Times New Roman" w:hAnsi="Times New Roman" w:eastAsia="Times New Roman" w:cs="Times New Roman"/>
          <w:spacing w:val="-4"/>
          <w:sz w:val="24"/>
          <w:szCs w:val="24"/>
        </w:rPr>
        <w:t>192</w:t>
      </w:r>
      <w:r>
        <w:rPr>
          <w:rFonts w:ascii="Times New Roman" w:hAnsi="Times New Roman" w:eastAsia="Times New Roman" w:cs="Times New Roman"/>
          <w:spacing w:val="19"/>
          <w:sz w:val="24"/>
          <w:szCs w:val="24"/>
        </w:rPr>
        <w:t xml:space="preserve"> </w:t>
      </w:r>
      <w:r>
        <w:rPr>
          <w:rFonts w:ascii="宋体" w:hAnsi="宋体" w:eastAsia="宋体" w:cs="宋体"/>
          <w:spacing w:val="-4"/>
          <w:sz w:val="24"/>
          <w:szCs w:val="24"/>
        </w:rPr>
        <w:t>种。其中蕨类植物</w:t>
      </w:r>
      <w:r>
        <w:rPr>
          <w:rFonts w:ascii="宋体" w:hAnsi="宋体" w:eastAsia="宋体" w:cs="宋体"/>
          <w:spacing w:val="-40"/>
          <w:sz w:val="24"/>
          <w:szCs w:val="24"/>
        </w:rPr>
        <w:t xml:space="preserve"> </w:t>
      </w:r>
      <w:r>
        <w:rPr>
          <w:rFonts w:ascii="Times New Roman" w:hAnsi="Times New Roman" w:eastAsia="Times New Roman" w:cs="Times New Roman"/>
          <w:spacing w:val="-4"/>
          <w:sz w:val="24"/>
          <w:szCs w:val="24"/>
        </w:rPr>
        <w:t>6</w:t>
      </w:r>
      <w:r>
        <w:rPr>
          <w:rFonts w:ascii="Times New Roman" w:hAnsi="Times New Roman" w:eastAsia="Times New Roman" w:cs="Times New Roman"/>
          <w:spacing w:val="19"/>
          <w:sz w:val="24"/>
          <w:szCs w:val="24"/>
        </w:rPr>
        <w:t xml:space="preserve"> </w:t>
      </w:r>
      <w:r>
        <w:rPr>
          <w:rFonts w:ascii="宋体" w:hAnsi="宋体" w:eastAsia="宋体" w:cs="宋体"/>
          <w:spacing w:val="-4"/>
          <w:sz w:val="24"/>
          <w:szCs w:val="24"/>
        </w:rPr>
        <w:t>科</w:t>
      </w:r>
      <w:r>
        <w:rPr>
          <w:rFonts w:ascii="Times New Roman" w:hAnsi="Times New Roman" w:eastAsia="Times New Roman" w:cs="Times New Roman"/>
          <w:sz w:val="24"/>
          <w:szCs w:val="24"/>
        </w:rPr>
        <w:t xml:space="preserve">6 </w:t>
      </w:r>
      <w:r>
        <w:rPr>
          <w:rFonts w:ascii="宋体" w:hAnsi="宋体" w:eastAsia="宋体" w:cs="宋体"/>
          <w:sz w:val="24"/>
          <w:szCs w:val="24"/>
        </w:rPr>
        <w:t>属</w:t>
      </w:r>
      <w:r>
        <w:rPr>
          <w:rFonts w:ascii="Times New Roman" w:hAnsi="Times New Roman" w:eastAsia="Times New Roman" w:cs="Times New Roman"/>
          <w:sz w:val="24"/>
          <w:szCs w:val="24"/>
        </w:rPr>
        <w:t xml:space="preserve">6 </w:t>
      </w:r>
      <w:r>
        <w:rPr>
          <w:rFonts w:ascii="宋体" w:hAnsi="宋体" w:eastAsia="宋体" w:cs="宋体"/>
          <w:sz w:val="24"/>
          <w:szCs w:val="24"/>
        </w:rPr>
        <w:t>种，裸子植物</w:t>
      </w:r>
      <w:r>
        <w:rPr>
          <w:rFonts w:ascii="宋体" w:hAnsi="宋体" w:eastAsia="宋体" w:cs="宋体"/>
          <w:spacing w:val="-49"/>
          <w:sz w:val="24"/>
          <w:szCs w:val="24"/>
        </w:rPr>
        <w:t xml:space="preserve"> </w:t>
      </w:r>
      <w:r>
        <w:rPr>
          <w:rFonts w:ascii="Times New Roman" w:hAnsi="Times New Roman" w:eastAsia="Times New Roman" w:cs="Times New Roman"/>
          <w:sz w:val="24"/>
          <w:szCs w:val="24"/>
        </w:rPr>
        <w:t xml:space="preserve">3 </w:t>
      </w:r>
      <w:r>
        <w:rPr>
          <w:rFonts w:ascii="宋体" w:hAnsi="宋体" w:eastAsia="宋体" w:cs="宋体"/>
          <w:sz w:val="24"/>
          <w:szCs w:val="24"/>
        </w:rPr>
        <w:t>科</w:t>
      </w:r>
      <w:r>
        <w:rPr>
          <w:rFonts w:ascii="宋体" w:hAnsi="宋体" w:eastAsia="宋体" w:cs="宋体"/>
          <w:spacing w:val="-56"/>
          <w:sz w:val="24"/>
          <w:szCs w:val="24"/>
        </w:rPr>
        <w:t xml:space="preserve"> </w:t>
      </w:r>
      <w:r>
        <w:rPr>
          <w:rFonts w:ascii="Times New Roman" w:hAnsi="Times New Roman" w:eastAsia="Times New Roman" w:cs="Times New Roman"/>
          <w:sz w:val="24"/>
          <w:szCs w:val="24"/>
        </w:rPr>
        <w:t xml:space="preserve">4 </w:t>
      </w:r>
      <w:r>
        <w:rPr>
          <w:rFonts w:ascii="宋体" w:hAnsi="宋体" w:eastAsia="宋体" w:cs="宋体"/>
          <w:sz w:val="24"/>
          <w:szCs w:val="24"/>
        </w:rPr>
        <w:t>属</w:t>
      </w:r>
      <w:r>
        <w:rPr>
          <w:rFonts w:ascii="Times New Roman" w:hAnsi="Times New Roman" w:eastAsia="Times New Roman" w:cs="Times New Roman"/>
          <w:sz w:val="24"/>
          <w:szCs w:val="24"/>
        </w:rPr>
        <w:t xml:space="preserve">5 </w:t>
      </w:r>
      <w:r>
        <w:rPr>
          <w:rFonts w:ascii="宋体" w:hAnsi="宋体" w:eastAsia="宋体" w:cs="宋体"/>
          <w:sz w:val="24"/>
          <w:szCs w:val="24"/>
        </w:rPr>
        <w:t>种，被</w:t>
      </w:r>
      <w:r>
        <w:rPr>
          <w:rFonts w:ascii="宋体" w:hAnsi="宋体" w:eastAsia="宋体" w:cs="宋体"/>
          <w:spacing w:val="-1"/>
          <w:sz w:val="24"/>
          <w:szCs w:val="24"/>
        </w:rPr>
        <w:t>子植物</w:t>
      </w:r>
      <w:r>
        <w:rPr>
          <w:rFonts w:ascii="宋体" w:hAnsi="宋体" w:eastAsia="宋体" w:cs="宋体"/>
          <w:spacing w:val="-50"/>
          <w:sz w:val="24"/>
          <w:szCs w:val="24"/>
        </w:rPr>
        <w:t xml:space="preserve"> </w:t>
      </w:r>
      <w:r>
        <w:rPr>
          <w:rFonts w:ascii="Times New Roman" w:hAnsi="Times New Roman" w:eastAsia="Times New Roman" w:cs="Times New Roman"/>
          <w:spacing w:val="-1"/>
          <w:sz w:val="24"/>
          <w:szCs w:val="24"/>
        </w:rPr>
        <w:t>65</w:t>
      </w:r>
      <w:r>
        <w:rPr>
          <w:rFonts w:ascii="Times New Roman" w:hAnsi="Times New Roman" w:eastAsia="Times New Roman" w:cs="Times New Roman"/>
          <w:spacing w:val="10"/>
          <w:sz w:val="24"/>
          <w:szCs w:val="24"/>
        </w:rPr>
        <w:t xml:space="preserve"> </w:t>
      </w:r>
      <w:r>
        <w:rPr>
          <w:rFonts w:ascii="宋体" w:hAnsi="宋体" w:eastAsia="宋体" w:cs="宋体"/>
          <w:spacing w:val="-1"/>
          <w:sz w:val="24"/>
          <w:szCs w:val="24"/>
        </w:rPr>
        <w:t>科</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149</w:t>
      </w:r>
      <w:r>
        <w:rPr>
          <w:rFonts w:ascii="Times New Roman" w:hAnsi="Times New Roman" w:eastAsia="Times New Roman" w:cs="Times New Roman"/>
          <w:spacing w:val="11"/>
          <w:sz w:val="24"/>
          <w:szCs w:val="24"/>
        </w:rPr>
        <w:t xml:space="preserve"> </w:t>
      </w:r>
      <w:r>
        <w:rPr>
          <w:rFonts w:ascii="宋体" w:hAnsi="宋体" w:eastAsia="宋体" w:cs="宋体"/>
          <w:spacing w:val="-1"/>
          <w:sz w:val="24"/>
          <w:szCs w:val="24"/>
        </w:rPr>
        <w:t>属</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181</w:t>
      </w:r>
      <w:r>
        <w:rPr>
          <w:rFonts w:ascii="Times New Roman" w:hAnsi="Times New Roman" w:eastAsia="Times New Roman" w:cs="Times New Roman"/>
          <w:spacing w:val="10"/>
          <w:sz w:val="24"/>
          <w:szCs w:val="24"/>
        </w:rPr>
        <w:t xml:space="preserve"> </w:t>
      </w:r>
      <w:r>
        <w:rPr>
          <w:rFonts w:ascii="宋体" w:hAnsi="宋体" w:eastAsia="宋体" w:cs="宋体"/>
          <w:spacing w:val="-1"/>
          <w:sz w:val="24"/>
          <w:szCs w:val="24"/>
        </w:rPr>
        <w:t>种。</w:t>
      </w:r>
    </w:p>
    <w:p w14:paraId="43B581D2">
      <w:pPr>
        <w:spacing w:line="229" w:lineRule="auto"/>
        <w:ind w:left="2691"/>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5"/>
          <w:sz w:val="21"/>
          <w:szCs w:val="21"/>
        </w:rPr>
        <w:t xml:space="preserve"> </w:t>
      </w:r>
      <w:r>
        <w:rPr>
          <w:rFonts w:ascii="Times New Roman" w:hAnsi="Times New Roman" w:eastAsia="Times New Roman" w:cs="Times New Roman"/>
          <w:b/>
          <w:bCs/>
          <w:spacing w:val="-2"/>
          <w:sz w:val="21"/>
          <w:szCs w:val="21"/>
        </w:rPr>
        <w:t xml:space="preserve">2-3    </w:t>
      </w:r>
      <w:r>
        <w:rPr>
          <w:rFonts w:ascii="宋体" w:hAnsi="宋体" w:eastAsia="宋体" w:cs="宋体"/>
          <w:b/>
          <w:bCs/>
          <w:spacing w:val="-2"/>
          <w:sz w:val="21"/>
          <w:szCs w:val="21"/>
        </w:rPr>
        <w:t>影响评价区维管植物科属种构成</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33"/>
        <w:gridCol w:w="1751"/>
        <w:gridCol w:w="1825"/>
        <w:gridCol w:w="1826"/>
        <w:gridCol w:w="1833"/>
      </w:tblGrid>
      <w:tr w14:paraId="328DF8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3584" w:type="dxa"/>
            <w:gridSpan w:val="2"/>
            <w:vAlign w:val="top"/>
          </w:tcPr>
          <w:p w14:paraId="6FFAEB6D">
            <w:pPr>
              <w:pStyle w:val="6"/>
              <w:spacing w:before="55" w:line="221" w:lineRule="auto"/>
              <w:ind w:left="1376"/>
            </w:pPr>
            <w:r>
              <w:rPr>
                <w:b/>
                <w:bCs/>
                <w:spacing w:val="-4"/>
              </w:rPr>
              <w:t>植物类型</w:t>
            </w:r>
          </w:p>
        </w:tc>
        <w:tc>
          <w:tcPr>
            <w:tcW w:w="1825" w:type="dxa"/>
            <w:vAlign w:val="top"/>
          </w:tcPr>
          <w:p w14:paraId="7FA7E15D">
            <w:pPr>
              <w:pStyle w:val="6"/>
              <w:spacing w:before="55" w:line="220" w:lineRule="auto"/>
              <w:ind w:left="812"/>
            </w:pPr>
            <w:r>
              <w:rPr>
                <w:b/>
                <w:bCs/>
                <w:spacing w:val="-3"/>
              </w:rPr>
              <w:t>科</w:t>
            </w:r>
          </w:p>
        </w:tc>
        <w:tc>
          <w:tcPr>
            <w:tcW w:w="1826" w:type="dxa"/>
            <w:vAlign w:val="top"/>
          </w:tcPr>
          <w:p w14:paraId="09B91625">
            <w:pPr>
              <w:pStyle w:val="6"/>
              <w:spacing w:before="55" w:line="222" w:lineRule="auto"/>
              <w:ind w:left="815"/>
            </w:pPr>
            <w:r>
              <w:rPr>
                <w:b/>
                <w:bCs/>
                <w:spacing w:val="-3"/>
              </w:rPr>
              <w:t>属</w:t>
            </w:r>
          </w:p>
        </w:tc>
        <w:tc>
          <w:tcPr>
            <w:tcW w:w="1833" w:type="dxa"/>
            <w:vAlign w:val="top"/>
          </w:tcPr>
          <w:p w14:paraId="51438E90">
            <w:pPr>
              <w:pStyle w:val="6"/>
              <w:spacing w:before="56" w:line="221" w:lineRule="auto"/>
              <w:ind w:left="814"/>
            </w:pPr>
            <w:r>
              <w:rPr>
                <w:b/>
                <w:bCs/>
                <w:spacing w:val="-3"/>
              </w:rPr>
              <w:t>种</w:t>
            </w:r>
          </w:p>
        </w:tc>
      </w:tr>
      <w:tr w14:paraId="49F367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3584" w:type="dxa"/>
            <w:gridSpan w:val="2"/>
            <w:vAlign w:val="top"/>
          </w:tcPr>
          <w:p w14:paraId="73687D09">
            <w:pPr>
              <w:pStyle w:val="6"/>
              <w:spacing w:before="54" w:line="221" w:lineRule="auto"/>
              <w:ind w:left="1378"/>
            </w:pPr>
            <w:r>
              <w:rPr>
                <w:spacing w:val="-2"/>
              </w:rPr>
              <w:t>蕨类植物</w:t>
            </w:r>
          </w:p>
        </w:tc>
        <w:tc>
          <w:tcPr>
            <w:tcW w:w="1825" w:type="dxa"/>
            <w:vAlign w:val="top"/>
          </w:tcPr>
          <w:p w14:paraId="1AB0B4DF">
            <w:pPr>
              <w:spacing w:before="89" w:line="217" w:lineRule="auto"/>
              <w:ind w:left="865"/>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826" w:type="dxa"/>
            <w:vAlign w:val="top"/>
          </w:tcPr>
          <w:p w14:paraId="5EDB4470">
            <w:pPr>
              <w:spacing w:before="89" w:line="217" w:lineRule="auto"/>
              <w:ind w:left="867"/>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833" w:type="dxa"/>
            <w:vAlign w:val="top"/>
          </w:tcPr>
          <w:p w14:paraId="615DF5F5">
            <w:pPr>
              <w:spacing w:before="89" w:line="217" w:lineRule="auto"/>
              <w:ind w:left="868"/>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r>
      <w:tr w14:paraId="5FF484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833" w:type="dxa"/>
            <w:vMerge w:val="restart"/>
            <w:tcBorders>
              <w:bottom w:val="nil"/>
            </w:tcBorders>
            <w:vAlign w:val="top"/>
          </w:tcPr>
          <w:p w14:paraId="3047EE39">
            <w:pPr>
              <w:pStyle w:val="6"/>
              <w:spacing w:before="213" w:line="221" w:lineRule="auto"/>
              <w:ind w:left="502"/>
            </w:pPr>
            <w:r>
              <w:rPr>
                <w:spacing w:val="-2"/>
              </w:rPr>
              <w:t>种子植物</w:t>
            </w:r>
          </w:p>
        </w:tc>
        <w:tc>
          <w:tcPr>
            <w:tcW w:w="1751" w:type="dxa"/>
            <w:vAlign w:val="top"/>
          </w:tcPr>
          <w:p w14:paraId="71379CF7">
            <w:pPr>
              <w:pStyle w:val="6"/>
              <w:spacing w:before="53" w:line="221" w:lineRule="auto"/>
              <w:ind w:left="460"/>
            </w:pPr>
            <w:r>
              <w:rPr>
                <w:spacing w:val="-2"/>
              </w:rPr>
              <w:t>裸子植物</w:t>
            </w:r>
          </w:p>
        </w:tc>
        <w:tc>
          <w:tcPr>
            <w:tcW w:w="1825" w:type="dxa"/>
            <w:vAlign w:val="top"/>
          </w:tcPr>
          <w:p w14:paraId="62A8F1F6">
            <w:pPr>
              <w:spacing w:before="88" w:line="216" w:lineRule="auto"/>
              <w:ind w:left="865"/>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826" w:type="dxa"/>
            <w:vAlign w:val="top"/>
          </w:tcPr>
          <w:p w14:paraId="6E170A37">
            <w:pPr>
              <w:spacing w:before="88" w:line="216" w:lineRule="auto"/>
              <w:ind w:left="862"/>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833" w:type="dxa"/>
            <w:vAlign w:val="top"/>
          </w:tcPr>
          <w:p w14:paraId="1DEFC176">
            <w:pPr>
              <w:spacing w:before="88" w:line="216" w:lineRule="auto"/>
              <w:ind w:left="869"/>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r>
      <w:tr w14:paraId="6DF3BB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833" w:type="dxa"/>
            <w:vMerge w:val="continue"/>
            <w:tcBorders>
              <w:top w:val="nil"/>
            </w:tcBorders>
            <w:vAlign w:val="top"/>
          </w:tcPr>
          <w:p w14:paraId="25552435">
            <w:pPr>
              <w:rPr>
                <w:rFonts w:ascii="Arial"/>
                <w:sz w:val="21"/>
              </w:rPr>
            </w:pPr>
          </w:p>
        </w:tc>
        <w:tc>
          <w:tcPr>
            <w:tcW w:w="1751" w:type="dxa"/>
            <w:vAlign w:val="top"/>
          </w:tcPr>
          <w:p w14:paraId="714DB659">
            <w:pPr>
              <w:pStyle w:val="6"/>
              <w:spacing w:before="53" w:line="221" w:lineRule="auto"/>
              <w:ind w:left="460"/>
            </w:pPr>
            <w:r>
              <w:rPr>
                <w:spacing w:val="-2"/>
              </w:rPr>
              <w:t>被子植物</w:t>
            </w:r>
          </w:p>
        </w:tc>
        <w:tc>
          <w:tcPr>
            <w:tcW w:w="1825" w:type="dxa"/>
            <w:vAlign w:val="top"/>
          </w:tcPr>
          <w:p w14:paraId="5D77F87B">
            <w:pPr>
              <w:spacing w:before="89" w:line="215" w:lineRule="auto"/>
              <w:ind w:left="81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65</w:t>
            </w:r>
          </w:p>
        </w:tc>
        <w:tc>
          <w:tcPr>
            <w:tcW w:w="1826" w:type="dxa"/>
            <w:vAlign w:val="top"/>
          </w:tcPr>
          <w:p w14:paraId="1F778703">
            <w:pPr>
              <w:spacing w:before="89" w:line="215" w:lineRule="auto"/>
              <w:ind w:left="779"/>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149</w:t>
            </w:r>
          </w:p>
        </w:tc>
        <w:tc>
          <w:tcPr>
            <w:tcW w:w="1833" w:type="dxa"/>
            <w:vAlign w:val="top"/>
          </w:tcPr>
          <w:p w14:paraId="69EDC581">
            <w:pPr>
              <w:spacing w:before="89" w:line="215"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181</w:t>
            </w:r>
          </w:p>
        </w:tc>
      </w:tr>
      <w:tr w14:paraId="2E3E1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3584" w:type="dxa"/>
            <w:gridSpan w:val="2"/>
            <w:vAlign w:val="top"/>
          </w:tcPr>
          <w:p w14:paraId="3B4DB875">
            <w:pPr>
              <w:pStyle w:val="6"/>
              <w:spacing w:before="54" w:line="222" w:lineRule="auto"/>
              <w:ind w:left="1588"/>
            </w:pPr>
            <w:r>
              <w:rPr>
                <w:spacing w:val="-2"/>
              </w:rPr>
              <w:t>合计</w:t>
            </w:r>
          </w:p>
        </w:tc>
        <w:tc>
          <w:tcPr>
            <w:tcW w:w="1825" w:type="dxa"/>
            <w:vAlign w:val="top"/>
          </w:tcPr>
          <w:p w14:paraId="140640D7">
            <w:pPr>
              <w:spacing w:before="89" w:line="219" w:lineRule="auto"/>
              <w:ind w:left="81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74</w:t>
            </w:r>
          </w:p>
        </w:tc>
        <w:tc>
          <w:tcPr>
            <w:tcW w:w="1826" w:type="dxa"/>
            <w:vAlign w:val="top"/>
          </w:tcPr>
          <w:p w14:paraId="3063751A">
            <w:pPr>
              <w:spacing w:before="89" w:line="219" w:lineRule="auto"/>
              <w:ind w:left="779"/>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159</w:t>
            </w:r>
          </w:p>
        </w:tc>
        <w:tc>
          <w:tcPr>
            <w:tcW w:w="1833" w:type="dxa"/>
            <w:vAlign w:val="top"/>
          </w:tcPr>
          <w:p w14:paraId="0D5174A2">
            <w:pPr>
              <w:spacing w:before="89" w:line="219" w:lineRule="auto"/>
              <w:ind w:left="780"/>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192</w:t>
            </w:r>
          </w:p>
        </w:tc>
      </w:tr>
    </w:tbl>
    <w:p w14:paraId="2602DB36">
      <w:pPr>
        <w:spacing w:before="115" w:line="232" w:lineRule="auto"/>
        <w:ind w:left="485"/>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）影响评价区植物区系组成</w:t>
      </w:r>
    </w:p>
    <w:p w14:paraId="7B25B786">
      <w:pPr>
        <w:spacing w:before="165" w:line="348" w:lineRule="auto"/>
        <w:ind w:left="3" w:right="182" w:firstLine="485"/>
        <w:rPr>
          <w:rFonts w:ascii="宋体" w:hAnsi="宋体" w:eastAsia="宋体" w:cs="宋体"/>
          <w:sz w:val="24"/>
          <w:szCs w:val="24"/>
        </w:rPr>
      </w:pPr>
      <w:r>
        <w:rPr>
          <w:rFonts w:ascii="宋体" w:hAnsi="宋体" w:eastAsia="宋体" w:cs="宋体"/>
          <w:spacing w:val="-2"/>
          <w:sz w:val="24"/>
          <w:szCs w:val="24"/>
        </w:rPr>
        <w:t>根据吴征镒对中国种子植物属分布区类型的划分（吴征镒，</w:t>
      </w:r>
      <w:r>
        <w:rPr>
          <w:rFonts w:ascii="Times New Roman" w:hAnsi="Times New Roman" w:eastAsia="Times New Roman" w:cs="Times New Roman"/>
          <w:spacing w:val="-2"/>
          <w:sz w:val="24"/>
          <w:szCs w:val="24"/>
        </w:rPr>
        <w:t>1991</w:t>
      </w:r>
      <w:r>
        <w:rPr>
          <w:rFonts w:ascii="Times New Roman" w:hAnsi="Times New Roman" w:eastAsia="Times New Roman" w:cs="Times New Roman"/>
          <w:spacing w:val="-30"/>
          <w:sz w:val="24"/>
          <w:szCs w:val="24"/>
        </w:rPr>
        <w:t xml:space="preserve"> </w:t>
      </w:r>
      <w:r>
        <w:rPr>
          <w:rFonts w:ascii="宋体" w:hAnsi="宋体" w:eastAsia="宋体" w:cs="宋体"/>
          <w:spacing w:val="-2"/>
          <w:sz w:val="24"/>
          <w:szCs w:val="24"/>
        </w:rPr>
        <w:t>；</w:t>
      </w:r>
      <w:r>
        <w:rPr>
          <w:rFonts w:ascii="Times New Roman" w:hAnsi="Times New Roman" w:eastAsia="Times New Roman" w:cs="Times New Roman"/>
          <w:spacing w:val="-2"/>
          <w:sz w:val="24"/>
          <w:szCs w:val="24"/>
        </w:rPr>
        <w:t>19</w:t>
      </w:r>
      <w:r>
        <w:rPr>
          <w:rFonts w:ascii="Times New Roman" w:hAnsi="Times New Roman" w:eastAsia="Times New Roman" w:cs="Times New Roman"/>
          <w:spacing w:val="-3"/>
          <w:sz w:val="24"/>
          <w:szCs w:val="24"/>
        </w:rPr>
        <w:t>93</w:t>
      </w:r>
      <w:r>
        <w:rPr>
          <w:rFonts w:ascii="宋体" w:hAnsi="宋体" w:eastAsia="宋体" w:cs="宋体"/>
          <w:spacing w:val="-3"/>
          <w:sz w:val="24"/>
          <w:szCs w:val="24"/>
        </w:rPr>
        <w:t>），项目影</w:t>
      </w:r>
      <w:r>
        <w:rPr>
          <w:rFonts w:ascii="宋体" w:hAnsi="宋体" w:eastAsia="宋体" w:cs="宋体"/>
          <w:spacing w:val="-4"/>
          <w:sz w:val="24"/>
          <w:szCs w:val="24"/>
        </w:rPr>
        <w:t>响评价区分布有种子植物共计</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 xml:space="preserve">141 </w:t>
      </w:r>
      <w:r>
        <w:rPr>
          <w:rFonts w:ascii="宋体" w:hAnsi="宋体" w:eastAsia="宋体" w:cs="宋体"/>
          <w:spacing w:val="-4"/>
          <w:sz w:val="24"/>
          <w:szCs w:val="24"/>
        </w:rPr>
        <w:t>属，其中世界分</w:t>
      </w:r>
      <w:r>
        <w:rPr>
          <w:rFonts w:ascii="宋体" w:hAnsi="宋体" w:eastAsia="宋体" w:cs="宋体"/>
          <w:spacing w:val="-5"/>
          <w:sz w:val="24"/>
          <w:szCs w:val="24"/>
        </w:rPr>
        <w:t>布的属有</w:t>
      </w:r>
      <w:r>
        <w:rPr>
          <w:rFonts w:ascii="宋体" w:hAnsi="宋体" w:eastAsia="宋体" w:cs="宋体"/>
          <w:spacing w:val="-54"/>
          <w:sz w:val="24"/>
          <w:szCs w:val="24"/>
        </w:rPr>
        <w:t xml:space="preserve"> </w:t>
      </w:r>
      <w:r>
        <w:rPr>
          <w:rFonts w:ascii="Times New Roman" w:hAnsi="Times New Roman" w:eastAsia="Times New Roman" w:cs="Times New Roman"/>
          <w:spacing w:val="-5"/>
          <w:sz w:val="24"/>
          <w:szCs w:val="24"/>
        </w:rPr>
        <w:t xml:space="preserve">22 </w:t>
      </w:r>
      <w:r>
        <w:rPr>
          <w:rFonts w:ascii="宋体" w:hAnsi="宋体" w:eastAsia="宋体" w:cs="宋体"/>
          <w:spacing w:val="-5"/>
          <w:sz w:val="24"/>
          <w:szCs w:val="24"/>
        </w:rPr>
        <w:t>属，占总属数的</w:t>
      </w:r>
      <w:r>
        <w:rPr>
          <w:rFonts w:ascii="宋体" w:hAnsi="宋体" w:eastAsia="宋体" w:cs="宋体"/>
          <w:spacing w:val="-31"/>
          <w:sz w:val="24"/>
          <w:szCs w:val="24"/>
        </w:rPr>
        <w:t xml:space="preserve"> </w:t>
      </w:r>
      <w:r>
        <w:rPr>
          <w:rFonts w:ascii="Times New Roman" w:hAnsi="Times New Roman" w:eastAsia="Times New Roman" w:cs="Times New Roman"/>
          <w:spacing w:val="-5"/>
          <w:sz w:val="24"/>
          <w:szCs w:val="24"/>
        </w:rPr>
        <w:t>15.6%</w:t>
      </w:r>
      <w:r>
        <w:rPr>
          <w:rFonts w:ascii="宋体" w:hAnsi="宋体" w:eastAsia="宋体" w:cs="宋体"/>
          <w:spacing w:val="-5"/>
          <w:sz w:val="24"/>
          <w:szCs w:val="24"/>
        </w:rPr>
        <w:t>；</w:t>
      </w:r>
      <w:r>
        <w:rPr>
          <w:rFonts w:ascii="宋体" w:hAnsi="宋体" w:eastAsia="宋体" w:cs="宋体"/>
          <w:sz w:val="24"/>
          <w:szCs w:val="24"/>
        </w:rPr>
        <w:t xml:space="preserve">热带分布的属有 </w:t>
      </w:r>
      <w:r>
        <w:rPr>
          <w:rFonts w:ascii="Times New Roman" w:hAnsi="Times New Roman" w:eastAsia="Times New Roman" w:cs="Times New Roman"/>
          <w:sz w:val="24"/>
          <w:szCs w:val="24"/>
        </w:rPr>
        <w:t xml:space="preserve">52  </w:t>
      </w:r>
      <w:r>
        <w:rPr>
          <w:rFonts w:ascii="宋体" w:hAnsi="宋体" w:eastAsia="宋体" w:cs="宋体"/>
          <w:sz w:val="24"/>
          <w:szCs w:val="24"/>
        </w:rPr>
        <w:t>属，</w:t>
      </w:r>
      <w:r>
        <w:rPr>
          <w:rFonts w:ascii="宋体" w:hAnsi="宋体" w:eastAsia="宋体" w:cs="宋体"/>
          <w:spacing w:val="-69"/>
          <w:sz w:val="24"/>
          <w:szCs w:val="24"/>
        </w:rPr>
        <w:t xml:space="preserve"> </w:t>
      </w:r>
      <w:r>
        <w:rPr>
          <w:rFonts w:ascii="宋体" w:hAnsi="宋体" w:eastAsia="宋体" w:cs="宋体"/>
          <w:sz w:val="24"/>
          <w:szCs w:val="24"/>
        </w:rPr>
        <w:t xml:space="preserve">占总属数的 </w:t>
      </w:r>
      <w:r>
        <w:rPr>
          <w:rFonts w:ascii="Times New Roman" w:hAnsi="Times New Roman" w:eastAsia="Times New Roman" w:cs="Times New Roman"/>
          <w:sz w:val="24"/>
          <w:szCs w:val="24"/>
        </w:rPr>
        <w:t>36.88%</w:t>
      </w:r>
      <w:r>
        <w:rPr>
          <w:rFonts w:ascii="宋体" w:hAnsi="宋体" w:eastAsia="宋体" w:cs="宋体"/>
          <w:sz w:val="24"/>
          <w:szCs w:val="24"/>
        </w:rPr>
        <w:t>；温带分布类型</w:t>
      </w:r>
      <w:r>
        <w:rPr>
          <w:rFonts w:ascii="宋体" w:hAnsi="宋体" w:eastAsia="宋体" w:cs="宋体"/>
          <w:spacing w:val="-1"/>
          <w:sz w:val="24"/>
          <w:szCs w:val="24"/>
        </w:rPr>
        <w:t xml:space="preserve">的有 </w:t>
      </w:r>
      <w:r>
        <w:rPr>
          <w:rFonts w:ascii="Times New Roman" w:hAnsi="Times New Roman" w:eastAsia="Times New Roman" w:cs="Times New Roman"/>
          <w:spacing w:val="-1"/>
          <w:sz w:val="24"/>
          <w:szCs w:val="24"/>
        </w:rPr>
        <w:t>67</w:t>
      </w:r>
      <w:r>
        <w:rPr>
          <w:rFonts w:ascii="Times New Roman" w:hAnsi="Times New Roman" w:eastAsia="Times New Roman" w:cs="Times New Roman"/>
          <w:spacing w:val="6"/>
          <w:sz w:val="24"/>
          <w:szCs w:val="24"/>
        </w:rPr>
        <w:t xml:space="preserve">  </w:t>
      </w:r>
      <w:r>
        <w:rPr>
          <w:rFonts w:ascii="宋体" w:hAnsi="宋体" w:eastAsia="宋体" w:cs="宋体"/>
          <w:spacing w:val="-1"/>
          <w:sz w:val="24"/>
          <w:szCs w:val="24"/>
        </w:rPr>
        <w:t>属，占总属数的</w:t>
      </w:r>
      <w:r>
        <w:rPr>
          <w:rFonts w:ascii="Times New Roman" w:hAnsi="Times New Roman" w:eastAsia="Times New Roman" w:cs="Times New Roman"/>
          <w:spacing w:val="-2"/>
          <w:sz w:val="24"/>
          <w:szCs w:val="24"/>
        </w:rPr>
        <w:t>47.52%</w:t>
      </w:r>
      <w:r>
        <w:rPr>
          <w:rFonts w:ascii="宋体" w:hAnsi="宋体" w:eastAsia="宋体" w:cs="宋体"/>
          <w:spacing w:val="-2"/>
          <w:sz w:val="24"/>
          <w:szCs w:val="24"/>
        </w:rPr>
        <w:t>，说明这一地区植物区系温带性质占优势。</w:t>
      </w:r>
    </w:p>
    <w:p w14:paraId="42020AE1">
      <w:pPr>
        <w:spacing w:before="1" w:line="229" w:lineRule="auto"/>
        <w:ind w:left="2479"/>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3"/>
          <w:sz w:val="21"/>
          <w:szCs w:val="21"/>
        </w:rPr>
        <w:t xml:space="preserve"> </w:t>
      </w:r>
      <w:r>
        <w:rPr>
          <w:rFonts w:ascii="Times New Roman" w:hAnsi="Times New Roman" w:eastAsia="Times New Roman" w:cs="Times New Roman"/>
          <w:b/>
          <w:bCs/>
          <w:spacing w:val="-2"/>
          <w:sz w:val="21"/>
          <w:szCs w:val="21"/>
        </w:rPr>
        <w:t xml:space="preserve">2-4    </w:t>
      </w:r>
      <w:r>
        <w:rPr>
          <w:rFonts w:ascii="宋体" w:hAnsi="宋体" w:eastAsia="宋体" w:cs="宋体"/>
          <w:b/>
          <w:bCs/>
          <w:spacing w:val="-2"/>
          <w:sz w:val="21"/>
          <w:szCs w:val="21"/>
        </w:rPr>
        <w:t>影响评价区种子植物属的分布区类型</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4"/>
        <w:gridCol w:w="6543"/>
        <w:gridCol w:w="734"/>
        <w:gridCol w:w="1017"/>
      </w:tblGrid>
      <w:tr w14:paraId="517963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774" w:type="dxa"/>
            <w:vAlign w:val="top"/>
          </w:tcPr>
          <w:p w14:paraId="36ACC7D5">
            <w:pPr>
              <w:pStyle w:val="6"/>
              <w:spacing w:before="55" w:line="221" w:lineRule="auto"/>
              <w:ind w:left="179"/>
            </w:pPr>
            <w:r>
              <w:rPr>
                <w:b/>
                <w:bCs/>
                <w:spacing w:val="-4"/>
              </w:rPr>
              <w:t>代号</w:t>
            </w:r>
          </w:p>
        </w:tc>
        <w:tc>
          <w:tcPr>
            <w:tcW w:w="6543" w:type="dxa"/>
            <w:vAlign w:val="top"/>
          </w:tcPr>
          <w:p w14:paraId="59BF0EBD">
            <w:pPr>
              <w:pStyle w:val="6"/>
              <w:spacing w:before="55" w:line="220" w:lineRule="auto"/>
              <w:ind w:left="2750"/>
            </w:pPr>
            <w:r>
              <w:rPr>
                <w:b/>
                <w:bCs/>
                <w:spacing w:val="-3"/>
              </w:rPr>
              <w:t>分布区类型</w:t>
            </w:r>
          </w:p>
        </w:tc>
        <w:tc>
          <w:tcPr>
            <w:tcW w:w="734" w:type="dxa"/>
            <w:vAlign w:val="top"/>
          </w:tcPr>
          <w:p w14:paraId="1E88A892">
            <w:pPr>
              <w:pStyle w:val="6"/>
              <w:spacing w:before="55" w:line="221" w:lineRule="auto"/>
              <w:ind w:left="163"/>
            </w:pPr>
            <w:r>
              <w:rPr>
                <w:b/>
                <w:bCs/>
                <w:spacing w:val="-5"/>
              </w:rPr>
              <w:t>属数</w:t>
            </w:r>
          </w:p>
        </w:tc>
        <w:tc>
          <w:tcPr>
            <w:tcW w:w="1017" w:type="dxa"/>
            <w:vAlign w:val="top"/>
          </w:tcPr>
          <w:p w14:paraId="37F49FB1">
            <w:pPr>
              <w:pStyle w:val="6"/>
              <w:spacing w:before="56" w:line="223" w:lineRule="auto"/>
              <w:ind w:left="232"/>
              <w:rPr>
                <w:rFonts w:ascii="Times New Roman" w:hAnsi="Times New Roman" w:eastAsia="Times New Roman" w:cs="Times New Roman"/>
              </w:rPr>
            </w:pPr>
            <w:r>
              <w:rPr>
                <w:b/>
                <w:bCs/>
                <w:spacing w:val="-15"/>
              </w:rPr>
              <w:t>占比</w:t>
            </w:r>
            <w:r>
              <w:rPr>
                <w:rFonts w:ascii="Times New Roman" w:hAnsi="Times New Roman" w:eastAsia="Times New Roman" w:cs="Times New Roman"/>
                <w:b/>
                <w:bCs/>
                <w:spacing w:val="-15"/>
              </w:rPr>
              <w:t>%</w:t>
            </w:r>
          </w:p>
        </w:tc>
      </w:tr>
      <w:tr w14:paraId="1834EBE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774" w:type="dxa"/>
            <w:vAlign w:val="top"/>
          </w:tcPr>
          <w:p w14:paraId="3F4CD131">
            <w:pPr>
              <w:spacing w:before="89" w:line="219" w:lineRule="auto"/>
              <w:ind w:left="355"/>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6543" w:type="dxa"/>
            <w:vAlign w:val="top"/>
          </w:tcPr>
          <w:p w14:paraId="6025513E">
            <w:pPr>
              <w:pStyle w:val="6"/>
              <w:spacing w:before="54" w:line="220" w:lineRule="auto"/>
              <w:ind w:left="112"/>
            </w:pPr>
            <w:r>
              <w:rPr>
                <w:spacing w:val="-2"/>
              </w:rPr>
              <w:t>世界分布</w:t>
            </w:r>
          </w:p>
        </w:tc>
        <w:tc>
          <w:tcPr>
            <w:tcW w:w="734" w:type="dxa"/>
            <w:vAlign w:val="top"/>
          </w:tcPr>
          <w:p w14:paraId="7DFEAC3B">
            <w:pPr>
              <w:spacing w:before="89" w:line="219" w:lineRule="auto"/>
              <w:ind w:left="263"/>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22</w:t>
            </w:r>
          </w:p>
        </w:tc>
        <w:tc>
          <w:tcPr>
            <w:tcW w:w="1017" w:type="dxa"/>
            <w:vAlign w:val="top"/>
          </w:tcPr>
          <w:p w14:paraId="6F925FF1">
            <w:pPr>
              <w:spacing w:before="89" w:line="219" w:lineRule="auto"/>
              <w:ind w:left="29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15.60</w:t>
            </w:r>
          </w:p>
        </w:tc>
      </w:tr>
      <w:tr w14:paraId="1E9ACC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774" w:type="dxa"/>
            <w:vAlign w:val="top"/>
          </w:tcPr>
          <w:p w14:paraId="298BE140">
            <w:pPr>
              <w:spacing w:before="91" w:line="214" w:lineRule="auto"/>
              <w:ind w:left="335"/>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6543" w:type="dxa"/>
            <w:vAlign w:val="top"/>
          </w:tcPr>
          <w:p w14:paraId="00CFFDD5">
            <w:pPr>
              <w:pStyle w:val="6"/>
              <w:spacing w:before="56" w:line="220" w:lineRule="auto"/>
              <w:ind w:left="112"/>
            </w:pPr>
            <w:r>
              <w:rPr>
                <w:spacing w:val="-1"/>
              </w:rPr>
              <w:t>泛热带分布</w:t>
            </w:r>
          </w:p>
        </w:tc>
        <w:tc>
          <w:tcPr>
            <w:tcW w:w="734" w:type="dxa"/>
            <w:vAlign w:val="top"/>
          </w:tcPr>
          <w:p w14:paraId="70BFFC2C">
            <w:pPr>
              <w:spacing w:before="91" w:line="214" w:lineRule="auto"/>
              <w:ind w:left="26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w:t>
            </w:r>
          </w:p>
        </w:tc>
        <w:tc>
          <w:tcPr>
            <w:tcW w:w="1017" w:type="dxa"/>
            <w:vAlign w:val="top"/>
          </w:tcPr>
          <w:p w14:paraId="40CFF95A">
            <w:pPr>
              <w:spacing w:before="91" w:line="214" w:lineRule="auto"/>
              <w:ind w:left="29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19.15</w:t>
            </w:r>
          </w:p>
        </w:tc>
      </w:tr>
      <w:tr w14:paraId="55FF06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774" w:type="dxa"/>
            <w:vAlign w:val="top"/>
          </w:tcPr>
          <w:p w14:paraId="472959A8">
            <w:pPr>
              <w:spacing w:before="93" w:line="220" w:lineRule="auto"/>
              <w:ind w:left="25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c>
          <w:tcPr>
            <w:tcW w:w="6543" w:type="dxa"/>
            <w:vAlign w:val="top"/>
          </w:tcPr>
          <w:p w14:paraId="3EFEC138">
            <w:pPr>
              <w:pStyle w:val="6"/>
              <w:spacing w:before="58" w:line="220" w:lineRule="auto"/>
              <w:ind w:left="116"/>
            </w:pPr>
            <w:r>
              <w:t>热带亚洲、大洋洲（至新西兰）和中、南美洲（或墨</w:t>
            </w:r>
            <w:r>
              <w:rPr>
                <w:spacing w:val="-1"/>
              </w:rPr>
              <w:t>西哥）间断分布</w:t>
            </w:r>
          </w:p>
        </w:tc>
        <w:tc>
          <w:tcPr>
            <w:tcW w:w="734" w:type="dxa"/>
            <w:vAlign w:val="top"/>
          </w:tcPr>
          <w:p w14:paraId="6EF012F1">
            <w:pPr>
              <w:spacing w:before="93" w:line="220" w:lineRule="auto"/>
              <w:ind w:left="336"/>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017" w:type="dxa"/>
            <w:vAlign w:val="top"/>
          </w:tcPr>
          <w:p w14:paraId="30795AEF">
            <w:pPr>
              <w:spacing w:before="93" w:line="220"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0.71</w:t>
            </w:r>
          </w:p>
        </w:tc>
      </w:tr>
    </w:tbl>
    <w:p w14:paraId="57EA7244">
      <w:pPr>
        <w:rPr>
          <w:rFonts w:ascii="Arial"/>
          <w:sz w:val="21"/>
        </w:rPr>
      </w:pPr>
    </w:p>
    <w:p w14:paraId="7FEAC86C">
      <w:pPr>
        <w:rPr>
          <w:rFonts w:ascii="Arial" w:hAnsi="Arial" w:eastAsia="Arial" w:cs="Arial"/>
          <w:sz w:val="21"/>
          <w:szCs w:val="21"/>
        </w:rPr>
        <w:sectPr>
          <w:footerReference r:id="rId161" w:type="default"/>
          <w:pgSz w:w="11907" w:h="16841"/>
          <w:pgMar w:top="400" w:right="1229" w:bottom="1126" w:left="1418" w:header="0" w:footer="925" w:gutter="0"/>
          <w:cols w:space="720" w:num="1"/>
        </w:sectPr>
      </w:pPr>
    </w:p>
    <w:p w14:paraId="11424562">
      <w:pPr>
        <w:spacing w:before="2"/>
      </w:pPr>
    </w:p>
    <w:p w14:paraId="70EDBB32">
      <w:pPr>
        <w:spacing w:before="2"/>
      </w:pPr>
    </w:p>
    <w:p w14:paraId="4EC74AA1">
      <w:pPr>
        <w:spacing w:before="1"/>
      </w:pPr>
    </w:p>
    <w:p w14:paraId="11F73BD9">
      <w:pPr>
        <w:spacing w:before="1"/>
      </w:pPr>
    </w:p>
    <w:p w14:paraId="2CCC9C81">
      <w:pPr>
        <w:spacing w:before="1"/>
      </w:pP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74"/>
        <w:gridCol w:w="6543"/>
        <w:gridCol w:w="734"/>
        <w:gridCol w:w="1017"/>
      </w:tblGrid>
      <w:tr w14:paraId="37A839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6" w:hRule="atLeast"/>
        </w:trPr>
        <w:tc>
          <w:tcPr>
            <w:tcW w:w="774" w:type="dxa"/>
            <w:vAlign w:val="top"/>
          </w:tcPr>
          <w:p w14:paraId="761D496E">
            <w:pPr>
              <w:spacing w:before="93" w:line="221" w:lineRule="auto"/>
              <w:ind w:left="25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tc>
        <w:tc>
          <w:tcPr>
            <w:tcW w:w="6543" w:type="dxa"/>
            <w:vAlign w:val="top"/>
          </w:tcPr>
          <w:p w14:paraId="4E7C0EC2">
            <w:pPr>
              <w:pStyle w:val="6"/>
              <w:spacing w:before="58" w:line="220" w:lineRule="auto"/>
              <w:ind w:left="116"/>
            </w:pPr>
            <w:r>
              <w:rPr>
                <w:spacing w:val="-2"/>
              </w:rPr>
              <w:t>热带亚洲、非洲和中、南美洲间断分布。</w:t>
            </w:r>
          </w:p>
        </w:tc>
        <w:tc>
          <w:tcPr>
            <w:tcW w:w="734" w:type="dxa"/>
            <w:vAlign w:val="top"/>
          </w:tcPr>
          <w:p w14:paraId="255CD7FD">
            <w:pPr>
              <w:spacing w:before="93" w:line="221" w:lineRule="auto"/>
              <w:ind w:left="336"/>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017" w:type="dxa"/>
            <w:vAlign w:val="top"/>
          </w:tcPr>
          <w:p w14:paraId="2880DDD3">
            <w:pPr>
              <w:spacing w:before="93" w:line="221"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0.71</w:t>
            </w:r>
          </w:p>
        </w:tc>
      </w:tr>
      <w:tr w14:paraId="335EA4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74" w:type="dxa"/>
            <w:vAlign w:val="top"/>
          </w:tcPr>
          <w:p w14:paraId="6F04BBCE">
            <w:pPr>
              <w:spacing w:before="89" w:line="218" w:lineRule="auto"/>
              <w:ind w:left="339"/>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6543" w:type="dxa"/>
            <w:vAlign w:val="top"/>
          </w:tcPr>
          <w:p w14:paraId="7B449765">
            <w:pPr>
              <w:pStyle w:val="6"/>
              <w:spacing w:before="54" w:line="220" w:lineRule="auto"/>
              <w:ind w:left="116"/>
            </w:pPr>
            <w:r>
              <w:rPr>
                <w:spacing w:val="-1"/>
              </w:rPr>
              <w:t>热带亚洲和热带美洲间断分布</w:t>
            </w:r>
          </w:p>
        </w:tc>
        <w:tc>
          <w:tcPr>
            <w:tcW w:w="734" w:type="dxa"/>
            <w:vAlign w:val="top"/>
          </w:tcPr>
          <w:p w14:paraId="43D99D0C">
            <w:pPr>
              <w:spacing w:before="89" w:line="218" w:lineRule="auto"/>
              <w:ind w:left="321"/>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017" w:type="dxa"/>
            <w:vAlign w:val="top"/>
          </w:tcPr>
          <w:p w14:paraId="0BB72179">
            <w:pPr>
              <w:spacing w:before="89" w:line="218"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3.55</w:t>
            </w:r>
          </w:p>
        </w:tc>
      </w:tr>
      <w:tr w14:paraId="2B9AE8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74" w:type="dxa"/>
            <w:vAlign w:val="top"/>
          </w:tcPr>
          <w:p w14:paraId="7EFFAC9A">
            <w:pPr>
              <w:spacing w:before="89" w:line="220" w:lineRule="auto"/>
              <w:ind w:left="334"/>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6543" w:type="dxa"/>
            <w:vAlign w:val="top"/>
          </w:tcPr>
          <w:p w14:paraId="20763328">
            <w:pPr>
              <w:pStyle w:val="6"/>
              <w:spacing w:before="54" w:line="220" w:lineRule="auto"/>
              <w:ind w:left="136"/>
            </w:pPr>
            <w:r>
              <w:rPr>
                <w:spacing w:val="-5"/>
              </w:rPr>
              <w:t>旧世界热带分布</w:t>
            </w:r>
          </w:p>
        </w:tc>
        <w:tc>
          <w:tcPr>
            <w:tcW w:w="734" w:type="dxa"/>
            <w:vAlign w:val="top"/>
          </w:tcPr>
          <w:p w14:paraId="42FA829B">
            <w:pPr>
              <w:spacing w:before="89" w:line="220" w:lineRule="auto"/>
              <w:ind w:left="320"/>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017" w:type="dxa"/>
            <w:vAlign w:val="top"/>
          </w:tcPr>
          <w:p w14:paraId="53ACAD87">
            <w:pPr>
              <w:spacing w:before="89" w:line="220" w:lineRule="auto"/>
              <w:ind w:left="3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2.13</w:t>
            </w:r>
          </w:p>
        </w:tc>
      </w:tr>
      <w:tr w14:paraId="41B857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74" w:type="dxa"/>
            <w:vAlign w:val="top"/>
          </w:tcPr>
          <w:p w14:paraId="3C57F163">
            <w:pPr>
              <w:spacing w:before="87" w:line="220" w:lineRule="auto"/>
              <w:ind w:left="341"/>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6543" w:type="dxa"/>
            <w:vAlign w:val="top"/>
          </w:tcPr>
          <w:p w14:paraId="02CDF26D">
            <w:pPr>
              <w:pStyle w:val="6"/>
              <w:spacing w:before="52" w:line="220" w:lineRule="auto"/>
              <w:ind w:left="116"/>
            </w:pPr>
            <w:r>
              <w:rPr>
                <w:spacing w:val="-1"/>
              </w:rPr>
              <w:t>热带亚洲至热带大洋洲分布</w:t>
            </w:r>
          </w:p>
        </w:tc>
        <w:tc>
          <w:tcPr>
            <w:tcW w:w="734" w:type="dxa"/>
            <w:vAlign w:val="top"/>
          </w:tcPr>
          <w:p w14:paraId="46FD31B7">
            <w:pPr>
              <w:spacing w:before="87" w:line="220" w:lineRule="auto"/>
              <w:ind w:left="320"/>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017" w:type="dxa"/>
            <w:vAlign w:val="top"/>
          </w:tcPr>
          <w:p w14:paraId="4530C0D4">
            <w:pPr>
              <w:spacing w:before="87" w:line="220" w:lineRule="auto"/>
              <w:ind w:left="3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2.13</w:t>
            </w:r>
          </w:p>
        </w:tc>
      </w:tr>
      <w:tr w14:paraId="30A385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74" w:type="dxa"/>
            <w:vAlign w:val="top"/>
          </w:tcPr>
          <w:p w14:paraId="72BF9221">
            <w:pPr>
              <w:spacing w:before="89" w:line="218" w:lineRule="auto"/>
              <w:ind w:left="340"/>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6543" w:type="dxa"/>
            <w:vAlign w:val="top"/>
          </w:tcPr>
          <w:p w14:paraId="48263976">
            <w:pPr>
              <w:pStyle w:val="6"/>
              <w:spacing w:before="54" w:line="220" w:lineRule="auto"/>
              <w:ind w:left="116"/>
            </w:pPr>
            <w:r>
              <w:rPr>
                <w:spacing w:val="-1"/>
              </w:rPr>
              <w:t>热带亚洲至热带非洲分布</w:t>
            </w:r>
          </w:p>
        </w:tc>
        <w:tc>
          <w:tcPr>
            <w:tcW w:w="734" w:type="dxa"/>
            <w:vAlign w:val="top"/>
          </w:tcPr>
          <w:p w14:paraId="7A07F58E">
            <w:pPr>
              <w:spacing w:before="89" w:line="218" w:lineRule="auto"/>
              <w:ind w:left="283"/>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017" w:type="dxa"/>
            <w:vAlign w:val="top"/>
          </w:tcPr>
          <w:p w14:paraId="42B19954">
            <w:pPr>
              <w:spacing w:before="89" w:line="218"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7.09</w:t>
            </w:r>
          </w:p>
        </w:tc>
      </w:tr>
      <w:tr w14:paraId="2DA717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74" w:type="dxa"/>
            <w:vAlign w:val="top"/>
          </w:tcPr>
          <w:p w14:paraId="1EC23FFA">
            <w:pPr>
              <w:spacing w:before="89" w:line="220" w:lineRule="auto"/>
              <w:ind w:left="338"/>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6543" w:type="dxa"/>
            <w:vAlign w:val="top"/>
          </w:tcPr>
          <w:p w14:paraId="7528B20D">
            <w:pPr>
              <w:pStyle w:val="6"/>
              <w:spacing w:before="54" w:line="220" w:lineRule="auto"/>
              <w:ind w:left="116"/>
            </w:pPr>
            <w:r>
              <w:rPr>
                <w:spacing w:val="-1"/>
              </w:rPr>
              <w:t>热带亚洲（印度</w:t>
            </w:r>
            <w:r>
              <w:rPr>
                <w:rFonts w:ascii="Times New Roman" w:hAnsi="Times New Roman" w:eastAsia="Times New Roman" w:cs="Times New Roman"/>
                <w:spacing w:val="-1"/>
              </w:rPr>
              <w:t>-</w:t>
            </w:r>
            <w:r>
              <w:rPr>
                <w:spacing w:val="-1"/>
              </w:rPr>
              <w:t>马来西亚）分布</w:t>
            </w:r>
          </w:p>
        </w:tc>
        <w:tc>
          <w:tcPr>
            <w:tcW w:w="734" w:type="dxa"/>
            <w:vAlign w:val="top"/>
          </w:tcPr>
          <w:p w14:paraId="2C858629">
            <w:pPr>
              <w:spacing w:before="89" w:line="220" w:lineRule="auto"/>
              <w:ind w:left="315"/>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017" w:type="dxa"/>
            <w:vAlign w:val="top"/>
          </w:tcPr>
          <w:p w14:paraId="247050FE">
            <w:pPr>
              <w:spacing w:before="89" w:line="220" w:lineRule="auto"/>
              <w:ind w:left="346"/>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1.42</w:t>
            </w:r>
          </w:p>
        </w:tc>
      </w:tr>
      <w:tr w14:paraId="03FC68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317" w:type="dxa"/>
            <w:gridSpan w:val="2"/>
            <w:vAlign w:val="top"/>
          </w:tcPr>
          <w:p w14:paraId="2B270F86">
            <w:pPr>
              <w:pStyle w:val="6"/>
              <w:spacing w:before="54" w:line="214" w:lineRule="auto"/>
              <w:ind w:left="120"/>
              <w:rPr>
                <w:rFonts w:ascii="Times New Roman" w:hAnsi="Times New Roman" w:eastAsia="Times New Roman" w:cs="Times New Roman"/>
              </w:rPr>
            </w:pPr>
            <w:r>
              <w:rPr>
                <w:spacing w:val="-2"/>
              </w:rPr>
              <w:t>热带合计</w:t>
            </w:r>
            <w:r>
              <w:rPr>
                <w:rFonts w:ascii="Times New Roman" w:hAnsi="Times New Roman" w:eastAsia="Times New Roman" w:cs="Times New Roman"/>
                <w:spacing w:val="-2"/>
              </w:rPr>
              <w:t>(2-7)</w:t>
            </w:r>
          </w:p>
        </w:tc>
        <w:tc>
          <w:tcPr>
            <w:tcW w:w="734" w:type="dxa"/>
            <w:vAlign w:val="top"/>
          </w:tcPr>
          <w:p w14:paraId="136D8330">
            <w:pPr>
              <w:spacing w:before="89" w:line="218" w:lineRule="auto"/>
              <w:ind w:left="26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52</w:t>
            </w:r>
          </w:p>
        </w:tc>
        <w:tc>
          <w:tcPr>
            <w:tcW w:w="1017" w:type="dxa"/>
            <w:vAlign w:val="top"/>
          </w:tcPr>
          <w:p w14:paraId="4597CB16">
            <w:pPr>
              <w:spacing w:before="89" w:line="218" w:lineRule="auto"/>
              <w:ind w:left="27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36.88</w:t>
            </w:r>
          </w:p>
        </w:tc>
      </w:tr>
      <w:tr w14:paraId="3FD945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74" w:type="dxa"/>
            <w:vAlign w:val="top"/>
          </w:tcPr>
          <w:p w14:paraId="78C12661">
            <w:pPr>
              <w:spacing w:before="89" w:line="220" w:lineRule="auto"/>
              <w:ind w:left="343"/>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6543" w:type="dxa"/>
            <w:vAlign w:val="top"/>
          </w:tcPr>
          <w:p w14:paraId="31B7AC23">
            <w:pPr>
              <w:pStyle w:val="6"/>
              <w:spacing w:before="54" w:line="220" w:lineRule="auto"/>
              <w:ind w:left="115"/>
            </w:pPr>
            <w:r>
              <w:rPr>
                <w:spacing w:val="-2"/>
              </w:rPr>
              <w:t>北温带分布</w:t>
            </w:r>
          </w:p>
        </w:tc>
        <w:tc>
          <w:tcPr>
            <w:tcW w:w="734" w:type="dxa"/>
            <w:vAlign w:val="top"/>
          </w:tcPr>
          <w:p w14:paraId="7D33CEB6">
            <w:pPr>
              <w:spacing w:before="89" w:line="220" w:lineRule="auto"/>
              <w:ind w:left="26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33</w:t>
            </w:r>
          </w:p>
        </w:tc>
        <w:tc>
          <w:tcPr>
            <w:tcW w:w="1017" w:type="dxa"/>
            <w:vAlign w:val="top"/>
          </w:tcPr>
          <w:p w14:paraId="61E68E69">
            <w:pPr>
              <w:spacing w:before="89" w:line="220" w:lineRule="auto"/>
              <w:ind w:left="27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23.40</w:t>
            </w:r>
          </w:p>
        </w:tc>
      </w:tr>
      <w:tr w14:paraId="457EE5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74" w:type="dxa"/>
            <w:vAlign w:val="top"/>
          </w:tcPr>
          <w:p w14:paraId="5A62093D">
            <w:pPr>
              <w:spacing w:before="87" w:line="220" w:lineRule="auto"/>
              <w:ind w:left="26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8.4</w:t>
            </w:r>
          </w:p>
        </w:tc>
        <w:tc>
          <w:tcPr>
            <w:tcW w:w="6543" w:type="dxa"/>
            <w:vAlign w:val="top"/>
          </w:tcPr>
          <w:p w14:paraId="5013689E">
            <w:pPr>
              <w:pStyle w:val="6"/>
              <w:spacing w:before="52" w:line="220" w:lineRule="auto"/>
              <w:ind w:left="115"/>
              <w:rPr>
                <w:rFonts w:ascii="Times New Roman" w:hAnsi="Times New Roman" w:eastAsia="Times New Roman" w:cs="Times New Roman"/>
              </w:rPr>
            </w:pPr>
            <w:r>
              <w:rPr>
                <w:spacing w:val="2"/>
              </w:rPr>
              <w:t>北温带和南温带间断分布</w:t>
            </w:r>
            <w:r>
              <w:rPr>
                <w:rFonts w:ascii="Times New Roman" w:hAnsi="Times New Roman" w:eastAsia="Times New Roman" w:cs="Times New Roman"/>
                <w:spacing w:val="2"/>
              </w:rPr>
              <w:t>“</w:t>
            </w:r>
            <w:r>
              <w:rPr>
                <w:spacing w:val="2"/>
              </w:rPr>
              <w:t>全温带</w:t>
            </w:r>
            <w:r>
              <w:rPr>
                <w:rFonts w:ascii="Times New Roman" w:hAnsi="Times New Roman" w:eastAsia="Times New Roman" w:cs="Times New Roman"/>
                <w:spacing w:val="2"/>
              </w:rPr>
              <w:t>”</w:t>
            </w:r>
          </w:p>
        </w:tc>
        <w:tc>
          <w:tcPr>
            <w:tcW w:w="734" w:type="dxa"/>
            <w:vAlign w:val="top"/>
          </w:tcPr>
          <w:p w14:paraId="4E45D7BA">
            <w:pPr>
              <w:spacing w:before="87" w:line="220" w:lineRule="auto"/>
              <w:ind w:left="321"/>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017" w:type="dxa"/>
            <w:vAlign w:val="top"/>
          </w:tcPr>
          <w:p w14:paraId="6C2F796D">
            <w:pPr>
              <w:spacing w:before="87" w:line="220"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3.55</w:t>
            </w:r>
          </w:p>
        </w:tc>
      </w:tr>
      <w:tr w14:paraId="72F6C4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74" w:type="dxa"/>
            <w:vAlign w:val="top"/>
          </w:tcPr>
          <w:p w14:paraId="60ADFB74">
            <w:pPr>
              <w:spacing w:before="90" w:line="219" w:lineRule="auto"/>
              <w:ind w:left="26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8.5</w:t>
            </w:r>
          </w:p>
        </w:tc>
        <w:tc>
          <w:tcPr>
            <w:tcW w:w="6543" w:type="dxa"/>
            <w:vAlign w:val="top"/>
          </w:tcPr>
          <w:p w14:paraId="7526AFE5">
            <w:pPr>
              <w:pStyle w:val="6"/>
              <w:spacing w:before="55" w:line="220" w:lineRule="auto"/>
              <w:ind w:left="119"/>
            </w:pPr>
            <w:r>
              <w:rPr>
                <w:spacing w:val="-3"/>
              </w:rPr>
              <w:t>欧亚和南美洲温带间断分布。</w:t>
            </w:r>
          </w:p>
        </w:tc>
        <w:tc>
          <w:tcPr>
            <w:tcW w:w="734" w:type="dxa"/>
            <w:vAlign w:val="top"/>
          </w:tcPr>
          <w:p w14:paraId="2135FCD0">
            <w:pPr>
              <w:spacing w:before="90" w:line="219" w:lineRule="auto"/>
              <w:ind w:left="336"/>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017" w:type="dxa"/>
            <w:vAlign w:val="top"/>
          </w:tcPr>
          <w:p w14:paraId="22DDD0BB">
            <w:pPr>
              <w:spacing w:before="90" w:line="219"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0.71</w:t>
            </w:r>
          </w:p>
        </w:tc>
      </w:tr>
      <w:tr w14:paraId="6E5C82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74" w:type="dxa"/>
            <w:vAlign w:val="top"/>
          </w:tcPr>
          <w:p w14:paraId="030B1DD4">
            <w:pPr>
              <w:spacing w:before="88" w:line="219" w:lineRule="auto"/>
              <w:ind w:left="26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8.6</w:t>
            </w:r>
          </w:p>
        </w:tc>
        <w:tc>
          <w:tcPr>
            <w:tcW w:w="6543" w:type="dxa"/>
            <w:vAlign w:val="top"/>
          </w:tcPr>
          <w:p w14:paraId="6FF29B0D">
            <w:pPr>
              <w:pStyle w:val="6"/>
              <w:spacing w:before="53" w:line="220" w:lineRule="auto"/>
              <w:ind w:left="112"/>
            </w:pPr>
            <w:r>
              <w:rPr>
                <w:spacing w:val="-1"/>
              </w:rPr>
              <w:t>地中海、东亚、新西兰和墨西哥</w:t>
            </w:r>
            <w:r>
              <w:rPr>
                <w:rFonts w:ascii="Times New Roman" w:hAnsi="Times New Roman" w:eastAsia="Times New Roman" w:cs="Times New Roman"/>
                <w:spacing w:val="-1"/>
              </w:rPr>
              <w:t>-</w:t>
            </w:r>
            <w:r>
              <w:rPr>
                <w:spacing w:val="-1"/>
              </w:rPr>
              <w:t>智利间断分布。</w:t>
            </w:r>
          </w:p>
        </w:tc>
        <w:tc>
          <w:tcPr>
            <w:tcW w:w="734" w:type="dxa"/>
            <w:vAlign w:val="top"/>
          </w:tcPr>
          <w:p w14:paraId="04B20BEF">
            <w:pPr>
              <w:spacing w:before="88" w:line="219" w:lineRule="auto"/>
              <w:ind w:left="336"/>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017" w:type="dxa"/>
            <w:vAlign w:val="top"/>
          </w:tcPr>
          <w:p w14:paraId="40BB56A8">
            <w:pPr>
              <w:spacing w:before="88" w:line="219"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0.71</w:t>
            </w:r>
          </w:p>
        </w:tc>
      </w:tr>
      <w:tr w14:paraId="6B4D1F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74" w:type="dxa"/>
            <w:vAlign w:val="top"/>
          </w:tcPr>
          <w:p w14:paraId="560DC88A">
            <w:pPr>
              <w:spacing w:before="91" w:line="216" w:lineRule="auto"/>
              <w:ind w:left="339"/>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6543" w:type="dxa"/>
            <w:vAlign w:val="top"/>
          </w:tcPr>
          <w:p w14:paraId="01DE380A">
            <w:pPr>
              <w:pStyle w:val="6"/>
              <w:spacing w:before="56" w:line="220" w:lineRule="auto"/>
              <w:ind w:left="119"/>
            </w:pPr>
            <w:r>
              <w:rPr>
                <w:spacing w:val="-2"/>
              </w:rPr>
              <w:t>东亚和北美洲间断分布</w:t>
            </w:r>
          </w:p>
        </w:tc>
        <w:tc>
          <w:tcPr>
            <w:tcW w:w="734" w:type="dxa"/>
            <w:vAlign w:val="top"/>
          </w:tcPr>
          <w:p w14:paraId="2C7A28D2">
            <w:pPr>
              <w:spacing w:before="91" w:line="216" w:lineRule="auto"/>
              <w:ind w:left="321"/>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017" w:type="dxa"/>
            <w:vAlign w:val="top"/>
          </w:tcPr>
          <w:p w14:paraId="0A41FD07">
            <w:pPr>
              <w:spacing w:before="91" w:line="216"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3.55</w:t>
            </w:r>
          </w:p>
        </w:tc>
      </w:tr>
      <w:tr w14:paraId="63D1EF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74" w:type="dxa"/>
            <w:vAlign w:val="top"/>
          </w:tcPr>
          <w:p w14:paraId="6F45D9B8">
            <w:pPr>
              <w:spacing w:before="91" w:line="218" w:lineRule="auto"/>
              <w:ind w:left="30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6543" w:type="dxa"/>
            <w:vAlign w:val="top"/>
          </w:tcPr>
          <w:p w14:paraId="07204B65">
            <w:pPr>
              <w:pStyle w:val="6"/>
              <w:spacing w:before="56" w:line="220" w:lineRule="auto"/>
              <w:ind w:left="136"/>
            </w:pPr>
            <w:r>
              <w:rPr>
                <w:spacing w:val="-5"/>
              </w:rPr>
              <w:t>旧世界温带分布</w:t>
            </w:r>
          </w:p>
        </w:tc>
        <w:tc>
          <w:tcPr>
            <w:tcW w:w="734" w:type="dxa"/>
            <w:vAlign w:val="top"/>
          </w:tcPr>
          <w:p w14:paraId="349E809D">
            <w:pPr>
              <w:spacing w:before="91" w:line="218" w:lineRule="auto"/>
              <w:ind w:left="315"/>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017" w:type="dxa"/>
            <w:vAlign w:val="top"/>
          </w:tcPr>
          <w:p w14:paraId="55490506">
            <w:pPr>
              <w:spacing w:before="91" w:line="218" w:lineRule="auto"/>
              <w:ind w:left="346"/>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1.42</w:t>
            </w:r>
          </w:p>
        </w:tc>
      </w:tr>
      <w:tr w14:paraId="7681A9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74" w:type="dxa"/>
            <w:vAlign w:val="top"/>
          </w:tcPr>
          <w:p w14:paraId="307EF8B3">
            <w:pPr>
              <w:spacing w:before="91" w:line="216" w:lineRule="auto"/>
              <w:ind w:left="226"/>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10.1</w:t>
            </w:r>
          </w:p>
        </w:tc>
        <w:tc>
          <w:tcPr>
            <w:tcW w:w="6543" w:type="dxa"/>
            <w:vAlign w:val="top"/>
          </w:tcPr>
          <w:p w14:paraId="2A03931F">
            <w:pPr>
              <w:pStyle w:val="6"/>
              <w:spacing w:before="56" w:line="220" w:lineRule="auto"/>
              <w:ind w:left="112"/>
            </w:pPr>
            <w:r>
              <w:rPr>
                <w:spacing w:val="-1"/>
              </w:rPr>
              <w:t>地中海区、西亚（或中亚）和东亚间断分布。</w:t>
            </w:r>
          </w:p>
        </w:tc>
        <w:tc>
          <w:tcPr>
            <w:tcW w:w="734" w:type="dxa"/>
            <w:vAlign w:val="top"/>
          </w:tcPr>
          <w:p w14:paraId="141304DF">
            <w:pPr>
              <w:spacing w:before="91" w:line="216" w:lineRule="auto"/>
              <w:ind w:left="320"/>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017" w:type="dxa"/>
            <w:vAlign w:val="top"/>
          </w:tcPr>
          <w:p w14:paraId="57AA42D7">
            <w:pPr>
              <w:spacing w:before="91" w:line="216" w:lineRule="auto"/>
              <w:ind w:left="3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2.13</w:t>
            </w:r>
          </w:p>
        </w:tc>
      </w:tr>
      <w:tr w14:paraId="4520A4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74" w:type="dxa"/>
            <w:vAlign w:val="top"/>
          </w:tcPr>
          <w:p w14:paraId="5D58F0CC">
            <w:pPr>
              <w:spacing w:before="91" w:line="218" w:lineRule="auto"/>
              <w:ind w:left="30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11</w:t>
            </w:r>
          </w:p>
        </w:tc>
        <w:tc>
          <w:tcPr>
            <w:tcW w:w="6543" w:type="dxa"/>
            <w:vAlign w:val="top"/>
          </w:tcPr>
          <w:p w14:paraId="0448BEFD">
            <w:pPr>
              <w:pStyle w:val="6"/>
              <w:spacing w:before="56" w:line="220" w:lineRule="auto"/>
              <w:ind w:left="114"/>
            </w:pPr>
            <w:r>
              <w:rPr>
                <w:spacing w:val="-2"/>
              </w:rPr>
              <w:t>温带亚洲分布</w:t>
            </w:r>
          </w:p>
        </w:tc>
        <w:tc>
          <w:tcPr>
            <w:tcW w:w="734" w:type="dxa"/>
            <w:vAlign w:val="top"/>
          </w:tcPr>
          <w:p w14:paraId="26AD1A17">
            <w:pPr>
              <w:spacing w:before="91" w:line="218" w:lineRule="auto"/>
              <w:ind w:left="336"/>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017" w:type="dxa"/>
            <w:vAlign w:val="top"/>
          </w:tcPr>
          <w:p w14:paraId="5DC54A47">
            <w:pPr>
              <w:spacing w:before="91" w:line="218"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0.71</w:t>
            </w:r>
          </w:p>
        </w:tc>
      </w:tr>
      <w:tr w14:paraId="2F69AAB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74" w:type="dxa"/>
            <w:vAlign w:val="top"/>
          </w:tcPr>
          <w:p w14:paraId="75E4F429">
            <w:pPr>
              <w:spacing w:before="89" w:line="218" w:lineRule="auto"/>
              <w:ind w:left="30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c>
          <w:tcPr>
            <w:tcW w:w="6543" w:type="dxa"/>
            <w:vAlign w:val="top"/>
          </w:tcPr>
          <w:p w14:paraId="7939B607">
            <w:pPr>
              <w:pStyle w:val="6"/>
              <w:spacing w:before="54" w:line="220" w:lineRule="auto"/>
              <w:ind w:left="112"/>
            </w:pPr>
            <w:r>
              <w:rPr>
                <w:spacing w:val="-1"/>
              </w:rPr>
              <w:t>地中海区、西亚至中亚分布</w:t>
            </w:r>
          </w:p>
        </w:tc>
        <w:tc>
          <w:tcPr>
            <w:tcW w:w="734" w:type="dxa"/>
            <w:vAlign w:val="top"/>
          </w:tcPr>
          <w:p w14:paraId="0E773323">
            <w:pPr>
              <w:spacing w:before="89" w:line="218" w:lineRule="auto"/>
              <w:ind w:left="315"/>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017" w:type="dxa"/>
            <w:vAlign w:val="top"/>
          </w:tcPr>
          <w:p w14:paraId="5564F0B1">
            <w:pPr>
              <w:spacing w:before="89" w:line="218" w:lineRule="auto"/>
              <w:ind w:left="346"/>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1.42</w:t>
            </w:r>
          </w:p>
        </w:tc>
      </w:tr>
      <w:tr w14:paraId="45CFCB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74" w:type="dxa"/>
            <w:vAlign w:val="top"/>
          </w:tcPr>
          <w:p w14:paraId="53BD7C8E">
            <w:pPr>
              <w:spacing w:before="92" w:line="215" w:lineRule="auto"/>
              <w:ind w:left="226"/>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12.3</w:t>
            </w:r>
          </w:p>
        </w:tc>
        <w:tc>
          <w:tcPr>
            <w:tcW w:w="6543" w:type="dxa"/>
            <w:vAlign w:val="top"/>
          </w:tcPr>
          <w:p w14:paraId="77D43F27">
            <w:pPr>
              <w:pStyle w:val="6"/>
              <w:spacing w:before="57" w:line="220" w:lineRule="auto"/>
              <w:ind w:left="112"/>
            </w:pPr>
            <w:r>
              <w:rPr>
                <w:spacing w:val="-1"/>
              </w:rPr>
              <w:t>地中海区至温带</w:t>
            </w:r>
            <w:r>
              <w:rPr>
                <w:rFonts w:ascii="Times New Roman" w:hAnsi="Times New Roman" w:eastAsia="Times New Roman" w:cs="Times New Roman"/>
                <w:spacing w:val="-1"/>
              </w:rPr>
              <w:t>-</w:t>
            </w:r>
            <w:r>
              <w:rPr>
                <w:spacing w:val="-1"/>
              </w:rPr>
              <w:t>热带亚洲、大洋洲和南美洲间断分布。</w:t>
            </w:r>
          </w:p>
        </w:tc>
        <w:tc>
          <w:tcPr>
            <w:tcW w:w="734" w:type="dxa"/>
            <w:vAlign w:val="top"/>
          </w:tcPr>
          <w:p w14:paraId="7B86E6EE">
            <w:pPr>
              <w:spacing w:before="92" w:line="215" w:lineRule="auto"/>
              <w:ind w:left="336"/>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017" w:type="dxa"/>
            <w:vAlign w:val="top"/>
          </w:tcPr>
          <w:p w14:paraId="64249EB9">
            <w:pPr>
              <w:spacing w:before="92" w:line="215"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0.71</w:t>
            </w:r>
          </w:p>
        </w:tc>
      </w:tr>
      <w:tr w14:paraId="46C310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74" w:type="dxa"/>
            <w:vAlign w:val="top"/>
          </w:tcPr>
          <w:p w14:paraId="62AF2AB2">
            <w:pPr>
              <w:spacing w:before="92" w:line="217" w:lineRule="auto"/>
              <w:ind w:left="226"/>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13.2</w:t>
            </w:r>
          </w:p>
        </w:tc>
        <w:tc>
          <w:tcPr>
            <w:tcW w:w="6543" w:type="dxa"/>
            <w:vAlign w:val="top"/>
          </w:tcPr>
          <w:p w14:paraId="71104571">
            <w:pPr>
              <w:pStyle w:val="6"/>
              <w:spacing w:before="57" w:line="220" w:lineRule="auto"/>
              <w:ind w:left="132"/>
            </w:pPr>
            <w:r>
              <w:rPr>
                <w:spacing w:val="-2"/>
              </w:rPr>
              <w:t>中亚至喜马拉雅和我国西南分布。</w:t>
            </w:r>
          </w:p>
        </w:tc>
        <w:tc>
          <w:tcPr>
            <w:tcW w:w="734" w:type="dxa"/>
            <w:vAlign w:val="top"/>
          </w:tcPr>
          <w:p w14:paraId="21D8908A">
            <w:pPr>
              <w:spacing w:before="92" w:line="217" w:lineRule="auto"/>
              <w:ind w:left="336"/>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017" w:type="dxa"/>
            <w:vAlign w:val="top"/>
          </w:tcPr>
          <w:p w14:paraId="6D75A427">
            <w:pPr>
              <w:spacing w:before="92" w:line="217" w:lineRule="auto"/>
              <w:ind w:left="3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0.71</w:t>
            </w:r>
          </w:p>
        </w:tc>
      </w:tr>
      <w:tr w14:paraId="6CE83D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74" w:type="dxa"/>
            <w:vAlign w:val="top"/>
          </w:tcPr>
          <w:p w14:paraId="5FF61480">
            <w:pPr>
              <w:spacing w:before="92" w:line="215" w:lineRule="auto"/>
              <w:ind w:left="30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tc>
        <w:tc>
          <w:tcPr>
            <w:tcW w:w="6543" w:type="dxa"/>
            <w:vAlign w:val="top"/>
          </w:tcPr>
          <w:p w14:paraId="4CC5D347">
            <w:pPr>
              <w:pStyle w:val="6"/>
              <w:spacing w:before="57" w:line="220" w:lineRule="auto"/>
              <w:ind w:left="119"/>
            </w:pPr>
            <w:r>
              <w:rPr>
                <w:spacing w:val="-4"/>
              </w:rPr>
              <w:t>东亚分布</w:t>
            </w:r>
          </w:p>
        </w:tc>
        <w:tc>
          <w:tcPr>
            <w:tcW w:w="734" w:type="dxa"/>
            <w:vAlign w:val="top"/>
          </w:tcPr>
          <w:p w14:paraId="6C8DEF55">
            <w:pPr>
              <w:spacing w:before="92" w:line="215" w:lineRule="auto"/>
              <w:ind w:left="320"/>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017" w:type="dxa"/>
            <w:vAlign w:val="top"/>
          </w:tcPr>
          <w:p w14:paraId="4AA21796">
            <w:pPr>
              <w:spacing w:before="92" w:line="215" w:lineRule="auto"/>
              <w:ind w:left="32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4.26</w:t>
            </w:r>
          </w:p>
        </w:tc>
      </w:tr>
      <w:tr w14:paraId="2710C4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74" w:type="dxa"/>
            <w:vAlign w:val="top"/>
          </w:tcPr>
          <w:p w14:paraId="0966FAE5">
            <w:pPr>
              <w:spacing w:before="92" w:line="217" w:lineRule="auto"/>
              <w:ind w:left="226"/>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14.1</w:t>
            </w:r>
          </w:p>
        </w:tc>
        <w:tc>
          <w:tcPr>
            <w:tcW w:w="6543" w:type="dxa"/>
            <w:vAlign w:val="top"/>
          </w:tcPr>
          <w:p w14:paraId="091E937E">
            <w:pPr>
              <w:pStyle w:val="6"/>
              <w:spacing w:before="57" w:line="220" w:lineRule="auto"/>
              <w:ind w:left="132"/>
            </w:pPr>
            <w:r>
              <w:rPr>
                <w:spacing w:val="-3"/>
              </w:rPr>
              <w:t>中国</w:t>
            </w:r>
            <w:r>
              <w:rPr>
                <w:rFonts w:ascii="Times New Roman" w:hAnsi="Times New Roman" w:eastAsia="Times New Roman" w:cs="Times New Roman"/>
                <w:spacing w:val="-3"/>
              </w:rPr>
              <w:t>-</w:t>
            </w:r>
            <w:r>
              <w:rPr>
                <w:spacing w:val="-3"/>
              </w:rPr>
              <w:t>喜马拉雅分布</w:t>
            </w:r>
          </w:p>
        </w:tc>
        <w:tc>
          <w:tcPr>
            <w:tcW w:w="734" w:type="dxa"/>
            <w:vAlign w:val="top"/>
          </w:tcPr>
          <w:p w14:paraId="747A6B56">
            <w:pPr>
              <w:spacing w:before="92" w:line="217" w:lineRule="auto"/>
              <w:ind w:left="320"/>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017" w:type="dxa"/>
            <w:vAlign w:val="top"/>
          </w:tcPr>
          <w:p w14:paraId="3E2F20D5">
            <w:pPr>
              <w:spacing w:before="92" w:line="217" w:lineRule="auto"/>
              <w:ind w:left="3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2.13</w:t>
            </w:r>
          </w:p>
        </w:tc>
      </w:tr>
      <w:tr w14:paraId="447BBA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774" w:type="dxa"/>
            <w:vAlign w:val="top"/>
          </w:tcPr>
          <w:p w14:paraId="400B545C">
            <w:pPr>
              <w:spacing w:before="90" w:line="217" w:lineRule="auto"/>
              <w:ind w:left="30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6543" w:type="dxa"/>
            <w:vAlign w:val="top"/>
          </w:tcPr>
          <w:p w14:paraId="11AC0AC0">
            <w:pPr>
              <w:pStyle w:val="6"/>
              <w:spacing w:before="55" w:line="220" w:lineRule="auto"/>
              <w:ind w:left="132"/>
            </w:pPr>
            <w:r>
              <w:rPr>
                <w:spacing w:val="-5"/>
              </w:rPr>
              <w:t>中国特有分布</w:t>
            </w:r>
          </w:p>
        </w:tc>
        <w:tc>
          <w:tcPr>
            <w:tcW w:w="734" w:type="dxa"/>
            <w:vAlign w:val="top"/>
          </w:tcPr>
          <w:p w14:paraId="44F2A13A">
            <w:pPr>
              <w:spacing w:before="90" w:line="217" w:lineRule="auto"/>
              <w:ind w:left="320"/>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017" w:type="dxa"/>
            <w:vAlign w:val="top"/>
          </w:tcPr>
          <w:p w14:paraId="5A209DE9">
            <w:pPr>
              <w:spacing w:before="90" w:line="217" w:lineRule="auto"/>
              <w:ind w:left="32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2.13</w:t>
            </w:r>
          </w:p>
        </w:tc>
      </w:tr>
      <w:tr w14:paraId="09BB1A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317" w:type="dxa"/>
            <w:gridSpan w:val="2"/>
            <w:vAlign w:val="top"/>
          </w:tcPr>
          <w:p w14:paraId="77278B03">
            <w:pPr>
              <w:pStyle w:val="6"/>
              <w:spacing w:before="57" w:line="214" w:lineRule="auto"/>
              <w:ind w:left="117"/>
              <w:rPr>
                <w:rFonts w:ascii="Times New Roman" w:hAnsi="Times New Roman" w:eastAsia="Times New Roman" w:cs="Times New Roman"/>
              </w:rPr>
            </w:pPr>
            <w:r>
              <w:rPr>
                <w:spacing w:val="-1"/>
              </w:rPr>
              <w:t>温带合计</w:t>
            </w:r>
            <w:r>
              <w:rPr>
                <w:rFonts w:ascii="Times New Roman" w:hAnsi="Times New Roman" w:eastAsia="Times New Roman" w:cs="Times New Roman"/>
                <w:spacing w:val="-1"/>
              </w:rPr>
              <w:t>(8-15)</w:t>
            </w:r>
          </w:p>
        </w:tc>
        <w:tc>
          <w:tcPr>
            <w:tcW w:w="734" w:type="dxa"/>
            <w:vAlign w:val="top"/>
          </w:tcPr>
          <w:p w14:paraId="1EA8631D">
            <w:pPr>
              <w:spacing w:before="92" w:line="217" w:lineRule="auto"/>
              <w:ind w:left="26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67</w:t>
            </w:r>
          </w:p>
        </w:tc>
        <w:tc>
          <w:tcPr>
            <w:tcW w:w="1017" w:type="dxa"/>
            <w:vAlign w:val="top"/>
          </w:tcPr>
          <w:p w14:paraId="09F65E69">
            <w:pPr>
              <w:spacing w:before="92" w:line="217" w:lineRule="auto"/>
              <w:ind w:left="27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47.52</w:t>
            </w:r>
          </w:p>
        </w:tc>
      </w:tr>
      <w:tr w14:paraId="68BD37E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4" w:hRule="atLeast"/>
        </w:trPr>
        <w:tc>
          <w:tcPr>
            <w:tcW w:w="7317" w:type="dxa"/>
            <w:gridSpan w:val="2"/>
            <w:vAlign w:val="top"/>
          </w:tcPr>
          <w:p w14:paraId="5D441D12">
            <w:pPr>
              <w:pStyle w:val="6"/>
              <w:spacing w:before="55" w:line="222" w:lineRule="auto"/>
              <w:ind w:left="3460"/>
            </w:pPr>
            <w:r>
              <w:rPr>
                <w:spacing w:val="-3"/>
              </w:rPr>
              <w:t>总计</w:t>
            </w:r>
          </w:p>
        </w:tc>
        <w:tc>
          <w:tcPr>
            <w:tcW w:w="734" w:type="dxa"/>
            <w:vAlign w:val="top"/>
          </w:tcPr>
          <w:p w14:paraId="3147CE43">
            <w:pPr>
              <w:spacing w:before="90" w:line="222" w:lineRule="auto"/>
              <w:ind w:left="230"/>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141</w:t>
            </w:r>
          </w:p>
        </w:tc>
        <w:tc>
          <w:tcPr>
            <w:tcW w:w="1017" w:type="dxa"/>
            <w:vAlign w:val="top"/>
          </w:tcPr>
          <w:p w14:paraId="5713C740">
            <w:pPr>
              <w:spacing w:before="90" w:line="222" w:lineRule="auto"/>
              <w:ind w:left="37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100</w:t>
            </w:r>
          </w:p>
        </w:tc>
      </w:tr>
    </w:tbl>
    <w:p w14:paraId="28BA7782">
      <w:pPr>
        <w:spacing w:before="115" w:line="233" w:lineRule="auto"/>
        <w:ind w:left="498"/>
        <w:rPr>
          <w:rFonts w:ascii="宋体" w:hAnsi="宋体" w:eastAsia="宋体" w:cs="宋体"/>
          <w:sz w:val="24"/>
          <w:szCs w:val="24"/>
        </w:rPr>
      </w:pPr>
      <w:r>
        <w:rPr>
          <w:rFonts w:ascii="宋体" w:hAnsi="宋体" w:eastAsia="宋体" w:cs="宋体"/>
          <w:b/>
          <w:bCs/>
          <w:spacing w:val="-5"/>
          <w:sz w:val="24"/>
          <w:szCs w:val="24"/>
        </w:rPr>
        <w:t>（</w:t>
      </w:r>
      <w:r>
        <w:rPr>
          <w:rFonts w:ascii="Times New Roman" w:hAnsi="Times New Roman" w:eastAsia="Times New Roman" w:cs="Times New Roman"/>
          <w:b/>
          <w:bCs/>
          <w:spacing w:val="-5"/>
          <w:sz w:val="24"/>
          <w:szCs w:val="24"/>
        </w:rPr>
        <w:t>6</w:t>
      </w:r>
      <w:r>
        <w:rPr>
          <w:rFonts w:ascii="宋体" w:hAnsi="宋体" w:eastAsia="宋体" w:cs="宋体"/>
          <w:b/>
          <w:bCs/>
          <w:spacing w:val="-5"/>
          <w:sz w:val="24"/>
          <w:szCs w:val="24"/>
        </w:rPr>
        <w:t>）外来入侵植物</w:t>
      </w:r>
    </w:p>
    <w:p w14:paraId="6BB11DF5">
      <w:pPr>
        <w:spacing w:before="165" w:line="335" w:lineRule="auto"/>
        <w:ind w:left="14" w:firstLine="475"/>
        <w:rPr>
          <w:rFonts w:ascii="宋体" w:hAnsi="宋体" w:eastAsia="宋体" w:cs="宋体"/>
          <w:sz w:val="24"/>
          <w:szCs w:val="24"/>
        </w:rPr>
      </w:pPr>
      <w:r>
        <w:rPr>
          <w:rFonts w:ascii="宋体" w:hAnsi="宋体" w:eastAsia="宋体" w:cs="宋体"/>
          <w:spacing w:val="-2"/>
          <w:sz w:val="24"/>
          <w:szCs w:val="24"/>
        </w:rPr>
        <w:t>根据已有文献资料及现场调查情况，评价区范围内共发现</w:t>
      </w:r>
      <w:r>
        <w:rPr>
          <w:rFonts w:ascii="宋体" w:hAnsi="宋体" w:eastAsia="宋体" w:cs="宋体"/>
          <w:spacing w:val="-43"/>
          <w:sz w:val="24"/>
          <w:szCs w:val="24"/>
        </w:rPr>
        <w:t xml:space="preserve"> </w:t>
      </w:r>
      <w:r>
        <w:rPr>
          <w:rFonts w:ascii="Times New Roman" w:hAnsi="Times New Roman" w:eastAsia="Times New Roman" w:cs="Times New Roman"/>
          <w:spacing w:val="-2"/>
          <w:sz w:val="24"/>
          <w:szCs w:val="24"/>
        </w:rPr>
        <w:t xml:space="preserve">4 </w:t>
      </w:r>
      <w:r>
        <w:rPr>
          <w:rFonts w:ascii="宋体" w:hAnsi="宋体" w:eastAsia="宋体" w:cs="宋体"/>
          <w:spacing w:val="-2"/>
          <w:sz w:val="24"/>
          <w:szCs w:val="24"/>
        </w:rPr>
        <w:t>种外来入侵植物，已被</w:t>
      </w:r>
      <w:r>
        <w:rPr>
          <w:rFonts w:ascii="宋体" w:hAnsi="宋体" w:eastAsia="宋体" w:cs="宋体"/>
          <w:spacing w:val="-4"/>
          <w:sz w:val="24"/>
          <w:szCs w:val="24"/>
        </w:rPr>
        <w:t>列入《中国外来入侵物种名单》。</w:t>
      </w:r>
    </w:p>
    <w:p w14:paraId="612470B7">
      <w:pPr>
        <w:spacing w:line="229" w:lineRule="auto"/>
        <w:ind w:left="2796"/>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6"/>
          <w:sz w:val="21"/>
          <w:szCs w:val="21"/>
        </w:rPr>
        <w:t xml:space="preserve"> </w:t>
      </w:r>
      <w:r>
        <w:rPr>
          <w:rFonts w:ascii="Times New Roman" w:hAnsi="Times New Roman" w:eastAsia="Times New Roman" w:cs="Times New Roman"/>
          <w:b/>
          <w:bCs/>
          <w:spacing w:val="-2"/>
          <w:sz w:val="21"/>
          <w:szCs w:val="21"/>
        </w:rPr>
        <w:t xml:space="preserve">2-5    </w:t>
      </w:r>
      <w:r>
        <w:rPr>
          <w:rFonts w:ascii="宋体" w:hAnsi="宋体" w:eastAsia="宋体" w:cs="宋体"/>
          <w:b/>
          <w:bCs/>
          <w:spacing w:val="-2"/>
          <w:sz w:val="21"/>
          <w:szCs w:val="21"/>
        </w:rPr>
        <w:t>评价区内外来入侵植物一览表</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4"/>
        <w:gridCol w:w="3025"/>
        <w:gridCol w:w="2089"/>
        <w:gridCol w:w="1128"/>
        <w:gridCol w:w="1972"/>
      </w:tblGrid>
      <w:tr w14:paraId="059FF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854" w:type="dxa"/>
            <w:vAlign w:val="top"/>
          </w:tcPr>
          <w:p w14:paraId="7C847658">
            <w:pPr>
              <w:pStyle w:val="6"/>
              <w:spacing w:before="211" w:line="221" w:lineRule="auto"/>
              <w:ind w:left="223"/>
            </w:pPr>
            <w:r>
              <w:rPr>
                <w:b/>
                <w:bCs/>
                <w:spacing w:val="-5"/>
              </w:rPr>
              <w:t>编号</w:t>
            </w:r>
          </w:p>
        </w:tc>
        <w:tc>
          <w:tcPr>
            <w:tcW w:w="3025" w:type="dxa"/>
            <w:vAlign w:val="top"/>
          </w:tcPr>
          <w:p w14:paraId="077FA031">
            <w:pPr>
              <w:pStyle w:val="6"/>
              <w:spacing w:before="211" w:line="221" w:lineRule="auto"/>
              <w:ind w:left="1097"/>
            </w:pPr>
            <w:r>
              <w:rPr>
                <w:b/>
                <w:bCs/>
                <w:spacing w:val="-4"/>
              </w:rPr>
              <w:t>植物名称</w:t>
            </w:r>
          </w:p>
        </w:tc>
        <w:tc>
          <w:tcPr>
            <w:tcW w:w="2089" w:type="dxa"/>
            <w:vAlign w:val="top"/>
          </w:tcPr>
          <w:p w14:paraId="79811EC4">
            <w:pPr>
              <w:pStyle w:val="6"/>
              <w:spacing w:before="211" w:line="220" w:lineRule="auto"/>
              <w:ind w:left="944"/>
            </w:pPr>
            <w:r>
              <w:rPr>
                <w:b/>
                <w:bCs/>
                <w:spacing w:val="-3"/>
              </w:rPr>
              <w:t>科</w:t>
            </w:r>
          </w:p>
        </w:tc>
        <w:tc>
          <w:tcPr>
            <w:tcW w:w="1128" w:type="dxa"/>
            <w:vAlign w:val="top"/>
          </w:tcPr>
          <w:p w14:paraId="304D56CA">
            <w:pPr>
              <w:pStyle w:val="6"/>
              <w:spacing w:before="55" w:line="249" w:lineRule="auto"/>
              <w:ind w:left="471" w:right="137" w:hanging="323"/>
            </w:pPr>
            <w:r>
              <w:rPr>
                <w:b/>
                <w:bCs/>
                <w:spacing w:val="-3"/>
              </w:rPr>
              <w:t>入侵种批次</w:t>
            </w:r>
          </w:p>
        </w:tc>
        <w:tc>
          <w:tcPr>
            <w:tcW w:w="1972" w:type="dxa"/>
            <w:vAlign w:val="top"/>
          </w:tcPr>
          <w:p w14:paraId="47A40E71">
            <w:pPr>
              <w:pStyle w:val="6"/>
              <w:spacing w:before="212" w:line="219" w:lineRule="auto"/>
              <w:ind w:left="146"/>
            </w:pPr>
            <w:r>
              <w:rPr>
                <w:b/>
                <w:bCs/>
                <w:spacing w:val="-2"/>
              </w:rPr>
              <w:t>评价区内分布情况</w:t>
            </w:r>
          </w:p>
        </w:tc>
      </w:tr>
      <w:tr w14:paraId="177581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54" w:type="dxa"/>
            <w:vAlign w:val="top"/>
          </w:tcPr>
          <w:p w14:paraId="7166279D">
            <w:pPr>
              <w:spacing w:before="243" w:line="236" w:lineRule="auto"/>
              <w:ind w:left="396"/>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3025" w:type="dxa"/>
            <w:vAlign w:val="top"/>
          </w:tcPr>
          <w:p w14:paraId="4CDA4C5A">
            <w:pPr>
              <w:pStyle w:val="6"/>
              <w:spacing w:before="52" w:line="221" w:lineRule="auto"/>
              <w:ind w:left="1101"/>
            </w:pPr>
            <w:r>
              <w:rPr>
                <w:spacing w:val="-3"/>
              </w:rPr>
              <w:t>紫茎泽兰</w:t>
            </w:r>
          </w:p>
          <w:p w14:paraId="3F36C2B8">
            <w:pPr>
              <w:spacing w:before="94" w:line="193" w:lineRule="auto"/>
              <w:ind w:left="544"/>
              <w:rPr>
                <w:rFonts w:ascii="Times New Roman" w:hAnsi="Times New Roman" w:eastAsia="Times New Roman" w:cs="Times New Roman"/>
                <w:sz w:val="21"/>
                <w:szCs w:val="21"/>
              </w:rPr>
            </w:pPr>
            <w:r>
              <w:rPr>
                <w:rFonts w:ascii="Times New Roman" w:hAnsi="Times New Roman" w:eastAsia="Times New Roman" w:cs="Times New Roman"/>
                <w:i/>
                <w:iCs/>
                <w:sz w:val="21"/>
                <w:szCs w:val="21"/>
              </w:rPr>
              <w:t>Ageratina</w:t>
            </w:r>
            <w:r>
              <w:rPr>
                <w:rFonts w:ascii="Times New Roman" w:hAnsi="Times New Roman" w:eastAsia="Times New Roman" w:cs="Times New Roman"/>
                <w:i/>
                <w:iCs/>
                <w:spacing w:val="13"/>
                <w:sz w:val="21"/>
                <w:szCs w:val="21"/>
              </w:rPr>
              <w:t xml:space="preserve"> </w:t>
            </w:r>
            <w:r>
              <w:rPr>
                <w:rFonts w:ascii="Times New Roman" w:hAnsi="Times New Roman" w:eastAsia="Times New Roman" w:cs="Times New Roman"/>
                <w:i/>
                <w:iCs/>
                <w:sz w:val="21"/>
                <w:szCs w:val="21"/>
              </w:rPr>
              <w:t>adenophora</w:t>
            </w:r>
          </w:p>
        </w:tc>
        <w:tc>
          <w:tcPr>
            <w:tcW w:w="2089" w:type="dxa"/>
            <w:vAlign w:val="top"/>
          </w:tcPr>
          <w:p w14:paraId="3174B590">
            <w:pPr>
              <w:pStyle w:val="6"/>
              <w:spacing w:before="208" w:line="220" w:lineRule="auto"/>
              <w:ind w:left="842"/>
            </w:pPr>
            <w:r>
              <w:rPr>
                <w:spacing w:val="-2"/>
              </w:rPr>
              <w:t>菊科</w:t>
            </w:r>
          </w:p>
        </w:tc>
        <w:tc>
          <w:tcPr>
            <w:tcW w:w="1128" w:type="dxa"/>
            <w:vAlign w:val="top"/>
          </w:tcPr>
          <w:p w14:paraId="10F0081D">
            <w:pPr>
              <w:pStyle w:val="6"/>
              <w:spacing w:before="208" w:line="221" w:lineRule="auto"/>
              <w:ind w:left="254"/>
            </w:pPr>
            <w:r>
              <w:rPr>
                <w:spacing w:val="-2"/>
              </w:rPr>
              <w:t>第一批</w:t>
            </w:r>
          </w:p>
        </w:tc>
        <w:tc>
          <w:tcPr>
            <w:tcW w:w="1972" w:type="dxa"/>
            <w:vAlign w:val="top"/>
          </w:tcPr>
          <w:p w14:paraId="4C26D8A5">
            <w:pPr>
              <w:pStyle w:val="6"/>
              <w:spacing w:before="208" w:line="220" w:lineRule="auto"/>
              <w:ind w:left="361"/>
            </w:pPr>
            <w:r>
              <w:rPr>
                <w:spacing w:val="-1"/>
              </w:rPr>
              <w:t>沿线均有分布</w:t>
            </w:r>
          </w:p>
        </w:tc>
      </w:tr>
      <w:tr w14:paraId="3753BB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854" w:type="dxa"/>
            <w:vAlign w:val="top"/>
          </w:tcPr>
          <w:p w14:paraId="2145EB12">
            <w:pPr>
              <w:spacing w:before="246" w:line="236" w:lineRule="auto"/>
              <w:ind w:left="376"/>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3025" w:type="dxa"/>
            <w:vAlign w:val="top"/>
          </w:tcPr>
          <w:p w14:paraId="6C140309">
            <w:pPr>
              <w:pStyle w:val="6"/>
              <w:spacing w:before="55" w:line="220" w:lineRule="auto"/>
              <w:ind w:left="1113"/>
            </w:pPr>
            <w:r>
              <w:rPr>
                <w:spacing w:val="-6"/>
              </w:rPr>
              <w:t>圆叶牵牛</w:t>
            </w:r>
          </w:p>
          <w:p w14:paraId="11DFAF69">
            <w:pPr>
              <w:spacing w:before="94" w:line="194" w:lineRule="auto"/>
              <w:ind w:left="698"/>
              <w:rPr>
                <w:rFonts w:ascii="Times New Roman" w:hAnsi="Times New Roman" w:eastAsia="Times New Roman" w:cs="Times New Roman"/>
                <w:sz w:val="21"/>
                <w:szCs w:val="21"/>
              </w:rPr>
            </w:pPr>
            <w:r>
              <w:rPr>
                <w:rFonts w:ascii="Times New Roman" w:hAnsi="Times New Roman" w:eastAsia="Times New Roman" w:cs="Times New Roman"/>
                <w:i/>
                <w:iCs/>
                <w:spacing w:val="1"/>
                <w:sz w:val="21"/>
                <w:szCs w:val="21"/>
              </w:rPr>
              <w:t>Pharbitis</w:t>
            </w:r>
            <w:r>
              <w:rPr>
                <w:rFonts w:ascii="Times New Roman" w:hAnsi="Times New Roman" w:eastAsia="Times New Roman" w:cs="Times New Roman"/>
                <w:i/>
                <w:iCs/>
                <w:spacing w:val="-12"/>
                <w:sz w:val="21"/>
                <w:szCs w:val="21"/>
              </w:rPr>
              <w:t xml:space="preserve"> </w:t>
            </w:r>
            <w:r>
              <w:rPr>
                <w:rFonts w:ascii="Times New Roman" w:hAnsi="Times New Roman" w:eastAsia="Times New Roman" w:cs="Times New Roman"/>
                <w:i/>
                <w:iCs/>
                <w:spacing w:val="1"/>
                <w:sz w:val="21"/>
                <w:szCs w:val="21"/>
              </w:rPr>
              <w:t>purpurea</w:t>
            </w:r>
          </w:p>
        </w:tc>
        <w:tc>
          <w:tcPr>
            <w:tcW w:w="2089" w:type="dxa"/>
            <w:vAlign w:val="top"/>
          </w:tcPr>
          <w:p w14:paraId="162C94BE">
            <w:pPr>
              <w:pStyle w:val="6"/>
              <w:spacing w:before="211" w:line="220" w:lineRule="auto"/>
              <w:ind w:left="737"/>
            </w:pPr>
            <w:r>
              <w:rPr>
                <w:spacing w:val="-2"/>
              </w:rPr>
              <w:t>旋花科</w:t>
            </w:r>
          </w:p>
        </w:tc>
        <w:tc>
          <w:tcPr>
            <w:tcW w:w="1128" w:type="dxa"/>
            <w:vAlign w:val="top"/>
          </w:tcPr>
          <w:p w14:paraId="79225E0D">
            <w:pPr>
              <w:pStyle w:val="6"/>
              <w:spacing w:before="211" w:line="221" w:lineRule="auto"/>
              <w:ind w:left="254"/>
            </w:pPr>
            <w:r>
              <w:rPr>
                <w:spacing w:val="-2"/>
              </w:rPr>
              <w:t>第三批</w:t>
            </w:r>
          </w:p>
        </w:tc>
        <w:tc>
          <w:tcPr>
            <w:tcW w:w="1972" w:type="dxa"/>
            <w:vAlign w:val="top"/>
          </w:tcPr>
          <w:p w14:paraId="6C65CF39">
            <w:pPr>
              <w:pStyle w:val="6"/>
              <w:spacing w:before="211" w:line="220" w:lineRule="auto"/>
              <w:ind w:left="361"/>
            </w:pPr>
            <w:r>
              <w:rPr>
                <w:spacing w:val="-1"/>
              </w:rPr>
              <w:t>沿线均有分布</w:t>
            </w:r>
          </w:p>
        </w:tc>
      </w:tr>
      <w:tr w14:paraId="0991A6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854" w:type="dxa"/>
            <w:vAlign w:val="top"/>
          </w:tcPr>
          <w:p w14:paraId="6CBEFED2">
            <w:pPr>
              <w:spacing w:before="245" w:line="234" w:lineRule="auto"/>
              <w:ind w:left="380"/>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3025" w:type="dxa"/>
            <w:vAlign w:val="top"/>
          </w:tcPr>
          <w:p w14:paraId="04197884">
            <w:pPr>
              <w:pStyle w:val="6"/>
              <w:spacing w:before="54" w:line="221" w:lineRule="auto"/>
              <w:ind w:left="1201"/>
            </w:pPr>
            <w:r>
              <w:rPr>
                <w:spacing w:val="-2"/>
              </w:rPr>
              <w:t>鬼针草</w:t>
            </w:r>
          </w:p>
          <w:p w14:paraId="2998BC0E">
            <w:pPr>
              <w:spacing w:before="93" w:line="193" w:lineRule="auto"/>
              <w:ind w:left="933"/>
              <w:rPr>
                <w:rFonts w:ascii="Times New Roman" w:hAnsi="Times New Roman" w:eastAsia="Times New Roman" w:cs="Times New Roman"/>
                <w:sz w:val="21"/>
                <w:szCs w:val="21"/>
              </w:rPr>
            </w:pPr>
            <w:r>
              <w:rPr>
                <w:rFonts w:ascii="Times New Roman" w:hAnsi="Times New Roman" w:eastAsia="Times New Roman" w:cs="Times New Roman"/>
                <w:i/>
                <w:iCs/>
                <w:spacing w:val="2"/>
                <w:sz w:val="21"/>
                <w:szCs w:val="21"/>
              </w:rPr>
              <w:t>Bidens</w:t>
            </w:r>
            <w:r>
              <w:rPr>
                <w:rFonts w:ascii="Times New Roman" w:hAnsi="Times New Roman" w:eastAsia="Times New Roman" w:cs="Times New Roman"/>
                <w:i/>
                <w:iCs/>
                <w:spacing w:val="-16"/>
                <w:sz w:val="21"/>
                <w:szCs w:val="21"/>
              </w:rPr>
              <w:t xml:space="preserve"> </w:t>
            </w:r>
            <w:r>
              <w:rPr>
                <w:rFonts w:ascii="Times New Roman" w:hAnsi="Times New Roman" w:eastAsia="Times New Roman" w:cs="Times New Roman"/>
                <w:i/>
                <w:iCs/>
                <w:spacing w:val="2"/>
                <w:sz w:val="21"/>
                <w:szCs w:val="21"/>
              </w:rPr>
              <w:t>pilosa</w:t>
            </w:r>
          </w:p>
        </w:tc>
        <w:tc>
          <w:tcPr>
            <w:tcW w:w="2089" w:type="dxa"/>
            <w:vAlign w:val="top"/>
          </w:tcPr>
          <w:p w14:paraId="3DDA2119">
            <w:pPr>
              <w:pStyle w:val="6"/>
              <w:spacing w:before="54" w:line="220" w:lineRule="auto"/>
              <w:ind w:left="842"/>
            </w:pPr>
            <w:r>
              <w:rPr>
                <w:spacing w:val="-2"/>
              </w:rPr>
              <w:t>菊科</w:t>
            </w:r>
          </w:p>
          <w:p w14:paraId="39ACD4AD">
            <w:pPr>
              <w:spacing w:before="94" w:line="193" w:lineRule="auto"/>
              <w:ind w:left="54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Compositae</w:t>
            </w:r>
          </w:p>
        </w:tc>
        <w:tc>
          <w:tcPr>
            <w:tcW w:w="1128" w:type="dxa"/>
            <w:vAlign w:val="top"/>
          </w:tcPr>
          <w:p w14:paraId="6BBB12D0">
            <w:pPr>
              <w:pStyle w:val="6"/>
              <w:spacing w:before="210" w:line="221" w:lineRule="auto"/>
              <w:ind w:left="254"/>
            </w:pPr>
            <w:r>
              <w:rPr>
                <w:spacing w:val="-2"/>
              </w:rPr>
              <w:t>第三批</w:t>
            </w:r>
          </w:p>
        </w:tc>
        <w:tc>
          <w:tcPr>
            <w:tcW w:w="1972" w:type="dxa"/>
            <w:vAlign w:val="top"/>
          </w:tcPr>
          <w:p w14:paraId="79EB180D">
            <w:pPr>
              <w:pStyle w:val="6"/>
              <w:spacing w:before="210" w:line="220" w:lineRule="auto"/>
              <w:ind w:left="361"/>
            </w:pPr>
            <w:r>
              <w:rPr>
                <w:spacing w:val="-1"/>
              </w:rPr>
              <w:t>沿线均有分布</w:t>
            </w:r>
          </w:p>
        </w:tc>
      </w:tr>
      <w:tr w14:paraId="7CFD94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854" w:type="dxa"/>
            <w:vAlign w:val="top"/>
          </w:tcPr>
          <w:p w14:paraId="53E49853">
            <w:pPr>
              <w:spacing w:before="246" w:line="236" w:lineRule="auto"/>
              <w:ind w:left="375"/>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3025" w:type="dxa"/>
            <w:vAlign w:val="top"/>
          </w:tcPr>
          <w:p w14:paraId="6A62B9C3">
            <w:pPr>
              <w:pStyle w:val="6"/>
              <w:spacing w:before="55" w:line="222" w:lineRule="auto"/>
              <w:ind w:left="1211"/>
            </w:pPr>
            <w:r>
              <w:rPr>
                <w:spacing w:val="-4"/>
              </w:rPr>
              <w:t>喀西茄</w:t>
            </w:r>
          </w:p>
          <w:p w14:paraId="63260853">
            <w:pPr>
              <w:spacing w:before="91" w:line="221" w:lineRule="auto"/>
              <w:ind w:left="462"/>
              <w:rPr>
                <w:rFonts w:ascii="Times New Roman" w:hAnsi="Times New Roman" w:eastAsia="Times New Roman" w:cs="Times New Roman"/>
                <w:sz w:val="21"/>
                <w:szCs w:val="21"/>
              </w:rPr>
            </w:pPr>
            <w:r>
              <w:rPr>
                <w:rFonts w:ascii="Times New Roman" w:hAnsi="Times New Roman" w:eastAsia="Times New Roman" w:cs="Times New Roman"/>
                <w:i/>
                <w:iCs/>
                <w:sz w:val="21"/>
                <w:szCs w:val="21"/>
              </w:rPr>
              <w:t>Solanum</w:t>
            </w:r>
            <w:r>
              <w:rPr>
                <w:rFonts w:ascii="Times New Roman" w:hAnsi="Times New Roman" w:eastAsia="Times New Roman" w:cs="Times New Roman"/>
                <w:i/>
                <w:iCs/>
                <w:spacing w:val="1"/>
                <w:sz w:val="21"/>
                <w:szCs w:val="21"/>
              </w:rPr>
              <w:t xml:space="preserve"> </w:t>
            </w:r>
            <w:r>
              <w:rPr>
                <w:rFonts w:ascii="Times New Roman" w:hAnsi="Times New Roman" w:eastAsia="Times New Roman" w:cs="Times New Roman"/>
                <w:i/>
                <w:iCs/>
                <w:sz w:val="21"/>
                <w:szCs w:val="21"/>
              </w:rPr>
              <w:t>aculeatissimum</w:t>
            </w:r>
          </w:p>
        </w:tc>
        <w:tc>
          <w:tcPr>
            <w:tcW w:w="2089" w:type="dxa"/>
            <w:vAlign w:val="top"/>
          </w:tcPr>
          <w:p w14:paraId="58298C0A">
            <w:pPr>
              <w:pStyle w:val="6"/>
              <w:spacing w:before="55" w:line="220" w:lineRule="auto"/>
              <w:ind w:left="842"/>
            </w:pPr>
            <w:r>
              <w:rPr>
                <w:spacing w:val="-2"/>
              </w:rPr>
              <w:t>茄科</w:t>
            </w:r>
          </w:p>
          <w:p w14:paraId="6D64F38A">
            <w:pPr>
              <w:spacing w:before="94" w:line="193" w:lineRule="auto"/>
              <w:ind w:left="54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Compositae</w:t>
            </w:r>
          </w:p>
        </w:tc>
        <w:tc>
          <w:tcPr>
            <w:tcW w:w="1128" w:type="dxa"/>
            <w:vAlign w:val="top"/>
          </w:tcPr>
          <w:p w14:paraId="11DA47E6">
            <w:pPr>
              <w:pStyle w:val="6"/>
              <w:spacing w:before="210" w:line="221" w:lineRule="auto"/>
              <w:ind w:left="254"/>
            </w:pPr>
            <w:r>
              <w:rPr>
                <w:spacing w:val="-2"/>
              </w:rPr>
              <w:t>第四批</w:t>
            </w:r>
          </w:p>
        </w:tc>
        <w:tc>
          <w:tcPr>
            <w:tcW w:w="1972" w:type="dxa"/>
            <w:vAlign w:val="top"/>
          </w:tcPr>
          <w:p w14:paraId="549EF77A">
            <w:pPr>
              <w:pStyle w:val="6"/>
              <w:spacing w:before="211" w:line="220" w:lineRule="auto"/>
              <w:ind w:left="361"/>
            </w:pPr>
            <w:r>
              <w:rPr>
                <w:spacing w:val="-1"/>
              </w:rPr>
              <w:t>沿线零星分布</w:t>
            </w:r>
          </w:p>
        </w:tc>
      </w:tr>
    </w:tbl>
    <w:p w14:paraId="19FC08B5">
      <w:pPr>
        <w:spacing w:before="116" w:line="361" w:lineRule="auto"/>
        <w:ind w:left="497" w:right="6365" w:hanging="492"/>
        <w:rPr>
          <w:rFonts w:ascii="宋体" w:hAnsi="宋体" w:eastAsia="宋体" w:cs="宋体"/>
          <w:sz w:val="24"/>
          <w:szCs w:val="24"/>
        </w:rPr>
      </w:pPr>
      <w:r>
        <w:rPr>
          <w:rFonts w:ascii="Times New Roman" w:hAnsi="Times New Roman" w:eastAsia="Times New Roman" w:cs="Times New Roman"/>
          <w:b/>
          <w:bCs/>
          <w:spacing w:val="-3"/>
          <w:sz w:val="24"/>
          <w:szCs w:val="24"/>
        </w:rPr>
        <w:t>2.2.2</w:t>
      </w:r>
      <w:r>
        <w:rPr>
          <w:rFonts w:ascii="Times New Roman" w:hAnsi="Times New Roman" w:eastAsia="Times New Roman" w:cs="Times New Roman"/>
          <w:b/>
          <w:bCs/>
          <w:spacing w:val="21"/>
          <w:w w:val="101"/>
          <w:sz w:val="24"/>
          <w:szCs w:val="24"/>
        </w:rPr>
        <w:t xml:space="preserve"> </w:t>
      </w:r>
      <w:r>
        <w:rPr>
          <w:rFonts w:ascii="宋体" w:hAnsi="宋体" w:eastAsia="宋体" w:cs="宋体"/>
          <w:b/>
          <w:bCs/>
          <w:spacing w:val="-3"/>
          <w:sz w:val="24"/>
          <w:szCs w:val="24"/>
        </w:rPr>
        <w:t>陆生动物多样性调查</w:t>
      </w: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1</w:t>
      </w:r>
      <w:r>
        <w:rPr>
          <w:rFonts w:ascii="宋体" w:hAnsi="宋体" w:eastAsia="宋体" w:cs="宋体"/>
          <w:b/>
          <w:bCs/>
          <w:spacing w:val="-4"/>
          <w:sz w:val="24"/>
          <w:szCs w:val="24"/>
        </w:rPr>
        <w:t>）动物区系</w:t>
      </w:r>
    </w:p>
    <w:p w14:paraId="6D117DA9">
      <w:pPr>
        <w:spacing w:line="361" w:lineRule="auto"/>
        <w:rPr>
          <w:rFonts w:ascii="宋体" w:hAnsi="宋体" w:eastAsia="宋体" w:cs="宋体"/>
          <w:sz w:val="24"/>
          <w:szCs w:val="24"/>
        </w:rPr>
        <w:sectPr>
          <w:footerReference r:id="rId162" w:type="default"/>
          <w:pgSz w:w="11907" w:h="16841"/>
          <w:pgMar w:top="400" w:right="1413" w:bottom="1126" w:left="1418" w:header="0" w:footer="925" w:gutter="0"/>
          <w:cols w:space="720" w:num="1"/>
        </w:sectPr>
      </w:pPr>
    </w:p>
    <w:p w14:paraId="377B7802">
      <w:pPr>
        <w:spacing w:line="249" w:lineRule="auto"/>
        <w:rPr>
          <w:rFonts w:ascii="Arial"/>
          <w:sz w:val="21"/>
        </w:rPr>
      </w:pPr>
    </w:p>
    <w:p w14:paraId="6E6F2AFB">
      <w:pPr>
        <w:spacing w:line="249" w:lineRule="auto"/>
        <w:rPr>
          <w:rFonts w:ascii="Arial"/>
          <w:sz w:val="21"/>
        </w:rPr>
      </w:pPr>
    </w:p>
    <w:p w14:paraId="4CBE39F8">
      <w:pPr>
        <w:spacing w:line="249" w:lineRule="auto"/>
        <w:rPr>
          <w:rFonts w:ascii="Arial"/>
          <w:sz w:val="21"/>
        </w:rPr>
      </w:pPr>
    </w:p>
    <w:p w14:paraId="49F1A7F6">
      <w:pPr>
        <w:spacing w:line="249" w:lineRule="auto"/>
        <w:rPr>
          <w:rFonts w:ascii="Arial"/>
          <w:sz w:val="21"/>
        </w:rPr>
      </w:pPr>
    </w:p>
    <w:p w14:paraId="310535CC">
      <w:pPr>
        <w:spacing w:line="250" w:lineRule="auto"/>
        <w:rPr>
          <w:rFonts w:ascii="Arial"/>
          <w:sz w:val="21"/>
        </w:rPr>
      </w:pPr>
    </w:p>
    <w:p w14:paraId="44F45967">
      <w:pPr>
        <w:spacing w:before="78" w:line="358" w:lineRule="auto"/>
        <w:ind w:left="9" w:right="110" w:firstLine="480"/>
        <w:jc w:val="both"/>
        <w:rPr>
          <w:rFonts w:ascii="宋体" w:hAnsi="宋体" w:eastAsia="宋体" w:cs="宋体"/>
          <w:sz w:val="24"/>
          <w:szCs w:val="24"/>
        </w:rPr>
      </w:pPr>
      <w:r>
        <w:rPr>
          <w:rFonts w:ascii="宋体" w:hAnsi="宋体" w:eastAsia="宋体" w:cs="宋体"/>
          <w:spacing w:val="-4"/>
          <w:sz w:val="24"/>
          <w:szCs w:val="24"/>
        </w:rPr>
        <w:t>根据《中国动物地理》（张荣祖科学出版社，</w:t>
      </w:r>
      <w:r>
        <w:rPr>
          <w:rFonts w:ascii="宋体" w:hAnsi="宋体" w:eastAsia="宋体" w:cs="宋体"/>
          <w:spacing w:val="-36"/>
          <w:sz w:val="24"/>
          <w:szCs w:val="24"/>
        </w:rPr>
        <w:t xml:space="preserve"> </w:t>
      </w:r>
      <w:r>
        <w:rPr>
          <w:rFonts w:ascii="Times New Roman" w:hAnsi="Times New Roman" w:eastAsia="Times New Roman" w:cs="Times New Roman"/>
          <w:spacing w:val="-4"/>
          <w:sz w:val="24"/>
          <w:szCs w:val="24"/>
        </w:rPr>
        <w:t>2</w:t>
      </w:r>
      <w:r>
        <w:rPr>
          <w:rFonts w:ascii="Times New Roman" w:hAnsi="Times New Roman" w:eastAsia="Times New Roman" w:cs="Times New Roman"/>
          <w:spacing w:val="-5"/>
          <w:sz w:val="24"/>
          <w:szCs w:val="24"/>
        </w:rPr>
        <w:t xml:space="preserve">011 </w:t>
      </w:r>
      <w:r>
        <w:rPr>
          <w:rFonts w:ascii="宋体" w:hAnsi="宋体" w:eastAsia="宋体" w:cs="宋体"/>
          <w:spacing w:val="-5"/>
          <w:sz w:val="24"/>
          <w:szCs w:val="24"/>
        </w:rPr>
        <w:t>年</w:t>
      </w:r>
      <w:r>
        <w:rPr>
          <w:rFonts w:ascii="宋体" w:hAnsi="宋体" w:eastAsia="宋体" w:cs="宋体"/>
          <w:spacing w:val="-19"/>
          <w:sz w:val="24"/>
          <w:szCs w:val="24"/>
        </w:rPr>
        <w:t>），</w:t>
      </w:r>
      <w:r>
        <w:rPr>
          <w:rFonts w:ascii="宋体" w:hAnsi="宋体" w:eastAsia="宋体" w:cs="宋体"/>
          <w:spacing w:val="-5"/>
          <w:sz w:val="24"/>
          <w:szCs w:val="24"/>
        </w:rPr>
        <w:t>工程影响评价区动物区划</w:t>
      </w:r>
      <w:r>
        <w:rPr>
          <w:rFonts w:ascii="宋体" w:hAnsi="宋体" w:eastAsia="宋体" w:cs="宋体"/>
          <w:spacing w:val="3"/>
          <w:sz w:val="24"/>
          <w:szCs w:val="24"/>
        </w:rPr>
        <w:t>属于东洋界—华中区—西部山地高原亚区—贵州高原省—亚热</w:t>
      </w:r>
      <w:r>
        <w:rPr>
          <w:rFonts w:ascii="宋体" w:hAnsi="宋体" w:eastAsia="宋体" w:cs="宋体"/>
          <w:spacing w:val="2"/>
          <w:sz w:val="24"/>
          <w:szCs w:val="24"/>
        </w:rPr>
        <w:t>带常绿阔叶林灌</w:t>
      </w:r>
      <w:r>
        <w:rPr>
          <w:rFonts w:ascii="Times New Roman" w:hAnsi="Times New Roman" w:eastAsia="Times New Roman" w:cs="Times New Roman"/>
          <w:spacing w:val="2"/>
          <w:sz w:val="24"/>
          <w:szCs w:val="24"/>
        </w:rPr>
        <w:t>-</w:t>
      </w:r>
      <w:r>
        <w:rPr>
          <w:rFonts w:ascii="宋体" w:hAnsi="宋体" w:eastAsia="宋体" w:cs="宋体"/>
          <w:spacing w:val="2"/>
          <w:sz w:val="24"/>
          <w:szCs w:val="24"/>
        </w:rPr>
        <w:t>农田动</w:t>
      </w:r>
      <w:r>
        <w:rPr>
          <w:rFonts w:ascii="宋体" w:hAnsi="宋体" w:eastAsia="宋体" w:cs="宋体"/>
          <w:spacing w:val="-10"/>
          <w:sz w:val="24"/>
          <w:szCs w:val="24"/>
        </w:rPr>
        <w:t>物群。</w:t>
      </w:r>
    </w:p>
    <w:p w14:paraId="50B7B046">
      <w:pPr>
        <w:spacing w:before="7" w:line="233" w:lineRule="auto"/>
        <w:ind w:left="498"/>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2</w:t>
      </w:r>
      <w:r>
        <w:rPr>
          <w:rFonts w:ascii="宋体" w:hAnsi="宋体" w:eastAsia="宋体" w:cs="宋体"/>
          <w:b/>
          <w:bCs/>
          <w:spacing w:val="-4"/>
          <w:sz w:val="24"/>
          <w:szCs w:val="24"/>
        </w:rPr>
        <w:t>）动物物种多样性</w:t>
      </w:r>
    </w:p>
    <w:p w14:paraId="634FEE9A">
      <w:pPr>
        <w:spacing w:before="163" w:line="359" w:lineRule="auto"/>
        <w:ind w:left="8" w:firstLine="480"/>
        <w:jc w:val="both"/>
        <w:rPr>
          <w:rFonts w:ascii="宋体" w:hAnsi="宋体" w:eastAsia="宋体" w:cs="宋体"/>
          <w:sz w:val="24"/>
          <w:szCs w:val="24"/>
        </w:rPr>
      </w:pPr>
      <w:r>
        <w:rPr>
          <w:rFonts w:ascii="宋体" w:hAnsi="宋体" w:eastAsia="宋体" w:cs="宋体"/>
          <w:spacing w:val="-2"/>
          <w:sz w:val="24"/>
          <w:szCs w:val="24"/>
        </w:rPr>
        <w:t>根据工程特点，选择典型生境，采用样线法、样方法对影响评价区内的陆生脊椎动物进行了专项调查，并在沿线村庄及项目所在区域的林业部门进行了座谈访问，在此基</w:t>
      </w:r>
      <w:r>
        <w:rPr>
          <w:rFonts w:ascii="宋体" w:hAnsi="宋体" w:eastAsia="宋体" w:cs="宋体"/>
          <w:spacing w:val="-1"/>
          <w:sz w:val="24"/>
          <w:szCs w:val="24"/>
        </w:rPr>
        <w:t>础上查阅并参考《中国两栖动物图鉴》（费梁，</w:t>
      </w:r>
      <w:r>
        <w:rPr>
          <w:rFonts w:ascii="Times New Roman" w:hAnsi="Times New Roman" w:eastAsia="Times New Roman" w:cs="Times New Roman"/>
          <w:spacing w:val="-1"/>
          <w:sz w:val="24"/>
          <w:szCs w:val="24"/>
        </w:rPr>
        <w:t>1999</w:t>
      </w:r>
      <w:r>
        <w:rPr>
          <w:rFonts w:ascii="Times New Roman" w:hAnsi="Times New Roman" w:eastAsia="Times New Roman" w:cs="Times New Roman"/>
          <w:spacing w:val="34"/>
          <w:sz w:val="24"/>
          <w:szCs w:val="24"/>
        </w:rPr>
        <w:t xml:space="preserve"> </w:t>
      </w:r>
      <w:r>
        <w:rPr>
          <w:rFonts w:ascii="宋体" w:hAnsi="宋体" w:eastAsia="宋体" w:cs="宋体"/>
          <w:spacing w:val="-1"/>
          <w:sz w:val="24"/>
          <w:szCs w:val="24"/>
        </w:rPr>
        <w:t>年）、《中国动物志（两栖纲）》</w:t>
      </w:r>
      <w:r>
        <w:rPr>
          <w:rFonts w:ascii="宋体" w:hAnsi="宋体" w:eastAsia="宋体" w:cs="宋体"/>
          <w:sz w:val="24"/>
          <w:szCs w:val="24"/>
        </w:rPr>
        <w:t xml:space="preserve"> </w:t>
      </w:r>
      <w:r>
        <w:rPr>
          <w:rFonts w:ascii="宋体" w:hAnsi="宋体" w:eastAsia="宋体" w:cs="宋体"/>
          <w:spacing w:val="-9"/>
          <w:sz w:val="24"/>
          <w:szCs w:val="24"/>
        </w:rPr>
        <w:t>（科学出版社，</w:t>
      </w:r>
      <w:r>
        <w:rPr>
          <w:rFonts w:ascii="Times New Roman" w:hAnsi="Times New Roman" w:eastAsia="Times New Roman" w:cs="Times New Roman"/>
          <w:spacing w:val="-9"/>
          <w:sz w:val="24"/>
          <w:szCs w:val="24"/>
        </w:rPr>
        <w:t xml:space="preserve">2009 </w:t>
      </w:r>
      <w:r>
        <w:rPr>
          <w:rFonts w:ascii="宋体" w:hAnsi="宋体" w:eastAsia="宋体" w:cs="宋体"/>
          <w:spacing w:val="-9"/>
          <w:sz w:val="24"/>
          <w:szCs w:val="24"/>
        </w:rPr>
        <w:t>年）、《中国爬行动物图鉴》（中国野生动物保护协会，</w:t>
      </w:r>
      <w:r>
        <w:rPr>
          <w:rFonts w:ascii="Times New Roman" w:hAnsi="Times New Roman" w:eastAsia="Times New Roman" w:cs="Times New Roman"/>
          <w:spacing w:val="-9"/>
          <w:sz w:val="24"/>
          <w:szCs w:val="24"/>
        </w:rPr>
        <w:t xml:space="preserve">2002 </w:t>
      </w:r>
      <w:r>
        <w:rPr>
          <w:rFonts w:ascii="宋体" w:hAnsi="宋体" w:eastAsia="宋体" w:cs="宋体"/>
          <w:spacing w:val="-9"/>
          <w:sz w:val="24"/>
          <w:szCs w:val="24"/>
        </w:rPr>
        <w:t>年）、</w:t>
      </w:r>
      <w:r>
        <w:rPr>
          <w:rFonts w:ascii="宋体" w:hAnsi="宋体" w:eastAsia="宋体" w:cs="宋体"/>
          <w:spacing w:val="15"/>
          <w:sz w:val="24"/>
          <w:szCs w:val="24"/>
        </w:rPr>
        <w:t xml:space="preserve"> </w:t>
      </w:r>
      <w:r>
        <w:rPr>
          <w:rFonts w:ascii="宋体" w:hAnsi="宋体" w:eastAsia="宋体" w:cs="宋体"/>
          <w:spacing w:val="-3"/>
          <w:sz w:val="24"/>
          <w:szCs w:val="24"/>
        </w:rPr>
        <w:t>《中国两栖纲和爬行纲动物校正名录》（赵尔宓等，</w:t>
      </w:r>
      <w:r>
        <w:rPr>
          <w:rFonts w:ascii="Times New Roman" w:hAnsi="Times New Roman" w:eastAsia="Times New Roman" w:cs="Times New Roman"/>
          <w:spacing w:val="-3"/>
          <w:sz w:val="24"/>
          <w:szCs w:val="24"/>
        </w:rPr>
        <w:t xml:space="preserve">2000 </w:t>
      </w:r>
      <w:r>
        <w:rPr>
          <w:rFonts w:ascii="宋体" w:hAnsi="宋体" w:eastAsia="宋体" w:cs="宋体"/>
          <w:spacing w:val="-3"/>
          <w:sz w:val="24"/>
          <w:szCs w:val="24"/>
        </w:rPr>
        <w:t>年）、《中国鸟类分类与分布</w:t>
      </w:r>
      <w:r>
        <w:rPr>
          <w:rFonts w:ascii="宋体" w:hAnsi="宋体" w:eastAsia="宋体" w:cs="宋体"/>
          <w:spacing w:val="-8"/>
          <w:sz w:val="24"/>
          <w:szCs w:val="24"/>
        </w:rPr>
        <w:t>名录（第三版）》（郑光美，</w:t>
      </w:r>
      <w:r>
        <w:rPr>
          <w:rFonts w:ascii="Times New Roman" w:hAnsi="Times New Roman" w:eastAsia="Times New Roman" w:cs="Times New Roman"/>
          <w:spacing w:val="-8"/>
          <w:sz w:val="24"/>
          <w:szCs w:val="24"/>
        </w:rPr>
        <w:t xml:space="preserve">2017 </w:t>
      </w:r>
      <w:r>
        <w:rPr>
          <w:rFonts w:ascii="宋体" w:hAnsi="宋体" w:eastAsia="宋体" w:cs="宋体"/>
          <w:spacing w:val="-8"/>
          <w:sz w:val="24"/>
          <w:szCs w:val="24"/>
        </w:rPr>
        <w:t>年）、《中国兽类野外手册》（湖南教育出版社，</w:t>
      </w:r>
      <w:r>
        <w:rPr>
          <w:rFonts w:ascii="Times New Roman" w:hAnsi="Times New Roman" w:eastAsia="Times New Roman" w:cs="Times New Roman"/>
          <w:spacing w:val="-9"/>
          <w:sz w:val="24"/>
          <w:szCs w:val="24"/>
        </w:rPr>
        <w:t>2009</w:t>
      </w:r>
      <w:r>
        <w:rPr>
          <w:rFonts w:ascii="宋体" w:hAnsi="宋体" w:eastAsia="宋体" w:cs="宋体"/>
          <w:spacing w:val="-4"/>
          <w:sz w:val="24"/>
          <w:szCs w:val="24"/>
        </w:rPr>
        <w:t>年）、《中国脊椎动物红色名录》（</w:t>
      </w:r>
      <w:r>
        <w:rPr>
          <w:rFonts w:ascii="Times New Roman" w:hAnsi="Times New Roman" w:eastAsia="Times New Roman" w:cs="Times New Roman"/>
          <w:spacing w:val="-4"/>
          <w:sz w:val="24"/>
          <w:szCs w:val="24"/>
        </w:rPr>
        <w:t>Biodiversity Science</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2016 </w:t>
      </w:r>
      <w:r>
        <w:rPr>
          <w:rFonts w:ascii="宋体" w:hAnsi="宋体" w:eastAsia="宋体" w:cs="宋体"/>
          <w:spacing w:val="-4"/>
          <w:sz w:val="24"/>
          <w:szCs w:val="24"/>
        </w:rPr>
        <w:t>年）、《中国哺乳动</w:t>
      </w:r>
      <w:r>
        <w:rPr>
          <w:rFonts w:ascii="宋体" w:hAnsi="宋体" w:eastAsia="宋体" w:cs="宋体"/>
          <w:spacing w:val="-5"/>
          <w:sz w:val="24"/>
          <w:szCs w:val="24"/>
        </w:rPr>
        <w:t>物多</w:t>
      </w:r>
      <w:r>
        <w:rPr>
          <w:rFonts w:ascii="宋体" w:hAnsi="宋体" w:eastAsia="宋体" w:cs="宋体"/>
          <w:spacing w:val="-1"/>
          <w:sz w:val="24"/>
          <w:szCs w:val="24"/>
        </w:rPr>
        <w:t>样性编目</w:t>
      </w:r>
      <w:bookmarkStart w:id="53" w:name="_GoBack"/>
      <w:bookmarkEnd w:id="53"/>
      <w:r>
        <w:rPr>
          <w:rFonts w:hint="eastAsia" w:ascii="Times New Roman" w:hAnsi="Times New Roman" w:eastAsia="宋体" w:cs="Times New Roman"/>
          <w:spacing w:val="-1"/>
          <w:sz w:val="24"/>
          <w:szCs w:val="24"/>
          <w:lang w:eastAsia="zh-CN"/>
        </w:rPr>
        <w:t>（第</w:t>
      </w:r>
      <w:r>
        <w:rPr>
          <w:rFonts w:ascii="宋体" w:hAnsi="宋体" w:eastAsia="宋体" w:cs="宋体"/>
          <w:spacing w:val="-54"/>
          <w:sz w:val="24"/>
          <w:szCs w:val="24"/>
        </w:rPr>
        <w:t xml:space="preserve"> </w:t>
      </w:r>
      <w:r>
        <w:rPr>
          <w:rFonts w:ascii="Times New Roman" w:hAnsi="Times New Roman" w:eastAsia="Times New Roman" w:cs="Times New Roman"/>
          <w:spacing w:val="-1"/>
          <w:sz w:val="24"/>
          <w:szCs w:val="24"/>
        </w:rPr>
        <w:t xml:space="preserve">2 </w:t>
      </w:r>
      <w:r>
        <w:rPr>
          <w:rFonts w:ascii="宋体" w:hAnsi="宋体" w:eastAsia="宋体" w:cs="宋体"/>
          <w:spacing w:val="-1"/>
          <w:sz w:val="24"/>
          <w:szCs w:val="24"/>
        </w:rPr>
        <w:t>版</w:t>
      </w:r>
      <w:r>
        <w:rPr>
          <w:rFonts w:ascii="Times New Roman" w:hAnsi="Times New Roman" w:eastAsia="Times New Roman" w:cs="Times New Roman"/>
          <w:spacing w:val="-1"/>
          <w:sz w:val="24"/>
          <w:szCs w:val="24"/>
        </w:rPr>
        <w:t>)</w:t>
      </w:r>
      <w:r>
        <w:rPr>
          <w:rFonts w:ascii="宋体" w:hAnsi="宋体" w:eastAsia="宋体" w:cs="宋体"/>
          <w:spacing w:val="-1"/>
          <w:sz w:val="24"/>
          <w:szCs w:val="24"/>
        </w:rPr>
        <w:t>》（蒋志刚等人，</w:t>
      </w:r>
      <w:r>
        <w:rPr>
          <w:rFonts w:ascii="Times New Roman" w:hAnsi="Times New Roman" w:eastAsia="Times New Roman" w:cs="Times New Roman"/>
          <w:spacing w:val="-1"/>
          <w:sz w:val="24"/>
          <w:szCs w:val="24"/>
        </w:rPr>
        <w:t xml:space="preserve">2017 </w:t>
      </w:r>
      <w:r>
        <w:rPr>
          <w:rFonts w:ascii="宋体" w:hAnsi="宋体" w:eastAsia="宋体" w:cs="宋体"/>
          <w:spacing w:val="-1"/>
          <w:sz w:val="24"/>
          <w:szCs w:val="24"/>
        </w:rPr>
        <w:t>年）等著作以及关于本地区脊椎动物类的相关</w:t>
      </w:r>
      <w:r>
        <w:rPr>
          <w:rFonts w:ascii="宋体" w:hAnsi="宋体" w:eastAsia="宋体" w:cs="宋体"/>
          <w:spacing w:val="-2"/>
          <w:sz w:val="24"/>
          <w:szCs w:val="24"/>
        </w:rPr>
        <w:t>文献资料《云南两栖爬行类》《云南鸟类志》等对影响评价区的动物资源现状得出综合</w:t>
      </w:r>
      <w:r>
        <w:rPr>
          <w:rFonts w:ascii="宋体" w:hAnsi="宋体" w:eastAsia="宋体" w:cs="宋体"/>
          <w:spacing w:val="-10"/>
          <w:sz w:val="24"/>
          <w:szCs w:val="24"/>
        </w:rPr>
        <w:t>结论。</w:t>
      </w:r>
    </w:p>
    <w:p w14:paraId="4EB93A61">
      <w:pPr>
        <w:spacing w:before="15" w:line="350" w:lineRule="auto"/>
        <w:ind w:left="10" w:right="110" w:firstLine="481"/>
        <w:jc w:val="both"/>
        <w:rPr>
          <w:rFonts w:ascii="宋体" w:hAnsi="宋体" w:eastAsia="宋体" w:cs="宋体"/>
          <w:sz w:val="24"/>
          <w:szCs w:val="24"/>
        </w:rPr>
      </w:pPr>
      <w:r>
        <w:rPr>
          <w:rFonts w:ascii="宋体" w:hAnsi="宋体" w:eastAsia="宋体" w:cs="宋体"/>
          <w:spacing w:val="-2"/>
          <w:sz w:val="24"/>
          <w:szCs w:val="24"/>
        </w:rPr>
        <w:t>为表示各类动物种类数量的丰富度，采用数量等级方法：对某动物种群在单位面积</w:t>
      </w:r>
      <w:r>
        <w:rPr>
          <w:rFonts w:ascii="宋体" w:hAnsi="宋体" w:eastAsia="宋体" w:cs="宋体"/>
          <w:spacing w:val="-1"/>
          <w:sz w:val="24"/>
          <w:szCs w:val="24"/>
        </w:rPr>
        <w:t>内其数量占所调查动物总数的</w:t>
      </w:r>
      <w:r>
        <w:rPr>
          <w:rFonts w:ascii="宋体" w:hAnsi="宋体" w:eastAsia="宋体" w:cs="宋体"/>
          <w:spacing w:val="-27"/>
          <w:sz w:val="24"/>
          <w:szCs w:val="24"/>
        </w:rPr>
        <w:t xml:space="preserve"> </w:t>
      </w:r>
      <w:r>
        <w:rPr>
          <w:rFonts w:ascii="Times New Roman" w:hAnsi="Times New Roman" w:eastAsia="Times New Roman" w:cs="Times New Roman"/>
          <w:spacing w:val="-1"/>
          <w:sz w:val="24"/>
          <w:szCs w:val="24"/>
        </w:rPr>
        <w:t>10%</w:t>
      </w:r>
      <w:r>
        <w:rPr>
          <w:rFonts w:ascii="宋体" w:hAnsi="宋体" w:eastAsia="宋体" w:cs="宋体"/>
          <w:spacing w:val="-1"/>
          <w:sz w:val="24"/>
          <w:szCs w:val="24"/>
        </w:rPr>
        <w:t>以上，用“</w:t>
      </w:r>
      <w:r>
        <w:rPr>
          <w:rFonts w:ascii="Times New Roman" w:hAnsi="Times New Roman" w:eastAsia="Times New Roman" w:cs="Times New Roman"/>
          <w:spacing w:val="-1"/>
          <w:sz w:val="24"/>
          <w:szCs w:val="24"/>
        </w:rPr>
        <w:t>+++</w:t>
      </w:r>
      <w:r>
        <w:rPr>
          <w:rFonts w:ascii="宋体" w:hAnsi="宋体" w:eastAsia="宋体" w:cs="宋体"/>
          <w:spacing w:val="-1"/>
          <w:sz w:val="24"/>
          <w:szCs w:val="24"/>
        </w:rPr>
        <w:t>”表示，该种群为当地优势种；对某</w:t>
      </w:r>
      <w:r>
        <w:rPr>
          <w:rFonts w:ascii="宋体" w:hAnsi="宋体" w:eastAsia="宋体" w:cs="宋体"/>
          <w:spacing w:val="-4"/>
          <w:sz w:val="24"/>
          <w:szCs w:val="24"/>
        </w:rPr>
        <w:t>动物种群占调查总数的</w:t>
      </w:r>
      <w:r>
        <w:rPr>
          <w:rFonts w:ascii="宋体" w:hAnsi="宋体" w:eastAsia="宋体" w:cs="宋体"/>
          <w:spacing w:val="-16"/>
          <w:sz w:val="24"/>
          <w:szCs w:val="24"/>
        </w:rPr>
        <w:t xml:space="preserve"> </w:t>
      </w:r>
      <w:r>
        <w:rPr>
          <w:rFonts w:ascii="Times New Roman" w:hAnsi="Times New Roman" w:eastAsia="Times New Roman" w:cs="Times New Roman"/>
          <w:spacing w:val="-4"/>
          <w:sz w:val="24"/>
          <w:szCs w:val="24"/>
        </w:rPr>
        <w:t>1~10%</w:t>
      </w:r>
      <w:r>
        <w:rPr>
          <w:rFonts w:ascii="宋体" w:hAnsi="宋体" w:eastAsia="宋体" w:cs="宋体"/>
          <w:spacing w:val="-4"/>
          <w:sz w:val="24"/>
          <w:szCs w:val="24"/>
        </w:rPr>
        <w:t>，用“</w:t>
      </w:r>
      <w:r>
        <w:rPr>
          <w:rFonts w:ascii="Times New Roman" w:hAnsi="Times New Roman" w:eastAsia="Times New Roman" w:cs="Times New Roman"/>
          <w:spacing w:val="-4"/>
          <w:sz w:val="24"/>
          <w:szCs w:val="24"/>
        </w:rPr>
        <w:t>++</w:t>
      </w:r>
      <w:r>
        <w:rPr>
          <w:rFonts w:ascii="宋体" w:hAnsi="宋体" w:eastAsia="宋体" w:cs="宋体"/>
          <w:spacing w:val="-4"/>
          <w:sz w:val="24"/>
          <w:szCs w:val="24"/>
        </w:rPr>
        <w:t>”表示，该动物种为当地普通种；对某动物种群</w:t>
      </w:r>
      <w:r>
        <w:rPr>
          <w:rFonts w:ascii="宋体" w:hAnsi="宋体" w:eastAsia="宋体" w:cs="宋体"/>
          <w:spacing w:val="-2"/>
          <w:sz w:val="24"/>
          <w:szCs w:val="24"/>
        </w:rPr>
        <w:t>占调查总数的</w:t>
      </w:r>
      <w:r>
        <w:rPr>
          <w:rFonts w:ascii="宋体" w:hAnsi="宋体" w:eastAsia="宋体" w:cs="宋体"/>
          <w:spacing w:val="-21"/>
          <w:sz w:val="24"/>
          <w:szCs w:val="24"/>
        </w:rPr>
        <w:t xml:space="preserve"> </w:t>
      </w:r>
      <w:r>
        <w:rPr>
          <w:rFonts w:ascii="Times New Roman" w:hAnsi="Times New Roman" w:eastAsia="Times New Roman" w:cs="Times New Roman"/>
          <w:spacing w:val="-2"/>
          <w:sz w:val="24"/>
          <w:szCs w:val="24"/>
        </w:rPr>
        <w:t>1%</w:t>
      </w:r>
      <w:r>
        <w:rPr>
          <w:rFonts w:ascii="宋体" w:hAnsi="宋体" w:eastAsia="宋体" w:cs="宋体"/>
          <w:spacing w:val="-2"/>
          <w:sz w:val="24"/>
          <w:szCs w:val="24"/>
        </w:rPr>
        <w:t>以下或仅</w:t>
      </w:r>
      <w:r>
        <w:rPr>
          <w:rFonts w:ascii="宋体" w:hAnsi="宋体" w:eastAsia="宋体" w:cs="宋体"/>
          <w:spacing w:val="-25"/>
          <w:sz w:val="24"/>
          <w:szCs w:val="24"/>
        </w:rPr>
        <w:t xml:space="preserve"> </w:t>
      </w:r>
      <w:r>
        <w:rPr>
          <w:rFonts w:ascii="Times New Roman" w:hAnsi="Times New Roman" w:eastAsia="Times New Roman" w:cs="Times New Roman"/>
          <w:spacing w:val="-2"/>
          <w:sz w:val="24"/>
          <w:szCs w:val="24"/>
        </w:rPr>
        <w:t>1%</w:t>
      </w:r>
      <w:r>
        <w:rPr>
          <w:rFonts w:ascii="宋体" w:hAnsi="宋体" w:eastAsia="宋体" w:cs="宋体"/>
          <w:spacing w:val="-2"/>
          <w:sz w:val="24"/>
          <w:szCs w:val="24"/>
        </w:rPr>
        <w:t>，用“</w:t>
      </w:r>
      <w:r>
        <w:rPr>
          <w:rFonts w:ascii="Times New Roman" w:hAnsi="Times New Roman" w:eastAsia="Times New Roman" w:cs="Times New Roman"/>
          <w:spacing w:val="-2"/>
          <w:sz w:val="24"/>
          <w:szCs w:val="24"/>
        </w:rPr>
        <w:t>+</w:t>
      </w:r>
      <w:r>
        <w:rPr>
          <w:rFonts w:ascii="宋体" w:hAnsi="宋体" w:eastAsia="宋体" w:cs="宋体"/>
          <w:spacing w:val="-2"/>
          <w:sz w:val="24"/>
          <w:szCs w:val="24"/>
        </w:rPr>
        <w:t>”表示，该物种为当地稀有种。数量等级评价标</w:t>
      </w:r>
      <w:r>
        <w:rPr>
          <w:rFonts w:ascii="宋体" w:hAnsi="宋体" w:eastAsia="宋体" w:cs="宋体"/>
          <w:spacing w:val="-3"/>
          <w:sz w:val="24"/>
          <w:szCs w:val="24"/>
        </w:rPr>
        <w:t>准见表</w:t>
      </w:r>
      <w:r>
        <w:rPr>
          <w:rFonts w:ascii="宋体" w:hAnsi="宋体" w:eastAsia="宋体" w:cs="宋体"/>
          <w:spacing w:val="-52"/>
          <w:sz w:val="24"/>
          <w:szCs w:val="24"/>
        </w:rPr>
        <w:t xml:space="preserve"> </w:t>
      </w:r>
      <w:r>
        <w:rPr>
          <w:rFonts w:ascii="Times New Roman" w:hAnsi="Times New Roman" w:eastAsia="Times New Roman" w:cs="Times New Roman"/>
          <w:spacing w:val="-3"/>
          <w:sz w:val="24"/>
          <w:szCs w:val="24"/>
        </w:rPr>
        <w:t>2-6</w:t>
      </w:r>
      <w:r>
        <w:rPr>
          <w:rFonts w:ascii="宋体" w:hAnsi="宋体" w:eastAsia="宋体" w:cs="宋体"/>
          <w:spacing w:val="-3"/>
          <w:sz w:val="24"/>
          <w:szCs w:val="24"/>
        </w:rPr>
        <w:t>。</w:t>
      </w:r>
    </w:p>
    <w:p w14:paraId="67905FDA">
      <w:pPr>
        <w:spacing w:line="229" w:lineRule="auto"/>
        <w:ind w:left="2902"/>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7"/>
          <w:sz w:val="21"/>
          <w:szCs w:val="21"/>
        </w:rPr>
        <w:t xml:space="preserve"> </w:t>
      </w:r>
      <w:r>
        <w:rPr>
          <w:rFonts w:ascii="Times New Roman" w:hAnsi="Times New Roman" w:eastAsia="Times New Roman" w:cs="Times New Roman"/>
          <w:b/>
          <w:bCs/>
          <w:spacing w:val="-2"/>
          <w:sz w:val="21"/>
          <w:szCs w:val="21"/>
        </w:rPr>
        <w:t xml:space="preserve">2-6    </w:t>
      </w:r>
      <w:r>
        <w:rPr>
          <w:rFonts w:ascii="宋体" w:hAnsi="宋体" w:eastAsia="宋体" w:cs="宋体"/>
          <w:b/>
          <w:bCs/>
          <w:spacing w:val="-2"/>
          <w:sz w:val="21"/>
          <w:szCs w:val="21"/>
        </w:rPr>
        <w:t>动物资源数量等级评价标准</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54"/>
        <w:gridCol w:w="1279"/>
        <w:gridCol w:w="6235"/>
      </w:tblGrid>
      <w:tr w14:paraId="78A8F47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554" w:type="dxa"/>
            <w:vAlign w:val="top"/>
          </w:tcPr>
          <w:p w14:paraId="7E133D94">
            <w:pPr>
              <w:pStyle w:val="6"/>
              <w:spacing w:before="69" w:line="221" w:lineRule="auto"/>
              <w:ind w:left="360"/>
            </w:pPr>
            <w:r>
              <w:rPr>
                <w:b/>
                <w:bCs/>
                <w:spacing w:val="-3"/>
              </w:rPr>
              <w:t>种群状况</w:t>
            </w:r>
          </w:p>
        </w:tc>
        <w:tc>
          <w:tcPr>
            <w:tcW w:w="1279" w:type="dxa"/>
            <w:vAlign w:val="top"/>
          </w:tcPr>
          <w:p w14:paraId="2A75BCED">
            <w:pPr>
              <w:pStyle w:val="6"/>
              <w:spacing w:before="69" w:line="221" w:lineRule="auto"/>
              <w:ind w:left="221"/>
            </w:pPr>
            <w:r>
              <w:rPr>
                <w:b/>
                <w:bCs/>
                <w:spacing w:val="-3"/>
              </w:rPr>
              <w:t>表示符号</w:t>
            </w:r>
          </w:p>
        </w:tc>
        <w:tc>
          <w:tcPr>
            <w:tcW w:w="6235" w:type="dxa"/>
            <w:vAlign w:val="top"/>
          </w:tcPr>
          <w:p w14:paraId="4FF6DFE2">
            <w:pPr>
              <w:pStyle w:val="6"/>
              <w:spacing w:before="70" w:line="221" w:lineRule="auto"/>
              <w:ind w:left="2910"/>
            </w:pPr>
            <w:r>
              <w:rPr>
                <w:b/>
                <w:bCs/>
                <w:spacing w:val="-4"/>
              </w:rPr>
              <w:t>标准</w:t>
            </w:r>
          </w:p>
        </w:tc>
      </w:tr>
      <w:tr w14:paraId="655528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554" w:type="dxa"/>
            <w:vAlign w:val="top"/>
          </w:tcPr>
          <w:p w14:paraId="241639B7">
            <w:pPr>
              <w:pStyle w:val="6"/>
              <w:spacing w:before="66" w:line="221" w:lineRule="auto"/>
              <w:ind w:left="270"/>
            </w:pPr>
            <w:r>
              <w:rPr>
                <w:spacing w:val="-4"/>
              </w:rPr>
              <w:t>当地优势种</w:t>
            </w:r>
          </w:p>
        </w:tc>
        <w:tc>
          <w:tcPr>
            <w:tcW w:w="1279" w:type="dxa"/>
            <w:vAlign w:val="top"/>
          </w:tcPr>
          <w:p w14:paraId="037984C7">
            <w:pPr>
              <w:spacing w:before="101" w:line="231" w:lineRule="auto"/>
              <w:ind w:left="46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w:t>
            </w:r>
          </w:p>
        </w:tc>
        <w:tc>
          <w:tcPr>
            <w:tcW w:w="6235" w:type="dxa"/>
            <w:vAlign w:val="top"/>
          </w:tcPr>
          <w:p w14:paraId="7C205C9A">
            <w:pPr>
              <w:pStyle w:val="6"/>
              <w:spacing w:before="67" w:line="234" w:lineRule="auto"/>
              <w:ind w:left="114"/>
            </w:pPr>
            <w:r>
              <w:rPr>
                <w:spacing w:val="-2"/>
              </w:rPr>
              <w:t>单位面积内其数量占所调查动物总数的</w:t>
            </w:r>
            <w:r>
              <w:rPr>
                <w:spacing w:val="-16"/>
              </w:rPr>
              <w:t xml:space="preserve"> </w:t>
            </w:r>
            <w:r>
              <w:rPr>
                <w:rFonts w:ascii="Times New Roman" w:hAnsi="Times New Roman" w:eastAsia="Times New Roman" w:cs="Times New Roman"/>
                <w:spacing w:val="-2"/>
              </w:rPr>
              <w:t>10%</w:t>
            </w:r>
            <w:r>
              <w:rPr>
                <w:spacing w:val="-2"/>
              </w:rPr>
              <w:t>以上</w:t>
            </w:r>
          </w:p>
        </w:tc>
      </w:tr>
      <w:tr w14:paraId="1560FB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4" w:hRule="atLeast"/>
        </w:trPr>
        <w:tc>
          <w:tcPr>
            <w:tcW w:w="1554" w:type="dxa"/>
            <w:vAlign w:val="top"/>
          </w:tcPr>
          <w:p w14:paraId="6D023E0D">
            <w:pPr>
              <w:pStyle w:val="6"/>
              <w:spacing w:before="67" w:line="221" w:lineRule="auto"/>
              <w:ind w:left="270"/>
            </w:pPr>
            <w:r>
              <w:rPr>
                <w:spacing w:val="-4"/>
              </w:rPr>
              <w:t>当地普通种</w:t>
            </w:r>
          </w:p>
        </w:tc>
        <w:tc>
          <w:tcPr>
            <w:tcW w:w="1279" w:type="dxa"/>
            <w:vAlign w:val="top"/>
          </w:tcPr>
          <w:p w14:paraId="06888A26">
            <w:pPr>
              <w:spacing w:before="103" w:line="229" w:lineRule="auto"/>
              <w:ind w:left="5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w:t>
            </w:r>
          </w:p>
        </w:tc>
        <w:tc>
          <w:tcPr>
            <w:tcW w:w="6235" w:type="dxa"/>
            <w:vAlign w:val="top"/>
          </w:tcPr>
          <w:p w14:paraId="35ACA34C">
            <w:pPr>
              <w:pStyle w:val="6"/>
              <w:spacing w:before="67" w:line="234" w:lineRule="auto"/>
              <w:ind w:left="114"/>
            </w:pPr>
            <w:r>
              <w:rPr>
                <w:spacing w:val="-2"/>
              </w:rPr>
              <w:t>单位面积内其数量占所调查动物总数的</w:t>
            </w:r>
            <w:r>
              <w:rPr>
                <w:spacing w:val="-12"/>
              </w:rPr>
              <w:t xml:space="preserve"> </w:t>
            </w:r>
            <w:r>
              <w:rPr>
                <w:rFonts w:ascii="Times New Roman" w:hAnsi="Times New Roman" w:eastAsia="Times New Roman" w:cs="Times New Roman"/>
                <w:spacing w:val="-2"/>
              </w:rPr>
              <w:t>1~10%</w:t>
            </w:r>
            <w:r>
              <w:rPr>
                <w:spacing w:val="-2"/>
              </w:rPr>
              <w:t>以上</w:t>
            </w:r>
          </w:p>
        </w:tc>
      </w:tr>
      <w:tr w14:paraId="544FE0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554" w:type="dxa"/>
            <w:vAlign w:val="top"/>
          </w:tcPr>
          <w:p w14:paraId="0C1AE031">
            <w:pPr>
              <w:pStyle w:val="6"/>
              <w:spacing w:before="69" w:line="221" w:lineRule="auto"/>
              <w:ind w:left="270"/>
            </w:pPr>
            <w:r>
              <w:rPr>
                <w:spacing w:val="-4"/>
              </w:rPr>
              <w:t>当地稀有种</w:t>
            </w:r>
          </w:p>
        </w:tc>
        <w:tc>
          <w:tcPr>
            <w:tcW w:w="1279" w:type="dxa"/>
            <w:vAlign w:val="top"/>
          </w:tcPr>
          <w:p w14:paraId="25F2FB3A">
            <w:pPr>
              <w:spacing w:before="104" w:line="233" w:lineRule="auto"/>
              <w:ind w:left="581"/>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6235" w:type="dxa"/>
            <w:vAlign w:val="top"/>
          </w:tcPr>
          <w:p w14:paraId="07580E14">
            <w:pPr>
              <w:pStyle w:val="6"/>
              <w:spacing w:before="70" w:line="234" w:lineRule="auto"/>
              <w:ind w:left="114"/>
            </w:pPr>
            <w:r>
              <w:rPr>
                <w:spacing w:val="-3"/>
              </w:rPr>
              <w:t>单位面积内其数量占所调查动物总数的</w:t>
            </w:r>
            <w:r>
              <w:rPr>
                <w:spacing w:val="-10"/>
              </w:rPr>
              <w:t xml:space="preserve"> </w:t>
            </w:r>
            <w:r>
              <w:rPr>
                <w:rFonts w:ascii="Times New Roman" w:hAnsi="Times New Roman" w:eastAsia="Times New Roman" w:cs="Times New Roman"/>
                <w:spacing w:val="-3"/>
              </w:rPr>
              <w:t>1%</w:t>
            </w:r>
            <w:r>
              <w:rPr>
                <w:spacing w:val="-3"/>
              </w:rPr>
              <w:t>及以下或</w:t>
            </w:r>
            <w:r>
              <w:rPr>
                <w:spacing w:val="-27"/>
              </w:rPr>
              <w:t xml:space="preserve"> </w:t>
            </w:r>
            <w:r>
              <w:rPr>
                <w:rFonts w:ascii="Times New Roman" w:hAnsi="Times New Roman" w:eastAsia="Times New Roman" w:cs="Times New Roman"/>
                <w:spacing w:val="-3"/>
              </w:rPr>
              <w:t>1</w:t>
            </w:r>
            <w:r>
              <w:rPr>
                <w:rFonts w:ascii="Times New Roman" w:hAnsi="Times New Roman" w:eastAsia="Times New Roman" w:cs="Times New Roman"/>
                <w:spacing w:val="21"/>
              </w:rPr>
              <w:t xml:space="preserve"> </w:t>
            </w:r>
            <w:r>
              <w:rPr>
                <w:spacing w:val="-3"/>
              </w:rPr>
              <w:t>只</w:t>
            </w:r>
          </w:p>
        </w:tc>
      </w:tr>
    </w:tbl>
    <w:p w14:paraId="4623EB98">
      <w:pPr>
        <w:spacing w:before="115" w:line="218" w:lineRule="auto"/>
        <w:ind w:left="489"/>
        <w:rPr>
          <w:rFonts w:ascii="宋体" w:hAnsi="宋体" w:eastAsia="宋体" w:cs="宋体"/>
          <w:sz w:val="24"/>
          <w:szCs w:val="24"/>
        </w:rPr>
      </w:pPr>
      <w:r>
        <w:rPr>
          <w:rFonts w:ascii="宋体" w:hAnsi="宋体" w:eastAsia="宋体" w:cs="宋体"/>
          <w:spacing w:val="-2"/>
          <w:sz w:val="24"/>
          <w:szCs w:val="24"/>
        </w:rPr>
        <w:t>根据实地考察及对相关资料进行综合分析，影响评价区分布的陆生野生脊椎动物有</w:t>
      </w:r>
    </w:p>
    <w:p w14:paraId="3CB8C104">
      <w:pPr>
        <w:spacing w:before="185" w:line="354" w:lineRule="auto"/>
        <w:ind w:left="8" w:right="107" w:hanging="5"/>
        <w:jc w:val="both"/>
        <w:rPr>
          <w:rFonts w:ascii="宋体" w:hAnsi="宋体" w:eastAsia="宋体" w:cs="宋体"/>
          <w:sz w:val="24"/>
          <w:szCs w:val="24"/>
        </w:rPr>
      </w:pPr>
      <w:r>
        <w:rPr>
          <w:rFonts w:ascii="Times New Roman" w:hAnsi="Times New Roman" w:eastAsia="Times New Roman" w:cs="Times New Roman"/>
          <w:spacing w:val="-10"/>
          <w:sz w:val="24"/>
          <w:szCs w:val="24"/>
        </w:rPr>
        <w:t>4</w:t>
      </w:r>
      <w:r>
        <w:rPr>
          <w:rFonts w:ascii="Times New Roman" w:hAnsi="Times New Roman" w:eastAsia="Times New Roman" w:cs="Times New Roman"/>
          <w:spacing w:val="32"/>
          <w:sz w:val="24"/>
          <w:szCs w:val="24"/>
        </w:rPr>
        <w:t xml:space="preserve"> </w:t>
      </w:r>
      <w:r>
        <w:rPr>
          <w:rFonts w:ascii="宋体" w:hAnsi="宋体" w:eastAsia="宋体" w:cs="宋体"/>
          <w:spacing w:val="-10"/>
          <w:sz w:val="24"/>
          <w:szCs w:val="24"/>
        </w:rPr>
        <w:t>纲</w:t>
      </w:r>
      <w:r>
        <w:rPr>
          <w:rFonts w:ascii="宋体" w:hAnsi="宋体" w:eastAsia="宋体" w:cs="宋体"/>
          <w:spacing w:val="-32"/>
          <w:sz w:val="24"/>
          <w:szCs w:val="24"/>
        </w:rPr>
        <w:t xml:space="preserve"> </w:t>
      </w:r>
      <w:r>
        <w:rPr>
          <w:rFonts w:ascii="Times New Roman" w:hAnsi="Times New Roman" w:eastAsia="Times New Roman" w:cs="Times New Roman"/>
          <w:spacing w:val="-10"/>
          <w:sz w:val="24"/>
          <w:szCs w:val="24"/>
        </w:rPr>
        <w:t xml:space="preserve">16  </w:t>
      </w:r>
      <w:r>
        <w:rPr>
          <w:rFonts w:ascii="宋体" w:hAnsi="宋体" w:eastAsia="宋体" w:cs="宋体"/>
          <w:spacing w:val="-10"/>
          <w:sz w:val="24"/>
          <w:szCs w:val="24"/>
        </w:rPr>
        <w:t>目</w:t>
      </w:r>
      <w:r>
        <w:rPr>
          <w:rFonts w:ascii="宋体" w:hAnsi="宋体" w:eastAsia="宋体" w:cs="宋体"/>
          <w:spacing w:val="-50"/>
          <w:sz w:val="24"/>
          <w:szCs w:val="24"/>
        </w:rPr>
        <w:t xml:space="preserve"> </w:t>
      </w:r>
      <w:r>
        <w:rPr>
          <w:rFonts w:ascii="Times New Roman" w:hAnsi="Times New Roman" w:eastAsia="Times New Roman" w:cs="Times New Roman"/>
          <w:spacing w:val="-10"/>
          <w:sz w:val="24"/>
          <w:szCs w:val="24"/>
        </w:rPr>
        <w:t xml:space="preserve">37 </w:t>
      </w:r>
      <w:r>
        <w:rPr>
          <w:rFonts w:ascii="宋体" w:hAnsi="宋体" w:eastAsia="宋体" w:cs="宋体"/>
          <w:spacing w:val="-10"/>
          <w:sz w:val="24"/>
          <w:szCs w:val="24"/>
        </w:rPr>
        <w:t>科</w:t>
      </w:r>
      <w:r>
        <w:rPr>
          <w:rFonts w:ascii="宋体" w:hAnsi="宋体" w:eastAsia="宋体" w:cs="宋体"/>
          <w:spacing w:val="-50"/>
          <w:sz w:val="24"/>
          <w:szCs w:val="24"/>
        </w:rPr>
        <w:t xml:space="preserve"> </w:t>
      </w:r>
      <w:r>
        <w:rPr>
          <w:rFonts w:ascii="Times New Roman" w:hAnsi="Times New Roman" w:eastAsia="Times New Roman" w:cs="Times New Roman"/>
          <w:spacing w:val="-10"/>
          <w:sz w:val="24"/>
          <w:szCs w:val="24"/>
        </w:rPr>
        <w:t xml:space="preserve">63 </w:t>
      </w:r>
      <w:r>
        <w:rPr>
          <w:rFonts w:ascii="宋体" w:hAnsi="宋体" w:eastAsia="宋体" w:cs="宋体"/>
          <w:spacing w:val="-10"/>
          <w:sz w:val="24"/>
          <w:szCs w:val="24"/>
        </w:rPr>
        <w:t>种，其中，爬行类有</w:t>
      </w:r>
      <w:r>
        <w:rPr>
          <w:rFonts w:ascii="宋体" w:hAnsi="宋体" w:eastAsia="宋体" w:cs="宋体"/>
          <w:spacing w:val="-32"/>
          <w:sz w:val="24"/>
          <w:szCs w:val="24"/>
        </w:rPr>
        <w:t xml:space="preserve"> </w:t>
      </w:r>
      <w:r>
        <w:rPr>
          <w:rFonts w:ascii="Times New Roman" w:hAnsi="Times New Roman" w:eastAsia="Times New Roman" w:cs="Times New Roman"/>
          <w:spacing w:val="-10"/>
          <w:sz w:val="24"/>
          <w:szCs w:val="24"/>
        </w:rPr>
        <w:t xml:space="preserve">1  </w:t>
      </w:r>
      <w:r>
        <w:rPr>
          <w:rFonts w:ascii="宋体" w:hAnsi="宋体" w:eastAsia="宋体" w:cs="宋体"/>
          <w:spacing w:val="-10"/>
          <w:sz w:val="24"/>
          <w:szCs w:val="24"/>
        </w:rPr>
        <w:t>目</w:t>
      </w:r>
      <w:r>
        <w:rPr>
          <w:rFonts w:ascii="宋体" w:hAnsi="宋体" w:eastAsia="宋体" w:cs="宋体"/>
          <w:spacing w:val="-50"/>
          <w:sz w:val="24"/>
          <w:szCs w:val="24"/>
        </w:rPr>
        <w:t xml:space="preserve"> </w:t>
      </w:r>
      <w:r>
        <w:rPr>
          <w:rFonts w:ascii="Times New Roman" w:hAnsi="Times New Roman" w:eastAsia="Times New Roman" w:cs="Times New Roman"/>
          <w:spacing w:val="-10"/>
          <w:sz w:val="24"/>
          <w:szCs w:val="24"/>
        </w:rPr>
        <w:t xml:space="preserve">3 </w:t>
      </w:r>
      <w:r>
        <w:rPr>
          <w:rFonts w:ascii="宋体" w:hAnsi="宋体" w:eastAsia="宋体" w:cs="宋体"/>
          <w:spacing w:val="-10"/>
          <w:sz w:val="24"/>
          <w:szCs w:val="24"/>
        </w:rPr>
        <w:t>科</w:t>
      </w:r>
      <w:r>
        <w:rPr>
          <w:rFonts w:ascii="宋体" w:hAnsi="宋体" w:eastAsia="宋体" w:cs="宋体"/>
          <w:spacing w:val="-48"/>
          <w:sz w:val="24"/>
          <w:szCs w:val="24"/>
        </w:rPr>
        <w:t xml:space="preserve"> </w:t>
      </w:r>
      <w:r>
        <w:rPr>
          <w:rFonts w:ascii="Times New Roman" w:hAnsi="Times New Roman" w:eastAsia="Times New Roman" w:cs="Times New Roman"/>
          <w:spacing w:val="-10"/>
          <w:sz w:val="24"/>
          <w:szCs w:val="24"/>
        </w:rPr>
        <w:t>5</w:t>
      </w:r>
      <w:r>
        <w:rPr>
          <w:rFonts w:ascii="Times New Roman" w:hAnsi="Times New Roman" w:eastAsia="Times New Roman" w:cs="Times New Roman"/>
          <w:spacing w:val="9"/>
          <w:sz w:val="24"/>
          <w:szCs w:val="24"/>
        </w:rPr>
        <w:t xml:space="preserve"> </w:t>
      </w:r>
      <w:r>
        <w:rPr>
          <w:rFonts w:ascii="宋体" w:hAnsi="宋体" w:eastAsia="宋体" w:cs="宋体"/>
          <w:spacing w:val="-10"/>
          <w:sz w:val="24"/>
          <w:szCs w:val="24"/>
        </w:rPr>
        <w:t>种，两栖类有</w:t>
      </w:r>
      <w:r>
        <w:rPr>
          <w:rFonts w:ascii="宋体" w:hAnsi="宋体" w:eastAsia="宋体" w:cs="宋体"/>
          <w:spacing w:val="-31"/>
          <w:sz w:val="24"/>
          <w:szCs w:val="24"/>
        </w:rPr>
        <w:t xml:space="preserve"> </w:t>
      </w:r>
      <w:r>
        <w:rPr>
          <w:rFonts w:ascii="Times New Roman" w:hAnsi="Times New Roman" w:eastAsia="Times New Roman" w:cs="Times New Roman"/>
          <w:spacing w:val="-10"/>
          <w:sz w:val="24"/>
          <w:szCs w:val="24"/>
        </w:rPr>
        <w:t xml:space="preserve">1  </w:t>
      </w:r>
      <w:r>
        <w:rPr>
          <w:rFonts w:ascii="宋体" w:hAnsi="宋体" w:eastAsia="宋体" w:cs="宋体"/>
          <w:spacing w:val="-10"/>
          <w:sz w:val="24"/>
          <w:szCs w:val="24"/>
        </w:rPr>
        <w:t>目</w:t>
      </w:r>
      <w:r>
        <w:rPr>
          <w:rFonts w:ascii="宋体" w:hAnsi="宋体" w:eastAsia="宋体" w:cs="宋体"/>
          <w:spacing w:val="-56"/>
          <w:sz w:val="24"/>
          <w:szCs w:val="24"/>
        </w:rPr>
        <w:t xml:space="preserve"> </w:t>
      </w:r>
      <w:r>
        <w:rPr>
          <w:rFonts w:ascii="Times New Roman" w:hAnsi="Times New Roman" w:eastAsia="Times New Roman" w:cs="Times New Roman"/>
          <w:spacing w:val="-10"/>
          <w:sz w:val="24"/>
          <w:szCs w:val="24"/>
        </w:rPr>
        <w:t>4</w:t>
      </w:r>
      <w:r>
        <w:rPr>
          <w:rFonts w:ascii="Times New Roman" w:hAnsi="Times New Roman" w:eastAsia="Times New Roman" w:cs="Times New Roman"/>
          <w:spacing w:val="9"/>
          <w:sz w:val="24"/>
          <w:szCs w:val="24"/>
        </w:rPr>
        <w:t xml:space="preserve"> </w:t>
      </w:r>
      <w:r>
        <w:rPr>
          <w:rFonts w:ascii="宋体" w:hAnsi="宋体" w:eastAsia="宋体" w:cs="宋体"/>
          <w:spacing w:val="-10"/>
          <w:sz w:val="24"/>
          <w:szCs w:val="24"/>
        </w:rPr>
        <w:t>科</w:t>
      </w:r>
      <w:r>
        <w:rPr>
          <w:rFonts w:ascii="宋体" w:hAnsi="宋体" w:eastAsia="宋体" w:cs="宋体"/>
          <w:spacing w:val="-50"/>
          <w:sz w:val="24"/>
          <w:szCs w:val="24"/>
        </w:rPr>
        <w:t xml:space="preserve"> </w:t>
      </w:r>
      <w:r>
        <w:rPr>
          <w:rFonts w:ascii="Times New Roman" w:hAnsi="Times New Roman" w:eastAsia="Times New Roman" w:cs="Times New Roman"/>
          <w:spacing w:val="-10"/>
          <w:sz w:val="24"/>
          <w:szCs w:val="24"/>
        </w:rPr>
        <w:t>6</w:t>
      </w:r>
      <w:r>
        <w:rPr>
          <w:rFonts w:ascii="Times New Roman" w:hAnsi="Times New Roman" w:eastAsia="Times New Roman" w:cs="Times New Roman"/>
          <w:spacing w:val="10"/>
          <w:sz w:val="24"/>
          <w:szCs w:val="24"/>
        </w:rPr>
        <w:t xml:space="preserve"> </w:t>
      </w:r>
      <w:r>
        <w:rPr>
          <w:rFonts w:ascii="宋体" w:hAnsi="宋体" w:eastAsia="宋体" w:cs="宋体"/>
          <w:spacing w:val="-10"/>
          <w:sz w:val="24"/>
          <w:szCs w:val="24"/>
        </w:rPr>
        <w:t>种，鸟类有</w:t>
      </w:r>
      <w:r>
        <w:rPr>
          <w:rFonts w:ascii="Times New Roman" w:hAnsi="Times New Roman" w:eastAsia="Times New Roman" w:cs="Times New Roman"/>
          <w:spacing w:val="-6"/>
          <w:sz w:val="24"/>
          <w:szCs w:val="24"/>
        </w:rPr>
        <w:t>8</w:t>
      </w:r>
      <w:r>
        <w:rPr>
          <w:rFonts w:ascii="Times New Roman" w:hAnsi="Times New Roman" w:eastAsia="Times New Roman" w:cs="Times New Roman"/>
          <w:spacing w:val="56"/>
          <w:sz w:val="24"/>
          <w:szCs w:val="24"/>
        </w:rPr>
        <w:t xml:space="preserve"> </w:t>
      </w:r>
      <w:r>
        <w:rPr>
          <w:rFonts w:ascii="宋体" w:hAnsi="宋体" w:eastAsia="宋体" w:cs="宋体"/>
          <w:spacing w:val="-6"/>
          <w:sz w:val="24"/>
          <w:szCs w:val="24"/>
        </w:rPr>
        <w:t>目</w:t>
      </w:r>
      <w:r>
        <w:rPr>
          <w:rFonts w:ascii="宋体" w:hAnsi="宋体" w:eastAsia="宋体" w:cs="宋体"/>
          <w:spacing w:val="-55"/>
          <w:sz w:val="24"/>
          <w:szCs w:val="24"/>
        </w:rPr>
        <w:t xml:space="preserve"> </w:t>
      </w:r>
      <w:r>
        <w:rPr>
          <w:rFonts w:ascii="Times New Roman" w:hAnsi="Times New Roman" w:eastAsia="Times New Roman" w:cs="Times New Roman"/>
          <w:spacing w:val="-6"/>
          <w:sz w:val="24"/>
          <w:szCs w:val="24"/>
        </w:rPr>
        <w:t xml:space="preserve">22 </w:t>
      </w:r>
      <w:r>
        <w:rPr>
          <w:rFonts w:ascii="宋体" w:hAnsi="宋体" w:eastAsia="宋体" w:cs="宋体"/>
          <w:spacing w:val="-6"/>
          <w:sz w:val="24"/>
          <w:szCs w:val="24"/>
        </w:rPr>
        <w:t>科</w:t>
      </w:r>
      <w:r>
        <w:rPr>
          <w:rFonts w:ascii="宋体" w:hAnsi="宋体" w:eastAsia="宋体" w:cs="宋体"/>
          <w:spacing w:val="-57"/>
          <w:sz w:val="24"/>
          <w:szCs w:val="24"/>
        </w:rPr>
        <w:t xml:space="preserve"> </w:t>
      </w:r>
      <w:r>
        <w:rPr>
          <w:rFonts w:ascii="Times New Roman" w:hAnsi="Times New Roman" w:eastAsia="Times New Roman" w:cs="Times New Roman"/>
          <w:spacing w:val="-6"/>
          <w:sz w:val="24"/>
          <w:szCs w:val="24"/>
        </w:rPr>
        <w:t xml:space="preserve">42 </w:t>
      </w:r>
      <w:r>
        <w:rPr>
          <w:rFonts w:ascii="宋体" w:hAnsi="宋体" w:eastAsia="宋体" w:cs="宋体"/>
          <w:spacing w:val="-6"/>
          <w:sz w:val="24"/>
          <w:szCs w:val="24"/>
        </w:rPr>
        <w:t>种，兽类共有</w:t>
      </w:r>
      <w:r>
        <w:rPr>
          <w:rFonts w:ascii="宋体" w:hAnsi="宋体" w:eastAsia="宋体" w:cs="宋体"/>
          <w:spacing w:val="-49"/>
          <w:sz w:val="24"/>
          <w:szCs w:val="24"/>
        </w:rPr>
        <w:t xml:space="preserve"> </w:t>
      </w:r>
      <w:r>
        <w:rPr>
          <w:rFonts w:ascii="Times New Roman" w:hAnsi="Times New Roman" w:eastAsia="Times New Roman" w:cs="Times New Roman"/>
          <w:spacing w:val="-6"/>
          <w:sz w:val="24"/>
          <w:szCs w:val="24"/>
        </w:rPr>
        <w:t xml:space="preserve">6  </w:t>
      </w:r>
      <w:r>
        <w:rPr>
          <w:rFonts w:ascii="宋体" w:hAnsi="宋体" w:eastAsia="宋体" w:cs="宋体"/>
          <w:spacing w:val="-6"/>
          <w:sz w:val="24"/>
          <w:szCs w:val="24"/>
        </w:rPr>
        <w:t>目</w:t>
      </w:r>
      <w:r>
        <w:rPr>
          <w:rFonts w:ascii="宋体" w:hAnsi="宋体" w:eastAsia="宋体" w:cs="宋体"/>
          <w:spacing w:val="-45"/>
          <w:sz w:val="24"/>
          <w:szCs w:val="24"/>
        </w:rPr>
        <w:t xml:space="preserve"> </w:t>
      </w:r>
      <w:r>
        <w:rPr>
          <w:rFonts w:ascii="Times New Roman" w:hAnsi="Times New Roman" w:eastAsia="Times New Roman" w:cs="Times New Roman"/>
          <w:spacing w:val="-6"/>
          <w:sz w:val="24"/>
          <w:szCs w:val="24"/>
        </w:rPr>
        <w:t xml:space="preserve">8 </w:t>
      </w:r>
      <w:r>
        <w:rPr>
          <w:rFonts w:ascii="宋体" w:hAnsi="宋体" w:eastAsia="宋体" w:cs="宋体"/>
          <w:spacing w:val="-6"/>
          <w:sz w:val="24"/>
          <w:szCs w:val="24"/>
        </w:rPr>
        <w:t>科</w:t>
      </w:r>
      <w:r>
        <w:rPr>
          <w:rFonts w:ascii="宋体" w:hAnsi="宋体" w:eastAsia="宋体" w:cs="宋体"/>
          <w:spacing w:val="-32"/>
          <w:sz w:val="24"/>
          <w:szCs w:val="24"/>
        </w:rPr>
        <w:t xml:space="preserve"> </w:t>
      </w:r>
      <w:r>
        <w:rPr>
          <w:rFonts w:ascii="Times New Roman" w:hAnsi="Times New Roman" w:eastAsia="Times New Roman" w:cs="Times New Roman"/>
          <w:spacing w:val="-6"/>
          <w:sz w:val="24"/>
          <w:szCs w:val="24"/>
        </w:rPr>
        <w:t xml:space="preserve">10 </w:t>
      </w:r>
      <w:r>
        <w:rPr>
          <w:rFonts w:ascii="宋体" w:hAnsi="宋体" w:eastAsia="宋体" w:cs="宋体"/>
          <w:spacing w:val="-6"/>
          <w:sz w:val="24"/>
          <w:szCs w:val="24"/>
        </w:rPr>
        <w:t>种</w:t>
      </w:r>
      <w:r>
        <w:rPr>
          <w:rFonts w:ascii="宋体" w:hAnsi="宋体" w:eastAsia="宋体" w:cs="宋体"/>
          <w:spacing w:val="-7"/>
          <w:sz w:val="24"/>
          <w:szCs w:val="24"/>
        </w:rPr>
        <w:t>。评价区无国家一级、二级和云南省重点保护</w:t>
      </w:r>
      <w:r>
        <w:rPr>
          <w:rFonts w:ascii="宋体" w:hAnsi="宋体" w:eastAsia="宋体" w:cs="宋体"/>
          <w:spacing w:val="-6"/>
          <w:sz w:val="24"/>
          <w:szCs w:val="24"/>
        </w:rPr>
        <w:t>野生动物分布。</w:t>
      </w:r>
    </w:p>
    <w:p w14:paraId="4A6715D8">
      <w:pPr>
        <w:spacing w:before="25" w:line="360" w:lineRule="auto"/>
        <w:ind w:left="15" w:right="132" w:firstLine="474"/>
        <w:rPr>
          <w:rFonts w:ascii="宋体" w:hAnsi="宋体" w:eastAsia="宋体" w:cs="宋体"/>
          <w:sz w:val="24"/>
          <w:szCs w:val="24"/>
        </w:rPr>
      </w:pPr>
      <w:r>
        <w:rPr>
          <w:rFonts w:ascii="宋体" w:hAnsi="宋体" w:eastAsia="宋体" w:cs="宋体"/>
          <w:spacing w:val="-4"/>
          <w:sz w:val="24"/>
          <w:szCs w:val="24"/>
        </w:rPr>
        <w:t>影响评价区内陆生脊椎动物总种数为</w:t>
      </w:r>
      <w:r>
        <w:rPr>
          <w:rFonts w:ascii="Times New Roman" w:hAnsi="Times New Roman" w:eastAsia="Times New Roman" w:cs="Times New Roman"/>
          <w:spacing w:val="-4"/>
          <w:sz w:val="24"/>
          <w:szCs w:val="24"/>
        </w:rPr>
        <w:t>63</w:t>
      </w:r>
      <w:r>
        <w:rPr>
          <w:rFonts w:ascii="Times New Roman" w:hAnsi="Times New Roman" w:eastAsia="Times New Roman" w:cs="Times New Roman"/>
          <w:spacing w:val="-17"/>
          <w:sz w:val="24"/>
          <w:szCs w:val="24"/>
        </w:rPr>
        <w:t xml:space="preserve"> </w:t>
      </w:r>
      <w:r>
        <w:rPr>
          <w:rFonts w:ascii="宋体" w:hAnsi="宋体" w:eastAsia="宋体" w:cs="宋体"/>
          <w:spacing w:val="-4"/>
          <w:sz w:val="24"/>
          <w:szCs w:val="24"/>
        </w:rPr>
        <w:t>种，</w:t>
      </w:r>
      <w:r>
        <w:rPr>
          <w:rFonts w:ascii="宋体" w:hAnsi="宋体" w:eastAsia="宋体" w:cs="宋体"/>
          <w:spacing w:val="-5"/>
          <w:sz w:val="24"/>
          <w:szCs w:val="24"/>
        </w:rPr>
        <w:t>其中东洋种</w:t>
      </w:r>
      <w:r>
        <w:rPr>
          <w:rFonts w:ascii="Times New Roman" w:hAnsi="Times New Roman" w:eastAsia="Times New Roman" w:cs="Times New Roman"/>
          <w:spacing w:val="-5"/>
          <w:sz w:val="24"/>
          <w:szCs w:val="24"/>
        </w:rPr>
        <w:t>40</w:t>
      </w:r>
      <w:r>
        <w:rPr>
          <w:rFonts w:ascii="Times New Roman" w:hAnsi="Times New Roman" w:eastAsia="Times New Roman" w:cs="Times New Roman"/>
          <w:spacing w:val="-17"/>
          <w:sz w:val="24"/>
          <w:szCs w:val="24"/>
        </w:rPr>
        <w:t xml:space="preserve"> </w:t>
      </w:r>
      <w:r>
        <w:rPr>
          <w:rFonts w:ascii="宋体" w:hAnsi="宋体" w:eastAsia="宋体" w:cs="宋体"/>
          <w:spacing w:val="-5"/>
          <w:sz w:val="24"/>
          <w:szCs w:val="24"/>
        </w:rPr>
        <w:t>种，占总种数的</w:t>
      </w:r>
      <w:r>
        <w:rPr>
          <w:rFonts w:ascii="Times New Roman" w:hAnsi="Times New Roman" w:eastAsia="Times New Roman" w:cs="Times New Roman"/>
          <w:spacing w:val="-5"/>
          <w:sz w:val="24"/>
          <w:szCs w:val="24"/>
        </w:rPr>
        <w:t>63.49%</w:t>
      </w:r>
      <w:r>
        <w:rPr>
          <w:rFonts w:ascii="宋体" w:hAnsi="宋体" w:eastAsia="宋体" w:cs="宋体"/>
          <w:spacing w:val="-5"/>
          <w:sz w:val="24"/>
          <w:szCs w:val="24"/>
        </w:rPr>
        <w:t>；</w:t>
      </w:r>
      <w:r>
        <w:rPr>
          <w:rFonts w:ascii="宋体" w:hAnsi="宋体" w:eastAsia="宋体" w:cs="宋体"/>
          <w:spacing w:val="-2"/>
          <w:sz w:val="24"/>
          <w:szCs w:val="24"/>
        </w:rPr>
        <w:t>古北种</w:t>
      </w:r>
      <w:r>
        <w:rPr>
          <w:rFonts w:ascii="宋体" w:hAnsi="宋体" w:eastAsia="宋体" w:cs="宋体"/>
          <w:spacing w:val="-46"/>
          <w:sz w:val="24"/>
          <w:szCs w:val="24"/>
        </w:rPr>
        <w:t xml:space="preserve"> </w:t>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种，占总种数的</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4.76%</w:t>
      </w:r>
      <w:r>
        <w:rPr>
          <w:rFonts w:ascii="宋体" w:hAnsi="宋体" w:eastAsia="宋体" w:cs="宋体"/>
          <w:spacing w:val="-2"/>
          <w:sz w:val="24"/>
          <w:szCs w:val="24"/>
        </w:rPr>
        <w:t>；广布种</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20</w:t>
      </w:r>
      <w:r>
        <w:rPr>
          <w:rFonts w:ascii="Times New Roman" w:hAnsi="Times New Roman" w:eastAsia="Times New Roman" w:cs="Times New Roman"/>
          <w:spacing w:val="17"/>
          <w:sz w:val="24"/>
          <w:szCs w:val="24"/>
        </w:rPr>
        <w:t xml:space="preserve"> </w:t>
      </w:r>
      <w:r>
        <w:rPr>
          <w:rFonts w:ascii="宋体" w:hAnsi="宋体" w:eastAsia="宋体" w:cs="宋体"/>
          <w:spacing w:val="-2"/>
          <w:sz w:val="24"/>
          <w:szCs w:val="24"/>
        </w:rPr>
        <w:t>种，占总种数的</w:t>
      </w:r>
      <w:r>
        <w:rPr>
          <w:rFonts w:ascii="宋体" w:hAnsi="宋体" w:eastAsia="宋体" w:cs="宋体"/>
          <w:spacing w:val="-45"/>
          <w:sz w:val="24"/>
          <w:szCs w:val="24"/>
        </w:rPr>
        <w:t xml:space="preserve"> </w:t>
      </w:r>
      <w:r>
        <w:rPr>
          <w:rFonts w:ascii="Times New Roman" w:hAnsi="Times New Roman" w:eastAsia="Times New Roman" w:cs="Times New Roman"/>
          <w:spacing w:val="-2"/>
          <w:sz w:val="24"/>
          <w:szCs w:val="24"/>
        </w:rPr>
        <w:t>31.75%</w:t>
      </w:r>
      <w:r>
        <w:rPr>
          <w:rFonts w:ascii="宋体" w:hAnsi="宋体" w:eastAsia="宋体" w:cs="宋体"/>
          <w:spacing w:val="-2"/>
          <w:sz w:val="24"/>
          <w:szCs w:val="24"/>
        </w:rPr>
        <w:t>。由此可知，影响</w:t>
      </w:r>
    </w:p>
    <w:p w14:paraId="36985178">
      <w:pPr>
        <w:spacing w:line="360" w:lineRule="auto"/>
        <w:rPr>
          <w:rFonts w:ascii="宋体" w:hAnsi="宋体" w:eastAsia="宋体" w:cs="宋体"/>
          <w:sz w:val="24"/>
          <w:szCs w:val="24"/>
        </w:rPr>
        <w:sectPr>
          <w:footerReference r:id="rId163" w:type="default"/>
          <w:pgSz w:w="11907" w:h="16841"/>
          <w:pgMar w:top="400" w:right="1303" w:bottom="1126" w:left="1418" w:header="0" w:footer="925" w:gutter="0"/>
          <w:cols w:space="720" w:num="1"/>
        </w:sectPr>
      </w:pPr>
    </w:p>
    <w:p w14:paraId="2EE1C58C">
      <w:pPr>
        <w:spacing w:line="249" w:lineRule="auto"/>
        <w:rPr>
          <w:rFonts w:ascii="Arial"/>
          <w:sz w:val="21"/>
        </w:rPr>
      </w:pPr>
    </w:p>
    <w:p w14:paraId="1513D899">
      <w:pPr>
        <w:spacing w:line="249" w:lineRule="auto"/>
        <w:rPr>
          <w:rFonts w:ascii="Arial"/>
          <w:sz w:val="21"/>
        </w:rPr>
      </w:pPr>
    </w:p>
    <w:p w14:paraId="7470B30C">
      <w:pPr>
        <w:spacing w:line="249" w:lineRule="auto"/>
        <w:rPr>
          <w:rFonts w:ascii="Arial"/>
          <w:sz w:val="21"/>
        </w:rPr>
      </w:pPr>
    </w:p>
    <w:p w14:paraId="39CF8464">
      <w:pPr>
        <w:spacing w:line="249" w:lineRule="auto"/>
        <w:rPr>
          <w:rFonts w:ascii="Arial"/>
          <w:sz w:val="21"/>
        </w:rPr>
      </w:pPr>
    </w:p>
    <w:p w14:paraId="6605C90F">
      <w:pPr>
        <w:spacing w:line="249" w:lineRule="auto"/>
        <w:rPr>
          <w:rFonts w:ascii="Arial"/>
          <w:sz w:val="21"/>
        </w:rPr>
      </w:pPr>
    </w:p>
    <w:p w14:paraId="24497373">
      <w:pPr>
        <w:spacing w:before="78" w:line="218" w:lineRule="auto"/>
        <w:ind w:left="6"/>
        <w:rPr>
          <w:rFonts w:ascii="宋体" w:hAnsi="宋体" w:eastAsia="宋体" w:cs="宋体"/>
          <w:sz w:val="24"/>
          <w:szCs w:val="24"/>
        </w:rPr>
      </w:pPr>
      <w:r>
        <w:rPr>
          <w:rFonts w:ascii="宋体" w:hAnsi="宋体" w:eastAsia="宋体" w:cs="宋体"/>
          <w:spacing w:val="-2"/>
          <w:sz w:val="24"/>
          <w:szCs w:val="24"/>
        </w:rPr>
        <w:t>评价区内东洋种种数最多、广布种次之，古北种最少。</w:t>
      </w:r>
    </w:p>
    <w:p w14:paraId="25ECED1C">
      <w:pPr>
        <w:spacing w:before="184" w:line="232" w:lineRule="auto"/>
        <w:ind w:left="486"/>
        <w:rPr>
          <w:rFonts w:ascii="宋体" w:hAnsi="宋体" w:eastAsia="宋体" w:cs="宋体"/>
          <w:sz w:val="24"/>
          <w:szCs w:val="24"/>
        </w:rPr>
      </w:pPr>
      <w:r>
        <w:rPr>
          <w:rFonts w:ascii="宋体" w:hAnsi="宋体" w:eastAsia="宋体" w:cs="宋体"/>
          <w:spacing w:val="-1"/>
          <w:sz w:val="24"/>
          <w:szCs w:val="24"/>
        </w:rPr>
        <w:t>影响评价区内陆生脊椎动物的种类组成、区系和保护等级见表</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2-7</w:t>
      </w:r>
      <w:r>
        <w:rPr>
          <w:rFonts w:ascii="宋体" w:hAnsi="宋体" w:eastAsia="宋体" w:cs="宋体"/>
          <w:spacing w:val="-1"/>
          <w:sz w:val="24"/>
          <w:szCs w:val="24"/>
        </w:rPr>
        <w:t>。</w:t>
      </w:r>
    </w:p>
    <w:p w14:paraId="381C35EE">
      <w:pPr>
        <w:spacing w:before="102" w:line="229" w:lineRule="auto"/>
        <w:ind w:left="1740"/>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0"/>
          <w:sz w:val="21"/>
          <w:szCs w:val="21"/>
        </w:rPr>
        <w:t xml:space="preserve"> </w:t>
      </w:r>
      <w:r>
        <w:rPr>
          <w:rFonts w:ascii="Times New Roman" w:hAnsi="Times New Roman" w:eastAsia="Times New Roman" w:cs="Times New Roman"/>
          <w:b/>
          <w:bCs/>
          <w:spacing w:val="-2"/>
          <w:sz w:val="21"/>
          <w:szCs w:val="21"/>
        </w:rPr>
        <w:t xml:space="preserve">2-7    </w:t>
      </w:r>
      <w:r>
        <w:rPr>
          <w:rFonts w:ascii="宋体" w:hAnsi="宋体" w:eastAsia="宋体" w:cs="宋体"/>
          <w:b/>
          <w:bCs/>
          <w:spacing w:val="-2"/>
          <w:sz w:val="21"/>
          <w:szCs w:val="21"/>
        </w:rPr>
        <w:t>影响评价区陆生脊椎动物种类组成、区系和保护等级</w:t>
      </w:r>
    </w:p>
    <w:tbl>
      <w:tblPr>
        <w:tblStyle w:val="5"/>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14"/>
        <w:gridCol w:w="652"/>
        <w:gridCol w:w="706"/>
        <w:gridCol w:w="710"/>
        <w:gridCol w:w="849"/>
        <w:gridCol w:w="852"/>
        <w:gridCol w:w="849"/>
        <w:gridCol w:w="1133"/>
        <w:gridCol w:w="1271"/>
        <w:gridCol w:w="1128"/>
      </w:tblGrid>
      <w:tr w14:paraId="109941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2982" w:type="dxa"/>
            <w:gridSpan w:val="4"/>
            <w:vAlign w:val="top"/>
          </w:tcPr>
          <w:p w14:paraId="7E9DEE05">
            <w:pPr>
              <w:pStyle w:val="6"/>
              <w:spacing w:before="55" w:line="221" w:lineRule="auto"/>
              <w:ind w:left="1073"/>
            </w:pPr>
            <w:r>
              <w:rPr>
                <w:b/>
                <w:bCs/>
                <w:spacing w:val="-3"/>
              </w:rPr>
              <w:t>种类组成</w:t>
            </w:r>
          </w:p>
        </w:tc>
        <w:tc>
          <w:tcPr>
            <w:tcW w:w="2550" w:type="dxa"/>
            <w:gridSpan w:val="3"/>
            <w:vAlign w:val="top"/>
          </w:tcPr>
          <w:p w14:paraId="7D0E4B17">
            <w:pPr>
              <w:pStyle w:val="6"/>
              <w:spacing w:before="56" w:line="221" w:lineRule="auto"/>
              <w:ind w:left="857"/>
            </w:pPr>
            <w:r>
              <w:rPr>
                <w:b/>
                <w:bCs/>
                <w:spacing w:val="-4"/>
              </w:rPr>
              <w:t>动物区系</w:t>
            </w:r>
          </w:p>
        </w:tc>
        <w:tc>
          <w:tcPr>
            <w:tcW w:w="3532" w:type="dxa"/>
            <w:gridSpan w:val="3"/>
            <w:vAlign w:val="top"/>
          </w:tcPr>
          <w:p w14:paraId="2DE75772">
            <w:pPr>
              <w:pStyle w:val="6"/>
              <w:spacing w:before="56" w:line="221" w:lineRule="auto"/>
              <w:ind w:left="1347"/>
            </w:pPr>
            <w:r>
              <w:rPr>
                <w:b/>
                <w:bCs/>
                <w:spacing w:val="-4"/>
              </w:rPr>
              <w:t>保护动物</w:t>
            </w:r>
          </w:p>
        </w:tc>
      </w:tr>
      <w:tr w14:paraId="063AA1B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914" w:type="dxa"/>
            <w:vAlign w:val="top"/>
          </w:tcPr>
          <w:p w14:paraId="4CF0616E">
            <w:pPr>
              <w:pStyle w:val="6"/>
              <w:spacing w:before="55" w:line="222" w:lineRule="auto"/>
              <w:ind w:left="359"/>
            </w:pPr>
            <w:r>
              <w:t>纲</w:t>
            </w:r>
          </w:p>
        </w:tc>
        <w:tc>
          <w:tcPr>
            <w:tcW w:w="652" w:type="dxa"/>
            <w:vAlign w:val="top"/>
          </w:tcPr>
          <w:p w14:paraId="0023D13F">
            <w:pPr>
              <w:pStyle w:val="6"/>
              <w:spacing w:before="55" w:line="222" w:lineRule="auto"/>
              <w:ind w:left="262"/>
            </w:pPr>
            <w:r>
              <w:t>目</w:t>
            </w:r>
          </w:p>
        </w:tc>
        <w:tc>
          <w:tcPr>
            <w:tcW w:w="706" w:type="dxa"/>
            <w:vAlign w:val="top"/>
          </w:tcPr>
          <w:p w14:paraId="3D25FCE0">
            <w:pPr>
              <w:pStyle w:val="6"/>
              <w:spacing w:before="54" w:line="220" w:lineRule="auto"/>
              <w:ind w:left="249"/>
            </w:pPr>
            <w:r>
              <w:t>科</w:t>
            </w:r>
          </w:p>
        </w:tc>
        <w:tc>
          <w:tcPr>
            <w:tcW w:w="710" w:type="dxa"/>
            <w:vAlign w:val="top"/>
          </w:tcPr>
          <w:p w14:paraId="57AA210E">
            <w:pPr>
              <w:pStyle w:val="6"/>
              <w:spacing w:before="55" w:line="221" w:lineRule="auto"/>
              <w:ind w:left="251"/>
            </w:pPr>
            <w:r>
              <w:t>种</w:t>
            </w:r>
          </w:p>
        </w:tc>
        <w:tc>
          <w:tcPr>
            <w:tcW w:w="849" w:type="dxa"/>
            <w:vAlign w:val="top"/>
          </w:tcPr>
          <w:p w14:paraId="4CB59A27">
            <w:pPr>
              <w:pStyle w:val="6"/>
              <w:spacing w:before="54" w:line="221" w:lineRule="auto"/>
              <w:ind w:left="120"/>
            </w:pPr>
            <w:r>
              <w:rPr>
                <w:spacing w:val="-3"/>
              </w:rPr>
              <w:t>东洋种</w:t>
            </w:r>
          </w:p>
        </w:tc>
        <w:tc>
          <w:tcPr>
            <w:tcW w:w="852" w:type="dxa"/>
            <w:vAlign w:val="top"/>
          </w:tcPr>
          <w:p w14:paraId="5145A725">
            <w:pPr>
              <w:pStyle w:val="6"/>
              <w:spacing w:before="55" w:line="221" w:lineRule="auto"/>
              <w:ind w:left="121"/>
            </w:pPr>
            <w:r>
              <w:rPr>
                <w:spacing w:val="-3"/>
              </w:rPr>
              <w:t>古北种</w:t>
            </w:r>
          </w:p>
        </w:tc>
        <w:tc>
          <w:tcPr>
            <w:tcW w:w="849" w:type="dxa"/>
            <w:vAlign w:val="top"/>
          </w:tcPr>
          <w:p w14:paraId="6AD16A8E">
            <w:pPr>
              <w:pStyle w:val="6"/>
              <w:spacing w:before="54" w:line="220" w:lineRule="auto"/>
              <w:ind w:left="111"/>
            </w:pPr>
            <w:r>
              <w:rPr>
                <w:spacing w:val="-2"/>
              </w:rPr>
              <w:t>广布种</w:t>
            </w:r>
          </w:p>
        </w:tc>
        <w:tc>
          <w:tcPr>
            <w:tcW w:w="1133" w:type="dxa"/>
            <w:vAlign w:val="top"/>
          </w:tcPr>
          <w:p w14:paraId="09302306">
            <w:pPr>
              <w:pStyle w:val="6"/>
              <w:spacing w:before="55" w:line="221" w:lineRule="auto"/>
              <w:ind w:left="171"/>
            </w:pPr>
            <w:r>
              <w:rPr>
                <w:spacing w:val="-7"/>
              </w:rPr>
              <w:t>国家一级</w:t>
            </w:r>
          </w:p>
        </w:tc>
        <w:tc>
          <w:tcPr>
            <w:tcW w:w="1271" w:type="dxa"/>
            <w:vAlign w:val="top"/>
          </w:tcPr>
          <w:p w14:paraId="1DB681BD">
            <w:pPr>
              <w:pStyle w:val="6"/>
              <w:spacing w:before="55" w:line="221" w:lineRule="auto"/>
              <w:ind w:left="241"/>
            </w:pPr>
            <w:r>
              <w:rPr>
                <w:spacing w:val="-7"/>
              </w:rPr>
              <w:t>国家二级</w:t>
            </w:r>
          </w:p>
        </w:tc>
        <w:tc>
          <w:tcPr>
            <w:tcW w:w="1128" w:type="dxa"/>
            <w:vAlign w:val="top"/>
          </w:tcPr>
          <w:p w14:paraId="29FE9C48">
            <w:pPr>
              <w:pStyle w:val="6"/>
              <w:spacing w:before="54" w:line="221" w:lineRule="auto"/>
              <w:ind w:left="155"/>
            </w:pPr>
            <w:r>
              <w:rPr>
                <w:spacing w:val="-3"/>
              </w:rPr>
              <w:t>云南省级</w:t>
            </w:r>
          </w:p>
        </w:tc>
      </w:tr>
      <w:tr w14:paraId="00AC32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14" w:type="dxa"/>
            <w:vAlign w:val="top"/>
          </w:tcPr>
          <w:p w14:paraId="374EF8AD">
            <w:pPr>
              <w:pStyle w:val="6"/>
              <w:spacing w:before="53" w:line="221" w:lineRule="auto"/>
              <w:ind w:left="152"/>
            </w:pPr>
            <w:r>
              <w:rPr>
                <w:spacing w:val="-3"/>
              </w:rPr>
              <w:t>哺乳纲</w:t>
            </w:r>
          </w:p>
        </w:tc>
        <w:tc>
          <w:tcPr>
            <w:tcW w:w="652" w:type="dxa"/>
            <w:vAlign w:val="top"/>
          </w:tcPr>
          <w:p w14:paraId="49EF8216">
            <w:pPr>
              <w:spacing w:before="88" w:line="216" w:lineRule="auto"/>
              <w:ind w:left="275"/>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706" w:type="dxa"/>
            <w:vAlign w:val="top"/>
          </w:tcPr>
          <w:p w14:paraId="24C3C630">
            <w:pPr>
              <w:spacing w:before="88" w:line="216" w:lineRule="auto"/>
              <w:ind w:left="307"/>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710" w:type="dxa"/>
            <w:vAlign w:val="top"/>
          </w:tcPr>
          <w:p w14:paraId="4294F744">
            <w:pPr>
              <w:spacing w:before="88" w:line="216" w:lineRule="auto"/>
              <w:ind w:left="268"/>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849" w:type="dxa"/>
            <w:vAlign w:val="top"/>
          </w:tcPr>
          <w:p w14:paraId="04D9B20C">
            <w:pPr>
              <w:spacing w:before="88" w:line="216" w:lineRule="auto"/>
              <w:ind w:left="374"/>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852" w:type="dxa"/>
            <w:vAlign w:val="top"/>
          </w:tcPr>
          <w:p w14:paraId="3DD45AB6">
            <w:pPr>
              <w:spacing w:before="88" w:line="216" w:lineRule="auto"/>
              <w:ind w:left="377"/>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849" w:type="dxa"/>
            <w:vAlign w:val="top"/>
          </w:tcPr>
          <w:p w14:paraId="6F4785E5">
            <w:pPr>
              <w:spacing w:before="88" w:line="216" w:lineRule="auto"/>
              <w:ind w:left="375"/>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1133" w:type="dxa"/>
            <w:vAlign w:val="top"/>
          </w:tcPr>
          <w:p w14:paraId="0D94C506">
            <w:pPr>
              <w:spacing w:before="88" w:line="216" w:lineRule="auto"/>
              <w:ind w:left="517"/>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271" w:type="dxa"/>
            <w:vAlign w:val="top"/>
          </w:tcPr>
          <w:p w14:paraId="556EA68C">
            <w:pPr>
              <w:spacing w:before="88" w:line="216" w:lineRule="auto"/>
              <w:ind w:left="587"/>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128" w:type="dxa"/>
            <w:vAlign w:val="top"/>
          </w:tcPr>
          <w:p w14:paraId="327D3F7C">
            <w:pPr>
              <w:spacing w:before="88" w:line="216" w:lineRule="auto"/>
              <w:ind w:left="516"/>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r>
      <w:tr w14:paraId="43A1A8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14" w:type="dxa"/>
            <w:vAlign w:val="top"/>
          </w:tcPr>
          <w:p w14:paraId="1B3EA4A8">
            <w:pPr>
              <w:pStyle w:val="6"/>
              <w:spacing w:before="54" w:line="221" w:lineRule="auto"/>
              <w:ind w:left="257"/>
            </w:pPr>
            <w:r>
              <w:rPr>
                <w:spacing w:val="-3"/>
              </w:rPr>
              <w:t>鸟纲</w:t>
            </w:r>
          </w:p>
        </w:tc>
        <w:tc>
          <w:tcPr>
            <w:tcW w:w="652" w:type="dxa"/>
            <w:vAlign w:val="top"/>
          </w:tcPr>
          <w:p w14:paraId="182134A1">
            <w:pPr>
              <w:spacing w:before="89" w:line="215" w:lineRule="auto"/>
              <w:ind w:left="279"/>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706" w:type="dxa"/>
            <w:vAlign w:val="top"/>
          </w:tcPr>
          <w:p w14:paraId="0C0DD05C">
            <w:pPr>
              <w:spacing w:before="89" w:line="215" w:lineRule="auto"/>
              <w:ind w:left="24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tc>
        <w:tc>
          <w:tcPr>
            <w:tcW w:w="710" w:type="dxa"/>
            <w:vAlign w:val="top"/>
          </w:tcPr>
          <w:p w14:paraId="3B2EB3B6">
            <w:pPr>
              <w:spacing w:before="89" w:line="215" w:lineRule="auto"/>
              <w:ind w:left="24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42</w:t>
            </w:r>
          </w:p>
        </w:tc>
        <w:tc>
          <w:tcPr>
            <w:tcW w:w="849" w:type="dxa"/>
            <w:vAlign w:val="top"/>
          </w:tcPr>
          <w:p w14:paraId="31C63AD9">
            <w:pPr>
              <w:spacing w:before="89" w:line="215" w:lineRule="auto"/>
              <w:ind w:left="31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w:t>
            </w:r>
          </w:p>
        </w:tc>
        <w:tc>
          <w:tcPr>
            <w:tcW w:w="852" w:type="dxa"/>
            <w:vAlign w:val="top"/>
          </w:tcPr>
          <w:p w14:paraId="75D9C51D">
            <w:pPr>
              <w:spacing w:before="89" w:line="215" w:lineRule="auto"/>
              <w:ind w:left="378"/>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849" w:type="dxa"/>
            <w:vAlign w:val="top"/>
          </w:tcPr>
          <w:p w14:paraId="1F07AC0D">
            <w:pPr>
              <w:spacing w:before="89" w:line="215" w:lineRule="auto"/>
              <w:ind w:left="344"/>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11</w:t>
            </w:r>
          </w:p>
        </w:tc>
        <w:tc>
          <w:tcPr>
            <w:tcW w:w="1133" w:type="dxa"/>
            <w:vAlign w:val="top"/>
          </w:tcPr>
          <w:p w14:paraId="7258466B">
            <w:pPr>
              <w:spacing w:before="89" w:line="215" w:lineRule="auto"/>
              <w:ind w:left="517"/>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271" w:type="dxa"/>
            <w:vAlign w:val="top"/>
          </w:tcPr>
          <w:p w14:paraId="79061AEE">
            <w:pPr>
              <w:spacing w:before="89" w:line="215" w:lineRule="auto"/>
              <w:ind w:left="587"/>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128" w:type="dxa"/>
            <w:vAlign w:val="top"/>
          </w:tcPr>
          <w:p w14:paraId="3F4831B5">
            <w:pPr>
              <w:spacing w:before="89" w:line="215" w:lineRule="auto"/>
              <w:ind w:left="516"/>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r>
      <w:tr w14:paraId="74677F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14" w:type="dxa"/>
            <w:vAlign w:val="top"/>
          </w:tcPr>
          <w:p w14:paraId="4FE24BDD">
            <w:pPr>
              <w:pStyle w:val="6"/>
              <w:spacing w:before="54" w:line="221" w:lineRule="auto"/>
              <w:ind w:left="146"/>
            </w:pPr>
            <w:r>
              <w:rPr>
                <w:spacing w:val="-1"/>
              </w:rPr>
              <w:t>爬行纲</w:t>
            </w:r>
          </w:p>
        </w:tc>
        <w:tc>
          <w:tcPr>
            <w:tcW w:w="652" w:type="dxa"/>
            <w:vAlign w:val="top"/>
          </w:tcPr>
          <w:p w14:paraId="7EF43680">
            <w:pPr>
              <w:spacing w:before="89" w:line="215" w:lineRule="auto"/>
              <w:ind w:left="291"/>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706" w:type="dxa"/>
            <w:vAlign w:val="top"/>
          </w:tcPr>
          <w:p w14:paraId="187E30AE">
            <w:pPr>
              <w:spacing w:before="89" w:line="215" w:lineRule="auto"/>
              <w:ind w:left="302"/>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710" w:type="dxa"/>
            <w:vAlign w:val="top"/>
          </w:tcPr>
          <w:p w14:paraId="28F4D21F">
            <w:pPr>
              <w:spacing w:before="89" w:line="215" w:lineRule="auto"/>
              <w:ind w:left="306"/>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849" w:type="dxa"/>
            <w:vAlign w:val="top"/>
          </w:tcPr>
          <w:p w14:paraId="7A4A7911">
            <w:pPr>
              <w:spacing w:before="89" w:line="215" w:lineRule="auto"/>
              <w:ind w:left="376"/>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852" w:type="dxa"/>
            <w:vAlign w:val="top"/>
          </w:tcPr>
          <w:p w14:paraId="4423ECFB">
            <w:pPr>
              <w:spacing w:before="89" w:line="215" w:lineRule="auto"/>
              <w:ind w:left="377"/>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849" w:type="dxa"/>
            <w:vAlign w:val="top"/>
          </w:tcPr>
          <w:p w14:paraId="3CF9A469">
            <w:pPr>
              <w:spacing w:before="89" w:line="215" w:lineRule="auto"/>
              <w:ind w:left="374"/>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133" w:type="dxa"/>
            <w:vAlign w:val="top"/>
          </w:tcPr>
          <w:p w14:paraId="3CBB7396">
            <w:pPr>
              <w:spacing w:before="89" w:line="215" w:lineRule="auto"/>
              <w:ind w:left="517"/>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271" w:type="dxa"/>
            <w:vAlign w:val="top"/>
          </w:tcPr>
          <w:p w14:paraId="719C53A9">
            <w:pPr>
              <w:spacing w:before="89" w:line="215" w:lineRule="auto"/>
              <w:ind w:left="587"/>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128" w:type="dxa"/>
            <w:vAlign w:val="top"/>
          </w:tcPr>
          <w:p w14:paraId="005AE4A3">
            <w:pPr>
              <w:spacing w:before="89" w:line="215" w:lineRule="auto"/>
              <w:ind w:left="516"/>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r>
      <w:tr w14:paraId="31AF0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914" w:type="dxa"/>
            <w:vAlign w:val="top"/>
          </w:tcPr>
          <w:p w14:paraId="33DD2A2F">
            <w:pPr>
              <w:pStyle w:val="6"/>
              <w:spacing w:before="55" w:line="220" w:lineRule="auto"/>
              <w:ind w:left="148"/>
            </w:pPr>
            <w:r>
              <w:rPr>
                <w:spacing w:val="-2"/>
              </w:rPr>
              <w:t>两栖纲</w:t>
            </w:r>
          </w:p>
        </w:tc>
        <w:tc>
          <w:tcPr>
            <w:tcW w:w="652" w:type="dxa"/>
            <w:vAlign w:val="top"/>
          </w:tcPr>
          <w:p w14:paraId="5C78B594">
            <w:pPr>
              <w:spacing w:before="90" w:line="214" w:lineRule="auto"/>
              <w:ind w:left="291"/>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706" w:type="dxa"/>
            <w:vAlign w:val="top"/>
          </w:tcPr>
          <w:p w14:paraId="0E903E10">
            <w:pPr>
              <w:spacing w:before="90" w:line="214" w:lineRule="auto"/>
              <w:ind w:left="297"/>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710" w:type="dxa"/>
            <w:vAlign w:val="top"/>
          </w:tcPr>
          <w:p w14:paraId="2A3E8263">
            <w:pPr>
              <w:spacing w:before="90" w:line="214" w:lineRule="auto"/>
              <w:ind w:left="305"/>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849" w:type="dxa"/>
            <w:vAlign w:val="top"/>
          </w:tcPr>
          <w:p w14:paraId="7D097804">
            <w:pPr>
              <w:spacing w:before="90" w:line="214" w:lineRule="auto"/>
              <w:ind w:left="369"/>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852" w:type="dxa"/>
            <w:vAlign w:val="top"/>
          </w:tcPr>
          <w:p w14:paraId="70766A66">
            <w:pPr>
              <w:spacing w:before="90" w:line="214" w:lineRule="auto"/>
              <w:ind w:left="377"/>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849" w:type="dxa"/>
            <w:vAlign w:val="top"/>
          </w:tcPr>
          <w:p w14:paraId="01E2D0B5">
            <w:pPr>
              <w:spacing w:before="90" w:line="214" w:lineRule="auto"/>
              <w:ind w:left="371"/>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133" w:type="dxa"/>
            <w:vAlign w:val="top"/>
          </w:tcPr>
          <w:p w14:paraId="03A1D266">
            <w:pPr>
              <w:spacing w:before="90" w:line="214" w:lineRule="auto"/>
              <w:ind w:left="517"/>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271" w:type="dxa"/>
            <w:vAlign w:val="top"/>
          </w:tcPr>
          <w:p w14:paraId="423AF225">
            <w:pPr>
              <w:spacing w:before="90" w:line="214" w:lineRule="auto"/>
              <w:ind w:left="587"/>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128" w:type="dxa"/>
            <w:vAlign w:val="top"/>
          </w:tcPr>
          <w:p w14:paraId="5C6D7A5F">
            <w:pPr>
              <w:spacing w:before="90" w:line="214" w:lineRule="auto"/>
              <w:ind w:left="516"/>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r>
      <w:tr w14:paraId="0E2578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914" w:type="dxa"/>
            <w:vAlign w:val="top"/>
          </w:tcPr>
          <w:p w14:paraId="6EE006C6">
            <w:pPr>
              <w:pStyle w:val="6"/>
              <w:spacing w:before="55" w:line="222" w:lineRule="auto"/>
              <w:ind w:left="253"/>
            </w:pPr>
            <w:r>
              <w:rPr>
                <w:spacing w:val="-2"/>
              </w:rPr>
              <w:t>合计</w:t>
            </w:r>
          </w:p>
        </w:tc>
        <w:tc>
          <w:tcPr>
            <w:tcW w:w="652" w:type="dxa"/>
            <w:vAlign w:val="top"/>
          </w:tcPr>
          <w:p w14:paraId="41F2FF13">
            <w:pPr>
              <w:spacing w:before="90" w:line="221" w:lineRule="auto"/>
              <w:ind w:left="238"/>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tc>
        <w:tc>
          <w:tcPr>
            <w:tcW w:w="706" w:type="dxa"/>
            <w:vAlign w:val="top"/>
          </w:tcPr>
          <w:p w14:paraId="0FD89195">
            <w:pPr>
              <w:spacing w:before="90" w:line="221" w:lineRule="auto"/>
              <w:ind w:left="24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37</w:t>
            </w:r>
          </w:p>
        </w:tc>
        <w:tc>
          <w:tcPr>
            <w:tcW w:w="710" w:type="dxa"/>
            <w:vAlign w:val="top"/>
          </w:tcPr>
          <w:p w14:paraId="0ABCA0BC">
            <w:pPr>
              <w:spacing w:before="90" w:line="221" w:lineRule="auto"/>
              <w:ind w:left="25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63</w:t>
            </w:r>
          </w:p>
        </w:tc>
        <w:tc>
          <w:tcPr>
            <w:tcW w:w="849" w:type="dxa"/>
            <w:vAlign w:val="top"/>
          </w:tcPr>
          <w:p w14:paraId="181370CB">
            <w:pPr>
              <w:spacing w:before="90" w:line="221" w:lineRule="auto"/>
              <w:ind w:left="31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40</w:t>
            </w:r>
          </w:p>
        </w:tc>
        <w:tc>
          <w:tcPr>
            <w:tcW w:w="852" w:type="dxa"/>
            <w:vAlign w:val="top"/>
          </w:tcPr>
          <w:p w14:paraId="628E0F5A">
            <w:pPr>
              <w:spacing w:before="90" w:line="221" w:lineRule="auto"/>
              <w:ind w:left="378"/>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849" w:type="dxa"/>
            <w:vAlign w:val="top"/>
          </w:tcPr>
          <w:p w14:paraId="05EA07D3">
            <w:pPr>
              <w:spacing w:before="90" w:line="221" w:lineRule="auto"/>
              <w:ind w:left="31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133" w:type="dxa"/>
            <w:vAlign w:val="top"/>
          </w:tcPr>
          <w:p w14:paraId="7E14513D">
            <w:pPr>
              <w:spacing w:before="90" w:line="221" w:lineRule="auto"/>
              <w:ind w:left="517"/>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271" w:type="dxa"/>
            <w:vAlign w:val="top"/>
          </w:tcPr>
          <w:p w14:paraId="1E5BB4C4">
            <w:pPr>
              <w:spacing w:before="90" w:line="221" w:lineRule="auto"/>
              <w:ind w:left="587"/>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128" w:type="dxa"/>
            <w:vAlign w:val="top"/>
          </w:tcPr>
          <w:p w14:paraId="493A1D55">
            <w:pPr>
              <w:spacing w:before="90" w:line="221" w:lineRule="auto"/>
              <w:ind w:left="516"/>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r>
    </w:tbl>
    <w:p w14:paraId="6A5962DA">
      <w:pPr>
        <w:spacing w:before="116" w:line="233" w:lineRule="auto"/>
        <w:ind w:left="495"/>
        <w:rPr>
          <w:rFonts w:ascii="宋体" w:hAnsi="宋体" w:eastAsia="宋体" w:cs="宋体"/>
          <w:sz w:val="24"/>
          <w:szCs w:val="24"/>
        </w:rPr>
      </w:pPr>
      <w:r>
        <w:rPr>
          <w:rFonts w:ascii="宋体" w:hAnsi="宋体" w:eastAsia="宋体" w:cs="宋体"/>
          <w:b/>
          <w:bCs/>
          <w:spacing w:val="-7"/>
          <w:sz w:val="24"/>
          <w:szCs w:val="24"/>
        </w:rPr>
        <w:t>（</w:t>
      </w:r>
      <w:r>
        <w:rPr>
          <w:rFonts w:ascii="Times New Roman" w:hAnsi="Times New Roman" w:eastAsia="Times New Roman" w:cs="Times New Roman"/>
          <w:b/>
          <w:bCs/>
          <w:spacing w:val="-7"/>
          <w:sz w:val="24"/>
          <w:szCs w:val="24"/>
        </w:rPr>
        <w:t>3</w:t>
      </w:r>
      <w:r>
        <w:rPr>
          <w:rFonts w:ascii="宋体" w:hAnsi="宋体" w:eastAsia="宋体" w:cs="宋体"/>
          <w:b/>
          <w:bCs/>
          <w:spacing w:val="-7"/>
          <w:sz w:val="24"/>
          <w:szCs w:val="24"/>
        </w:rPr>
        <w:t>）动物类型</w:t>
      </w:r>
    </w:p>
    <w:p w14:paraId="06E2C3DF">
      <w:pPr>
        <w:spacing w:before="165" w:line="233" w:lineRule="auto"/>
        <w:ind w:left="505"/>
        <w:rPr>
          <w:rFonts w:ascii="宋体" w:hAnsi="宋体" w:eastAsia="宋体" w:cs="宋体"/>
          <w:sz w:val="24"/>
          <w:szCs w:val="24"/>
        </w:rPr>
      </w:pPr>
      <w:r>
        <w:rPr>
          <w:rFonts w:ascii="Times New Roman" w:hAnsi="Times New Roman" w:eastAsia="Times New Roman" w:cs="Times New Roman"/>
          <w:spacing w:val="-9"/>
          <w:sz w:val="24"/>
          <w:szCs w:val="24"/>
        </w:rPr>
        <w:t>1</w:t>
      </w:r>
      <w:r>
        <w:rPr>
          <w:rFonts w:ascii="宋体" w:hAnsi="宋体" w:eastAsia="宋体" w:cs="宋体"/>
          <w:spacing w:val="-9"/>
          <w:sz w:val="24"/>
          <w:szCs w:val="24"/>
        </w:rPr>
        <w:t>）兽类</w:t>
      </w:r>
    </w:p>
    <w:p w14:paraId="1C71C79B">
      <w:pPr>
        <w:spacing w:before="164" w:line="360" w:lineRule="auto"/>
        <w:ind w:left="6" w:firstLine="479"/>
        <w:rPr>
          <w:rFonts w:ascii="宋体" w:hAnsi="宋体" w:eastAsia="宋体" w:cs="宋体"/>
          <w:sz w:val="24"/>
          <w:szCs w:val="24"/>
        </w:rPr>
      </w:pPr>
      <w:r>
        <w:rPr>
          <w:rFonts w:ascii="宋体" w:hAnsi="宋体" w:eastAsia="宋体" w:cs="宋体"/>
          <w:spacing w:val="-9"/>
          <w:sz w:val="24"/>
          <w:szCs w:val="24"/>
        </w:rPr>
        <w:t>评价区内兽类常见种为赤腹松鼠（</w:t>
      </w:r>
      <w:r>
        <w:rPr>
          <w:rFonts w:ascii="Times New Roman" w:hAnsi="Times New Roman" w:eastAsia="Times New Roman" w:cs="Times New Roman"/>
          <w:i/>
          <w:iCs/>
          <w:spacing w:val="-9"/>
          <w:sz w:val="24"/>
          <w:szCs w:val="24"/>
        </w:rPr>
        <w:t>Callosciuru</w:t>
      </w:r>
      <w:r>
        <w:rPr>
          <w:rFonts w:ascii="Times New Roman" w:hAnsi="Times New Roman" w:eastAsia="Times New Roman" w:cs="Times New Roman"/>
          <w:i/>
          <w:iCs/>
          <w:spacing w:val="-10"/>
          <w:sz w:val="24"/>
          <w:szCs w:val="24"/>
        </w:rPr>
        <w:t>s erythraeus</w:t>
      </w:r>
      <w:r>
        <w:rPr>
          <w:rFonts w:ascii="宋体" w:hAnsi="宋体" w:eastAsia="宋体" w:cs="宋体"/>
          <w:spacing w:val="-10"/>
          <w:sz w:val="24"/>
          <w:szCs w:val="24"/>
        </w:rPr>
        <w:t>）、黄胸鼠（</w:t>
      </w:r>
      <w:r>
        <w:rPr>
          <w:rFonts w:ascii="Times New Roman" w:hAnsi="Times New Roman" w:eastAsia="Times New Roman" w:cs="Times New Roman"/>
          <w:i/>
          <w:iCs/>
          <w:spacing w:val="-10"/>
          <w:sz w:val="24"/>
          <w:szCs w:val="24"/>
        </w:rPr>
        <w:t>Rattus tanezumi</w:t>
      </w:r>
      <w:r>
        <w:rPr>
          <w:rFonts w:ascii="宋体" w:hAnsi="宋体" w:eastAsia="宋体" w:cs="宋体"/>
          <w:spacing w:val="-10"/>
          <w:sz w:val="24"/>
          <w:szCs w:val="24"/>
        </w:rPr>
        <w:t>）、</w:t>
      </w:r>
      <w:r>
        <w:rPr>
          <w:rFonts w:ascii="宋体" w:hAnsi="宋体" w:eastAsia="宋体" w:cs="宋体"/>
          <w:spacing w:val="-1"/>
          <w:sz w:val="24"/>
          <w:szCs w:val="24"/>
        </w:rPr>
        <w:t>褐家鼠（</w:t>
      </w:r>
      <w:r>
        <w:rPr>
          <w:rFonts w:ascii="Times New Roman" w:hAnsi="Times New Roman" w:eastAsia="Times New Roman" w:cs="Times New Roman"/>
          <w:i/>
          <w:iCs/>
          <w:spacing w:val="-1"/>
          <w:sz w:val="24"/>
          <w:szCs w:val="24"/>
        </w:rPr>
        <w:t>Rattus norvegicus</w:t>
      </w:r>
      <w:r>
        <w:rPr>
          <w:rFonts w:ascii="宋体" w:hAnsi="宋体" w:eastAsia="宋体" w:cs="宋体"/>
          <w:spacing w:val="-1"/>
          <w:sz w:val="24"/>
          <w:szCs w:val="24"/>
        </w:rPr>
        <w:t>）、小家鼠（</w:t>
      </w:r>
      <w:r>
        <w:rPr>
          <w:rFonts w:ascii="Times New Roman" w:hAnsi="Times New Roman" w:eastAsia="Times New Roman" w:cs="Times New Roman"/>
          <w:i/>
          <w:iCs/>
          <w:spacing w:val="-1"/>
          <w:sz w:val="24"/>
          <w:szCs w:val="24"/>
        </w:rPr>
        <w:t>Mus musculus</w:t>
      </w:r>
      <w:r>
        <w:rPr>
          <w:rFonts w:ascii="宋体" w:hAnsi="宋体" w:eastAsia="宋体" w:cs="宋体"/>
          <w:spacing w:val="-1"/>
          <w:sz w:val="24"/>
          <w:szCs w:val="24"/>
        </w:rPr>
        <w:t>）等常见小型兽类。根据兽类生活</w:t>
      </w:r>
      <w:r>
        <w:rPr>
          <w:rFonts w:ascii="宋体" w:hAnsi="宋体" w:eastAsia="宋体" w:cs="宋体"/>
          <w:spacing w:val="-3"/>
          <w:sz w:val="24"/>
          <w:szCs w:val="24"/>
        </w:rPr>
        <w:t>习性的不同，可以将上述种类归为</w:t>
      </w:r>
      <w:r>
        <w:rPr>
          <w:rFonts w:ascii="宋体" w:hAnsi="宋体" w:eastAsia="宋体" w:cs="宋体"/>
          <w:spacing w:val="-46"/>
          <w:sz w:val="24"/>
          <w:szCs w:val="24"/>
        </w:rPr>
        <w:t xml:space="preserve"> </w:t>
      </w:r>
      <w:r>
        <w:rPr>
          <w:rFonts w:ascii="Times New Roman" w:hAnsi="Times New Roman" w:eastAsia="Times New Roman" w:cs="Times New Roman"/>
          <w:spacing w:val="-3"/>
          <w:sz w:val="24"/>
          <w:szCs w:val="24"/>
        </w:rPr>
        <w:t xml:space="preserve">4 </w:t>
      </w:r>
      <w:r>
        <w:rPr>
          <w:rFonts w:ascii="宋体" w:hAnsi="宋体" w:eastAsia="宋体" w:cs="宋体"/>
          <w:spacing w:val="-3"/>
          <w:sz w:val="24"/>
          <w:szCs w:val="24"/>
        </w:rPr>
        <w:t>种生态类型：</w:t>
      </w:r>
    </w:p>
    <w:p w14:paraId="15FAFA25">
      <w:pPr>
        <w:spacing w:before="1" w:line="350" w:lineRule="auto"/>
        <w:ind w:left="7" w:right="103" w:firstLine="478"/>
        <w:rPr>
          <w:rFonts w:ascii="宋体" w:hAnsi="宋体" w:eastAsia="宋体" w:cs="宋体"/>
          <w:sz w:val="24"/>
          <w:szCs w:val="24"/>
        </w:rPr>
      </w:pPr>
      <w:r>
        <w:rPr>
          <w:rFonts w:ascii="宋体" w:hAnsi="宋体" w:eastAsia="宋体" w:cs="宋体"/>
          <w:spacing w:val="1"/>
          <w:sz w:val="24"/>
          <w:szCs w:val="24"/>
        </w:rPr>
        <w:t>① 地面生活型：主要在地面上活动、觅食，包括食肉</w:t>
      </w:r>
      <w:r>
        <w:rPr>
          <w:rFonts w:ascii="宋体" w:hAnsi="宋体" w:eastAsia="宋体" w:cs="宋体"/>
          <w:sz w:val="24"/>
          <w:szCs w:val="24"/>
        </w:rPr>
        <w:t>目的黄鼬（</w:t>
      </w:r>
      <w:r>
        <w:rPr>
          <w:rFonts w:ascii="Times New Roman" w:hAnsi="Times New Roman" w:eastAsia="Times New Roman" w:cs="Times New Roman"/>
          <w:sz w:val="24"/>
          <w:szCs w:val="24"/>
        </w:rPr>
        <w:t>Mustela</w:t>
      </w:r>
      <w:r>
        <w:rPr>
          <w:rFonts w:ascii="Times New Roman" w:hAnsi="Times New Roman" w:eastAsia="Times New Roman" w:cs="Times New Roman"/>
          <w:spacing w:val="42"/>
          <w:w w:val="101"/>
          <w:sz w:val="24"/>
          <w:szCs w:val="24"/>
        </w:rPr>
        <w:t xml:space="preserve"> </w:t>
      </w:r>
      <w:r>
        <w:rPr>
          <w:rFonts w:ascii="Times New Roman" w:hAnsi="Times New Roman" w:eastAsia="Times New Roman" w:cs="Times New Roman"/>
          <w:sz w:val="24"/>
          <w:szCs w:val="24"/>
        </w:rPr>
        <w:t>sibirica</w:t>
      </w:r>
      <w:r>
        <w:rPr>
          <w:rFonts w:ascii="宋体" w:hAnsi="宋体" w:eastAsia="宋体" w:cs="宋体"/>
          <w:sz w:val="24"/>
          <w:szCs w:val="24"/>
        </w:rPr>
        <w:t>）</w:t>
      </w:r>
      <w:r>
        <w:rPr>
          <w:rFonts w:ascii="宋体" w:hAnsi="宋体" w:eastAsia="宋体" w:cs="宋体"/>
          <w:spacing w:val="-2"/>
          <w:sz w:val="24"/>
          <w:szCs w:val="24"/>
        </w:rPr>
        <w:t>和偶蹄目的野猪（</w:t>
      </w:r>
      <w:r>
        <w:rPr>
          <w:rFonts w:ascii="Times New Roman" w:hAnsi="Times New Roman" w:eastAsia="Times New Roman" w:cs="Times New Roman"/>
          <w:i/>
          <w:iCs/>
          <w:spacing w:val="-2"/>
          <w:sz w:val="24"/>
          <w:szCs w:val="24"/>
        </w:rPr>
        <w:t>Sus scrofa</w:t>
      </w:r>
      <w:r>
        <w:rPr>
          <w:rFonts w:ascii="宋体" w:hAnsi="宋体" w:eastAsia="宋体" w:cs="宋体"/>
          <w:spacing w:val="-2"/>
          <w:sz w:val="24"/>
          <w:szCs w:val="24"/>
        </w:rPr>
        <w:t>）等。</w:t>
      </w:r>
    </w:p>
    <w:p w14:paraId="2E583C65">
      <w:pPr>
        <w:spacing w:before="26" w:line="360" w:lineRule="auto"/>
        <w:ind w:left="9" w:right="203" w:firstLine="475"/>
        <w:rPr>
          <w:rFonts w:ascii="宋体" w:hAnsi="宋体" w:eastAsia="宋体" w:cs="宋体"/>
          <w:sz w:val="24"/>
          <w:szCs w:val="24"/>
        </w:rPr>
      </w:pPr>
      <w:r>
        <w:rPr>
          <w:rFonts w:ascii="宋体" w:hAnsi="宋体" w:eastAsia="宋体" w:cs="宋体"/>
          <w:spacing w:val="-5"/>
          <w:sz w:val="24"/>
          <w:szCs w:val="24"/>
        </w:rPr>
        <w:t>② 岩洞栖息型：在岩洞倒挂栖息的小型兽类，有翼手目的中华菊头蝠（</w:t>
      </w:r>
      <w:r>
        <w:rPr>
          <w:rFonts w:ascii="Times New Roman" w:hAnsi="Times New Roman" w:eastAsia="Times New Roman" w:cs="Times New Roman"/>
          <w:spacing w:val="-5"/>
          <w:sz w:val="24"/>
          <w:szCs w:val="24"/>
        </w:rPr>
        <w:t>Rhinolophus</w:t>
      </w:r>
      <w:r>
        <w:rPr>
          <w:rFonts w:ascii="Times New Roman" w:hAnsi="Times New Roman" w:eastAsia="Times New Roman" w:cs="Times New Roman"/>
          <w:spacing w:val="14"/>
          <w:sz w:val="24"/>
          <w:szCs w:val="24"/>
        </w:rPr>
        <w:t xml:space="preserve"> </w:t>
      </w:r>
      <w:r>
        <w:rPr>
          <w:rFonts w:ascii="Times New Roman" w:hAnsi="Times New Roman" w:eastAsia="Times New Roman" w:cs="Times New Roman"/>
          <w:spacing w:val="-1"/>
          <w:sz w:val="24"/>
          <w:szCs w:val="24"/>
        </w:rPr>
        <w:t>sinicus</w:t>
      </w:r>
      <w:r>
        <w:rPr>
          <w:rFonts w:ascii="宋体" w:hAnsi="宋体" w:eastAsia="宋体" w:cs="宋体"/>
          <w:spacing w:val="-1"/>
          <w:sz w:val="24"/>
          <w:szCs w:val="24"/>
        </w:rPr>
        <w:t>）等，分布在居民点附近，黄</w:t>
      </w:r>
      <w:r>
        <w:rPr>
          <w:rFonts w:ascii="宋体" w:hAnsi="宋体" w:eastAsia="宋体" w:cs="宋体"/>
          <w:spacing w:val="-2"/>
          <w:sz w:val="24"/>
          <w:szCs w:val="24"/>
        </w:rPr>
        <w:t>昏时出现在居民点附近上空。</w:t>
      </w:r>
    </w:p>
    <w:p w14:paraId="4678C022">
      <w:pPr>
        <w:spacing w:before="2" w:line="359" w:lineRule="auto"/>
        <w:ind w:left="7" w:right="209" w:firstLine="477"/>
        <w:rPr>
          <w:rFonts w:ascii="宋体" w:hAnsi="宋体" w:eastAsia="宋体" w:cs="宋体"/>
          <w:sz w:val="24"/>
          <w:szCs w:val="24"/>
        </w:rPr>
      </w:pPr>
      <w:r>
        <w:rPr>
          <w:rFonts w:ascii="宋体" w:hAnsi="宋体" w:eastAsia="宋体" w:cs="宋体"/>
          <w:spacing w:val="-7"/>
          <w:sz w:val="24"/>
          <w:szCs w:val="24"/>
        </w:rPr>
        <w:t>③ 树栖型：主要在树上栖息、觅食，</w:t>
      </w:r>
      <w:r>
        <w:rPr>
          <w:rFonts w:ascii="宋体" w:hAnsi="宋体" w:eastAsia="宋体" w:cs="宋体"/>
          <w:spacing w:val="-41"/>
          <w:sz w:val="24"/>
          <w:szCs w:val="24"/>
        </w:rPr>
        <w:t xml:space="preserve"> </w:t>
      </w:r>
      <w:r>
        <w:rPr>
          <w:rFonts w:ascii="宋体" w:hAnsi="宋体" w:eastAsia="宋体" w:cs="宋体"/>
          <w:spacing w:val="-7"/>
          <w:sz w:val="24"/>
          <w:szCs w:val="24"/>
        </w:rPr>
        <w:t>包括啮齿目松鼠科赤腹松鼠。活动于森林或林</w:t>
      </w:r>
      <w:r>
        <w:rPr>
          <w:rFonts w:ascii="宋体" w:hAnsi="宋体" w:eastAsia="宋体" w:cs="宋体"/>
          <w:spacing w:val="-3"/>
          <w:sz w:val="24"/>
          <w:szCs w:val="24"/>
        </w:rPr>
        <w:t>缘灌丛，也常见于村寨附近的稀树灌丛。</w:t>
      </w:r>
    </w:p>
    <w:p w14:paraId="5DFB356A">
      <w:pPr>
        <w:spacing w:before="4" w:line="356" w:lineRule="auto"/>
        <w:ind w:left="6" w:right="120" w:firstLine="478"/>
        <w:rPr>
          <w:rFonts w:ascii="宋体" w:hAnsi="宋体" w:eastAsia="宋体" w:cs="宋体"/>
          <w:sz w:val="24"/>
          <w:szCs w:val="24"/>
        </w:rPr>
      </w:pPr>
      <w:r>
        <w:rPr>
          <w:rFonts w:ascii="宋体" w:hAnsi="宋体" w:eastAsia="宋体" w:cs="宋体"/>
          <w:spacing w:val="-8"/>
          <w:sz w:val="24"/>
          <w:szCs w:val="24"/>
        </w:rPr>
        <w:t>④ 半地下生活型：属于穴居型，主要在地面活动觅食，栖息、避敌于洞穴中， 有的</w:t>
      </w:r>
      <w:r>
        <w:rPr>
          <w:rFonts w:ascii="宋体" w:hAnsi="宋体" w:eastAsia="宋体" w:cs="宋体"/>
          <w:spacing w:val="-1"/>
          <w:sz w:val="24"/>
          <w:szCs w:val="24"/>
        </w:rPr>
        <w:t>也在地下寻找食物，主要包括食虫目的鼩猬（</w:t>
      </w:r>
      <w:r>
        <w:rPr>
          <w:rFonts w:ascii="Times New Roman" w:hAnsi="Times New Roman" w:eastAsia="Times New Roman" w:cs="Times New Roman"/>
          <w:i/>
          <w:iCs/>
          <w:spacing w:val="-1"/>
          <w:sz w:val="24"/>
          <w:szCs w:val="24"/>
        </w:rPr>
        <w:t>Neotetracus sinensis</w:t>
      </w:r>
      <w:r>
        <w:rPr>
          <w:rFonts w:ascii="宋体" w:hAnsi="宋体" w:eastAsia="宋体" w:cs="宋体"/>
          <w:spacing w:val="-1"/>
          <w:sz w:val="24"/>
          <w:szCs w:val="24"/>
        </w:rPr>
        <w:t>）和啮齿目的黄胸鼠、</w:t>
      </w:r>
      <w:r>
        <w:rPr>
          <w:rFonts w:ascii="宋体" w:hAnsi="宋体" w:eastAsia="宋体" w:cs="宋体"/>
          <w:sz w:val="24"/>
          <w:szCs w:val="24"/>
        </w:rPr>
        <w:t>褐家鼠、小家鼠（</w:t>
      </w:r>
      <w:r>
        <w:rPr>
          <w:rFonts w:ascii="Times New Roman" w:hAnsi="Times New Roman" w:eastAsia="Times New Roman" w:cs="Times New Roman"/>
          <w:i/>
          <w:iCs/>
          <w:sz w:val="24"/>
          <w:szCs w:val="24"/>
        </w:rPr>
        <w:t>Mus</w:t>
      </w:r>
      <w:r>
        <w:rPr>
          <w:rFonts w:ascii="Times New Roman" w:hAnsi="Times New Roman" w:eastAsia="Times New Roman" w:cs="Times New Roman"/>
          <w:i/>
          <w:iCs/>
          <w:spacing w:val="28"/>
          <w:sz w:val="24"/>
          <w:szCs w:val="24"/>
        </w:rPr>
        <w:t xml:space="preserve"> </w:t>
      </w:r>
      <w:r>
        <w:rPr>
          <w:rFonts w:ascii="Times New Roman" w:hAnsi="Times New Roman" w:eastAsia="Times New Roman" w:cs="Times New Roman"/>
          <w:i/>
          <w:iCs/>
          <w:sz w:val="24"/>
          <w:szCs w:val="24"/>
        </w:rPr>
        <w:t>musculus</w:t>
      </w:r>
      <w:r>
        <w:rPr>
          <w:rFonts w:ascii="宋体" w:hAnsi="宋体" w:eastAsia="宋体" w:cs="宋体"/>
          <w:sz w:val="24"/>
          <w:szCs w:val="24"/>
        </w:rPr>
        <w:t>），以及兔目的云</w:t>
      </w:r>
      <w:r>
        <w:rPr>
          <w:rFonts w:ascii="宋体" w:hAnsi="宋体" w:eastAsia="宋体" w:cs="宋体"/>
          <w:spacing w:val="-1"/>
          <w:sz w:val="24"/>
          <w:szCs w:val="24"/>
        </w:rPr>
        <w:t>南兔等，主要分布在树林、灌丛中，</w:t>
      </w:r>
      <w:r>
        <w:rPr>
          <w:rFonts w:ascii="宋体" w:hAnsi="宋体" w:eastAsia="宋体" w:cs="宋体"/>
          <w:spacing w:val="-3"/>
          <w:sz w:val="24"/>
          <w:szCs w:val="24"/>
        </w:rPr>
        <w:t>其中鼠科多分布在居民点附近。</w:t>
      </w:r>
    </w:p>
    <w:p w14:paraId="5B8AEC39">
      <w:pPr>
        <w:spacing w:before="17" w:line="233" w:lineRule="auto"/>
        <w:ind w:left="482"/>
        <w:rPr>
          <w:rFonts w:ascii="宋体" w:hAnsi="宋体" w:eastAsia="宋体" w:cs="宋体"/>
          <w:sz w:val="24"/>
          <w:szCs w:val="24"/>
        </w:rPr>
      </w:pPr>
      <w:r>
        <w:rPr>
          <w:rFonts w:ascii="Times New Roman" w:hAnsi="Times New Roman" w:eastAsia="Times New Roman" w:cs="Times New Roman"/>
          <w:spacing w:val="-3"/>
          <w:sz w:val="24"/>
          <w:szCs w:val="24"/>
        </w:rPr>
        <w:t>2</w:t>
      </w:r>
      <w:r>
        <w:rPr>
          <w:rFonts w:ascii="宋体" w:hAnsi="宋体" w:eastAsia="宋体" w:cs="宋体"/>
          <w:spacing w:val="-3"/>
          <w:sz w:val="24"/>
          <w:szCs w:val="24"/>
        </w:rPr>
        <w:t>）鸟类</w:t>
      </w:r>
    </w:p>
    <w:p w14:paraId="777A75F9">
      <w:pPr>
        <w:spacing w:before="163" w:line="356" w:lineRule="auto"/>
        <w:ind w:left="4" w:right="205" w:firstLine="487"/>
        <w:rPr>
          <w:rFonts w:ascii="宋体" w:hAnsi="宋体" w:eastAsia="宋体" w:cs="宋体"/>
          <w:sz w:val="24"/>
          <w:szCs w:val="24"/>
        </w:rPr>
      </w:pPr>
      <w:r>
        <w:rPr>
          <w:rFonts w:ascii="宋体" w:hAnsi="宋体" w:eastAsia="宋体" w:cs="宋体"/>
          <w:spacing w:val="-9"/>
          <w:sz w:val="24"/>
          <w:szCs w:val="24"/>
        </w:rPr>
        <w:t>鸟类中种群数量相对较多的优势种是树麻雀（</w:t>
      </w:r>
      <w:r>
        <w:rPr>
          <w:rFonts w:ascii="Times New Roman" w:hAnsi="Times New Roman" w:eastAsia="Times New Roman" w:cs="Times New Roman"/>
          <w:i/>
          <w:iCs/>
          <w:spacing w:val="-9"/>
          <w:sz w:val="24"/>
          <w:szCs w:val="24"/>
        </w:rPr>
        <w:t>Passer</w:t>
      </w:r>
      <w:r>
        <w:rPr>
          <w:rFonts w:ascii="Times New Roman" w:hAnsi="Times New Roman" w:eastAsia="Times New Roman" w:cs="Times New Roman"/>
          <w:i/>
          <w:iCs/>
          <w:spacing w:val="-14"/>
          <w:sz w:val="24"/>
          <w:szCs w:val="24"/>
        </w:rPr>
        <w:t xml:space="preserve"> </w:t>
      </w:r>
      <w:r>
        <w:rPr>
          <w:rFonts w:ascii="Times New Roman" w:hAnsi="Times New Roman" w:eastAsia="Times New Roman" w:cs="Times New Roman"/>
          <w:i/>
          <w:iCs/>
          <w:spacing w:val="-9"/>
          <w:sz w:val="24"/>
          <w:szCs w:val="24"/>
        </w:rPr>
        <w:t>montanus</w:t>
      </w:r>
      <w:r>
        <w:rPr>
          <w:rFonts w:ascii="宋体" w:hAnsi="宋体" w:eastAsia="宋体" w:cs="宋体"/>
          <w:spacing w:val="-9"/>
          <w:sz w:val="24"/>
          <w:szCs w:val="24"/>
        </w:rPr>
        <w:t>）、山斑鸠（</w:t>
      </w:r>
      <w:r>
        <w:rPr>
          <w:rFonts w:ascii="Times New Roman" w:hAnsi="Times New Roman" w:eastAsia="Times New Roman" w:cs="Times New Roman"/>
          <w:i/>
          <w:iCs/>
          <w:spacing w:val="-9"/>
          <w:sz w:val="24"/>
          <w:szCs w:val="24"/>
        </w:rPr>
        <w:t>Streptopelia</w:t>
      </w:r>
      <w:r>
        <w:rPr>
          <w:rFonts w:ascii="Times New Roman" w:hAnsi="Times New Roman" w:eastAsia="Times New Roman" w:cs="Times New Roman"/>
          <w:i/>
          <w:iCs/>
          <w:sz w:val="24"/>
          <w:szCs w:val="24"/>
        </w:rPr>
        <w:t xml:space="preserve"> orientalis</w:t>
      </w:r>
      <w:r>
        <w:rPr>
          <w:rFonts w:ascii="宋体" w:hAnsi="宋体" w:eastAsia="宋体" w:cs="宋体"/>
          <w:sz w:val="24"/>
          <w:szCs w:val="24"/>
        </w:rPr>
        <w:t>）、白鹡鸰（</w:t>
      </w:r>
      <w:r>
        <w:rPr>
          <w:rFonts w:ascii="Times New Roman" w:hAnsi="Times New Roman" w:eastAsia="Times New Roman" w:cs="Times New Roman"/>
          <w:i/>
          <w:iCs/>
          <w:sz w:val="24"/>
          <w:szCs w:val="24"/>
        </w:rPr>
        <w:t>Motacilla alba</w:t>
      </w:r>
      <w:r>
        <w:rPr>
          <w:rFonts w:ascii="宋体" w:hAnsi="宋体" w:eastAsia="宋体" w:cs="宋体"/>
          <w:sz w:val="24"/>
          <w:szCs w:val="24"/>
        </w:rPr>
        <w:t>）、黄臀鹎（</w:t>
      </w:r>
      <w:r>
        <w:rPr>
          <w:rFonts w:ascii="Times New Roman" w:hAnsi="Times New Roman" w:eastAsia="Times New Roman" w:cs="Times New Roman"/>
          <w:i/>
          <w:iCs/>
          <w:sz w:val="24"/>
          <w:szCs w:val="24"/>
        </w:rPr>
        <w:t>Pycnonotus</w:t>
      </w:r>
      <w:r>
        <w:rPr>
          <w:rFonts w:ascii="Times New Roman" w:hAnsi="Times New Roman" w:eastAsia="Times New Roman" w:cs="Times New Roman"/>
          <w:i/>
          <w:iCs/>
          <w:spacing w:val="17"/>
          <w:sz w:val="24"/>
          <w:szCs w:val="24"/>
        </w:rPr>
        <w:t xml:space="preserve">   </w:t>
      </w:r>
      <w:r>
        <w:rPr>
          <w:rFonts w:ascii="Times New Roman" w:hAnsi="Times New Roman" w:eastAsia="Times New Roman" w:cs="Times New Roman"/>
          <w:i/>
          <w:iCs/>
          <w:sz w:val="24"/>
          <w:szCs w:val="24"/>
        </w:rPr>
        <w:t>xanthor</w:t>
      </w:r>
      <w:r>
        <w:rPr>
          <w:rFonts w:ascii="Times New Roman" w:hAnsi="Times New Roman" w:eastAsia="Times New Roman" w:cs="Times New Roman"/>
          <w:i/>
          <w:iCs/>
          <w:spacing w:val="-1"/>
          <w:sz w:val="24"/>
          <w:szCs w:val="24"/>
        </w:rPr>
        <w:t>rhous</w:t>
      </w:r>
      <w:r>
        <w:rPr>
          <w:rFonts w:ascii="宋体" w:hAnsi="宋体" w:eastAsia="宋体" w:cs="宋体"/>
          <w:spacing w:val="-1"/>
          <w:sz w:val="24"/>
          <w:szCs w:val="24"/>
        </w:rPr>
        <w:t>）、领雀嘴</w:t>
      </w:r>
      <w:r>
        <w:rPr>
          <w:rFonts w:ascii="宋体" w:hAnsi="宋体" w:eastAsia="宋体" w:cs="宋体"/>
          <w:sz w:val="24"/>
          <w:szCs w:val="24"/>
        </w:rPr>
        <w:t>鹎（</w:t>
      </w:r>
      <w:r>
        <w:rPr>
          <w:rFonts w:ascii="Times New Roman" w:hAnsi="Times New Roman" w:eastAsia="Times New Roman" w:cs="Times New Roman"/>
          <w:i/>
          <w:iCs/>
          <w:sz w:val="24"/>
          <w:szCs w:val="24"/>
        </w:rPr>
        <w:t>Spizixos semitorques</w:t>
      </w:r>
      <w:r>
        <w:rPr>
          <w:rFonts w:ascii="宋体" w:hAnsi="宋体" w:eastAsia="宋体" w:cs="宋体"/>
          <w:sz w:val="24"/>
          <w:szCs w:val="24"/>
        </w:rPr>
        <w:t>）、黑头金翅雀（</w:t>
      </w:r>
      <w:r>
        <w:rPr>
          <w:rFonts w:ascii="Times New Roman" w:hAnsi="Times New Roman" w:eastAsia="Times New Roman" w:cs="Times New Roman"/>
          <w:i/>
          <w:iCs/>
          <w:sz w:val="24"/>
          <w:szCs w:val="24"/>
        </w:rPr>
        <w:t>Spizixos semitorques</w:t>
      </w:r>
      <w:r>
        <w:rPr>
          <w:rFonts w:ascii="宋体" w:hAnsi="宋体" w:eastAsia="宋体" w:cs="宋体"/>
          <w:sz w:val="24"/>
          <w:szCs w:val="24"/>
        </w:rPr>
        <w:t>）等。评价</w:t>
      </w:r>
      <w:r>
        <w:rPr>
          <w:rFonts w:ascii="宋体" w:hAnsi="宋体" w:eastAsia="宋体" w:cs="宋体"/>
          <w:spacing w:val="-1"/>
          <w:sz w:val="24"/>
          <w:szCs w:val="24"/>
        </w:rPr>
        <w:t>区鸟类的栖息</w:t>
      </w:r>
      <w:r>
        <w:rPr>
          <w:rFonts w:ascii="宋体" w:hAnsi="宋体" w:eastAsia="宋体" w:cs="宋体"/>
          <w:spacing w:val="-2"/>
          <w:sz w:val="24"/>
          <w:szCs w:val="24"/>
        </w:rPr>
        <w:t>地生境类型主要为石灰岩灌丛、竹林和农田等地带。</w:t>
      </w:r>
    </w:p>
    <w:p w14:paraId="32A22A52">
      <w:pPr>
        <w:spacing w:before="23" w:line="232" w:lineRule="auto"/>
        <w:ind w:left="488"/>
        <w:rPr>
          <w:rFonts w:ascii="宋体" w:hAnsi="宋体" w:eastAsia="宋体" w:cs="宋体"/>
          <w:sz w:val="24"/>
          <w:szCs w:val="24"/>
        </w:rPr>
      </w:pPr>
      <w:r>
        <w:rPr>
          <w:rFonts w:ascii="宋体" w:hAnsi="宋体" w:eastAsia="宋体" w:cs="宋体"/>
          <w:spacing w:val="-2"/>
          <w:sz w:val="24"/>
          <w:szCs w:val="24"/>
        </w:rPr>
        <w:t>按生活习性的不同，可以将评价区内鸟类分为以下</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 xml:space="preserve">4 </w:t>
      </w:r>
      <w:r>
        <w:rPr>
          <w:rFonts w:ascii="宋体" w:hAnsi="宋体" w:eastAsia="宋体" w:cs="宋体"/>
          <w:spacing w:val="-2"/>
          <w:sz w:val="24"/>
          <w:szCs w:val="24"/>
        </w:rPr>
        <w:t>种生态类型：</w:t>
      </w:r>
    </w:p>
    <w:p w14:paraId="31E48949">
      <w:pPr>
        <w:spacing w:line="232" w:lineRule="auto"/>
        <w:rPr>
          <w:rFonts w:ascii="宋体" w:hAnsi="宋体" w:eastAsia="宋体" w:cs="宋体"/>
          <w:sz w:val="24"/>
          <w:szCs w:val="24"/>
        </w:rPr>
        <w:sectPr>
          <w:footerReference r:id="rId164" w:type="default"/>
          <w:pgSz w:w="11907" w:h="16841"/>
          <w:pgMar w:top="400" w:right="1208" w:bottom="1126" w:left="1421" w:header="0" w:footer="925" w:gutter="0"/>
          <w:cols w:space="720" w:num="1"/>
        </w:sectPr>
      </w:pPr>
    </w:p>
    <w:p w14:paraId="728F4BE9">
      <w:pPr>
        <w:spacing w:line="249" w:lineRule="auto"/>
        <w:rPr>
          <w:rFonts w:ascii="Arial"/>
          <w:sz w:val="21"/>
        </w:rPr>
      </w:pPr>
    </w:p>
    <w:p w14:paraId="7477142A">
      <w:pPr>
        <w:spacing w:line="249" w:lineRule="auto"/>
        <w:rPr>
          <w:rFonts w:ascii="Arial"/>
          <w:sz w:val="21"/>
        </w:rPr>
      </w:pPr>
    </w:p>
    <w:p w14:paraId="4FD1D946">
      <w:pPr>
        <w:spacing w:line="249" w:lineRule="auto"/>
        <w:rPr>
          <w:rFonts w:ascii="Arial"/>
          <w:sz w:val="21"/>
        </w:rPr>
      </w:pPr>
    </w:p>
    <w:p w14:paraId="1F7973D2">
      <w:pPr>
        <w:spacing w:line="249" w:lineRule="auto"/>
        <w:rPr>
          <w:rFonts w:ascii="Arial"/>
          <w:sz w:val="21"/>
        </w:rPr>
      </w:pPr>
    </w:p>
    <w:p w14:paraId="41F52EBF">
      <w:pPr>
        <w:spacing w:line="249" w:lineRule="auto"/>
        <w:rPr>
          <w:rFonts w:ascii="Arial"/>
          <w:sz w:val="21"/>
        </w:rPr>
      </w:pPr>
    </w:p>
    <w:p w14:paraId="7B37EEEE">
      <w:pPr>
        <w:spacing w:before="78" w:line="360" w:lineRule="auto"/>
        <w:ind w:right="226" w:firstLine="480"/>
        <w:rPr>
          <w:rFonts w:ascii="宋体" w:hAnsi="宋体" w:eastAsia="宋体" w:cs="宋体"/>
          <w:sz w:val="24"/>
          <w:szCs w:val="24"/>
        </w:rPr>
      </w:pPr>
      <w:r>
        <w:rPr>
          <w:rFonts w:ascii="宋体" w:hAnsi="宋体" w:eastAsia="宋体" w:cs="宋体"/>
          <w:spacing w:val="-5"/>
          <w:sz w:val="24"/>
          <w:szCs w:val="24"/>
        </w:rPr>
        <w:t>① 鸣禽：此类型鸣管和鸣肌特别发达，一般体形较小，体态轻捷，活泼灵巧，善于</w:t>
      </w:r>
      <w:r>
        <w:rPr>
          <w:rFonts w:ascii="宋体" w:hAnsi="宋体" w:eastAsia="宋体" w:cs="宋体"/>
          <w:spacing w:val="-6"/>
          <w:sz w:val="24"/>
          <w:szCs w:val="24"/>
        </w:rPr>
        <w:t>鸣叫和歌唱，且巧于筑巢。雀形目的所有鸟类都为鸣禽，</w:t>
      </w:r>
      <w:r>
        <w:rPr>
          <w:rFonts w:ascii="宋体" w:hAnsi="宋体" w:eastAsia="宋体" w:cs="宋体"/>
          <w:spacing w:val="54"/>
          <w:sz w:val="24"/>
          <w:szCs w:val="24"/>
        </w:rPr>
        <w:t xml:space="preserve"> </w:t>
      </w:r>
      <w:r>
        <w:rPr>
          <w:rFonts w:ascii="宋体" w:hAnsi="宋体" w:eastAsia="宋体" w:cs="宋体"/>
          <w:spacing w:val="-6"/>
          <w:sz w:val="24"/>
          <w:szCs w:val="24"/>
        </w:rPr>
        <w:t>为典型的森林鸟类，</w:t>
      </w:r>
      <w:r>
        <w:rPr>
          <w:rFonts w:ascii="宋体" w:hAnsi="宋体" w:eastAsia="宋体" w:cs="宋体"/>
          <w:spacing w:val="-7"/>
          <w:sz w:val="24"/>
          <w:szCs w:val="24"/>
        </w:rPr>
        <w:t>常见种包</w:t>
      </w:r>
      <w:r>
        <w:rPr>
          <w:rFonts w:ascii="宋体" w:hAnsi="宋体" w:eastAsia="宋体" w:cs="宋体"/>
          <w:spacing w:val="-6"/>
          <w:sz w:val="24"/>
          <w:szCs w:val="24"/>
        </w:rPr>
        <w:t>括黄臀鹎、领雀嘴鹎、黑头金翅雀等。在评价区内广泛分布，</w:t>
      </w:r>
      <w:r>
        <w:rPr>
          <w:rFonts w:ascii="宋体" w:hAnsi="宋体" w:eastAsia="宋体" w:cs="宋体"/>
          <w:spacing w:val="50"/>
          <w:sz w:val="24"/>
          <w:szCs w:val="24"/>
        </w:rPr>
        <w:t xml:space="preserve"> </w:t>
      </w:r>
      <w:r>
        <w:rPr>
          <w:rFonts w:ascii="宋体" w:hAnsi="宋体" w:eastAsia="宋体" w:cs="宋体"/>
          <w:spacing w:val="-6"/>
          <w:sz w:val="24"/>
          <w:szCs w:val="24"/>
        </w:rPr>
        <w:t>在种类和数量上均占绝对</w:t>
      </w:r>
      <w:r>
        <w:rPr>
          <w:rFonts w:ascii="宋体" w:hAnsi="宋体" w:eastAsia="宋体" w:cs="宋体"/>
          <w:spacing w:val="-10"/>
          <w:sz w:val="24"/>
          <w:szCs w:val="24"/>
        </w:rPr>
        <w:t>优势。</w:t>
      </w:r>
    </w:p>
    <w:p w14:paraId="3A5BA885">
      <w:pPr>
        <w:spacing w:line="217" w:lineRule="auto"/>
        <w:ind w:left="479"/>
        <w:rPr>
          <w:rFonts w:ascii="宋体" w:hAnsi="宋体" w:eastAsia="宋体" w:cs="宋体"/>
          <w:sz w:val="24"/>
          <w:szCs w:val="24"/>
        </w:rPr>
      </w:pPr>
      <w:r>
        <w:rPr>
          <w:rFonts w:ascii="宋体" w:hAnsi="宋体" w:eastAsia="宋体" w:cs="宋体"/>
          <w:spacing w:val="-6"/>
          <w:sz w:val="24"/>
          <w:szCs w:val="24"/>
        </w:rPr>
        <w:t>② 陆禽：此类型体格结实，嘴坚硬，脚强而有力，适于挖土，多在地面活动觅食，</w:t>
      </w:r>
    </w:p>
    <w:p w14:paraId="7BFA7E67">
      <w:pPr>
        <w:spacing w:before="186" w:line="351" w:lineRule="auto"/>
        <w:ind w:left="2" w:hanging="2"/>
        <w:rPr>
          <w:rFonts w:ascii="宋体" w:hAnsi="宋体" w:eastAsia="宋体" w:cs="宋体"/>
          <w:sz w:val="24"/>
          <w:szCs w:val="24"/>
        </w:rPr>
      </w:pPr>
      <w:r>
        <w:rPr>
          <w:rFonts w:ascii="宋体" w:hAnsi="宋体" w:eastAsia="宋体" w:cs="宋体"/>
          <w:spacing w:val="-7"/>
          <w:sz w:val="24"/>
          <w:szCs w:val="24"/>
        </w:rPr>
        <w:t>在评价区中仅包括鸽形目山斑鸠（</w:t>
      </w:r>
      <w:r>
        <w:rPr>
          <w:rFonts w:ascii="Times New Roman" w:hAnsi="Times New Roman" w:eastAsia="Times New Roman" w:cs="Times New Roman"/>
          <w:i/>
          <w:iCs/>
          <w:spacing w:val="-7"/>
          <w:sz w:val="24"/>
          <w:szCs w:val="24"/>
        </w:rPr>
        <w:t>Streptopelia orien</w:t>
      </w:r>
      <w:r>
        <w:rPr>
          <w:rFonts w:ascii="Times New Roman" w:hAnsi="Times New Roman" w:eastAsia="Times New Roman" w:cs="Times New Roman"/>
          <w:i/>
          <w:iCs/>
          <w:spacing w:val="-8"/>
          <w:sz w:val="24"/>
          <w:szCs w:val="24"/>
        </w:rPr>
        <w:t>talis</w:t>
      </w:r>
      <w:r>
        <w:rPr>
          <w:rFonts w:ascii="宋体" w:hAnsi="宋体" w:eastAsia="宋体" w:cs="宋体"/>
          <w:spacing w:val="-8"/>
          <w:sz w:val="24"/>
          <w:szCs w:val="24"/>
        </w:rPr>
        <w:t>）、珠颈斑鸠（</w:t>
      </w:r>
      <w:r>
        <w:rPr>
          <w:rFonts w:ascii="Times New Roman" w:hAnsi="Times New Roman" w:eastAsia="Times New Roman" w:cs="Times New Roman"/>
          <w:i/>
          <w:iCs/>
          <w:spacing w:val="-8"/>
          <w:sz w:val="24"/>
          <w:szCs w:val="24"/>
        </w:rPr>
        <w:t>Streptopelia chinensis</w:t>
      </w:r>
      <w:r>
        <w:rPr>
          <w:rFonts w:ascii="宋体" w:hAnsi="宋体" w:eastAsia="宋体" w:cs="宋体"/>
          <w:spacing w:val="-8"/>
          <w:sz w:val="24"/>
          <w:szCs w:val="24"/>
        </w:rPr>
        <w:t>）</w:t>
      </w:r>
      <w:r>
        <w:rPr>
          <w:rFonts w:ascii="宋体" w:hAnsi="宋体" w:eastAsia="宋体" w:cs="宋体"/>
          <w:spacing w:val="-3"/>
          <w:sz w:val="24"/>
          <w:szCs w:val="24"/>
        </w:rPr>
        <w:t>等，主要分布于林地及林缘地带或农田区域。</w:t>
      </w:r>
    </w:p>
    <w:p w14:paraId="08374BB4">
      <w:pPr>
        <w:spacing w:before="23" w:line="357" w:lineRule="auto"/>
        <w:ind w:left="1" w:right="228" w:firstLine="477"/>
        <w:rPr>
          <w:rFonts w:ascii="宋体" w:hAnsi="宋体" w:eastAsia="宋体" w:cs="宋体"/>
          <w:sz w:val="24"/>
          <w:szCs w:val="24"/>
        </w:rPr>
      </w:pPr>
      <w:r>
        <w:rPr>
          <w:rFonts w:ascii="宋体" w:hAnsi="宋体" w:eastAsia="宋体" w:cs="宋体"/>
          <w:spacing w:val="-5"/>
          <w:sz w:val="24"/>
          <w:szCs w:val="24"/>
        </w:rPr>
        <w:t>③ 攀禽：此类型嘴、脚和尾的构造都很特殊，善于在树上攀缘，包括佛法僧目戴胜</w:t>
      </w:r>
      <w:r>
        <w:rPr>
          <w:rFonts w:ascii="宋体" w:hAnsi="宋体" w:eastAsia="宋体" w:cs="宋体"/>
          <w:spacing w:val="-2"/>
          <w:sz w:val="24"/>
          <w:szCs w:val="24"/>
        </w:rPr>
        <w:t>（</w:t>
      </w:r>
      <w:r>
        <w:rPr>
          <w:rFonts w:ascii="Times New Roman" w:hAnsi="Times New Roman" w:eastAsia="Times New Roman" w:cs="Times New Roman"/>
          <w:i/>
          <w:iCs/>
          <w:spacing w:val="-2"/>
          <w:sz w:val="24"/>
          <w:szCs w:val="24"/>
        </w:rPr>
        <w:t>Upupaepops</w:t>
      </w:r>
      <w:r>
        <w:rPr>
          <w:rFonts w:ascii="宋体" w:hAnsi="宋体" w:eastAsia="宋体" w:cs="宋体"/>
          <w:spacing w:val="-2"/>
          <w:sz w:val="24"/>
          <w:szCs w:val="24"/>
        </w:rPr>
        <w:t>）和鴷形目星头啄木鸟（</w:t>
      </w:r>
      <w:r>
        <w:rPr>
          <w:rFonts w:ascii="Times New Roman" w:hAnsi="Times New Roman" w:eastAsia="Times New Roman" w:cs="Times New Roman"/>
          <w:i/>
          <w:iCs/>
          <w:spacing w:val="-2"/>
          <w:sz w:val="24"/>
          <w:szCs w:val="24"/>
        </w:rPr>
        <w:t>Dendrocopos</w:t>
      </w:r>
      <w:r>
        <w:rPr>
          <w:rFonts w:ascii="Times New Roman" w:hAnsi="Times New Roman" w:eastAsia="Times New Roman" w:cs="Times New Roman"/>
          <w:i/>
          <w:iCs/>
          <w:spacing w:val="-3"/>
          <w:sz w:val="24"/>
          <w:szCs w:val="24"/>
        </w:rPr>
        <w:t xml:space="preserve"> canicapilus</w:t>
      </w:r>
      <w:r>
        <w:rPr>
          <w:rFonts w:ascii="宋体" w:hAnsi="宋体" w:eastAsia="宋体" w:cs="宋体"/>
          <w:spacing w:val="-3"/>
          <w:sz w:val="24"/>
          <w:szCs w:val="24"/>
        </w:rPr>
        <w:t>）等，主要分布于林缘或</w:t>
      </w:r>
      <w:r>
        <w:rPr>
          <w:rFonts w:ascii="宋体" w:hAnsi="宋体" w:eastAsia="宋体" w:cs="宋体"/>
          <w:spacing w:val="-6"/>
          <w:sz w:val="24"/>
          <w:szCs w:val="24"/>
        </w:rPr>
        <w:t>村庄周围活动。</w:t>
      </w:r>
    </w:p>
    <w:p w14:paraId="4D76912A">
      <w:pPr>
        <w:spacing w:before="11" w:line="360" w:lineRule="auto"/>
        <w:ind w:left="1" w:right="226" w:firstLine="477"/>
        <w:rPr>
          <w:rFonts w:ascii="宋体" w:hAnsi="宋体" w:eastAsia="宋体" w:cs="宋体"/>
          <w:sz w:val="24"/>
          <w:szCs w:val="24"/>
        </w:rPr>
      </w:pPr>
      <w:r>
        <w:rPr>
          <w:rFonts w:ascii="宋体" w:hAnsi="宋体" w:eastAsia="宋体" w:cs="宋体"/>
          <w:spacing w:val="-5"/>
          <w:sz w:val="24"/>
          <w:szCs w:val="24"/>
        </w:rPr>
        <w:t>④ 涉禽：此类型嘴、颈和脚都比较长，脚趾也很长，适于涉水行进，不会游泳，常</w:t>
      </w:r>
      <w:r>
        <w:rPr>
          <w:rFonts w:ascii="宋体" w:hAnsi="宋体" w:eastAsia="宋体" w:cs="宋体"/>
          <w:spacing w:val="-4"/>
          <w:sz w:val="24"/>
          <w:szCs w:val="24"/>
        </w:rPr>
        <w:t>用长嘴插入水底或地面取食。评价区内水域面积小，</w:t>
      </w:r>
      <w:r>
        <w:rPr>
          <w:rFonts w:ascii="宋体" w:hAnsi="宋体" w:eastAsia="宋体" w:cs="宋体"/>
          <w:spacing w:val="-59"/>
          <w:sz w:val="24"/>
          <w:szCs w:val="24"/>
        </w:rPr>
        <w:t xml:space="preserve"> </w:t>
      </w:r>
      <w:r>
        <w:rPr>
          <w:rFonts w:ascii="宋体" w:hAnsi="宋体" w:eastAsia="宋体" w:cs="宋体"/>
          <w:spacing w:val="-4"/>
          <w:sz w:val="24"/>
          <w:szCs w:val="24"/>
        </w:rPr>
        <w:t>仅有鹳形目白鹭（</w:t>
      </w:r>
      <w:r>
        <w:rPr>
          <w:rFonts w:ascii="Times New Roman" w:hAnsi="Times New Roman" w:eastAsia="Times New Roman" w:cs="Times New Roman"/>
          <w:i/>
          <w:iCs/>
          <w:spacing w:val="-4"/>
          <w:sz w:val="24"/>
          <w:szCs w:val="24"/>
        </w:rPr>
        <w:t>Egrettagarzetta</w:t>
      </w:r>
      <w:r>
        <w:rPr>
          <w:rFonts w:ascii="宋体" w:hAnsi="宋体" w:eastAsia="宋体" w:cs="宋体"/>
          <w:spacing w:val="-4"/>
          <w:sz w:val="24"/>
          <w:szCs w:val="24"/>
        </w:rPr>
        <w:t>）</w:t>
      </w:r>
      <w:r>
        <w:rPr>
          <w:rFonts w:ascii="宋体" w:hAnsi="宋体" w:eastAsia="宋体" w:cs="宋体"/>
          <w:spacing w:val="-1"/>
          <w:sz w:val="24"/>
          <w:szCs w:val="24"/>
        </w:rPr>
        <w:t>和牛背鹭（</w:t>
      </w:r>
      <w:r>
        <w:rPr>
          <w:rFonts w:ascii="Times New Roman" w:hAnsi="Times New Roman" w:eastAsia="Times New Roman" w:cs="Times New Roman"/>
          <w:i/>
          <w:iCs/>
          <w:spacing w:val="-1"/>
          <w:sz w:val="24"/>
          <w:szCs w:val="24"/>
        </w:rPr>
        <w:t>Bubulcus ibis</w:t>
      </w:r>
      <w:r>
        <w:rPr>
          <w:rFonts w:ascii="宋体" w:hAnsi="宋体" w:eastAsia="宋体" w:cs="宋体"/>
          <w:spacing w:val="-1"/>
          <w:sz w:val="24"/>
          <w:szCs w:val="24"/>
        </w:rPr>
        <w:t>）等，主要出现在评价区内池塘、农</w:t>
      </w:r>
      <w:r>
        <w:rPr>
          <w:rFonts w:ascii="宋体" w:hAnsi="宋体" w:eastAsia="宋体" w:cs="宋体"/>
          <w:spacing w:val="-2"/>
          <w:sz w:val="24"/>
          <w:szCs w:val="24"/>
        </w:rPr>
        <w:t>田等水域。</w:t>
      </w:r>
    </w:p>
    <w:p w14:paraId="07649E0A">
      <w:pPr>
        <w:spacing w:line="233" w:lineRule="auto"/>
        <w:ind w:left="481"/>
        <w:rPr>
          <w:rFonts w:ascii="宋体" w:hAnsi="宋体" w:eastAsia="宋体" w:cs="宋体"/>
          <w:sz w:val="24"/>
          <w:szCs w:val="24"/>
        </w:rPr>
      </w:pPr>
      <w:r>
        <w:rPr>
          <w:rFonts w:ascii="Times New Roman" w:hAnsi="Times New Roman" w:eastAsia="Times New Roman" w:cs="Times New Roman"/>
          <w:spacing w:val="-4"/>
          <w:sz w:val="24"/>
          <w:szCs w:val="24"/>
        </w:rPr>
        <w:t>3</w:t>
      </w:r>
      <w:r>
        <w:rPr>
          <w:rFonts w:ascii="宋体" w:hAnsi="宋体" w:eastAsia="宋体" w:cs="宋体"/>
          <w:spacing w:val="-4"/>
          <w:sz w:val="24"/>
          <w:szCs w:val="24"/>
        </w:rPr>
        <w:t>）爬行类</w:t>
      </w:r>
    </w:p>
    <w:p w14:paraId="22EC6FAC">
      <w:pPr>
        <w:spacing w:before="166" w:line="350" w:lineRule="auto"/>
        <w:ind w:left="1" w:right="258" w:firstLine="478"/>
        <w:rPr>
          <w:rFonts w:ascii="宋体" w:hAnsi="宋体" w:eastAsia="宋体" w:cs="宋体"/>
          <w:sz w:val="24"/>
          <w:szCs w:val="24"/>
        </w:rPr>
      </w:pPr>
      <w:r>
        <w:rPr>
          <w:rFonts w:ascii="宋体" w:hAnsi="宋体" w:eastAsia="宋体" w:cs="宋体"/>
          <w:spacing w:val="-5"/>
          <w:sz w:val="24"/>
          <w:szCs w:val="24"/>
        </w:rPr>
        <w:t>评价区内爬行类以游蛇科的种类最多，优势种为铜蜓蜥（</w:t>
      </w:r>
      <w:r>
        <w:rPr>
          <w:rFonts w:ascii="Times New Roman" w:hAnsi="Times New Roman" w:eastAsia="Times New Roman" w:cs="Times New Roman"/>
          <w:i/>
          <w:iCs/>
          <w:spacing w:val="-5"/>
          <w:sz w:val="24"/>
          <w:szCs w:val="24"/>
        </w:rPr>
        <w:t>Sphenomorphus indicus</w:t>
      </w:r>
      <w:r>
        <w:rPr>
          <w:rFonts w:ascii="宋体" w:hAnsi="宋体" w:eastAsia="宋体" w:cs="宋体"/>
          <w:spacing w:val="-5"/>
          <w:sz w:val="24"/>
          <w:szCs w:val="24"/>
        </w:rPr>
        <w:t>）、</w:t>
      </w:r>
      <w:r>
        <w:rPr>
          <w:rFonts w:ascii="宋体" w:hAnsi="宋体" w:eastAsia="宋体" w:cs="宋体"/>
          <w:spacing w:val="-2"/>
          <w:sz w:val="24"/>
          <w:szCs w:val="24"/>
        </w:rPr>
        <w:t>蓝尾石龙子（</w:t>
      </w:r>
      <w:r>
        <w:rPr>
          <w:rFonts w:ascii="Times New Roman" w:hAnsi="Times New Roman" w:eastAsia="Times New Roman" w:cs="Times New Roman"/>
          <w:i/>
          <w:iCs/>
          <w:spacing w:val="-2"/>
          <w:sz w:val="24"/>
          <w:szCs w:val="24"/>
        </w:rPr>
        <w:t>Eumeces elegans</w:t>
      </w:r>
      <w:r>
        <w:rPr>
          <w:rFonts w:ascii="宋体" w:hAnsi="宋体" w:eastAsia="宋体" w:cs="宋体"/>
          <w:spacing w:val="-2"/>
          <w:sz w:val="24"/>
          <w:szCs w:val="24"/>
        </w:rPr>
        <w:t>）等。</w:t>
      </w:r>
    </w:p>
    <w:p w14:paraId="1B87BA36">
      <w:pPr>
        <w:spacing w:before="25" w:line="218" w:lineRule="auto"/>
        <w:ind w:left="480"/>
        <w:rPr>
          <w:rFonts w:ascii="宋体" w:hAnsi="宋体" w:eastAsia="宋体" w:cs="宋体"/>
          <w:sz w:val="24"/>
          <w:szCs w:val="24"/>
        </w:rPr>
      </w:pPr>
      <w:r>
        <w:rPr>
          <w:rFonts w:ascii="宋体" w:hAnsi="宋体" w:eastAsia="宋体" w:cs="宋体"/>
          <w:spacing w:val="-2"/>
          <w:sz w:val="24"/>
          <w:szCs w:val="24"/>
        </w:rPr>
        <w:t>根据评价区内爬行类生活习性的不同，分为以</w:t>
      </w:r>
      <w:r>
        <w:rPr>
          <w:rFonts w:ascii="宋体" w:hAnsi="宋体" w:eastAsia="宋体" w:cs="宋体"/>
          <w:spacing w:val="-3"/>
          <w:sz w:val="24"/>
          <w:szCs w:val="24"/>
        </w:rPr>
        <w:t>下两种生态类型：</w:t>
      </w:r>
    </w:p>
    <w:p w14:paraId="4ADBD588">
      <w:pPr>
        <w:spacing w:before="186" w:line="351" w:lineRule="auto"/>
        <w:ind w:left="2" w:right="258" w:firstLine="477"/>
        <w:rPr>
          <w:rFonts w:ascii="宋体" w:hAnsi="宋体" w:eastAsia="宋体" w:cs="宋体"/>
          <w:sz w:val="24"/>
          <w:szCs w:val="24"/>
        </w:rPr>
      </w:pPr>
      <w:r>
        <w:rPr>
          <w:rFonts w:ascii="宋体" w:hAnsi="宋体" w:eastAsia="宋体" w:cs="宋体"/>
          <w:spacing w:val="-7"/>
          <w:sz w:val="24"/>
          <w:szCs w:val="24"/>
        </w:rPr>
        <w:t>① 水栖型：在水中生活、觅食，</w:t>
      </w:r>
      <w:r>
        <w:rPr>
          <w:rFonts w:ascii="宋体" w:hAnsi="宋体" w:eastAsia="宋体" w:cs="宋体"/>
          <w:spacing w:val="-20"/>
          <w:sz w:val="24"/>
          <w:szCs w:val="24"/>
        </w:rPr>
        <w:t xml:space="preserve"> </w:t>
      </w:r>
      <w:r>
        <w:rPr>
          <w:rFonts w:ascii="宋体" w:hAnsi="宋体" w:eastAsia="宋体" w:cs="宋体"/>
          <w:spacing w:val="-7"/>
          <w:sz w:val="24"/>
          <w:szCs w:val="24"/>
        </w:rPr>
        <w:t>仅发现八线腹链蛇（</w:t>
      </w:r>
      <w:r>
        <w:rPr>
          <w:rFonts w:ascii="Times New Roman" w:hAnsi="Times New Roman" w:eastAsia="Times New Roman" w:cs="Times New Roman"/>
          <w:i/>
          <w:iCs/>
          <w:spacing w:val="-7"/>
          <w:sz w:val="24"/>
          <w:szCs w:val="24"/>
        </w:rPr>
        <w:t>Amphiesma octolineata</w:t>
      </w:r>
      <w:r>
        <w:rPr>
          <w:rFonts w:ascii="宋体" w:hAnsi="宋体" w:eastAsia="宋体" w:cs="宋体"/>
          <w:spacing w:val="-7"/>
          <w:sz w:val="24"/>
          <w:szCs w:val="24"/>
        </w:rPr>
        <w:t>）</w:t>
      </w:r>
      <w:r>
        <w:rPr>
          <w:rFonts w:ascii="Times New Roman" w:hAnsi="Times New Roman" w:eastAsia="Times New Roman" w:cs="Times New Roman"/>
          <w:spacing w:val="-7"/>
          <w:sz w:val="24"/>
          <w:szCs w:val="24"/>
        </w:rPr>
        <w:t xml:space="preserve">1 </w:t>
      </w:r>
      <w:r>
        <w:rPr>
          <w:rFonts w:ascii="宋体" w:hAnsi="宋体" w:eastAsia="宋体" w:cs="宋体"/>
          <w:spacing w:val="-7"/>
          <w:sz w:val="24"/>
          <w:szCs w:val="24"/>
        </w:rPr>
        <w:t>种。</w:t>
      </w:r>
      <w:r>
        <w:rPr>
          <w:rFonts w:ascii="宋体" w:hAnsi="宋体" w:eastAsia="宋体" w:cs="宋体"/>
          <w:spacing w:val="-4"/>
          <w:sz w:val="24"/>
          <w:szCs w:val="24"/>
        </w:rPr>
        <w:t>主要在水体及附近活动。</w:t>
      </w:r>
    </w:p>
    <w:p w14:paraId="59148DB1">
      <w:pPr>
        <w:spacing w:before="23" w:line="357" w:lineRule="auto"/>
        <w:ind w:left="2" w:right="224" w:firstLine="476"/>
        <w:rPr>
          <w:rFonts w:ascii="宋体" w:hAnsi="宋体" w:eastAsia="宋体" w:cs="宋体"/>
          <w:sz w:val="24"/>
          <w:szCs w:val="24"/>
        </w:rPr>
      </w:pPr>
      <w:r>
        <w:rPr>
          <w:rFonts w:ascii="宋体" w:hAnsi="宋体" w:eastAsia="宋体" w:cs="宋体"/>
          <w:spacing w:val="9"/>
          <w:sz w:val="24"/>
          <w:szCs w:val="24"/>
        </w:rPr>
        <w:t>② 灌丛石隙型：经常活动在灌丛下面，路边石缝中，包</w:t>
      </w:r>
      <w:r>
        <w:rPr>
          <w:rFonts w:ascii="宋体" w:hAnsi="宋体" w:eastAsia="宋体" w:cs="宋体"/>
          <w:spacing w:val="8"/>
          <w:sz w:val="24"/>
          <w:szCs w:val="24"/>
        </w:rPr>
        <w:t>括蓝尾石龙子、铜蜓蜥</w:t>
      </w:r>
      <w:r>
        <w:rPr>
          <w:rFonts w:ascii="宋体" w:hAnsi="宋体" w:eastAsia="宋体" w:cs="宋体"/>
          <w:spacing w:val="-5"/>
          <w:sz w:val="24"/>
          <w:szCs w:val="24"/>
        </w:rPr>
        <w:t>（</w:t>
      </w:r>
      <w:r>
        <w:rPr>
          <w:rFonts w:ascii="Times New Roman" w:hAnsi="Times New Roman" w:eastAsia="Times New Roman" w:cs="Times New Roman"/>
          <w:i/>
          <w:iCs/>
          <w:spacing w:val="-5"/>
          <w:sz w:val="24"/>
          <w:szCs w:val="24"/>
        </w:rPr>
        <w:t>Sphenomorphus indicus</w:t>
      </w:r>
      <w:r>
        <w:rPr>
          <w:rFonts w:ascii="宋体" w:hAnsi="宋体" w:eastAsia="宋体" w:cs="宋体"/>
          <w:spacing w:val="-5"/>
          <w:sz w:val="24"/>
          <w:szCs w:val="24"/>
        </w:rPr>
        <w:t>）、赤链蛇（</w:t>
      </w:r>
      <w:r>
        <w:rPr>
          <w:rFonts w:ascii="Times New Roman" w:hAnsi="Times New Roman" w:eastAsia="Times New Roman" w:cs="Times New Roman"/>
          <w:i/>
          <w:iCs/>
          <w:spacing w:val="-5"/>
          <w:sz w:val="24"/>
          <w:szCs w:val="24"/>
        </w:rPr>
        <w:t>Lycodon rufozonatum</w:t>
      </w:r>
      <w:r>
        <w:rPr>
          <w:rFonts w:ascii="宋体" w:hAnsi="宋体" w:eastAsia="宋体" w:cs="宋体"/>
          <w:spacing w:val="-6"/>
          <w:sz w:val="24"/>
          <w:szCs w:val="24"/>
        </w:rPr>
        <w:t>）等。主要在灌丛中活动，</w:t>
      </w:r>
      <w:r>
        <w:rPr>
          <w:rFonts w:ascii="宋体" w:hAnsi="宋体" w:eastAsia="宋体" w:cs="宋体"/>
          <w:spacing w:val="51"/>
          <w:sz w:val="24"/>
          <w:szCs w:val="24"/>
        </w:rPr>
        <w:t xml:space="preserve"> </w:t>
      </w:r>
      <w:r>
        <w:rPr>
          <w:rFonts w:ascii="宋体" w:hAnsi="宋体" w:eastAsia="宋体" w:cs="宋体"/>
          <w:spacing w:val="-6"/>
          <w:sz w:val="24"/>
          <w:szCs w:val="24"/>
        </w:rPr>
        <w:t>与</w:t>
      </w:r>
      <w:r>
        <w:rPr>
          <w:rFonts w:ascii="宋体" w:hAnsi="宋体" w:eastAsia="宋体" w:cs="宋体"/>
          <w:spacing w:val="-5"/>
          <w:sz w:val="24"/>
          <w:szCs w:val="24"/>
        </w:rPr>
        <w:t>人类活动关系较密切。</w:t>
      </w:r>
    </w:p>
    <w:p w14:paraId="49428E70">
      <w:pPr>
        <w:spacing w:before="11" w:line="233" w:lineRule="auto"/>
        <w:ind w:left="475"/>
        <w:rPr>
          <w:rFonts w:ascii="宋体" w:hAnsi="宋体" w:eastAsia="宋体" w:cs="宋体"/>
          <w:sz w:val="24"/>
          <w:szCs w:val="24"/>
        </w:rPr>
      </w:pPr>
      <w:r>
        <w:rPr>
          <w:rFonts w:ascii="Times New Roman" w:hAnsi="Times New Roman" w:eastAsia="Times New Roman" w:cs="Times New Roman"/>
          <w:spacing w:val="-3"/>
          <w:sz w:val="24"/>
          <w:szCs w:val="24"/>
        </w:rPr>
        <w:t>4</w:t>
      </w:r>
      <w:r>
        <w:rPr>
          <w:rFonts w:ascii="宋体" w:hAnsi="宋体" w:eastAsia="宋体" w:cs="宋体"/>
          <w:spacing w:val="-3"/>
          <w:sz w:val="24"/>
          <w:szCs w:val="24"/>
        </w:rPr>
        <w:t>）两栖类</w:t>
      </w:r>
    </w:p>
    <w:p w14:paraId="6AB19358">
      <w:pPr>
        <w:spacing w:before="165" w:line="360" w:lineRule="auto"/>
        <w:ind w:right="226" w:firstLine="479"/>
        <w:rPr>
          <w:rFonts w:ascii="宋体" w:hAnsi="宋体" w:eastAsia="宋体" w:cs="宋体"/>
          <w:sz w:val="24"/>
          <w:szCs w:val="24"/>
        </w:rPr>
      </w:pPr>
      <w:r>
        <w:rPr>
          <w:rFonts w:ascii="宋体" w:hAnsi="宋体" w:eastAsia="宋体" w:cs="宋体"/>
          <w:spacing w:val="8"/>
          <w:sz w:val="24"/>
          <w:szCs w:val="24"/>
        </w:rPr>
        <w:t>评价区内两栖类相对数量较多的是黑眶蟾蜍（</w:t>
      </w:r>
      <w:r>
        <w:rPr>
          <w:rFonts w:ascii="Times New Roman" w:hAnsi="Times New Roman" w:eastAsia="Times New Roman" w:cs="Times New Roman"/>
          <w:i/>
          <w:iCs/>
          <w:sz w:val="24"/>
          <w:szCs w:val="24"/>
        </w:rPr>
        <w:t>Bufo</w:t>
      </w:r>
      <w:r>
        <w:rPr>
          <w:rFonts w:ascii="Times New Roman" w:hAnsi="Times New Roman" w:eastAsia="Times New Roman" w:cs="Times New Roman"/>
          <w:i/>
          <w:iCs/>
          <w:spacing w:val="42"/>
          <w:sz w:val="24"/>
          <w:szCs w:val="24"/>
        </w:rPr>
        <w:t xml:space="preserve"> </w:t>
      </w:r>
      <w:r>
        <w:rPr>
          <w:rFonts w:ascii="Times New Roman" w:hAnsi="Times New Roman" w:eastAsia="Times New Roman" w:cs="Times New Roman"/>
          <w:i/>
          <w:iCs/>
          <w:sz w:val="24"/>
          <w:szCs w:val="24"/>
        </w:rPr>
        <w:t>melanostictus</w:t>
      </w:r>
      <w:r>
        <w:rPr>
          <w:rFonts w:ascii="宋体" w:hAnsi="宋体" w:eastAsia="宋体" w:cs="宋体"/>
          <w:spacing w:val="8"/>
          <w:sz w:val="24"/>
          <w:szCs w:val="24"/>
        </w:rPr>
        <w:t>）、泽蛙（</w:t>
      </w:r>
      <w:r>
        <w:rPr>
          <w:rFonts w:ascii="Times New Roman" w:hAnsi="Times New Roman" w:eastAsia="Times New Roman" w:cs="Times New Roman"/>
          <w:i/>
          <w:iCs/>
          <w:sz w:val="24"/>
          <w:szCs w:val="24"/>
        </w:rPr>
        <w:t xml:space="preserve">Rana </w:t>
      </w:r>
      <w:r>
        <w:rPr>
          <w:rFonts w:ascii="Times New Roman" w:hAnsi="Times New Roman" w:eastAsia="Times New Roman" w:cs="Times New Roman"/>
          <w:i/>
          <w:iCs/>
          <w:spacing w:val="-2"/>
          <w:sz w:val="24"/>
          <w:szCs w:val="24"/>
        </w:rPr>
        <w:t>limnocharis</w:t>
      </w:r>
      <w:r>
        <w:rPr>
          <w:rFonts w:ascii="宋体" w:hAnsi="宋体" w:eastAsia="宋体" w:cs="宋体"/>
          <w:spacing w:val="-2"/>
          <w:sz w:val="24"/>
          <w:szCs w:val="24"/>
        </w:rPr>
        <w:t>）等。根据生活习性的不同，评价区内的两栖类可分为以下</w:t>
      </w:r>
      <w:r>
        <w:rPr>
          <w:rFonts w:ascii="宋体" w:hAnsi="宋体" w:eastAsia="宋体" w:cs="宋体"/>
          <w:spacing w:val="-23"/>
          <w:sz w:val="24"/>
          <w:szCs w:val="24"/>
        </w:rPr>
        <w:t xml:space="preserve"> </w:t>
      </w:r>
      <w:r>
        <w:rPr>
          <w:rFonts w:ascii="Times New Roman" w:hAnsi="Times New Roman" w:eastAsia="Times New Roman" w:cs="Times New Roman"/>
          <w:spacing w:val="-2"/>
          <w:sz w:val="24"/>
          <w:szCs w:val="24"/>
        </w:rPr>
        <w:t xml:space="preserve">3 </w:t>
      </w:r>
      <w:r>
        <w:rPr>
          <w:rFonts w:ascii="宋体" w:hAnsi="宋体" w:eastAsia="宋体" w:cs="宋体"/>
          <w:spacing w:val="-2"/>
          <w:sz w:val="24"/>
          <w:szCs w:val="24"/>
        </w:rPr>
        <w:t>种生态类型：</w:t>
      </w:r>
    </w:p>
    <w:p w14:paraId="322D22AF">
      <w:pPr>
        <w:spacing w:before="1" w:line="350" w:lineRule="auto"/>
        <w:ind w:left="4" w:right="232" w:firstLine="475"/>
        <w:rPr>
          <w:rFonts w:ascii="宋体" w:hAnsi="宋体" w:eastAsia="宋体" w:cs="宋体"/>
          <w:sz w:val="24"/>
          <w:szCs w:val="24"/>
        </w:rPr>
      </w:pPr>
      <w:r>
        <w:rPr>
          <w:rFonts w:ascii="宋体" w:hAnsi="宋体" w:eastAsia="宋体" w:cs="宋体"/>
          <w:spacing w:val="-3"/>
          <w:sz w:val="24"/>
          <w:szCs w:val="24"/>
        </w:rPr>
        <w:t>① 陆栖型：在陆地上活动觅食，包括黑眶蟾蜍、中</w:t>
      </w:r>
      <w:r>
        <w:rPr>
          <w:rFonts w:ascii="宋体" w:hAnsi="宋体" w:eastAsia="宋体" w:cs="宋体"/>
          <w:spacing w:val="-4"/>
          <w:sz w:val="24"/>
          <w:szCs w:val="24"/>
        </w:rPr>
        <w:t>华蟾蜍（</w:t>
      </w:r>
      <w:r>
        <w:rPr>
          <w:rFonts w:ascii="Times New Roman" w:hAnsi="Times New Roman" w:eastAsia="Times New Roman" w:cs="Times New Roman"/>
          <w:i/>
          <w:iCs/>
          <w:spacing w:val="-4"/>
          <w:sz w:val="24"/>
          <w:szCs w:val="24"/>
        </w:rPr>
        <w:t>Bufo</w:t>
      </w:r>
      <w:r>
        <w:rPr>
          <w:rFonts w:ascii="Times New Roman" w:hAnsi="Times New Roman" w:eastAsia="Times New Roman" w:cs="Times New Roman"/>
          <w:i/>
          <w:iCs/>
          <w:spacing w:val="-21"/>
          <w:sz w:val="24"/>
          <w:szCs w:val="24"/>
        </w:rPr>
        <w:t xml:space="preserve"> </w:t>
      </w:r>
      <w:r>
        <w:rPr>
          <w:rFonts w:ascii="Times New Roman" w:hAnsi="Times New Roman" w:eastAsia="Times New Roman" w:cs="Times New Roman"/>
          <w:i/>
          <w:iCs/>
          <w:spacing w:val="-4"/>
          <w:sz w:val="24"/>
          <w:szCs w:val="24"/>
        </w:rPr>
        <w:t>gargarizans</w:t>
      </w:r>
      <w:r>
        <w:rPr>
          <w:rFonts w:ascii="宋体" w:hAnsi="宋体" w:eastAsia="宋体" w:cs="宋体"/>
          <w:spacing w:val="-4"/>
          <w:sz w:val="24"/>
          <w:szCs w:val="24"/>
        </w:rPr>
        <w:t>）、饰</w:t>
      </w:r>
      <w:r>
        <w:rPr>
          <w:rFonts w:ascii="宋体" w:hAnsi="宋体" w:eastAsia="宋体" w:cs="宋体"/>
          <w:sz w:val="24"/>
          <w:szCs w:val="24"/>
        </w:rPr>
        <w:t>纹姬蛙（</w:t>
      </w:r>
      <w:r>
        <w:rPr>
          <w:rFonts w:ascii="Times New Roman" w:hAnsi="Times New Roman" w:eastAsia="Times New Roman" w:cs="Times New Roman"/>
          <w:i/>
          <w:iCs/>
          <w:sz w:val="24"/>
          <w:szCs w:val="24"/>
        </w:rPr>
        <w:t>Microhyla</w:t>
      </w:r>
      <w:r>
        <w:rPr>
          <w:rFonts w:ascii="Times New Roman" w:hAnsi="Times New Roman" w:eastAsia="Times New Roman" w:cs="Times New Roman"/>
          <w:i/>
          <w:iCs/>
          <w:spacing w:val="-42"/>
          <w:sz w:val="24"/>
          <w:szCs w:val="24"/>
        </w:rPr>
        <w:t xml:space="preserve"> </w:t>
      </w:r>
      <w:r>
        <w:rPr>
          <w:rFonts w:ascii="Times New Roman" w:hAnsi="Times New Roman" w:eastAsia="Times New Roman" w:cs="Times New Roman"/>
          <w:i/>
          <w:iCs/>
          <w:sz w:val="24"/>
          <w:szCs w:val="24"/>
        </w:rPr>
        <w:t>fissipes</w:t>
      </w:r>
      <w:r>
        <w:rPr>
          <w:rFonts w:ascii="宋体" w:hAnsi="宋体" w:eastAsia="宋体" w:cs="宋体"/>
          <w:sz w:val="24"/>
          <w:szCs w:val="24"/>
        </w:rPr>
        <w:t>）等。主要在离水源不远处或较潮湿</w:t>
      </w:r>
      <w:r>
        <w:rPr>
          <w:rFonts w:ascii="宋体" w:hAnsi="宋体" w:eastAsia="宋体" w:cs="宋体"/>
          <w:spacing w:val="-1"/>
          <w:sz w:val="24"/>
          <w:szCs w:val="24"/>
        </w:rPr>
        <w:t>的地面活动。</w:t>
      </w:r>
    </w:p>
    <w:p w14:paraId="265D5438">
      <w:pPr>
        <w:spacing w:before="25" w:line="352" w:lineRule="auto"/>
        <w:ind w:right="227" w:firstLine="479"/>
        <w:rPr>
          <w:rFonts w:ascii="宋体" w:hAnsi="宋体" w:eastAsia="宋体" w:cs="宋体"/>
          <w:sz w:val="24"/>
          <w:szCs w:val="24"/>
        </w:rPr>
      </w:pPr>
      <w:r>
        <w:rPr>
          <w:rFonts w:ascii="宋体" w:hAnsi="宋体" w:eastAsia="宋体" w:cs="宋体"/>
          <w:spacing w:val="-3"/>
          <w:sz w:val="24"/>
          <w:szCs w:val="24"/>
        </w:rPr>
        <w:t>② 流溪型：在流动的水体中活动觅食，仅记录泽蛙（</w:t>
      </w:r>
      <w:r>
        <w:rPr>
          <w:rFonts w:ascii="Times New Roman" w:hAnsi="Times New Roman" w:eastAsia="Times New Roman" w:cs="Times New Roman"/>
          <w:i/>
          <w:iCs/>
          <w:spacing w:val="-3"/>
          <w:sz w:val="24"/>
          <w:szCs w:val="24"/>
        </w:rPr>
        <w:t>Rana limnocha</w:t>
      </w:r>
      <w:r>
        <w:rPr>
          <w:rFonts w:ascii="Times New Roman" w:hAnsi="Times New Roman" w:eastAsia="Times New Roman" w:cs="Times New Roman"/>
          <w:i/>
          <w:iCs/>
          <w:spacing w:val="-4"/>
          <w:sz w:val="24"/>
          <w:szCs w:val="24"/>
        </w:rPr>
        <w:t>ris</w:t>
      </w:r>
      <w:r>
        <w:rPr>
          <w:rFonts w:ascii="宋体" w:hAnsi="宋体" w:eastAsia="宋体" w:cs="宋体"/>
          <w:spacing w:val="-4"/>
          <w:sz w:val="24"/>
          <w:szCs w:val="24"/>
        </w:rPr>
        <w:t>）</w:t>
      </w:r>
      <w:r>
        <w:rPr>
          <w:rFonts w:ascii="Times New Roman" w:hAnsi="Times New Roman" w:eastAsia="Times New Roman" w:cs="Times New Roman"/>
          <w:spacing w:val="-4"/>
          <w:sz w:val="24"/>
          <w:szCs w:val="24"/>
        </w:rPr>
        <w:t xml:space="preserve">1 </w:t>
      </w:r>
      <w:r>
        <w:rPr>
          <w:rFonts w:ascii="宋体" w:hAnsi="宋体" w:eastAsia="宋体" w:cs="宋体"/>
          <w:spacing w:val="-4"/>
          <w:sz w:val="24"/>
          <w:szCs w:val="24"/>
        </w:rPr>
        <w:t>种，主要在山间溪流或河流中生活。</w:t>
      </w:r>
    </w:p>
    <w:p w14:paraId="555CD88E">
      <w:pPr>
        <w:spacing w:line="352" w:lineRule="auto"/>
        <w:rPr>
          <w:rFonts w:ascii="宋体" w:hAnsi="宋体" w:eastAsia="宋体" w:cs="宋体"/>
          <w:sz w:val="24"/>
          <w:szCs w:val="24"/>
        </w:rPr>
        <w:sectPr>
          <w:footerReference r:id="rId165" w:type="default"/>
          <w:pgSz w:w="11907" w:h="16841"/>
          <w:pgMar w:top="400" w:right="1189" w:bottom="1126" w:left="1427" w:header="0" w:footer="925" w:gutter="0"/>
          <w:cols w:space="720" w:num="1"/>
        </w:sectPr>
      </w:pPr>
    </w:p>
    <w:p w14:paraId="3D866F87">
      <w:pPr>
        <w:spacing w:line="249" w:lineRule="auto"/>
        <w:rPr>
          <w:rFonts w:ascii="Arial"/>
          <w:sz w:val="21"/>
        </w:rPr>
      </w:pPr>
    </w:p>
    <w:p w14:paraId="0804867D">
      <w:pPr>
        <w:spacing w:line="249" w:lineRule="auto"/>
        <w:rPr>
          <w:rFonts w:ascii="Arial"/>
          <w:sz w:val="21"/>
        </w:rPr>
      </w:pPr>
    </w:p>
    <w:p w14:paraId="42885FCA">
      <w:pPr>
        <w:spacing w:line="249" w:lineRule="auto"/>
        <w:rPr>
          <w:rFonts w:ascii="Arial"/>
          <w:sz w:val="21"/>
        </w:rPr>
      </w:pPr>
    </w:p>
    <w:p w14:paraId="6A5D600B">
      <w:pPr>
        <w:spacing w:line="249" w:lineRule="auto"/>
        <w:rPr>
          <w:rFonts w:ascii="Arial"/>
          <w:sz w:val="21"/>
        </w:rPr>
      </w:pPr>
    </w:p>
    <w:p w14:paraId="616F7147">
      <w:pPr>
        <w:spacing w:line="249" w:lineRule="auto"/>
        <w:rPr>
          <w:rFonts w:ascii="Arial"/>
          <w:sz w:val="21"/>
        </w:rPr>
      </w:pPr>
    </w:p>
    <w:p w14:paraId="08D12737">
      <w:pPr>
        <w:spacing w:before="78" w:line="360" w:lineRule="auto"/>
        <w:ind w:left="28" w:firstLine="459"/>
        <w:rPr>
          <w:rFonts w:ascii="宋体" w:hAnsi="宋体" w:eastAsia="宋体" w:cs="宋体"/>
          <w:sz w:val="24"/>
          <w:szCs w:val="24"/>
        </w:rPr>
      </w:pPr>
      <w:r>
        <w:rPr>
          <w:rFonts w:ascii="宋体" w:hAnsi="宋体" w:eastAsia="宋体" w:cs="宋体"/>
          <w:spacing w:val="-10"/>
          <w:sz w:val="24"/>
          <w:szCs w:val="24"/>
        </w:rPr>
        <w:t>③ 树栖型（在树上活动觅食，离水源较近的林子</w:t>
      </w:r>
      <w:r>
        <w:rPr>
          <w:rFonts w:ascii="宋体" w:hAnsi="宋体" w:eastAsia="宋体" w:cs="宋体"/>
          <w:spacing w:val="-44"/>
          <w:sz w:val="24"/>
          <w:szCs w:val="24"/>
        </w:rPr>
        <w:t>）：</w:t>
      </w:r>
      <w:r>
        <w:rPr>
          <w:rFonts w:ascii="宋体" w:hAnsi="宋体" w:eastAsia="宋体" w:cs="宋体"/>
          <w:spacing w:val="-10"/>
          <w:sz w:val="24"/>
          <w:szCs w:val="24"/>
        </w:rPr>
        <w:t>仅华西雨蛙（</w:t>
      </w:r>
      <w:r>
        <w:rPr>
          <w:rFonts w:ascii="Times New Roman" w:hAnsi="Times New Roman" w:eastAsia="Times New Roman" w:cs="Times New Roman"/>
          <w:i/>
          <w:iCs/>
          <w:spacing w:val="-10"/>
          <w:sz w:val="24"/>
          <w:szCs w:val="24"/>
        </w:rPr>
        <w:t>Hyla</w:t>
      </w:r>
      <w:r>
        <w:rPr>
          <w:rFonts w:ascii="Times New Roman" w:hAnsi="Times New Roman" w:eastAsia="Times New Roman" w:cs="Times New Roman"/>
          <w:i/>
          <w:iCs/>
          <w:spacing w:val="-19"/>
          <w:sz w:val="24"/>
          <w:szCs w:val="24"/>
        </w:rPr>
        <w:t xml:space="preserve"> </w:t>
      </w:r>
      <w:r>
        <w:rPr>
          <w:rFonts w:ascii="Times New Roman" w:hAnsi="Times New Roman" w:eastAsia="Times New Roman" w:cs="Times New Roman"/>
          <w:i/>
          <w:iCs/>
          <w:spacing w:val="-10"/>
          <w:sz w:val="24"/>
          <w:szCs w:val="24"/>
        </w:rPr>
        <w:t>gongshanen</w:t>
      </w:r>
      <w:r>
        <w:rPr>
          <w:rFonts w:ascii="Times New Roman" w:hAnsi="Times New Roman" w:eastAsia="Times New Roman" w:cs="Times New Roman"/>
          <w:i/>
          <w:iCs/>
          <w:spacing w:val="-11"/>
          <w:sz w:val="24"/>
          <w:szCs w:val="24"/>
        </w:rPr>
        <w:t>sis</w:t>
      </w:r>
      <w:r>
        <w:rPr>
          <w:rFonts w:ascii="宋体" w:hAnsi="宋体" w:eastAsia="宋体" w:cs="宋体"/>
          <w:spacing w:val="-11"/>
          <w:sz w:val="24"/>
          <w:szCs w:val="24"/>
        </w:rPr>
        <w:t>）</w:t>
      </w:r>
      <w:r>
        <w:rPr>
          <w:rFonts w:ascii="宋体" w:hAnsi="宋体" w:eastAsia="宋体" w:cs="宋体"/>
          <w:sz w:val="24"/>
          <w:szCs w:val="24"/>
        </w:rPr>
        <w:t xml:space="preserve"> </w:t>
      </w:r>
      <w:r>
        <w:rPr>
          <w:rFonts w:ascii="Times New Roman" w:hAnsi="Times New Roman" w:eastAsia="Times New Roman" w:cs="Times New Roman"/>
          <w:spacing w:val="-2"/>
          <w:sz w:val="24"/>
          <w:szCs w:val="24"/>
        </w:rPr>
        <w:t xml:space="preserve">1 </w:t>
      </w:r>
      <w:r>
        <w:rPr>
          <w:rFonts w:ascii="宋体" w:hAnsi="宋体" w:eastAsia="宋体" w:cs="宋体"/>
          <w:spacing w:val="-2"/>
          <w:sz w:val="24"/>
          <w:szCs w:val="24"/>
        </w:rPr>
        <w:t>种。主要分布于生境较好的河流附近，在离水源不远的树上活动，种群数量较低。</w:t>
      </w:r>
    </w:p>
    <w:p w14:paraId="282F3985">
      <w:pPr>
        <w:spacing w:line="234" w:lineRule="auto"/>
        <w:ind w:left="5"/>
        <w:rPr>
          <w:rFonts w:ascii="宋体" w:hAnsi="宋体" w:eastAsia="宋体" w:cs="宋体"/>
          <w:sz w:val="24"/>
          <w:szCs w:val="24"/>
        </w:rPr>
      </w:pPr>
      <w:r>
        <w:rPr>
          <w:rFonts w:ascii="Times New Roman" w:hAnsi="Times New Roman" w:eastAsia="Times New Roman" w:cs="Times New Roman"/>
          <w:b/>
          <w:bCs/>
          <w:spacing w:val="-2"/>
          <w:sz w:val="24"/>
          <w:szCs w:val="24"/>
        </w:rPr>
        <w:t xml:space="preserve">2.2.3 </w:t>
      </w:r>
      <w:r>
        <w:rPr>
          <w:rFonts w:ascii="宋体" w:hAnsi="宋体" w:eastAsia="宋体" w:cs="宋体"/>
          <w:b/>
          <w:bCs/>
          <w:spacing w:val="-2"/>
          <w:sz w:val="24"/>
          <w:szCs w:val="24"/>
        </w:rPr>
        <w:t>重要物种及生境调查</w:t>
      </w:r>
    </w:p>
    <w:p w14:paraId="5EB65F90">
      <w:pPr>
        <w:spacing w:before="163" w:line="233" w:lineRule="auto"/>
        <w:ind w:left="498"/>
        <w:rPr>
          <w:rFonts w:ascii="宋体" w:hAnsi="宋体" w:eastAsia="宋体" w:cs="宋体"/>
          <w:sz w:val="24"/>
          <w:szCs w:val="24"/>
        </w:rPr>
      </w:pPr>
      <w:r>
        <w:rPr>
          <w:rFonts w:ascii="宋体" w:hAnsi="宋体" w:eastAsia="宋体" w:cs="宋体"/>
          <w:b/>
          <w:bCs/>
          <w:spacing w:val="-5"/>
          <w:sz w:val="24"/>
          <w:szCs w:val="24"/>
        </w:rPr>
        <w:t>（</w:t>
      </w:r>
      <w:r>
        <w:rPr>
          <w:rFonts w:ascii="Times New Roman" w:hAnsi="Times New Roman" w:eastAsia="Times New Roman" w:cs="Times New Roman"/>
          <w:b/>
          <w:bCs/>
          <w:spacing w:val="-5"/>
          <w:sz w:val="24"/>
          <w:szCs w:val="24"/>
        </w:rPr>
        <w:t>1</w:t>
      </w:r>
      <w:r>
        <w:rPr>
          <w:rFonts w:ascii="宋体" w:hAnsi="宋体" w:eastAsia="宋体" w:cs="宋体"/>
          <w:b/>
          <w:bCs/>
          <w:spacing w:val="-5"/>
          <w:sz w:val="24"/>
          <w:szCs w:val="24"/>
        </w:rPr>
        <w:t>）重要物种分布</w:t>
      </w:r>
    </w:p>
    <w:p w14:paraId="56D59317">
      <w:pPr>
        <w:spacing w:before="165" w:line="233" w:lineRule="auto"/>
        <w:ind w:left="508"/>
        <w:rPr>
          <w:rFonts w:ascii="宋体" w:hAnsi="宋体" w:eastAsia="宋体" w:cs="宋体"/>
          <w:sz w:val="24"/>
          <w:szCs w:val="24"/>
        </w:rPr>
      </w:pPr>
      <w:r>
        <w:rPr>
          <w:rFonts w:ascii="Times New Roman" w:hAnsi="Times New Roman" w:eastAsia="Times New Roman" w:cs="Times New Roman"/>
          <w:spacing w:val="-5"/>
          <w:sz w:val="24"/>
          <w:szCs w:val="24"/>
        </w:rPr>
        <w:t>1</w:t>
      </w:r>
      <w:r>
        <w:rPr>
          <w:rFonts w:ascii="宋体" w:hAnsi="宋体" w:eastAsia="宋体" w:cs="宋体"/>
          <w:spacing w:val="-5"/>
          <w:sz w:val="24"/>
          <w:szCs w:val="24"/>
        </w:rPr>
        <w:t>）重要植物分布</w:t>
      </w:r>
    </w:p>
    <w:p w14:paraId="6E3FD02E">
      <w:pPr>
        <w:spacing w:before="166" w:line="217" w:lineRule="auto"/>
        <w:ind w:left="488"/>
        <w:rPr>
          <w:rFonts w:ascii="宋体" w:hAnsi="宋体" w:eastAsia="宋体" w:cs="宋体"/>
          <w:sz w:val="24"/>
          <w:szCs w:val="24"/>
        </w:rPr>
      </w:pPr>
      <w:r>
        <w:rPr>
          <w:rFonts w:ascii="宋体" w:hAnsi="宋体" w:eastAsia="宋体" w:cs="宋体"/>
          <w:spacing w:val="-1"/>
          <w:sz w:val="24"/>
          <w:szCs w:val="24"/>
        </w:rPr>
        <w:t>①重点保护野生植物</w:t>
      </w:r>
    </w:p>
    <w:p w14:paraId="04340882">
      <w:pPr>
        <w:spacing w:before="186" w:line="354" w:lineRule="auto"/>
        <w:ind w:left="9" w:right="104" w:firstLine="481"/>
        <w:jc w:val="both"/>
        <w:rPr>
          <w:rFonts w:ascii="宋体" w:hAnsi="宋体" w:eastAsia="宋体" w:cs="宋体"/>
          <w:sz w:val="24"/>
          <w:szCs w:val="24"/>
        </w:rPr>
      </w:pPr>
      <w:r>
        <w:rPr>
          <w:rFonts w:ascii="宋体" w:hAnsi="宋体" w:eastAsia="宋体" w:cs="宋体"/>
          <w:spacing w:val="-5"/>
          <w:sz w:val="24"/>
          <w:szCs w:val="24"/>
        </w:rPr>
        <w:t>依据《国家重点保护野生植物名录》（国家林业和草原局  农业农村部公告</w:t>
      </w:r>
      <w:r>
        <w:rPr>
          <w:rFonts w:ascii="宋体" w:hAnsi="宋体" w:eastAsia="宋体" w:cs="宋体"/>
          <w:spacing w:val="-39"/>
          <w:sz w:val="24"/>
          <w:szCs w:val="24"/>
        </w:rPr>
        <w:t xml:space="preserve"> </w:t>
      </w:r>
      <w:r>
        <w:rPr>
          <w:rFonts w:ascii="Times New Roman" w:hAnsi="Times New Roman" w:eastAsia="Times New Roman" w:cs="Times New Roman"/>
          <w:spacing w:val="-5"/>
          <w:sz w:val="24"/>
          <w:szCs w:val="24"/>
        </w:rPr>
        <w:t xml:space="preserve">2021 </w:t>
      </w:r>
      <w:r>
        <w:rPr>
          <w:rFonts w:ascii="宋体" w:hAnsi="宋体" w:eastAsia="宋体" w:cs="宋体"/>
          <w:spacing w:val="-5"/>
          <w:sz w:val="24"/>
          <w:szCs w:val="24"/>
        </w:rPr>
        <w:t>年第</w:t>
      </w:r>
      <w:r>
        <w:rPr>
          <w:rFonts w:ascii="宋体" w:hAnsi="宋体" w:eastAsia="宋体" w:cs="宋体"/>
          <w:spacing w:val="-32"/>
          <w:sz w:val="24"/>
          <w:szCs w:val="24"/>
        </w:rPr>
        <w:t xml:space="preserve"> </w:t>
      </w:r>
      <w:r>
        <w:rPr>
          <w:rFonts w:ascii="Times New Roman" w:hAnsi="Times New Roman" w:eastAsia="Times New Roman" w:cs="Times New Roman"/>
          <w:spacing w:val="-5"/>
          <w:sz w:val="24"/>
          <w:szCs w:val="24"/>
        </w:rPr>
        <w:t>15</w:t>
      </w:r>
      <w:r>
        <w:rPr>
          <w:rFonts w:ascii="Times New Roman" w:hAnsi="Times New Roman" w:eastAsia="Times New Roman" w:cs="Times New Roman"/>
          <w:spacing w:val="15"/>
          <w:sz w:val="24"/>
          <w:szCs w:val="24"/>
        </w:rPr>
        <w:t xml:space="preserve"> </w:t>
      </w:r>
      <w:r>
        <w:rPr>
          <w:rFonts w:ascii="宋体" w:hAnsi="宋体" w:eastAsia="宋体" w:cs="宋体"/>
          <w:spacing w:val="-5"/>
          <w:sz w:val="24"/>
          <w:szCs w:val="24"/>
        </w:rPr>
        <w:t>号）、《云南省重点保护野生植物名录》（</w:t>
      </w:r>
      <w:r>
        <w:rPr>
          <w:rFonts w:ascii="Times New Roman" w:hAnsi="Times New Roman" w:eastAsia="Times New Roman" w:cs="Times New Roman"/>
          <w:spacing w:val="-5"/>
          <w:sz w:val="24"/>
          <w:szCs w:val="24"/>
        </w:rPr>
        <w:t>202</w:t>
      </w:r>
      <w:r>
        <w:rPr>
          <w:rFonts w:ascii="Times New Roman" w:hAnsi="Times New Roman" w:eastAsia="Times New Roman" w:cs="Times New Roman"/>
          <w:spacing w:val="-6"/>
          <w:sz w:val="24"/>
          <w:szCs w:val="24"/>
        </w:rPr>
        <w:t>3</w:t>
      </w:r>
      <w:r>
        <w:rPr>
          <w:rFonts w:ascii="宋体" w:hAnsi="宋体" w:eastAsia="宋体" w:cs="宋体"/>
          <w:spacing w:val="-6"/>
          <w:sz w:val="24"/>
          <w:szCs w:val="24"/>
        </w:rPr>
        <w:t>）等资料，结合现场调查，本次调</w:t>
      </w:r>
      <w:r>
        <w:rPr>
          <w:rFonts w:ascii="宋体" w:hAnsi="宋体" w:eastAsia="宋体" w:cs="宋体"/>
          <w:spacing w:val="-3"/>
          <w:sz w:val="24"/>
          <w:szCs w:val="24"/>
        </w:rPr>
        <w:t>查未记录到重点保护野生植物。</w:t>
      </w:r>
    </w:p>
    <w:p w14:paraId="2BB88C61">
      <w:pPr>
        <w:spacing w:before="23" w:line="217" w:lineRule="auto"/>
        <w:ind w:left="487"/>
        <w:rPr>
          <w:rFonts w:ascii="宋体" w:hAnsi="宋体" w:eastAsia="宋体" w:cs="宋体"/>
          <w:sz w:val="24"/>
          <w:szCs w:val="24"/>
        </w:rPr>
      </w:pPr>
      <w:r>
        <w:rPr>
          <w:rFonts w:ascii="宋体" w:hAnsi="宋体" w:eastAsia="宋体" w:cs="宋体"/>
          <w:spacing w:val="-1"/>
          <w:sz w:val="24"/>
          <w:szCs w:val="24"/>
        </w:rPr>
        <w:t>②《中国生物多样性红色名录》受威胁物种</w:t>
      </w:r>
    </w:p>
    <w:p w14:paraId="71A60EAE">
      <w:pPr>
        <w:spacing w:before="185" w:line="360" w:lineRule="auto"/>
        <w:ind w:left="12" w:right="115" w:firstLine="479"/>
        <w:rPr>
          <w:rFonts w:ascii="宋体" w:hAnsi="宋体" w:eastAsia="宋体" w:cs="宋体"/>
          <w:sz w:val="24"/>
          <w:szCs w:val="24"/>
        </w:rPr>
      </w:pPr>
      <w:r>
        <w:rPr>
          <w:rFonts w:ascii="宋体" w:hAnsi="宋体" w:eastAsia="宋体" w:cs="宋体"/>
          <w:spacing w:val="-2"/>
          <w:sz w:val="24"/>
          <w:szCs w:val="24"/>
        </w:rPr>
        <w:t>依据《中国生物多样性红色名录—脊椎动物卷》（</w:t>
      </w:r>
      <w:r>
        <w:rPr>
          <w:rFonts w:ascii="Times New Roman" w:hAnsi="Times New Roman" w:eastAsia="Times New Roman" w:cs="Times New Roman"/>
          <w:spacing w:val="-2"/>
          <w:sz w:val="24"/>
          <w:szCs w:val="24"/>
        </w:rPr>
        <w:t>2020</w:t>
      </w:r>
      <w:r>
        <w:rPr>
          <w:rFonts w:ascii="宋体" w:hAnsi="宋体" w:eastAsia="宋体" w:cs="宋体"/>
          <w:spacing w:val="-2"/>
          <w:sz w:val="24"/>
          <w:szCs w:val="24"/>
        </w:rPr>
        <w:t>）、《中国生物多样性红色名录—高等植物卷》（</w:t>
      </w:r>
      <w:r>
        <w:rPr>
          <w:rFonts w:ascii="Times New Roman" w:hAnsi="Times New Roman" w:eastAsia="Times New Roman" w:cs="Times New Roman"/>
          <w:spacing w:val="-2"/>
          <w:sz w:val="24"/>
          <w:szCs w:val="24"/>
        </w:rPr>
        <w:t>2020</w:t>
      </w:r>
      <w:r>
        <w:rPr>
          <w:rFonts w:ascii="宋体" w:hAnsi="宋体" w:eastAsia="宋体" w:cs="宋体"/>
          <w:spacing w:val="3"/>
          <w:sz w:val="24"/>
          <w:szCs w:val="24"/>
        </w:rPr>
        <w:t>），</w:t>
      </w:r>
      <w:r>
        <w:rPr>
          <w:rFonts w:ascii="宋体" w:hAnsi="宋体" w:eastAsia="宋体" w:cs="宋体"/>
          <w:spacing w:val="-2"/>
          <w:sz w:val="24"/>
          <w:szCs w:val="24"/>
        </w:rPr>
        <w:t>本次调查未见受威胁物种。</w:t>
      </w:r>
    </w:p>
    <w:p w14:paraId="6D058333">
      <w:pPr>
        <w:spacing w:line="217" w:lineRule="auto"/>
        <w:ind w:left="487"/>
        <w:rPr>
          <w:rFonts w:ascii="宋体" w:hAnsi="宋体" w:eastAsia="宋体" w:cs="宋体"/>
          <w:sz w:val="24"/>
          <w:szCs w:val="24"/>
        </w:rPr>
      </w:pPr>
      <w:r>
        <w:rPr>
          <w:rFonts w:ascii="宋体" w:hAnsi="宋体" w:eastAsia="宋体" w:cs="宋体"/>
          <w:spacing w:val="-1"/>
          <w:sz w:val="24"/>
          <w:szCs w:val="24"/>
        </w:rPr>
        <w:t>③极小种群物种</w:t>
      </w:r>
    </w:p>
    <w:p w14:paraId="361990FD">
      <w:pPr>
        <w:spacing w:before="187" w:line="351" w:lineRule="auto"/>
        <w:ind w:left="15" w:right="105" w:firstLine="475"/>
        <w:rPr>
          <w:rFonts w:ascii="宋体" w:hAnsi="宋体" w:eastAsia="宋体" w:cs="宋体"/>
          <w:sz w:val="24"/>
          <w:szCs w:val="24"/>
        </w:rPr>
      </w:pPr>
      <w:r>
        <w:rPr>
          <w:rFonts w:ascii="宋体" w:hAnsi="宋体" w:eastAsia="宋体" w:cs="宋体"/>
          <w:spacing w:val="-6"/>
          <w:sz w:val="24"/>
          <w:szCs w:val="24"/>
        </w:rPr>
        <w:t>依据《云南省极小种群野生植物保护名录（</w:t>
      </w:r>
      <w:r>
        <w:rPr>
          <w:rFonts w:ascii="Times New Roman" w:hAnsi="Times New Roman" w:eastAsia="Times New Roman" w:cs="Times New Roman"/>
          <w:spacing w:val="-6"/>
          <w:sz w:val="24"/>
          <w:szCs w:val="24"/>
        </w:rPr>
        <w:t xml:space="preserve">2022 </w:t>
      </w:r>
      <w:r>
        <w:rPr>
          <w:rFonts w:ascii="宋体" w:hAnsi="宋体" w:eastAsia="宋体" w:cs="宋体"/>
          <w:spacing w:val="-6"/>
          <w:sz w:val="24"/>
          <w:szCs w:val="24"/>
        </w:rPr>
        <w:t>年版）》， 根据已有资料记载，本</w:t>
      </w:r>
      <w:r>
        <w:rPr>
          <w:rFonts w:ascii="宋体" w:hAnsi="宋体" w:eastAsia="宋体" w:cs="宋体"/>
          <w:spacing w:val="-4"/>
          <w:sz w:val="24"/>
          <w:szCs w:val="24"/>
        </w:rPr>
        <w:t>次调查未见有极小种群物种分布。</w:t>
      </w:r>
    </w:p>
    <w:p w14:paraId="1193E5F8">
      <w:pPr>
        <w:spacing w:before="22" w:line="217" w:lineRule="auto"/>
        <w:ind w:left="487"/>
        <w:rPr>
          <w:rFonts w:ascii="宋体" w:hAnsi="宋体" w:eastAsia="宋体" w:cs="宋体"/>
          <w:sz w:val="24"/>
          <w:szCs w:val="24"/>
        </w:rPr>
      </w:pPr>
      <w:r>
        <w:rPr>
          <w:rFonts w:ascii="宋体" w:hAnsi="宋体" w:eastAsia="宋体" w:cs="宋体"/>
          <w:spacing w:val="-2"/>
          <w:sz w:val="24"/>
          <w:szCs w:val="24"/>
        </w:rPr>
        <w:t>④中国特有种</w:t>
      </w:r>
    </w:p>
    <w:p w14:paraId="404C1571">
      <w:pPr>
        <w:spacing w:before="187" w:line="335" w:lineRule="auto"/>
        <w:ind w:left="12" w:right="158" w:firstLine="476"/>
        <w:rPr>
          <w:rFonts w:ascii="宋体" w:hAnsi="宋体" w:eastAsia="宋体" w:cs="宋体"/>
          <w:sz w:val="24"/>
          <w:szCs w:val="24"/>
        </w:rPr>
      </w:pPr>
      <w:r>
        <w:rPr>
          <w:rFonts w:ascii="宋体" w:hAnsi="宋体" w:eastAsia="宋体" w:cs="宋体"/>
          <w:spacing w:val="-3"/>
          <w:sz w:val="24"/>
          <w:szCs w:val="24"/>
        </w:rPr>
        <w:t xml:space="preserve">评价区共调查到中国特有植物约 </w:t>
      </w:r>
      <w:r>
        <w:rPr>
          <w:rFonts w:ascii="Times New Roman" w:hAnsi="Times New Roman" w:eastAsia="Times New Roman" w:cs="Times New Roman"/>
          <w:spacing w:val="-3"/>
          <w:sz w:val="24"/>
          <w:szCs w:val="24"/>
        </w:rPr>
        <w:t>30</w:t>
      </w:r>
      <w:r>
        <w:rPr>
          <w:rFonts w:ascii="Times New Roman" w:hAnsi="Times New Roman" w:eastAsia="Times New Roman" w:cs="Times New Roman"/>
          <w:spacing w:val="61"/>
          <w:sz w:val="24"/>
          <w:szCs w:val="24"/>
        </w:rPr>
        <w:t xml:space="preserve"> </w:t>
      </w:r>
      <w:r>
        <w:rPr>
          <w:rFonts w:ascii="宋体" w:hAnsi="宋体" w:eastAsia="宋体" w:cs="宋体"/>
          <w:spacing w:val="-3"/>
          <w:sz w:val="24"/>
          <w:szCs w:val="24"/>
        </w:rPr>
        <w:t>种，这些中国特有植物在本评价区内较常见，</w:t>
      </w:r>
      <w:r>
        <w:rPr>
          <w:rFonts w:ascii="宋体" w:hAnsi="宋体" w:eastAsia="宋体" w:cs="宋体"/>
          <w:spacing w:val="-1"/>
          <w:sz w:val="24"/>
          <w:szCs w:val="24"/>
        </w:rPr>
        <w:t>大多分布在评价区各地次生的生境中，属于广布种和常见种，详见表</w:t>
      </w:r>
      <w:r>
        <w:rPr>
          <w:rFonts w:ascii="宋体" w:hAnsi="宋体" w:eastAsia="宋体" w:cs="宋体"/>
          <w:spacing w:val="-39"/>
          <w:sz w:val="24"/>
          <w:szCs w:val="24"/>
        </w:rPr>
        <w:t xml:space="preserve"> </w:t>
      </w:r>
      <w:r>
        <w:rPr>
          <w:rFonts w:ascii="Times New Roman" w:hAnsi="Times New Roman" w:eastAsia="Times New Roman" w:cs="Times New Roman"/>
          <w:spacing w:val="-1"/>
          <w:sz w:val="24"/>
          <w:szCs w:val="24"/>
        </w:rPr>
        <w:t>2-8</w:t>
      </w:r>
      <w:r>
        <w:rPr>
          <w:rFonts w:ascii="宋体" w:hAnsi="宋体" w:eastAsia="宋体" w:cs="宋体"/>
          <w:spacing w:val="-1"/>
          <w:sz w:val="24"/>
          <w:szCs w:val="24"/>
        </w:rPr>
        <w:t>。</w:t>
      </w:r>
    </w:p>
    <w:p w14:paraId="34B06F29">
      <w:pPr>
        <w:spacing w:line="229" w:lineRule="auto"/>
        <w:ind w:left="3005"/>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8"/>
          <w:sz w:val="21"/>
          <w:szCs w:val="21"/>
        </w:rPr>
        <w:t xml:space="preserve"> </w:t>
      </w:r>
      <w:r>
        <w:rPr>
          <w:rFonts w:ascii="Times New Roman" w:hAnsi="Times New Roman" w:eastAsia="Times New Roman" w:cs="Times New Roman"/>
          <w:b/>
          <w:bCs/>
          <w:spacing w:val="-2"/>
          <w:sz w:val="21"/>
          <w:szCs w:val="21"/>
        </w:rPr>
        <w:t xml:space="preserve">2-8    </w:t>
      </w:r>
      <w:r>
        <w:rPr>
          <w:rFonts w:ascii="宋体" w:hAnsi="宋体" w:eastAsia="宋体" w:cs="宋体"/>
          <w:b/>
          <w:bCs/>
          <w:spacing w:val="-2"/>
          <w:sz w:val="21"/>
          <w:szCs w:val="21"/>
        </w:rPr>
        <w:t>评级区中国特有种一览表</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
        <w:gridCol w:w="1384"/>
        <w:gridCol w:w="3632"/>
        <w:gridCol w:w="1514"/>
        <w:gridCol w:w="1708"/>
      </w:tblGrid>
      <w:tr w14:paraId="2904FE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30" w:type="dxa"/>
            <w:vAlign w:val="top"/>
          </w:tcPr>
          <w:p w14:paraId="7B9DF0F3">
            <w:pPr>
              <w:pStyle w:val="6"/>
              <w:spacing w:before="55" w:line="222" w:lineRule="auto"/>
              <w:ind w:left="208"/>
            </w:pPr>
            <w:r>
              <w:rPr>
                <w:b/>
                <w:bCs/>
                <w:spacing w:val="-4"/>
              </w:rPr>
              <w:t>序号</w:t>
            </w:r>
          </w:p>
        </w:tc>
        <w:tc>
          <w:tcPr>
            <w:tcW w:w="1384" w:type="dxa"/>
            <w:vAlign w:val="top"/>
          </w:tcPr>
          <w:p w14:paraId="652F1ED1">
            <w:pPr>
              <w:pStyle w:val="6"/>
              <w:spacing w:before="56" w:line="221" w:lineRule="auto"/>
              <w:ind w:left="397"/>
            </w:pPr>
            <w:r>
              <w:rPr>
                <w:b/>
                <w:bCs/>
                <w:spacing w:val="-8"/>
              </w:rPr>
              <w:t>中文名</w:t>
            </w:r>
          </w:p>
        </w:tc>
        <w:tc>
          <w:tcPr>
            <w:tcW w:w="3632" w:type="dxa"/>
            <w:vAlign w:val="top"/>
          </w:tcPr>
          <w:p w14:paraId="2E69B475">
            <w:pPr>
              <w:pStyle w:val="6"/>
              <w:spacing w:before="55" w:line="222" w:lineRule="auto"/>
              <w:ind w:left="1504"/>
            </w:pPr>
            <w:r>
              <w:rPr>
                <w:b/>
                <w:bCs/>
                <w:spacing w:val="-4"/>
              </w:rPr>
              <w:t>拉丁名</w:t>
            </w:r>
          </w:p>
        </w:tc>
        <w:tc>
          <w:tcPr>
            <w:tcW w:w="1514" w:type="dxa"/>
            <w:vAlign w:val="top"/>
          </w:tcPr>
          <w:p w14:paraId="0A8B7157">
            <w:pPr>
              <w:pStyle w:val="6"/>
              <w:spacing w:before="55" w:line="221" w:lineRule="auto"/>
              <w:ind w:left="554"/>
            </w:pPr>
            <w:r>
              <w:rPr>
                <w:b/>
                <w:bCs/>
                <w:spacing w:val="-5"/>
              </w:rPr>
              <w:t>性状</w:t>
            </w:r>
          </w:p>
        </w:tc>
        <w:tc>
          <w:tcPr>
            <w:tcW w:w="1708" w:type="dxa"/>
            <w:vAlign w:val="top"/>
          </w:tcPr>
          <w:p w14:paraId="2AA42468">
            <w:pPr>
              <w:pStyle w:val="6"/>
              <w:spacing w:before="55" w:line="221" w:lineRule="auto"/>
              <w:ind w:left="648"/>
            </w:pPr>
            <w:r>
              <w:rPr>
                <w:b/>
                <w:bCs/>
                <w:spacing w:val="-5"/>
              </w:rPr>
              <w:t>数量</w:t>
            </w:r>
          </w:p>
        </w:tc>
      </w:tr>
      <w:tr w14:paraId="400108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30" w:type="dxa"/>
            <w:vAlign w:val="top"/>
          </w:tcPr>
          <w:p w14:paraId="18D96E84">
            <w:pPr>
              <w:spacing w:before="88" w:line="219" w:lineRule="auto"/>
              <w:ind w:left="384"/>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384" w:type="dxa"/>
            <w:vAlign w:val="top"/>
          </w:tcPr>
          <w:p w14:paraId="2DE74436">
            <w:pPr>
              <w:pStyle w:val="6"/>
              <w:spacing w:before="53" w:line="221" w:lineRule="auto"/>
              <w:ind w:left="174"/>
            </w:pPr>
            <w:r>
              <w:rPr>
                <w:spacing w:val="-3"/>
              </w:rPr>
              <w:t>云南兔儿风</w:t>
            </w:r>
          </w:p>
        </w:tc>
        <w:tc>
          <w:tcPr>
            <w:tcW w:w="3632" w:type="dxa"/>
            <w:vAlign w:val="top"/>
          </w:tcPr>
          <w:p w14:paraId="51AC90F8">
            <w:pPr>
              <w:spacing w:before="88" w:line="191" w:lineRule="auto"/>
              <w:ind w:left="92"/>
              <w:rPr>
                <w:rFonts w:ascii="Times New Roman" w:hAnsi="Times New Roman" w:eastAsia="Times New Roman" w:cs="Times New Roman"/>
                <w:sz w:val="21"/>
                <w:szCs w:val="21"/>
              </w:rPr>
            </w:pPr>
            <w:r>
              <w:rPr>
                <w:rFonts w:ascii="Times New Roman" w:hAnsi="Times New Roman" w:eastAsia="Times New Roman" w:cs="Times New Roman"/>
                <w:i/>
                <w:iCs/>
                <w:spacing w:val="1"/>
                <w:sz w:val="21"/>
                <w:szCs w:val="21"/>
              </w:rPr>
              <w:t>Ainsliaea</w:t>
            </w:r>
            <w:r>
              <w:rPr>
                <w:rFonts w:ascii="Times New Roman" w:hAnsi="Times New Roman" w:eastAsia="Times New Roman" w:cs="Times New Roman"/>
                <w:i/>
                <w:iCs/>
                <w:spacing w:val="-7"/>
                <w:sz w:val="21"/>
                <w:szCs w:val="21"/>
              </w:rPr>
              <w:t xml:space="preserve"> </w:t>
            </w:r>
            <w:r>
              <w:rPr>
                <w:rFonts w:ascii="Times New Roman" w:hAnsi="Times New Roman" w:eastAsia="Times New Roman" w:cs="Times New Roman"/>
                <w:i/>
                <w:iCs/>
                <w:spacing w:val="1"/>
                <w:sz w:val="21"/>
                <w:szCs w:val="21"/>
              </w:rPr>
              <w:t>yunnanensis</w:t>
            </w:r>
          </w:p>
        </w:tc>
        <w:tc>
          <w:tcPr>
            <w:tcW w:w="1514" w:type="dxa"/>
            <w:vAlign w:val="top"/>
          </w:tcPr>
          <w:p w14:paraId="32DB2BE3">
            <w:pPr>
              <w:pStyle w:val="6"/>
              <w:spacing w:before="53" w:line="220" w:lineRule="auto"/>
              <w:ind w:left="556"/>
            </w:pPr>
            <w:r>
              <w:rPr>
                <w:spacing w:val="-2"/>
              </w:rPr>
              <w:t>草本</w:t>
            </w:r>
          </w:p>
        </w:tc>
        <w:tc>
          <w:tcPr>
            <w:tcW w:w="1708" w:type="dxa"/>
            <w:vAlign w:val="top"/>
          </w:tcPr>
          <w:p w14:paraId="6DA7BD93">
            <w:pPr>
              <w:pStyle w:val="6"/>
              <w:spacing w:before="53" w:line="223" w:lineRule="auto"/>
              <w:ind w:left="752"/>
            </w:pPr>
            <w:r>
              <w:t>少</w:t>
            </w:r>
          </w:p>
        </w:tc>
      </w:tr>
      <w:tr w14:paraId="6598ED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034DEEFE">
            <w:pPr>
              <w:spacing w:before="86" w:line="218" w:lineRule="auto"/>
              <w:ind w:left="364"/>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384" w:type="dxa"/>
            <w:vAlign w:val="top"/>
          </w:tcPr>
          <w:p w14:paraId="32A3F79D">
            <w:pPr>
              <w:pStyle w:val="6"/>
              <w:spacing w:before="51" w:line="221" w:lineRule="auto"/>
              <w:ind w:left="379"/>
            </w:pPr>
            <w:r>
              <w:rPr>
                <w:spacing w:val="-2"/>
              </w:rPr>
              <w:t>美叶蒿</w:t>
            </w:r>
          </w:p>
        </w:tc>
        <w:tc>
          <w:tcPr>
            <w:tcW w:w="3632" w:type="dxa"/>
            <w:vAlign w:val="top"/>
          </w:tcPr>
          <w:p w14:paraId="67CBC5A2">
            <w:pPr>
              <w:spacing w:before="84" w:line="193" w:lineRule="auto"/>
              <w:ind w:left="92"/>
              <w:rPr>
                <w:rFonts w:ascii="Times New Roman" w:hAnsi="Times New Roman" w:eastAsia="Times New Roman" w:cs="Times New Roman"/>
                <w:sz w:val="21"/>
                <w:szCs w:val="21"/>
              </w:rPr>
            </w:pPr>
            <w:r>
              <w:rPr>
                <w:rFonts w:ascii="Times New Roman" w:hAnsi="Times New Roman" w:eastAsia="Times New Roman" w:cs="Times New Roman"/>
                <w:i/>
                <w:iCs/>
                <w:sz w:val="21"/>
                <w:szCs w:val="21"/>
              </w:rPr>
              <w:t>Artemisia calophylla</w:t>
            </w:r>
          </w:p>
        </w:tc>
        <w:tc>
          <w:tcPr>
            <w:tcW w:w="1514" w:type="dxa"/>
            <w:vAlign w:val="top"/>
          </w:tcPr>
          <w:p w14:paraId="41A3B112">
            <w:pPr>
              <w:pStyle w:val="6"/>
              <w:spacing w:before="51" w:line="220" w:lineRule="auto"/>
              <w:ind w:left="556"/>
            </w:pPr>
            <w:r>
              <w:rPr>
                <w:spacing w:val="-2"/>
              </w:rPr>
              <w:t>草本</w:t>
            </w:r>
          </w:p>
        </w:tc>
        <w:tc>
          <w:tcPr>
            <w:tcW w:w="1708" w:type="dxa"/>
            <w:vAlign w:val="top"/>
          </w:tcPr>
          <w:p w14:paraId="2F6D6732">
            <w:pPr>
              <w:pStyle w:val="6"/>
              <w:spacing w:before="51" w:line="223" w:lineRule="auto"/>
              <w:ind w:left="752"/>
            </w:pPr>
            <w:r>
              <w:t>少</w:t>
            </w:r>
          </w:p>
        </w:tc>
      </w:tr>
      <w:tr w14:paraId="519D77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1F4A6224">
            <w:pPr>
              <w:spacing w:before="87" w:line="217" w:lineRule="auto"/>
              <w:ind w:left="368"/>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384" w:type="dxa"/>
            <w:vAlign w:val="top"/>
          </w:tcPr>
          <w:p w14:paraId="153611A8">
            <w:pPr>
              <w:pStyle w:val="6"/>
              <w:spacing w:before="51" w:line="221" w:lineRule="auto"/>
              <w:ind w:left="273"/>
            </w:pPr>
            <w:r>
              <w:rPr>
                <w:spacing w:val="-1"/>
              </w:rPr>
              <w:t>粉叶小檗</w:t>
            </w:r>
          </w:p>
        </w:tc>
        <w:tc>
          <w:tcPr>
            <w:tcW w:w="3632" w:type="dxa"/>
            <w:vAlign w:val="top"/>
          </w:tcPr>
          <w:p w14:paraId="070A321E">
            <w:pPr>
              <w:spacing w:before="84" w:line="194" w:lineRule="auto"/>
              <w:ind w:left="97"/>
              <w:rPr>
                <w:rFonts w:ascii="Times New Roman" w:hAnsi="Times New Roman" w:eastAsia="Times New Roman" w:cs="Times New Roman"/>
                <w:sz w:val="21"/>
                <w:szCs w:val="21"/>
              </w:rPr>
            </w:pPr>
            <w:r>
              <w:rPr>
                <w:rFonts w:ascii="Times New Roman" w:hAnsi="Times New Roman" w:eastAsia="Times New Roman" w:cs="Times New Roman"/>
                <w:i/>
                <w:iCs/>
                <w:spacing w:val="3"/>
                <w:sz w:val="21"/>
                <w:szCs w:val="21"/>
              </w:rPr>
              <w:t>Berberispruinosa</w:t>
            </w:r>
          </w:p>
        </w:tc>
        <w:tc>
          <w:tcPr>
            <w:tcW w:w="1514" w:type="dxa"/>
            <w:vAlign w:val="top"/>
          </w:tcPr>
          <w:p w14:paraId="35D28650">
            <w:pPr>
              <w:pStyle w:val="6"/>
              <w:spacing w:before="51" w:line="221" w:lineRule="auto"/>
              <w:ind w:left="557"/>
            </w:pPr>
            <w:r>
              <w:rPr>
                <w:spacing w:val="-3"/>
              </w:rPr>
              <w:t>灌木</w:t>
            </w:r>
          </w:p>
        </w:tc>
        <w:tc>
          <w:tcPr>
            <w:tcW w:w="1708" w:type="dxa"/>
            <w:vAlign w:val="top"/>
          </w:tcPr>
          <w:p w14:paraId="7AD7A9B8">
            <w:pPr>
              <w:pStyle w:val="6"/>
              <w:spacing w:before="51" w:line="223" w:lineRule="auto"/>
              <w:ind w:left="752"/>
            </w:pPr>
            <w:r>
              <w:t>少</w:t>
            </w:r>
          </w:p>
        </w:tc>
      </w:tr>
      <w:tr w14:paraId="071D6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1918EE6F">
            <w:pPr>
              <w:spacing w:before="87" w:line="217" w:lineRule="auto"/>
              <w:ind w:left="363"/>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384" w:type="dxa"/>
            <w:vAlign w:val="top"/>
          </w:tcPr>
          <w:p w14:paraId="1C8952C6">
            <w:pPr>
              <w:pStyle w:val="6"/>
              <w:spacing w:before="52" w:line="221" w:lineRule="auto"/>
              <w:ind w:left="276"/>
            </w:pPr>
            <w:r>
              <w:rPr>
                <w:spacing w:val="-2"/>
              </w:rPr>
              <w:t>金花小檗</w:t>
            </w:r>
          </w:p>
        </w:tc>
        <w:tc>
          <w:tcPr>
            <w:tcW w:w="3632" w:type="dxa"/>
            <w:vAlign w:val="top"/>
          </w:tcPr>
          <w:p w14:paraId="767E4130">
            <w:pPr>
              <w:spacing w:before="85" w:line="219" w:lineRule="auto"/>
              <w:ind w:left="97"/>
              <w:rPr>
                <w:rFonts w:ascii="Times New Roman" w:hAnsi="Times New Roman" w:eastAsia="Times New Roman" w:cs="Times New Roman"/>
                <w:sz w:val="21"/>
                <w:szCs w:val="21"/>
              </w:rPr>
            </w:pPr>
            <w:r>
              <w:rPr>
                <w:rFonts w:ascii="Times New Roman" w:hAnsi="Times New Roman" w:eastAsia="Times New Roman" w:cs="Times New Roman"/>
                <w:i/>
                <w:iCs/>
                <w:sz w:val="21"/>
                <w:szCs w:val="21"/>
              </w:rPr>
              <w:t>Berberis</w:t>
            </w:r>
            <w:r>
              <w:rPr>
                <w:rFonts w:ascii="Times New Roman" w:hAnsi="Times New Roman" w:eastAsia="Times New Roman" w:cs="Times New Roman"/>
                <w:i/>
                <w:iCs/>
                <w:spacing w:val="9"/>
                <w:sz w:val="21"/>
                <w:szCs w:val="21"/>
              </w:rPr>
              <w:t xml:space="preserve"> </w:t>
            </w:r>
            <w:r>
              <w:rPr>
                <w:rFonts w:ascii="Times New Roman" w:hAnsi="Times New Roman" w:eastAsia="Times New Roman" w:cs="Times New Roman"/>
                <w:i/>
                <w:iCs/>
                <w:sz w:val="21"/>
                <w:szCs w:val="21"/>
              </w:rPr>
              <w:t>wilsonae</w:t>
            </w:r>
          </w:p>
        </w:tc>
        <w:tc>
          <w:tcPr>
            <w:tcW w:w="1514" w:type="dxa"/>
            <w:vAlign w:val="top"/>
          </w:tcPr>
          <w:p w14:paraId="7B3466F3">
            <w:pPr>
              <w:pStyle w:val="6"/>
              <w:spacing w:before="52" w:line="221" w:lineRule="auto"/>
              <w:ind w:left="557"/>
            </w:pPr>
            <w:r>
              <w:rPr>
                <w:spacing w:val="-3"/>
              </w:rPr>
              <w:t>灌木</w:t>
            </w:r>
          </w:p>
        </w:tc>
        <w:tc>
          <w:tcPr>
            <w:tcW w:w="1708" w:type="dxa"/>
            <w:vAlign w:val="top"/>
          </w:tcPr>
          <w:p w14:paraId="58B27080">
            <w:pPr>
              <w:pStyle w:val="6"/>
              <w:spacing w:before="52" w:line="222" w:lineRule="auto"/>
              <w:ind w:left="648"/>
            </w:pPr>
            <w:r>
              <w:rPr>
                <w:spacing w:val="-2"/>
              </w:rPr>
              <w:t>较多</w:t>
            </w:r>
          </w:p>
        </w:tc>
      </w:tr>
      <w:tr w14:paraId="1F7B18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1660CB06">
            <w:pPr>
              <w:spacing w:before="88" w:line="216" w:lineRule="auto"/>
              <w:ind w:left="369"/>
              <w:rPr>
                <w:rFonts w:ascii="Times New Roman" w:hAnsi="Times New Roman" w:eastAsia="Times New Roman" w:cs="Times New Roman"/>
                <w:sz w:val="21"/>
                <w:szCs w:val="21"/>
              </w:rPr>
            </w:pPr>
            <w:r>
              <w:rPr>
                <w:rFonts w:ascii="Times New Roman" w:hAnsi="Times New Roman" w:eastAsia="Times New Roman" w:cs="Times New Roman"/>
                <w:sz w:val="21"/>
                <w:szCs w:val="21"/>
              </w:rPr>
              <w:t>5</w:t>
            </w:r>
          </w:p>
        </w:tc>
        <w:tc>
          <w:tcPr>
            <w:tcW w:w="1384" w:type="dxa"/>
            <w:vAlign w:val="top"/>
          </w:tcPr>
          <w:p w14:paraId="6E33E331">
            <w:pPr>
              <w:pStyle w:val="6"/>
              <w:spacing w:before="53" w:line="221" w:lineRule="auto"/>
              <w:ind w:left="383"/>
            </w:pPr>
            <w:r>
              <w:rPr>
                <w:spacing w:val="-3"/>
              </w:rPr>
              <w:t>小雀花</w:t>
            </w:r>
          </w:p>
        </w:tc>
        <w:tc>
          <w:tcPr>
            <w:tcW w:w="3632" w:type="dxa"/>
            <w:vAlign w:val="top"/>
          </w:tcPr>
          <w:p w14:paraId="05118FFD">
            <w:pPr>
              <w:spacing w:before="88" w:line="191" w:lineRule="auto"/>
              <w:ind w:left="116"/>
              <w:rPr>
                <w:rFonts w:ascii="Times New Roman" w:hAnsi="Times New Roman" w:eastAsia="Times New Roman" w:cs="Times New Roman"/>
                <w:sz w:val="21"/>
                <w:szCs w:val="21"/>
              </w:rPr>
            </w:pPr>
            <w:r>
              <w:rPr>
                <w:rFonts w:ascii="Times New Roman" w:hAnsi="Times New Roman" w:eastAsia="Times New Roman" w:cs="Times New Roman"/>
                <w:i/>
                <w:iCs/>
                <w:sz w:val="21"/>
                <w:szCs w:val="21"/>
              </w:rPr>
              <w:t>Campylotropis</w:t>
            </w:r>
            <w:r>
              <w:rPr>
                <w:rFonts w:ascii="Times New Roman" w:hAnsi="Times New Roman" w:eastAsia="Times New Roman" w:cs="Times New Roman"/>
                <w:i/>
                <w:iCs/>
                <w:spacing w:val="-19"/>
                <w:sz w:val="21"/>
                <w:szCs w:val="21"/>
              </w:rPr>
              <w:t xml:space="preserve"> </w:t>
            </w:r>
            <w:r>
              <w:rPr>
                <w:rFonts w:ascii="Times New Roman" w:hAnsi="Times New Roman" w:eastAsia="Times New Roman" w:cs="Times New Roman"/>
                <w:i/>
                <w:iCs/>
                <w:sz w:val="21"/>
                <w:szCs w:val="21"/>
              </w:rPr>
              <w:t>polyantha</w:t>
            </w:r>
          </w:p>
        </w:tc>
        <w:tc>
          <w:tcPr>
            <w:tcW w:w="1514" w:type="dxa"/>
            <w:vAlign w:val="top"/>
          </w:tcPr>
          <w:p w14:paraId="619A3012">
            <w:pPr>
              <w:pStyle w:val="6"/>
              <w:spacing w:before="52" w:line="221" w:lineRule="auto"/>
              <w:ind w:left="557"/>
            </w:pPr>
            <w:r>
              <w:rPr>
                <w:spacing w:val="-3"/>
              </w:rPr>
              <w:t>灌木</w:t>
            </w:r>
          </w:p>
        </w:tc>
        <w:tc>
          <w:tcPr>
            <w:tcW w:w="1708" w:type="dxa"/>
            <w:vAlign w:val="top"/>
          </w:tcPr>
          <w:p w14:paraId="38DD9669">
            <w:pPr>
              <w:pStyle w:val="6"/>
              <w:spacing w:before="53" w:line="222" w:lineRule="auto"/>
              <w:ind w:left="648"/>
            </w:pPr>
            <w:r>
              <w:rPr>
                <w:spacing w:val="-2"/>
              </w:rPr>
              <w:t>较多</w:t>
            </w:r>
          </w:p>
        </w:tc>
      </w:tr>
      <w:tr w14:paraId="32306B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27E21819">
            <w:pPr>
              <w:spacing w:before="88" w:line="216" w:lineRule="auto"/>
              <w:ind w:left="368"/>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384" w:type="dxa"/>
            <w:vAlign w:val="top"/>
          </w:tcPr>
          <w:p w14:paraId="220D43C0">
            <w:pPr>
              <w:pStyle w:val="6"/>
              <w:spacing w:before="54" w:line="221" w:lineRule="auto"/>
              <w:ind w:left="170"/>
            </w:pPr>
            <w:r>
              <w:rPr>
                <w:spacing w:val="-2"/>
              </w:rPr>
              <w:t>毛果铁线莲</w:t>
            </w:r>
          </w:p>
        </w:tc>
        <w:tc>
          <w:tcPr>
            <w:tcW w:w="3632" w:type="dxa"/>
            <w:vAlign w:val="top"/>
          </w:tcPr>
          <w:p w14:paraId="1D338153">
            <w:pPr>
              <w:spacing w:before="86" w:line="194" w:lineRule="auto"/>
              <w:ind w:left="116"/>
              <w:rPr>
                <w:rFonts w:ascii="Times New Roman" w:hAnsi="Times New Roman" w:eastAsia="Times New Roman" w:cs="Times New Roman"/>
                <w:sz w:val="21"/>
                <w:szCs w:val="21"/>
              </w:rPr>
            </w:pPr>
            <w:r>
              <w:rPr>
                <w:rFonts w:ascii="Times New Roman" w:hAnsi="Times New Roman" w:eastAsia="Times New Roman" w:cs="Times New Roman"/>
                <w:i/>
                <w:iCs/>
                <w:sz w:val="21"/>
                <w:szCs w:val="21"/>
              </w:rPr>
              <w:t>Clematis</w:t>
            </w:r>
            <w:r>
              <w:rPr>
                <w:rFonts w:ascii="Times New Roman" w:hAnsi="Times New Roman" w:eastAsia="Times New Roman" w:cs="Times New Roman"/>
                <w:i/>
                <w:iCs/>
                <w:spacing w:val="-23"/>
                <w:sz w:val="21"/>
                <w:szCs w:val="21"/>
              </w:rPr>
              <w:t xml:space="preserve"> </w:t>
            </w:r>
            <w:r>
              <w:rPr>
                <w:rFonts w:ascii="Times New Roman" w:hAnsi="Times New Roman" w:eastAsia="Times New Roman" w:cs="Times New Roman"/>
                <w:i/>
                <w:iCs/>
                <w:sz w:val="21"/>
                <w:szCs w:val="21"/>
              </w:rPr>
              <w:t>peterae var</w:t>
            </w:r>
            <w:r>
              <w:rPr>
                <w:rFonts w:ascii="Times New Roman" w:hAnsi="Times New Roman" w:eastAsia="Times New Roman" w:cs="Times New Roman"/>
                <w:i/>
                <w:iCs/>
                <w:spacing w:val="-1"/>
                <w:sz w:val="21"/>
                <w:szCs w:val="21"/>
              </w:rPr>
              <w:t>. trichocarpa</w:t>
            </w:r>
          </w:p>
        </w:tc>
        <w:tc>
          <w:tcPr>
            <w:tcW w:w="1514" w:type="dxa"/>
            <w:vAlign w:val="top"/>
          </w:tcPr>
          <w:p w14:paraId="3F3F3348">
            <w:pPr>
              <w:pStyle w:val="6"/>
              <w:spacing w:before="53" w:line="220" w:lineRule="auto"/>
              <w:ind w:left="556"/>
            </w:pPr>
            <w:r>
              <w:rPr>
                <w:spacing w:val="-2"/>
              </w:rPr>
              <w:t>藤本</w:t>
            </w:r>
          </w:p>
        </w:tc>
        <w:tc>
          <w:tcPr>
            <w:tcW w:w="1708" w:type="dxa"/>
            <w:vAlign w:val="top"/>
          </w:tcPr>
          <w:p w14:paraId="37FCD7D0">
            <w:pPr>
              <w:pStyle w:val="6"/>
              <w:spacing w:before="53" w:line="222" w:lineRule="auto"/>
              <w:ind w:left="648"/>
            </w:pPr>
            <w:r>
              <w:rPr>
                <w:spacing w:val="-2"/>
              </w:rPr>
              <w:t>较多</w:t>
            </w:r>
          </w:p>
        </w:tc>
      </w:tr>
      <w:tr w14:paraId="73AA82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30" w:type="dxa"/>
            <w:vAlign w:val="top"/>
          </w:tcPr>
          <w:p w14:paraId="72C3CE1D">
            <w:pPr>
              <w:spacing w:before="92" w:line="215" w:lineRule="auto"/>
              <w:ind w:left="367"/>
              <w:rPr>
                <w:rFonts w:ascii="Times New Roman" w:hAnsi="Times New Roman" w:eastAsia="Times New Roman" w:cs="Times New Roman"/>
                <w:sz w:val="21"/>
                <w:szCs w:val="21"/>
              </w:rPr>
            </w:pPr>
            <w:r>
              <w:rPr>
                <w:rFonts w:ascii="Times New Roman" w:hAnsi="Times New Roman" w:eastAsia="Times New Roman" w:cs="Times New Roman"/>
                <w:sz w:val="21"/>
                <w:szCs w:val="21"/>
              </w:rPr>
              <w:t>7</w:t>
            </w:r>
          </w:p>
        </w:tc>
        <w:tc>
          <w:tcPr>
            <w:tcW w:w="1384" w:type="dxa"/>
            <w:vAlign w:val="top"/>
          </w:tcPr>
          <w:p w14:paraId="65030A07">
            <w:pPr>
              <w:pStyle w:val="6"/>
              <w:spacing w:before="57" w:line="221" w:lineRule="auto"/>
              <w:ind w:left="483"/>
            </w:pPr>
            <w:r>
              <w:rPr>
                <w:spacing w:val="-2"/>
              </w:rPr>
              <w:t>滇榛</w:t>
            </w:r>
          </w:p>
        </w:tc>
        <w:tc>
          <w:tcPr>
            <w:tcW w:w="3632" w:type="dxa"/>
            <w:vAlign w:val="top"/>
          </w:tcPr>
          <w:p w14:paraId="2DC9F26C">
            <w:pPr>
              <w:spacing w:before="92" w:line="191" w:lineRule="auto"/>
              <w:ind w:left="116"/>
              <w:rPr>
                <w:rFonts w:ascii="Times New Roman" w:hAnsi="Times New Roman" w:eastAsia="Times New Roman" w:cs="Times New Roman"/>
                <w:sz w:val="21"/>
                <w:szCs w:val="21"/>
              </w:rPr>
            </w:pPr>
            <w:r>
              <w:rPr>
                <w:rFonts w:ascii="Times New Roman" w:hAnsi="Times New Roman" w:eastAsia="Times New Roman" w:cs="Times New Roman"/>
                <w:i/>
                <w:iCs/>
                <w:sz w:val="21"/>
                <w:szCs w:val="21"/>
              </w:rPr>
              <w:t>Corylus</w:t>
            </w:r>
            <w:r>
              <w:rPr>
                <w:rFonts w:ascii="Times New Roman" w:hAnsi="Times New Roman" w:eastAsia="Times New Roman" w:cs="Times New Roman"/>
                <w:i/>
                <w:iCs/>
                <w:spacing w:val="-13"/>
                <w:sz w:val="21"/>
                <w:szCs w:val="21"/>
              </w:rPr>
              <w:t xml:space="preserve"> </w:t>
            </w:r>
            <w:r>
              <w:rPr>
                <w:rFonts w:ascii="Times New Roman" w:hAnsi="Times New Roman" w:eastAsia="Times New Roman" w:cs="Times New Roman"/>
                <w:i/>
                <w:iCs/>
                <w:sz w:val="21"/>
                <w:szCs w:val="21"/>
              </w:rPr>
              <w:t>yunnanensis</w:t>
            </w:r>
          </w:p>
        </w:tc>
        <w:tc>
          <w:tcPr>
            <w:tcW w:w="1514" w:type="dxa"/>
            <w:vAlign w:val="top"/>
          </w:tcPr>
          <w:p w14:paraId="055881D1">
            <w:pPr>
              <w:pStyle w:val="6"/>
              <w:spacing w:before="57" w:line="221" w:lineRule="auto"/>
              <w:ind w:left="557"/>
            </w:pPr>
            <w:r>
              <w:rPr>
                <w:spacing w:val="-3"/>
              </w:rPr>
              <w:t>灌木</w:t>
            </w:r>
          </w:p>
        </w:tc>
        <w:tc>
          <w:tcPr>
            <w:tcW w:w="1708" w:type="dxa"/>
            <w:vAlign w:val="top"/>
          </w:tcPr>
          <w:p w14:paraId="207FDB69">
            <w:pPr>
              <w:pStyle w:val="6"/>
              <w:spacing w:before="57" w:line="221" w:lineRule="auto"/>
              <w:ind w:left="752"/>
            </w:pPr>
            <w:r>
              <w:t>少</w:t>
            </w:r>
          </w:p>
        </w:tc>
      </w:tr>
      <w:tr w14:paraId="186F2A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30" w:type="dxa"/>
            <w:vAlign w:val="top"/>
          </w:tcPr>
          <w:p w14:paraId="1E779FD6">
            <w:pPr>
              <w:spacing w:before="90" w:line="215" w:lineRule="auto"/>
              <w:ind w:left="372"/>
              <w:rPr>
                <w:rFonts w:ascii="Times New Roman" w:hAnsi="Times New Roman" w:eastAsia="Times New Roman" w:cs="Times New Roman"/>
                <w:sz w:val="21"/>
                <w:szCs w:val="21"/>
              </w:rPr>
            </w:pPr>
            <w:r>
              <w:rPr>
                <w:rFonts w:ascii="Times New Roman" w:hAnsi="Times New Roman" w:eastAsia="Times New Roman" w:cs="Times New Roman"/>
                <w:sz w:val="21"/>
                <w:szCs w:val="21"/>
              </w:rPr>
              <w:t>8</w:t>
            </w:r>
          </w:p>
        </w:tc>
        <w:tc>
          <w:tcPr>
            <w:tcW w:w="1384" w:type="dxa"/>
            <w:vAlign w:val="top"/>
          </w:tcPr>
          <w:p w14:paraId="7F1858FE">
            <w:pPr>
              <w:pStyle w:val="6"/>
              <w:spacing w:before="54" w:line="221" w:lineRule="auto"/>
              <w:ind w:left="383"/>
            </w:pPr>
            <w:r>
              <w:rPr>
                <w:spacing w:val="-3"/>
              </w:rPr>
              <w:t>牛筋条</w:t>
            </w:r>
          </w:p>
        </w:tc>
        <w:tc>
          <w:tcPr>
            <w:tcW w:w="3632" w:type="dxa"/>
            <w:vAlign w:val="top"/>
          </w:tcPr>
          <w:p w14:paraId="3F1FD562">
            <w:pPr>
              <w:spacing w:before="87" w:line="194" w:lineRule="auto"/>
              <w:ind w:left="100"/>
              <w:rPr>
                <w:rFonts w:ascii="Times New Roman" w:hAnsi="Times New Roman" w:eastAsia="Times New Roman" w:cs="Times New Roman"/>
                <w:sz w:val="21"/>
                <w:szCs w:val="21"/>
              </w:rPr>
            </w:pPr>
            <w:r>
              <w:rPr>
                <w:rFonts w:ascii="Times New Roman" w:hAnsi="Times New Roman" w:eastAsia="Times New Roman" w:cs="Times New Roman"/>
                <w:i/>
                <w:iCs/>
                <w:sz w:val="21"/>
                <w:szCs w:val="21"/>
              </w:rPr>
              <w:t>Dichotomanthes</w:t>
            </w:r>
            <w:r>
              <w:rPr>
                <w:rFonts w:ascii="Times New Roman" w:hAnsi="Times New Roman" w:eastAsia="Times New Roman" w:cs="Times New Roman"/>
                <w:i/>
                <w:iCs/>
                <w:spacing w:val="5"/>
                <w:sz w:val="21"/>
                <w:szCs w:val="21"/>
              </w:rPr>
              <w:t xml:space="preserve"> </w:t>
            </w:r>
            <w:r>
              <w:rPr>
                <w:rFonts w:ascii="Times New Roman" w:hAnsi="Times New Roman" w:eastAsia="Times New Roman" w:cs="Times New Roman"/>
                <w:i/>
                <w:iCs/>
                <w:sz w:val="21"/>
                <w:szCs w:val="21"/>
              </w:rPr>
              <w:t>tristaniaecarpa</w:t>
            </w:r>
          </w:p>
        </w:tc>
        <w:tc>
          <w:tcPr>
            <w:tcW w:w="1514" w:type="dxa"/>
            <w:vAlign w:val="top"/>
          </w:tcPr>
          <w:p w14:paraId="7F01449A">
            <w:pPr>
              <w:pStyle w:val="6"/>
              <w:spacing w:before="54" w:line="221" w:lineRule="auto"/>
              <w:ind w:left="557"/>
            </w:pPr>
            <w:r>
              <w:rPr>
                <w:spacing w:val="-3"/>
              </w:rPr>
              <w:t>灌木</w:t>
            </w:r>
          </w:p>
        </w:tc>
        <w:tc>
          <w:tcPr>
            <w:tcW w:w="1708" w:type="dxa"/>
            <w:vAlign w:val="top"/>
          </w:tcPr>
          <w:p w14:paraId="23652FB4">
            <w:pPr>
              <w:pStyle w:val="6"/>
              <w:spacing w:before="55" w:line="221" w:lineRule="auto"/>
              <w:ind w:left="761"/>
            </w:pPr>
            <w:r>
              <w:t>多</w:t>
            </w:r>
          </w:p>
        </w:tc>
      </w:tr>
      <w:tr w14:paraId="0848614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03D3B08C">
            <w:pPr>
              <w:spacing w:before="89" w:line="215" w:lineRule="auto"/>
              <w:ind w:left="368"/>
              <w:rPr>
                <w:rFonts w:ascii="Times New Roman" w:hAnsi="Times New Roman" w:eastAsia="Times New Roman" w:cs="Times New Roman"/>
                <w:sz w:val="21"/>
                <w:szCs w:val="21"/>
              </w:rPr>
            </w:pPr>
            <w:r>
              <w:rPr>
                <w:rFonts w:ascii="Times New Roman" w:hAnsi="Times New Roman" w:eastAsia="Times New Roman" w:cs="Times New Roman"/>
                <w:sz w:val="21"/>
                <w:szCs w:val="21"/>
              </w:rPr>
              <w:t>9</w:t>
            </w:r>
          </w:p>
        </w:tc>
        <w:tc>
          <w:tcPr>
            <w:tcW w:w="1384" w:type="dxa"/>
            <w:vAlign w:val="top"/>
          </w:tcPr>
          <w:p w14:paraId="6B7AF6C9">
            <w:pPr>
              <w:pStyle w:val="6"/>
              <w:spacing w:before="54" w:line="221" w:lineRule="auto"/>
              <w:ind w:left="377"/>
            </w:pPr>
            <w:r>
              <w:rPr>
                <w:spacing w:val="-2"/>
              </w:rPr>
              <w:t>野拔子</w:t>
            </w:r>
          </w:p>
        </w:tc>
        <w:tc>
          <w:tcPr>
            <w:tcW w:w="3632" w:type="dxa"/>
            <w:vAlign w:val="top"/>
          </w:tcPr>
          <w:p w14:paraId="4A6992AF">
            <w:pPr>
              <w:spacing w:before="87" w:line="193" w:lineRule="auto"/>
              <w:ind w:left="97"/>
              <w:rPr>
                <w:rFonts w:ascii="Times New Roman" w:hAnsi="Times New Roman" w:eastAsia="Times New Roman" w:cs="Times New Roman"/>
                <w:sz w:val="21"/>
                <w:szCs w:val="21"/>
              </w:rPr>
            </w:pPr>
            <w:r>
              <w:rPr>
                <w:rFonts w:ascii="Times New Roman" w:hAnsi="Times New Roman" w:eastAsia="Times New Roman" w:cs="Times New Roman"/>
                <w:i/>
                <w:iCs/>
                <w:sz w:val="21"/>
                <w:szCs w:val="21"/>
              </w:rPr>
              <w:t>Elsholtzia</w:t>
            </w:r>
            <w:r>
              <w:rPr>
                <w:rFonts w:ascii="Times New Roman" w:hAnsi="Times New Roman" w:eastAsia="Times New Roman" w:cs="Times New Roman"/>
                <w:i/>
                <w:iCs/>
                <w:spacing w:val="7"/>
                <w:sz w:val="21"/>
                <w:szCs w:val="21"/>
              </w:rPr>
              <w:t xml:space="preserve"> </w:t>
            </w:r>
            <w:r>
              <w:rPr>
                <w:rFonts w:ascii="Times New Roman" w:hAnsi="Times New Roman" w:eastAsia="Times New Roman" w:cs="Times New Roman"/>
                <w:i/>
                <w:iCs/>
                <w:sz w:val="21"/>
                <w:szCs w:val="21"/>
              </w:rPr>
              <w:t>rugulosa</w:t>
            </w:r>
          </w:p>
        </w:tc>
        <w:tc>
          <w:tcPr>
            <w:tcW w:w="1514" w:type="dxa"/>
            <w:vAlign w:val="top"/>
          </w:tcPr>
          <w:p w14:paraId="25B24507">
            <w:pPr>
              <w:pStyle w:val="6"/>
              <w:spacing w:before="54" w:line="220" w:lineRule="auto"/>
              <w:ind w:left="556"/>
            </w:pPr>
            <w:r>
              <w:rPr>
                <w:spacing w:val="-2"/>
              </w:rPr>
              <w:t>草本</w:t>
            </w:r>
          </w:p>
        </w:tc>
        <w:tc>
          <w:tcPr>
            <w:tcW w:w="1708" w:type="dxa"/>
            <w:vAlign w:val="top"/>
          </w:tcPr>
          <w:p w14:paraId="7ED3F990">
            <w:pPr>
              <w:pStyle w:val="6"/>
              <w:spacing w:before="54" w:line="221" w:lineRule="auto"/>
              <w:ind w:left="761"/>
            </w:pPr>
            <w:r>
              <w:t>多</w:t>
            </w:r>
          </w:p>
        </w:tc>
      </w:tr>
      <w:tr w14:paraId="592E7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30" w:type="dxa"/>
            <w:vAlign w:val="top"/>
          </w:tcPr>
          <w:p w14:paraId="4FCDC3DD">
            <w:pPr>
              <w:spacing w:before="90" w:line="215"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w:t>
            </w:r>
          </w:p>
        </w:tc>
        <w:tc>
          <w:tcPr>
            <w:tcW w:w="1384" w:type="dxa"/>
            <w:vAlign w:val="top"/>
          </w:tcPr>
          <w:p w14:paraId="03333090">
            <w:pPr>
              <w:pStyle w:val="6"/>
              <w:spacing w:before="54" w:line="221" w:lineRule="auto"/>
              <w:ind w:left="168"/>
            </w:pPr>
            <w:r>
              <w:rPr>
                <w:spacing w:val="-1"/>
              </w:rPr>
              <w:t>尖萼金丝桃</w:t>
            </w:r>
          </w:p>
        </w:tc>
        <w:tc>
          <w:tcPr>
            <w:tcW w:w="3632" w:type="dxa"/>
            <w:vAlign w:val="top"/>
          </w:tcPr>
          <w:p w14:paraId="40279805">
            <w:pPr>
              <w:spacing w:before="88" w:line="193" w:lineRule="auto"/>
              <w:ind w:left="97"/>
              <w:rPr>
                <w:rFonts w:ascii="Times New Roman" w:hAnsi="Times New Roman" w:eastAsia="Times New Roman" w:cs="Times New Roman"/>
                <w:sz w:val="21"/>
                <w:szCs w:val="21"/>
              </w:rPr>
            </w:pPr>
            <w:r>
              <w:rPr>
                <w:rFonts w:ascii="Times New Roman" w:hAnsi="Times New Roman" w:eastAsia="Times New Roman" w:cs="Times New Roman"/>
                <w:i/>
                <w:iCs/>
                <w:sz w:val="21"/>
                <w:szCs w:val="21"/>
              </w:rPr>
              <w:t>Hypericum</w:t>
            </w:r>
            <w:r>
              <w:rPr>
                <w:rFonts w:ascii="Times New Roman" w:hAnsi="Times New Roman" w:eastAsia="Times New Roman" w:cs="Times New Roman"/>
                <w:i/>
                <w:iCs/>
                <w:spacing w:val="8"/>
                <w:sz w:val="21"/>
                <w:szCs w:val="21"/>
              </w:rPr>
              <w:t xml:space="preserve"> </w:t>
            </w:r>
            <w:r>
              <w:rPr>
                <w:rFonts w:ascii="Times New Roman" w:hAnsi="Times New Roman" w:eastAsia="Times New Roman" w:cs="Times New Roman"/>
                <w:i/>
                <w:iCs/>
                <w:sz w:val="21"/>
                <w:szCs w:val="21"/>
              </w:rPr>
              <w:t>acmosepalum</w:t>
            </w:r>
          </w:p>
        </w:tc>
        <w:tc>
          <w:tcPr>
            <w:tcW w:w="1514" w:type="dxa"/>
            <w:vAlign w:val="top"/>
          </w:tcPr>
          <w:p w14:paraId="6BFE8834">
            <w:pPr>
              <w:pStyle w:val="6"/>
              <w:spacing w:before="54" w:line="221" w:lineRule="auto"/>
              <w:ind w:left="557"/>
            </w:pPr>
            <w:r>
              <w:rPr>
                <w:spacing w:val="-3"/>
              </w:rPr>
              <w:t>灌木</w:t>
            </w:r>
          </w:p>
        </w:tc>
        <w:tc>
          <w:tcPr>
            <w:tcW w:w="1708" w:type="dxa"/>
            <w:vAlign w:val="top"/>
          </w:tcPr>
          <w:p w14:paraId="3F99DCD2">
            <w:pPr>
              <w:pStyle w:val="6"/>
              <w:spacing w:before="55" w:line="221" w:lineRule="auto"/>
              <w:ind w:left="752"/>
            </w:pPr>
            <w:r>
              <w:t>少</w:t>
            </w:r>
          </w:p>
        </w:tc>
      </w:tr>
      <w:tr w14:paraId="2E924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45D69628">
            <w:pPr>
              <w:spacing w:before="89" w:line="215"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8"/>
                <w:sz w:val="21"/>
                <w:szCs w:val="21"/>
              </w:rPr>
              <w:t>11</w:t>
            </w:r>
          </w:p>
        </w:tc>
        <w:tc>
          <w:tcPr>
            <w:tcW w:w="1384" w:type="dxa"/>
            <w:vAlign w:val="top"/>
          </w:tcPr>
          <w:p w14:paraId="7B1649B1">
            <w:pPr>
              <w:pStyle w:val="6"/>
              <w:spacing w:before="54" w:line="221" w:lineRule="auto"/>
              <w:ind w:left="174"/>
            </w:pPr>
            <w:r>
              <w:rPr>
                <w:spacing w:val="-2"/>
              </w:rPr>
              <w:t>西南金丝桃</w:t>
            </w:r>
          </w:p>
        </w:tc>
        <w:tc>
          <w:tcPr>
            <w:tcW w:w="3632" w:type="dxa"/>
            <w:vAlign w:val="top"/>
          </w:tcPr>
          <w:p w14:paraId="083D783B">
            <w:pPr>
              <w:spacing w:before="87" w:line="193" w:lineRule="auto"/>
              <w:ind w:left="97"/>
              <w:rPr>
                <w:rFonts w:ascii="Times New Roman" w:hAnsi="Times New Roman" w:eastAsia="Times New Roman" w:cs="Times New Roman"/>
                <w:sz w:val="21"/>
                <w:szCs w:val="21"/>
              </w:rPr>
            </w:pPr>
            <w:r>
              <w:rPr>
                <w:rFonts w:ascii="Times New Roman" w:hAnsi="Times New Roman" w:eastAsia="Times New Roman" w:cs="Times New Roman"/>
                <w:i/>
                <w:iCs/>
                <w:sz w:val="21"/>
                <w:szCs w:val="21"/>
              </w:rPr>
              <w:t>Hypericum</w:t>
            </w:r>
            <w:r>
              <w:rPr>
                <w:rFonts w:ascii="Times New Roman" w:hAnsi="Times New Roman" w:eastAsia="Times New Roman" w:cs="Times New Roman"/>
                <w:i/>
                <w:iCs/>
                <w:spacing w:val="8"/>
                <w:sz w:val="21"/>
                <w:szCs w:val="21"/>
              </w:rPr>
              <w:t xml:space="preserve"> </w:t>
            </w:r>
            <w:r>
              <w:rPr>
                <w:rFonts w:ascii="Times New Roman" w:hAnsi="Times New Roman" w:eastAsia="Times New Roman" w:cs="Times New Roman"/>
                <w:i/>
                <w:iCs/>
                <w:sz w:val="21"/>
                <w:szCs w:val="21"/>
              </w:rPr>
              <w:t>henryi</w:t>
            </w:r>
          </w:p>
        </w:tc>
        <w:tc>
          <w:tcPr>
            <w:tcW w:w="1514" w:type="dxa"/>
            <w:vAlign w:val="top"/>
          </w:tcPr>
          <w:p w14:paraId="4709C7E5">
            <w:pPr>
              <w:pStyle w:val="6"/>
              <w:spacing w:before="54" w:line="221" w:lineRule="auto"/>
              <w:ind w:left="557"/>
            </w:pPr>
            <w:r>
              <w:rPr>
                <w:spacing w:val="-3"/>
              </w:rPr>
              <w:t>灌木</w:t>
            </w:r>
          </w:p>
        </w:tc>
        <w:tc>
          <w:tcPr>
            <w:tcW w:w="1708" w:type="dxa"/>
            <w:vAlign w:val="top"/>
          </w:tcPr>
          <w:p w14:paraId="7FE2C0D5">
            <w:pPr>
              <w:pStyle w:val="6"/>
              <w:spacing w:before="54" w:line="221" w:lineRule="auto"/>
              <w:ind w:left="752"/>
            </w:pPr>
            <w:r>
              <w:t>少</w:t>
            </w:r>
          </w:p>
        </w:tc>
      </w:tr>
      <w:tr w14:paraId="1ADF9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3391875C">
            <w:pPr>
              <w:spacing w:before="90" w:line="214"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12</w:t>
            </w:r>
          </w:p>
        </w:tc>
        <w:tc>
          <w:tcPr>
            <w:tcW w:w="1384" w:type="dxa"/>
            <w:vAlign w:val="top"/>
          </w:tcPr>
          <w:p w14:paraId="7E0B23F4">
            <w:pPr>
              <w:pStyle w:val="6"/>
              <w:spacing w:before="55" w:line="220" w:lineRule="auto"/>
              <w:ind w:left="300"/>
            </w:pPr>
            <w:r>
              <w:rPr>
                <w:spacing w:val="-8"/>
              </w:rPr>
              <w:t>昆明木蓝</w:t>
            </w:r>
          </w:p>
        </w:tc>
        <w:tc>
          <w:tcPr>
            <w:tcW w:w="3632" w:type="dxa"/>
            <w:vAlign w:val="top"/>
          </w:tcPr>
          <w:p w14:paraId="2F994966">
            <w:pPr>
              <w:spacing w:before="88" w:line="193" w:lineRule="auto"/>
              <w:ind w:left="95"/>
              <w:rPr>
                <w:rFonts w:ascii="Times New Roman" w:hAnsi="Times New Roman" w:eastAsia="Times New Roman" w:cs="Times New Roman"/>
                <w:sz w:val="21"/>
                <w:szCs w:val="21"/>
              </w:rPr>
            </w:pPr>
            <w:r>
              <w:rPr>
                <w:rFonts w:ascii="Times New Roman" w:hAnsi="Times New Roman" w:eastAsia="Times New Roman" w:cs="Times New Roman"/>
                <w:i/>
                <w:iCs/>
                <w:spacing w:val="1"/>
                <w:sz w:val="21"/>
                <w:szCs w:val="21"/>
              </w:rPr>
              <w:t>Indigofera</w:t>
            </w:r>
            <w:r>
              <w:rPr>
                <w:rFonts w:ascii="Times New Roman" w:hAnsi="Times New Roman" w:eastAsia="Times New Roman" w:cs="Times New Roman"/>
                <w:i/>
                <w:iCs/>
                <w:spacing w:val="-14"/>
                <w:sz w:val="21"/>
                <w:szCs w:val="21"/>
              </w:rPr>
              <w:t xml:space="preserve"> </w:t>
            </w:r>
            <w:r>
              <w:rPr>
                <w:rFonts w:ascii="Times New Roman" w:hAnsi="Times New Roman" w:eastAsia="Times New Roman" w:cs="Times New Roman"/>
                <w:i/>
                <w:iCs/>
                <w:spacing w:val="1"/>
                <w:sz w:val="21"/>
                <w:szCs w:val="21"/>
              </w:rPr>
              <w:t>pampaniniana</w:t>
            </w:r>
          </w:p>
        </w:tc>
        <w:tc>
          <w:tcPr>
            <w:tcW w:w="1514" w:type="dxa"/>
            <w:vAlign w:val="top"/>
          </w:tcPr>
          <w:p w14:paraId="469C5B8E">
            <w:pPr>
              <w:pStyle w:val="6"/>
              <w:spacing w:before="55" w:line="220" w:lineRule="auto"/>
              <w:ind w:left="557"/>
            </w:pPr>
            <w:r>
              <w:rPr>
                <w:spacing w:val="-3"/>
              </w:rPr>
              <w:t>灌木</w:t>
            </w:r>
          </w:p>
        </w:tc>
        <w:tc>
          <w:tcPr>
            <w:tcW w:w="1708" w:type="dxa"/>
            <w:vAlign w:val="top"/>
          </w:tcPr>
          <w:p w14:paraId="4AFE8DE6">
            <w:pPr>
              <w:pStyle w:val="6"/>
              <w:spacing w:before="55" w:line="220" w:lineRule="auto"/>
              <w:ind w:left="648"/>
            </w:pPr>
            <w:r>
              <w:rPr>
                <w:spacing w:val="-2"/>
              </w:rPr>
              <w:t>较多</w:t>
            </w:r>
          </w:p>
        </w:tc>
      </w:tr>
      <w:tr w14:paraId="69DA6B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30" w:type="dxa"/>
            <w:vAlign w:val="top"/>
          </w:tcPr>
          <w:p w14:paraId="05C5DEFD">
            <w:pPr>
              <w:spacing w:before="93" w:line="214"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13</w:t>
            </w:r>
          </w:p>
        </w:tc>
        <w:tc>
          <w:tcPr>
            <w:tcW w:w="1384" w:type="dxa"/>
            <w:vAlign w:val="top"/>
          </w:tcPr>
          <w:p w14:paraId="2C3387AF">
            <w:pPr>
              <w:pStyle w:val="6"/>
              <w:spacing w:before="58" w:line="220" w:lineRule="auto"/>
              <w:ind w:left="489"/>
            </w:pPr>
            <w:r>
              <w:rPr>
                <w:spacing w:val="-3"/>
              </w:rPr>
              <w:t>女贞</w:t>
            </w:r>
          </w:p>
        </w:tc>
        <w:tc>
          <w:tcPr>
            <w:tcW w:w="3632" w:type="dxa"/>
            <w:vAlign w:val="top"/>
          </w:tcPr>
          <w:p w14:paraId="2874E8DC">
            <w:pPr>
              <w:spacing w:before="93" w:line="191" w:lineRule="auto"/>
              <w:ind w:left="95"/>
              <w:rPr>
                <w:rFonts w:ascii="Times New Roman" w:hAnsi="Times New Roman" w:eastAsia="Times New Roman" w:cs="Times New Roman"/>
                <w:sz w:val="21"/>
                <w:szCs w:val="21"/>
              </w:rPr>
            </w:pPr>
            <w:r>
              <w:rPr>
                <w:rFonts w:ascii="Times New Roman" w:hAnsi="Times New Roman" w:eastAsia="Times New Roman" w:cs="Times New Roman"/>
                <w:i/>
                <w:iCs/>
                <w:sz w:val="21"/>
                <w:szCs w:val="21"/>
              </w:rPr>
              <w:t>Ligustrum</w:t>
            </w:r>
            <w:r>
              <w:rPr>
                <w:rFonts w:ascii="Times New Roman" w:hAnsi="Times New Roman" w:eastAsia="Times New Roman" w:cs="Times New Roman"/>
                <w:i/>
                <w:iCs/>
                <w:spacing w:val="14"/>
                <w:sz w:val="21"/>
                <w:szCs w:val="21"/>
              </w:rPr>
              <w:t xml:space="preserve"> </w:t>
            </w:r>
            <w:r>
              <w:rPr>
                <w:rFonts w:ascii="Times New Roman" w:hAnsi="Times New Roman" w:eastAsia="Times New Roman" w:cs="Times New Roman"/>
                <w:i/>
                <w:iCs/>
                <w:sz w:val="21"/>
                <w:szCs w:val="21"/>
              </w:rPr>
              <w:t>lucidum</w:t>
            </w:r>
          </w:p>
        </w:tc>
        <w:tc>
          <w:tcPr>
            <w:tcW w:w="1514" w:type="dxa"/>
            <w:vAlign w:val="top"/>
          </w:tcPr>
          <w:p w14:paraId="295FA4CC">
            <w:pPr>
              <w:pStyle w:val="6"/>
              <w:spacing w:before="58" w:line="220" w:lineRule="auto"/>
              <w:ind w:left="557"/>
            </w:pPr>
            <w:r>
              <w:rPr>
                <w:spacing w:val="-3"/>
              </w:rPr>
              <w:t>灌木</w:t>
            </w:r>
          </w:p>
        </w:tc>
        <w:tc>
          <w:tcPr>
            <w:tcW w:w="1708" w:type="dxa"/>
            <w:vAlign w:val="top"/>
          </w:tcPr>
          <w:p w14:paraId="18C5CD4E">
            <w:pPr>
              <w:pStyle w:val="6"/>
              <w:spacing w:before="58" w:line="220" w:lineRule="auto"/>
              <w:ind w:left="752"/>
            </w:pPr>
            <w:r>
              <w:t>少</w:t>
            </w:r>
          </w:p>
        </w:tc>
      </w:tr>
      <w:tr w14:paraId="666405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30" w:type="dxa"/>
            <w:vAlign w:val="top"/>
          </w:tcPr>
          <w:p w14:paraId="040785C5">
            <w:pPr>
              <w:spacing w:before="91" w:line="218"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14</w:t>
            </w:r>
          </w:p>
        </w:tc>
        <w:tc>
          <w:tcPr>
            <w:tcW w:w="1384" w:type="dxa"/>
            <w:vAlign w:val="top"/>
          </w:tcPr>
          <w:p w14:paraId="3334E1E4">
            <w:pPr>
              <w:pStyle w:val="6"/>
              <w:spacing w:before="56" w:line="221" w:lineRule="auto"/>
              <w:ind w:left="170"/>
            </w:pPr>
            <w:r>
              <w:rPr>
                <w:spacing w:val="-2"/>
              </w:rPr>
              <w:t>华西小石积</w:t>
            </w:r>
          </w:p>
        </w:tc>
        <w:tc>
          <w:tcPr>
            <w:tcW w:w="3632" w:type="dxa"/>
            <w:vAlign w:val="top"/>
          </w:tcPr>
          <w:p w14:paraId="58A1E311">
            <w:pPr>
              <w:spacing w:before="88" w:line="221" w:lineRule="auto"/>
              <w:ind w:left="114"/>
              <w:rPr>
                <w:rFonts w:ascii="Times New Roman" w:hAnsi="Times New Roman" w:eastAsia="Times New Roman" w:cs="Times New Roman"/>
                <w:sz w:val="21"/>
                <w:szCs w:val="21"/>
              </w:rPr>
            </w:pPr>
            <w:r>
              <w:rPr>
                <w:rFonts w:ascii="Times New Roman" w:hAnsi="Times New Roman" w:eastAsia="Times New Roman" w:cs="Times New Roman"/>
                <w:i/>
                <w:iCs/>
                <w:spacing w:val="-1"/>
                <w:sz w:val="21"/>
                <w:szCs w:val="21"/>
              </w:rPr>
              <w:t>Osteomeles schwerinae</w:t>
            </w:r>
          </w:p>
        </w:tc>
        <w:tc>
          <w:tcPr>
            <w:tcW w:w="1514" w:type="dxa"/>
            <w:vAlign w:val="top"/>
          </w:tcPr>
          <w:p w14:paraId="62DDE55C">
            <w:pPr>
              <w:pStyle w:val="6"/>
              <w:spacing w:before="55" w:line="221" w:lineRule="auto"/>
              <w:ind w:left="557"/>
            </w:pPr>
            <w:r>
              <w:rPr>
                <w:spacing w:val="-3"/>
              </w:rPr>
              <w:t>灌木</w:t>
            </w:r>
          </w:p>
        </w:tc>
        <w:tc>
          <w:tcPr>
            <w:tcW w:w="1708" w:type="dxa"/>
            <w:vAlign w:val="top"/>
          </w:tcPr>
          <w:p w14:paraId="791A1D24">
            <w:pPr>
              <w:pStyle w:val="6"/>
              <w:spacing w:before="55" w:line="223" w:lineRule="auto"/>
              <w:ind w:left="752"/>
            </w:pPr>
            <w:r>
              <w:t>少</w:t>
            </w:r>
          </w:p>
        </w:tc>
      </w:tr>
    </w:tbl>
    <w:p w14:paraId="705AB246">
      <w:pPr>
        <w:rPr>
          <w:rFonts w:ascii="Arial"/>
          <w:sz w:val="21"/>
        </w:rPr>
      </w:pPr>
    </w:p>
    <w:p w14:paraId="0B279C81">
      <w:pPr>
        <w:rPr>
          <w:rFonts w:ascii="Arial" w:hAnsi="Arial" w:eastAsia="Arial" w:cs="Arial"/>
          <w:sz w:val="21"/>
          <w:szCs w:val="21"/>
        </w:rPr>
        <w:sectPr>
          <w:footerReference r:id="rId166" w:type="default"/>
          <w:pgSz w:w="11907" w:h="16841"/>
          <w:pgMar w:top="400" w:right="1309" w:bottom="1126" w:left="1418" w:header="0" w:footer="925" w:gutter="0"/>
          <w:cols w:space="720" w:num="1"/>
        </w:sectPr>
      </w:pPr>
    </w:p>
    <w:p w14:paraId="0F5FE782">
      <w:pPr>
        <w:spacing w:before="2"/>
      </w:pPr>
    </w:p>
    <w:p w14:paraId="3C09786E">
      <w:pPr>
        <w:spacing w:before="2"/>
      </w:pPr>
    </w:p>
    <w:p w14:paraId="02B41254">
      <w:pPr>
        <w:spacing w:before="1"/>
      </w:pPr>
    </w:p>
    <w:p w14:paraId="448C80B2">
      <w:pPr>
        <w:spacing w:before="1"/>
      </w:pPr>
    </w:p>
    <w:p w14:paraId="7AE1193D">
      <w:pPr>
        <w:spacing w:before="1"/>
      </w:pP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30"/>
        <w:gridCol w:w="1384"/>
        <w:gridCol w:w="3632"/>
        <w:gridCol w:w="1514"/>
        <w:gridCol w:w="1708"/>
      </w:tblGrid>
      <w:tr w14:paraId="2A53FF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830" w:type="dxa"/>
            <w:vAlign w:val="top"/>
          </w:tcPr>
          <w:p w14:paraId="5E04F8F7">
            <w:pPr>
              <w:spacing w:before="93" w:line="217"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15</w:t>
            </w:r>
          </w:p>
        </w:tc>
        <w:tc>
          <w:tcPr>
            <w:tcW w:w="1384" w:type="dxa"/>
            <w:vAlign w:val="top"/>
          </w:tcPr>
          <w:p w14:paraId="56F9661B">
            <w:pPr>
              <w:pStyle w:val="6"/>
              <w:spacing w:before="58" w:line="221" w:lineRule="auto"/>
              <w:ind w:left="383"/>
            </w:pPr>
            <w:r>
              <w:rPr>
                <w:spacing w:val="-3"/>
              </w:rPr>
              <w:t>云南松</w:t>
            </w:r>
          </w:p>
        </w:tc>
        <w:tc>
          <w:tcPr>
            <w:tcW w:w="3632" w:type="dxa"/>
            <w:vAlign w:val="top"/>
          </w:tcPr>
          <w:p w14:paraId="25313D77">
            <w:pPr>
              <w:spacing w:before="93" w:line="191" w:lineRule="auto"/>
              <w:ind w:left="97"/>
              <w:rPr>
                <w:rFonts w:ascii="Times New Roman" w:hAnsi="Times New Roman" w:eastAsia="Times New Roman" w:cs="Times New Roman"/>
                <w:sz w:val="21"/>
                <w:szCs w:val="21"/>
              </w:rPr>
            </w:pPr>
            <w:r>
              <w:rPr>
                <w:rFonts w:ascii="Times New Roman" w:hAnsi="Times New Roman" w:eastAsia="Times New Roman" w:cs="Times New Roman"/>
                <w:i/>
                <w:iCs/>
                <w:spacing w:val="1"/>
                <w:sz w:val="21"/>
                <w:szCs w:val="21"/>
              </w:rPr>
              <w:t>Pinus</w:t>
            </w:r>
            <w:r>
              <w:rPr>
                <w:rFonts w:ascii="Times New Roman" w:hAnsi="Times New Roman" w:eastAsia="Times New Roman" w:cs="Times New Roman"/>
                <w:i/>
                <w:iCs/>
                <w:spacing w:val="-10"/>
                <w:sz w:val="21"/>
                <w:szCs w:val="21"/>
              </w:rPr>
              <w:t xml:space="preserve"> </w:t>
            </w:r>
            <w:r>
              <w:rPr>
                <w:rFonts w:ascii="Times New Roman" w:hAnsi="Times New Roman" w:eastAsia="Times New Roman" w:cs="Times New Roman"/>
                <w:i/>
                <w:iCs/>
                <w:spacing w:val="1"/>
                <w:sz w:val="21"/>
                <w:szCs w:val="21"/>
              </w:rPr>
              <w:t>yunnanensis</w:t>
            </w:r>
          </w:p>
        </w:tc>
        <w:tc>
          <w:tcPr>
            <w:tcW w:w="1514" w:type="dxa"/>
            <w:vAlign w:val="top"/>
          </w:tcPr>
          <w:p w14:paraId="0EA08695">
            <w:pPr>
              <w:pStyle w:val="6"/>
              <w:spacing w:before="58" w:line="221" w:lineRule="auto"/>
              <w:ind w:left="557"/>
            </w:pPr>
            <w:r>
              <w:rPr>
                <w:spacing w:val="-3"/>
              </w:rPr>
              <w:t>灌木</w:t>
            </w:r>
          </w:p>
        </w:tc>
        <w:tc>
          <w:tcPr>
            <w:tcW w:w="1708" w:type="dxa"/>
            <w:vAlign w:val="top"/>
          </w:tcPr>
          <w:p w14:paraId="3B3A4694">
            <w:pPr>
              <w:pStyle w:val="6"/>
              <w:spacing w:before="58" w:line="222" w:lineRule="auto"/>
              <w:ind w:left="761"/>
            </w:pPr>
            <w:r>
              <w:t>多</w:t>
            </w:r>
          </w:p>
        </w:tc>
      </w:tr>
      <w:tr w14:paraId="18DCDC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30" w:type="dxa"/>
            <w:vAlign w:val="top"/>
          </w:tcPr>
          <w:p w14:paraId="2D4A45AD">
            <w:pPr>
              <w:spacing w:before="88" w:line="219"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16</w:t>
            </w:r>
          </w:p>
        </w:tc>
        <w:tc>
          <w:tcPr>
            <w:tcW w:w="1384" w:type="dxa"/>
            <w:vAlign w:val="top"/>
          </w:tcPr>
          <w:p w14:paraId="3DA9C881">
            <w:pPr>
              <w:pStyle w:val="6"/>
              <w:spacing w:before="52" w:line="221" w:lineRule="auto"/>
              <w:ind w:left="377"/>
            </w:pPr>
            <w:r>
              <w:rPr>
                <w:spacing w:val="-1"/>
              </w:rPr>
              <w:t>黄连木</w:t>
            </w:r>
          </w:p>
        </w:tc>
        <w:tc>
          <w:tcPr>
            <w:tcW w:w="3632" w:type="dxa"/>
            <w:vAlign w:val="top"/>
          </w:tcPr>
          <w:p w14:paraId="5927A9CC">
            <w:pPr>
              <w:spacing w:before="88" w:line="219" w:lineRule="auto"/>
              <w:ind w:left="97"/>
              <w:rPr>
                <w:rFonts w:ascii="Times New Roman" w:hAnsi="Times New Roman" w:eastAsia="Times New Roman" w:cs="Times New Roman"/>
                <w:sz w:val="21"/>
                <w:szCs w:val="21"/>
              </w:rPr>
            </w:pPr>
            <w:r>
              <w:rPr>
                <w:rFonts w:ascii="Times New Roman" w:hAnsi="Times New Roman" w:eastAsia="Times New Roman" w:cs="Times New Roman"/>
                <w:i/>
                <w:iCs/>
                <w:sz w:val="21"/>
                <w:szCs w:val="21"/>
              </w:rPr>
              <w:t>Pistacia</w:t>
            </w:r>
            <w:r>
              <w:rPr>
                <w:rFonts w:ascii="Times New Roman" w:hAnsi="Times New Roman" w:eastAsia="Times New Roman" w:cs="Times New Roman"/>
                <w:i/>
                <w:iCs/>
                <w:spacing w:val="8"/>
                <w:sz w:val="21"/>
                <w:szCs w:val="21"/>
              </w:rPr>
              <w:t xml:space="preserve"> </w:t>
            </w:r>
            <w:r>
              <w:rPr>
                <w:rFonts w:ascii="Times New Roman" w:hAnsi="Times New Roman" w:eastAsia="Times New Roman" w:cs="Times New Roman"/>
                <w:i/>
                <w:iCs/>
                <w:sz w:val="21"/>
                <w:szCs w:val="21"/>
              </w:rPr>
              <w:t>chinensis</w:t>
            </w:r>
          </w:p>
        </w:tc>
        <w:tc>
          <w:tcPr>
            <w:tcW w:w="1514" w:type="dxa"/>
            <w:vAlign w:val="top"/>
          </w:tcPr>
          <w:p w14:paraId="4AE4D047">
            <w:pPr>
              <w:pStyle w:val="6"/>
              <w:spacing w:before="52" w:line="221" w:lineRule="auto"/>
              <w:ind w:left="557"/>
            </w:pPr>
            <w:r>
              <w:rPr>
                <w:spacing w:val="-3"/>
              </w:rPr>
              <w:t>灌木</w:t>
            </w:r>
          </w:p>
        </w:tc>
        <w:tc>
          <w:tcPr>
            <w:tcW w:w="1708" w:type="dxa"/>
            <w:vAlign w:val="top"/>
          </w:tcPr>
          <w:p w14:paraId="7F4B4791">
            <w:pPr>
              <w:pStyle w:val="6"/>
              <w:spacing w:before="53" w:line="223" w:lineRule="auto"/>
              <w:ind w:left="752"/>
            </w:pPr>
            <w:r>
              <w:t>少</w:t>
            </w:r>
          </w:p>
        </w:tc>
      </w:tr>
      <w:tr w14:paraId="7D747F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30D79A20">
            <w:pPr>
              <w:spacing w:before="85" w:line="219"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17</w:t>
            </w:r>
          </w:p>
        </w:tc>
        <w:tc>
          <w:tcPr>
            <w:tcW w:w="1384" w:type="dxa"/>
            <w:vAlign w:val="top"/>
          </w:tcPr>
          <w:p w14:paraId="13D7C3C6">
            <w:pPr>
              <w:pStyle w:val="6"/>
              <w:spacing w:before="50" w:line="221" w:lineRule="auto"/>
              <w:ind w:left="483"/>
            </w:pPr>
            <w:r>
              <w:rPr>
                <w:spacing w:val="-2"/>
              </w:rPr>
              <w:t>滇杨</w:t>
            </w:r>
          </w:p>
        </w:tc>
        <w:tc>
          <w:tcPr>
            <w:tcW w:w="3632" w:type="dxa"/>
            <w:vAlign w:val="top"/>
          </w:tcPr>
          <w:p w14:paraId="6ED879D0">
            <w:pPr>
              <w:spacing w:before="83" w:line="193" w:lineRule="auto"/>
              <w:ind w:left="97"/>
              <w:rPr>
                <w:rFonts w:ascii="Times New Roman" w:hAnsi="Times New Roman" w:eastAsia="Times New Roman" w:cs="Times New Roman"/>
                <w:sz w:val="21"/>
                <w:szCs w:val="21"/>
              </w:rPr>
            </w:pPr>
            <w:r>
              <w:rPr>
                <w:rFonts w:ascii="Times New Roman" w:hAnsi="Times New Roman" w:eastAsia="Times New Roman" w:cs="Times New Roman"/>
                <w:i/>
                <w:iCs/>
                <w:spacing w:val="1"/>
                <w:sz w:val="21"/>
                <w:szCs w:val="21"/>
              </w:rPr>
              <w:t>Populus</w:t>
            </w:r>
            <w:r>
              <w:rPr>
                <w:rFonts w:ascii="Times New Roman" w:hAnsi="Times New Roman" w:eastAsia="Times New Roman" w:cs="Times New Roman"/>
                <w:i/>
                <w:iCs/>
                <w:spacing w:val="-11"/>
                <w:sz w:val="21"/>
                <w:szCs w:val="21"/>
              </w:rPr>
              <w:t xml:space="preserve"> </w:t>
            </w:r>
            <w:r>
              <w:rPr>
                <w:rFonts w:ascii="Times New Roman" w:hAnsi="Times New Roman" w:eastAsia="Times New Roman" w:cs="Times New Roman"/>
                <w:i/>
                <w:iCs/>
                <w:spacing w:val="1"/>
                <w:sz w:val="21"/>
                <w:szCs w:val="21"/>
              </w:rPr>
              <w:t>yunnanensis</w:t>
            </w:r>
          </w:p>
        </w:tc>
        <w:tc>
          <w:tcPr>
            <w:tcW w:w="1514" w:type="dxa"/>
            <w:vAlign w:val="top"/>
          </w:tcPr>
          <w:p w14:paraId="367A2EC5">
            <w:pPr>
              <w:pStyle w:val="6"/>
              <w:spacing w:before="50" w:line="221" w:lineRule="auto"/>
              <w:ind w:left="557"/>
            </w:pPr>
            <w:r>
              <w:rPr>
                <w:spacing w:val="-3"/>
              </w:rPr>
              <w:t>灌木</w:t>
            </w:r>
          </w:p>
        </w:tc>
        <w:tc>
          <w:tcPr>
            <w:tcW w:w="1708" w:type="dxa"/>
            <w:vAlign w:val="top"/>
          </w:tcPr>
          <w:p w14:paraId="0AEF5CAE">
            <w:pPr>
              <w:pStyle w:val="6"/>
              <w:spacing w:before="50" w:line="223" w:lineRule="auto"/>
              <w:ind w:left="752"/>
            </w:pPr>
            <w:r>
              <w:t>少</w:t>
            </w:r>
          </w:p>
        </w:tc>
      </w:tr>
      <w:tr w14:paraId="194FB1C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30" w:type="dxa"/>
            <w:vAlign w:val="top"/>
          </w:tcPr>
          <w:p w14:paraId="472546B6">
            <w:pPr>
              <w:spacing w:before="86" w:line="219"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18</w:t>
            </w:r>
          </w:p>
        </w:tc>
        <w:tc>
          <w:tcPr>
            <w:tcW w:w="1384" w:type="dxa"/>
            <w:vAlign w:val="top"/>
          </w:tcPr>
          <w:p w14:paraId="3435A40B">
            <w:pPr>
              <w:pStyle w:val="6"/>
              <w:spacing w:before="51" w:line="221" w:lineRule="auto"/>
              <w:ind w:left="485"/>
            </w:pPr>
            <w:r>
              <w:rPr>
                <w:spacing w:val="-2"/>
              </w:rPr>
              <w:t>火棘</w:t>
            </w:r>
          </w:p>
        </w:tc>
        <w:tc>
          <w:tcPr>
            <w:tcW w:w="3632" w:type="dxa"/>
            <w:vAlign w:val="top"/>
          </w:tcPr>
          <w:p w14:paraId="0CAE4AA8">
            <w:pPr>
              <w:spacing w:before="84" w:line="193" w:lineRule="auto"/>
              <w:ind w:left="97"/>
              <w:rPr>
                <w:rFonts w:ascii="Times New Roman" w:hAnsi="Times New Roman" w:eastAsia="Times New Roman" w:cs="Times New Roman"/>
                <w:sz w:val="21"/>
                <w:szCs w:val="21"/>
              </w:rPr>
            </w:pPr>
            <w:r>
              <w:rPr>
                <w:rFonts w:ascii="Times New Roman" w:hAnsi="Times New Roman" w:eastAsia="Times New Roman" w:cs="Times New Roman"/>
                <w:i/>
                <w:iCs/>
                <w:spacing w:val="2"/>
                <w:sz w:val="21"/>
                <w:szCs w:val="21"/>
              </w:rPr>
              <w:t>Pyracantha</w:t>
            </w:r>
            <w:r>
              <w:rPr>
                <w:rFonts w:ascii="Times New Roman" w:hAnsi="Times New Roman" w:eastAsia="Times New Roman" w:cs="Times New Roman"/>
                <w:i/>
                <w:iCs/>
                <w:spacing w:val="-34"/>
                <w:sz w:val="21"/>
                <w:szCs w:val="21"/>
              </w:rPr>
              <w:t xml:space="preserve"> </w:t>
            </w:r>
            <w:r>
              <w:rPr>
                <w:rFonts w:ascii="Times New Roman" w:hAnsi="Times New Roman" w:eastAsia="Times New Roman" w:cs="Times New Roman"/>
                <w:i/>
                <w:iCs/>
                <w:spacing w:val="2"/>
                <w:sz w:val="21"/>
                <w:szCs w:val="21"/>
              </w:rPr>
              <w:t>fortuneana</w:t>
            </w:r>
          </w:p>
        </w:tc>
        <w:tc>
          <w:tcPr>
            <w:tcW w:w="1514" w:type="dxa"/>
            <w:vAlign w:val="top"/>
          </w:tcPr>
          <w:p w14:paraId="191CA6C8">
            <w:pPr>
              <w:pStyle w:val="6"/>
              <w:spacing w:before="51" w:line="221" w:lineRule="auto"/>
              <w:ind w:left="557"/>
            </w:pPr>
            <w:r>
              <w:rPr>
                <w:spacing w:val="-3"/>
              </w:rPr>
              <w:t>灌木</w:t>
            </w:r>
          </w:p>
        </w:tc>
        <w:tc>
          <w:tcPr>
            <w:tcW w:w="1708" w:type="dxa"/>
            <w:vAlign w:val="top"/>
          </w:tcPr>
          <w:p w14:paraId="64B48EC5">
            <w:pPr>
              <w:pStyle w:val="6"/>
              <w:spacing w:before="51" w:line="222" w:lineRule="auto"/>
              <w:ind w:left="648"/>
            </w:pPr>
            <w:r>
              <w:rPr>
                <w:spacing w:val="-2"/>
              </w:rPr>
              <w:t>较多</w:t>
            </w:r>
          </w:p>
        </w:tc>
      </w:tr>
      <w:tr w14:paraId="7693E5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7B65FE76">
            <w:pPr>
              <w:spacing w:before="86" w:line="218" w:lineRule="auto"/>
              <w:ind w:left="331"/>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19</w:t>
            </w:r>
          </w:p>
        </w:tc>
        <w:tc>
          <w:tcPr>
            <w:tcW w:w="1384" w:type="dxa"/>
            <w:vAlign w:val="top"/>
          </w:tcPr>
          <w:p w14:paraId="22BAA4AF">
            <w:pPr>
              <w:pStyle w:val="6"/>
              <w:spacing w:before="50" w:line="221" w:lineRule="auto"/>
              <w:ind w:left="278"/>
            </w:pPr>
            <w:r>
              <w:rPr>
                <w:spacing w:val="-3"/>
              </w:rPr>
              <w:t>薄叶鼠李</w:t>
            </w:r>
          </w:p>
        </w:tc>
        <w:tc>
          <w:tcPr>
            <w:tcW w:w="3632" w:type="dxa"/>
            <w:vAlign w:val="top"/>
          </w:tcPr>
          <w:p w14:paraId="618DB8C3">
            <w:pPr>
              <w:spacing w:before="83" w:line="193" w:lineRule="auto"/>
              <w:ind w:left="97"/>
              <w:rPr>
                <w:rFonts w:ascii="Times New Roman" w:hAnsi="Times New Roman" w:eastAsia="Times New Roman" w:cs="Times New Roman"/>
                <w:sz w:val="21"/>
                <w:szCs w:val="21"/>
              </w:rPr>
            </w:pPr>
            <w:r>
              <w:rPr>
                <w:rFonts w:ascii="Times New Roman" w:hAnsi="Times New Roman" w:eastAsia="Times New Roman" w:cs="Times New Roman"/>
                <w:i/>
                <w:iCs/>
                <w:sz w:val="21"/>
                <w:szCs w:val="21"/>
              </w:rPr>
              <w:t>Rhamnus</w:t>
            </w:r>
            <w:r>
              <w:rPr>
                <w:rFonts w:ascii="Times New Roman" w:hAnsi="Times New Roman" w:eastAsia="Times New Roman" w:cs="Times New Roman"/>
                <w:i/>
                <w:iCs/>
                <w:spacing w:val="10"/>
                <w:sz w:val="21"/>
                <w:szCs w:val="21"/>
              </w:rPr>
              <w:t xml:space="preserve"> </w:t>
            </w:r>
            <w:r>
              <w:rPr>
                <w:rFonts w:ascii="Times New Roman" w:hAnsi="Times New Roman" w:eastAsia="Times New Roman" w:cs="Times New Roman"/>
                <w:i/>
                <w:iCs/>
                <w:sz w:val="21"/>
                <w:szCs w:val="21"/>
              </w:rPr>
              <w:t>leptophylla</w:t>
            </w:r>
          </w:p>
        </w:tc>
        <w:tc>
          <w:tcPr>
            <w:tcW w:w="1514" w:type="dxa"/>
            <w:vAlign w:val="top"/>
          </w:tcPr>
          <w:p w14:paraId="50AB0821">
            <w:pPr>
              <w:pStyle w:val="6"/>
              <w:spacing w:before="50" w:line="221" w:lineRule="auto"/>
              <w:ind w:left="557"/>
            </w:pPr>
            <w:r>
              <w:rPr>
                <w:spacing w:val="-3"/>
              </w:rPr>
              <w:t>灌木</w:t>
            </w:r>
          </w:p>
        </w:tc>
        <w:tc>
          <w:tcPr>
            <w:tcW w:w="1708" w:type="dxa"/>
            <w:vAlign w:val="top"/>
          </w:tcPr>
          <w:p w14:paraId="54D3670F">
            <w:pPr>
              <w:pStyle w:val="6"/>
              <w:spacing w:before="50" w:line="223" w:lineRule="auto"/>
              <w:ind w:left="752"/>
            </w:pPr>
            <w:r>
              <w:t>少</w:t>
            </w:r>
          </w:p>
        </w:tc>
      </w:tr>
      <w:tr w14:paraId="6BA655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2630F02D">
            <w:pPr>
              <w:spacing w:before="86" w:line="218" w:lineRule="auto"/>
              <w:ind w:left="3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w:t>
            </w:r>
          </w:p>
        </w:tc>
        <w:tc>
          <w:tcPr>
            <w:tcW w:w="1384" w:type="dxa"/>
            <w:vAlign w:val="top"/>
          </w:tcPr>
          <w:p w14:paraId="0528251D">
            <w:pPr>
              <w:pStyle w:val="6"/>
              <w:spacing w:before="51" w:line="221" w:lineRule="auto"/>
              <w:ind w:left="274"/>
            </w:pPr>
            <w:r>
              <w:rPr>
                <w:spacing w:val="-2"/>
              </w:rPr>
              <w:t>柄花茜草</w:t>
            </w:r>
          </w:p>
        </w:tc>
        <w:tc>
          <w:tcPr>
            <w:tcW w:w="3632" w:type="dxa"/>
            <w:vAlign w:val="top"/>
          </w:tcPr>
          <w:p w14:paraId="1E5FA019">
            <w:pPr>
              <w:spacing w:before="84" w:line="193" w:lineRule="auto"/>
              <w:ind w:left="97"/>
              <w:rPr>
                <w:rFonts w:ascii="Times New Roman" w:hAnsi="Times New Roman" w:eastAsia="Times New Roman" w:cs="Times New Roman"/>
                <w:sz w:val="21"/>
                <w:szCs w:val="21"/>
              </w:rPr>
            </w:pPr>
            <w:r>
              <w:rPr>
                <w:rFonts w:ascii="Times New Roman" w:hAnsi="Times New Roman" w:eastAsia="Times New Roman" w:cs="Times New Roman"/>
                <w:i/>
                <w:iCs/>
                <w:spacing w:val="2"/>
                <w:sz w:val="21"/>
                <w:szCs w:val="21"/>
              </w:rPr>
              <w:t>Rubia</w:t>
            </w:r>
            <w:r>
              <w:rPr>
                <w:rFonts w:ascii="Times New Roman" w:hAnsi="Times New Roman" w:eastAsia="Times New Roman" w:cs="Times New Roman"/>
                <w:i/>
                <w:iCs/>
                <w:spacing w:val="-20"/>
                <w:sz w:val="21"/>
                <w:szCs w:val="21"/>
              </w:rPr>
              <w:t xml:space="preserve"> </w:t>
            </w:r>
            <w:r>
              <w:rPr>
                <w:rFonts w:ascii="Times New Roman" w:hAnsi="Times New Roman" w:eastAsia="Times New Roman" w:cs="Times New Roman"/>
                <w:i/>
                <w:iCs/>
                <w:spacing w:val="2"/>
                <w:sz w:val="21"/>
                <w:szCs w:val="21"/>
              </w:rPr>
              <w:t>podantha</w:t>
            </w:r>
          </w:p>
        </w:tc>
        <w:tc>
          <w:tcPr>
            <w:tcW w:w="1514" w:type="dxa"/>
            <w:vAlign w:val="top"/>
          </w:tcPr>
          <w:p w14:paraId="51E16588">
            <w:pPr>
              <w:pStyle w:val="6"/>
              <w:spacing w:before="51" w:line="220" w:lineRule="auto"/>
              <w:ind w:left="556"/>
            </w:pPr>
            <w:r>
              <w:rPr>
                <w:spacing w:val="-2"/>
              </w:rPr>
              <w:t>草本</w:t>
            </w:r>
          </w:p>
        </w:tc>
        <w:tc>
          <w:tcPr>
            <w:tcW w:w="1708" w:type="dxa"/>
            <w:vAlign w:val="top"/>
          </w:tcPr>
          <w:p w14:paraId="63EBEA7B">
            <w:pPr>
              <w:pStyle w:val="6"/>
              <w:spacing w:before="51" w:line="223" w:lineRule="auto"/>
              <w:ind w:left="752"/>
            </w:pPr>
            <w:r>
              <w:t>少</w:t>
            </w:r>
          </w:p>
        </w:tc>
      </w:tr>
      <w:tr w14:paraId="0EC0174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5C894969">
            <w:pPr>
              <w:spacing w:before="87" w:line="217" w:lineRule="auto"/>
              <w:ind w:left="3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w:t>
            </w:r>
          </w:p>
        </w:tc>
        <w:tc>
          <w:tcPr>
            <w:tcW w:w="1384" w:type="dxa"/>
            <w:vAlign w:val="top"/>
          </w:tcPr>
          <w:p w14:paraId="58729005">
            <w:pPr>
              <w:pStyle w:val="6"/>
              <w:spacing w:before="52" w:line="220" w:lineRule="auto"/>
              <w:ind w:left="485"/>
            </w:pPr>
            <w:r>
              <w:rPr>
                <w:spacing w:val="-2"/>
              </w:rPr>
              <w:t>丑柳</w:t>
            </w:r>
          </w:p>
        </w:tc>
        <w:tc>
          <w:tcPr>
            <w:tcW w:w="3632" w:type="dxa"/>
            <w:vAlign w:val="top"/>
          </w:tcPr>
          <w:p w14:paraId="34DC1E71">
            <w:pPr>
              <w:spacing w:before="84" w:line="220" w:lineRule="auto"/>
              <w:ind w:left="103"/>
              <w:rPr>
                <w:rFonts w:ascii="Times New Roman" w:hAnsi="Times New Roman" w:eastAsia="Times New Roman" w:cs="Times New Roman"/>
                <w:sz w:val="21"/>
                <w:szCs w:val="21"/>
              </w:rPr>
            </w:pPr>
            <w:r>
              <w:rPr>
                <w:rFonts w:ascii="Times New Roman" w:hAnsi="Times New Roman" w:eastAsia="Times New Roman" w:cs="Times New Roman"/>
                <w:i/>
                <w:iCs/>
                <w:sz w:val="21"/>
                <w:szCs w:val="21"/>
              </w:rPr>
              <w:t>Salix</w:t>
            </w:r>
            <w:r>
              <w:rPr>
                <w:rFonts w:ascii="Times New Roman" w:hAnsi="Times New Roman" w:eastAsia="Times New Roman" w:cs="Times New Roman"/>
                <w:i/>
                <w:iCs/>
                <w:spacing w:val="1"/>
                <w:sz w:val="21"/>
                <w:szCs w:val="21"/>
              </w:rPr>
              <w:t xml:space="preserve"> </w:t>
            </w:r>
            <w:r>
              <w:rPr>
                <w:rFonts w:ascii="Times New Roman" w:hAnsi="Times New Roman" w:eastAsia="Times New Roman" w:cs="Times New Roman"/>
                <w:i/>
                <w:iCs/>
                <w:sz w:val="21"/>
                <w:szCs w:val="21"/>
              </w:rPr>
              <w:t>inamoena</w:t>
            </w:r>
          </w:p>
        </w:tc>
        <w:tc>
          <w:tcPr>
            <w:tcW w:w="1514" w:type="dxa"/>
            <w:vAlign w:val="top"/>
          </w:tcPr>
          <w:p w14:paraId="7E0FA54D">
            <w:pPr>
              <w:pStyle w:val="6"/>
              <w:spacing w:before="51" w:line="221" w:lineRule="auto"/>
              <w:ind w:left="557"/>
            </w:pPr>
            <w:r>
              <w:rPr>
                <w:spacing w:val="-3"/>
              </w:rPr>
              <w:t>灌木</w:t>
            </w:r>
          </w:p>
        </w:tc>
        <w:tc>
          <w:tcPr>
            <w:tcW w:w="1708" w:type="dxa"/>
            <w:vAlign w:val="top"/>
          </w:tcPr>
          <w:p w14:paraId="447A45EE">
            <w:pPr>
              <w:pStyle w:val="6"/>
              <w:spacing w:before="52" w:line="223" w:lineRule="auto"/>
              <w:ind w:left="752"/>
            </w:pPr>
            <w:r>
              <w:t>少</w:t>
            </w:r>
          </w:p>
        </w:tc>
      </w:tr>
      <w:tr w14:paraId="1BBC6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30" w:type="dxa"/>
            <w:vAlign w:val="top"/>
          </w:tcPr>
          <w:p w14:paraId="48D9608B">
            <w:pPr>
              <w:spacing w:before="90" w:line="217" w:lineRule="auto"/>
              <w:ind w:left="3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w:t>
            </w:r>
          </w:p>
        </w:tc>
        <w:tc>
          <w:tcPr>
            <w:tcW w:w="1384" w:type="dxa"/>
            <w:vAlign w:val="top"/>
          </w:tcPr>
          <w:p w14:paraId="38BDC8FF">
            <w:pPr>
              <w:pStyle w:val="6"/>
              <w:spacing w:before="54" w:line="221" w:lineRule="auto"/>
              <w:ind w:left="408"/>
            </w:pPr>
            <w:r>
              <w:rPr>
                <w:spacing w:val="-8"/>
              </w:rPr>
              <w:t>白刺花</w:t>
            </w:r>
          </w:p>
        </w:tc>
        <w:tc>
          <w:tcPr>
            <w:tcW w:w="3632" w:type="dxa"/>
            <w:vAlign w:val="top"/>
          </w:tcPr>
          <w:p w14:paraId="47F71E71">
            <w:pPr>
              <w:spacing w:before="87" w:line="194" w:lineRule="auto"/>
              <w:ind w:left="103"/>
              <w:rPr>
                <w:rFonts w:ascii="Times New Roman" w:hAnsi="Times New Roman" w:eastAsia="Times New Roman" w:cs="Times New Roman"/>
                <w:sz w:val="21"/>
                <w:szCs w:val="21"/>
              </w:rPr>
            </w:pPr>
            <w:r>
              <w:rPr>
                <w:rFonts w:ascii="Times New Roman" w:hAnsi="Times New Roman" w:eastAsia="Times New Roman" w:cs="Times New Roman"/>
                <w:i/>
                <w:iCs/>
                <w:sz w:val="21"/>
                <w:szCs w:val="21"/>
              </w:rPr>
              <w:t>Sophora</w:t>
            </w:r>
            <w:r>
              <w:rPr>
                <w:rFonts w:ascii="Times New Roman" w:hAnsi="Times New Roman" w:eastAsia="Times New Roman" w:cs="Times New Roman"/>
                <w:i/>
                <w:iCs/>
                <w:spacing w:val="1"/>
                <w:sz w:val="21"/>
                <w:szCs w:val="21"/>
              </w:rPr>
              <w:t xml:space="preserve"> </w:t>
            </w:r>
            <w:r>
              <w:rPr>
                <w:rFonts w:ascii="Times New Roman" w:hAnsi="Times New Roman" w:eastAsia="Times New Roman" w:cs="Times New Roman"/>
                <w:i/>
                <w:iCs/>
                <w:sz w:val="21"/>
                <w:szCs w:val="21"/>
              </w:rPr>
              <w:t>davidii</w:t>
            </w:r>
          </w:p>
        </w:tc>
        <w:tc>
          <w:tcPr>
            <w:tcW w:w="1514" w:type="dxa"/>
            <w:vAlign w:val="top"/>
          </w:tcPr>
          <w:p w14:paraId="5517652B">
            <w:pPr>
              <w:pStyle w:val="6"/>
              <w:spacing w:before="54" w:line="221" w:lineRule="auto"/>
              <w:ind w:left="557"/>
            </w:pPr>
            <w:r>
              <w:rPr>
                <w:spacing w:val="-3"/>
              </w:rPr>
              <w:t>灌木</w:t>
            </w:r>
          </w:p>
        </w:tc>
        <w:tc>
          <w:tcPr>
            <w:tcW w:w="1708" w:type="dxa"/>
            <w:vAlign w:val="top"/>
          </w:tcPr>
          <w:p w14:paraId="5B12CF73">
            <w:pPr>
              <w:pStyle w:val="6"/>
              <w:spacing w:before="55" w:line="222" w:lineRule="auto"/>
              <w:ind w:left="761"/>
            </w:pPr>
            <w:r>
              <w:t>多</w:t>
            </w:r>
          </w:p>
        </w:tc>
      </w:tr>
      <w:tr w14:paraId="7980DB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7B50109B">
            <w:pPr>
              <w:spacing w:before="87" w:line="217" w:lineRule="auto"/>
              <w:ind w:left="3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w:t>
            </w:r>
          </w:p>
        </w:tc>
        <w:tc>
          <w:tcPr>
            <w:tcW w:w="1384" w:type="dxa"/>
            <w:vAlign w:val="top"/>
          </w:tcPr>
          <w:p w14:paraId="1D0BF003">
            <w:pPr>
              <w:pStyle w:val="6"/>
              <w:spacing w:before="52" w:line="221" w:lineRule="auto"/>
              <w:ind w:left="189"/>
            </w:pPr>
            <w:r>
              <w:rPr>
                <w:spacing w:val="-5"/>
              </w:rPr>
              <w:t>中华绣线菊</w:t>
            </w:r>
          </w:p>
        </w:tc>
        <w:tc>
          <w:tcPr>
            <w:tcW w:w="3632" w:type="dxa"/>
            <w:vAlign w:val="top"/>
          </w:tcPr>
          <w:p w14:paraId="2B99E177">
            <w:pPr>
              <w:spacing w:before="87" w:line="192" w:lineRule="auto"/>
              <w:ind w:left="103"/>
              <w:rPr>
                <w:rFonts w:ascii="Times New Roman" w:hAnsi="Times New Roman" w:eastAsia="Times New Roman" w:cs="Times New Roman"/>
                <w:sz w:val="21"/>
                <w:szCs w:val="21"/>
              </w:rPr>
            </w:pPr>
            <w:r>
              <w:rPr>
                <w:rFonts w:ascii="Times New Roman" w:hAnsi="Times New Roman" w:eastAsia="Times New Roman" w:cs="Times New Roman"/>
                <w:i/>
                <w:iCs/>
                <w:sz w:val="21"/>
                <w:szCs w:val="21"/>
              </w:rPr>
              <w:t>Spiraea</w:t>
            </w:r>
            <w:r>
              <w:rPr>
                <w:rFonts w:ascii="Times New Roman" w:hAnsi="Times New Roman" w:eastAsia="Times New Roman" w:cs="Times New Roman"/>
                <w:i/>
                <w:iCs/>
                <w:spacing w:val="1"/>
                <w:sz w:val="21"/>
                <w:szCs w:val="21"/>
              </w:rPr>
              <w:t xml:space="preserve"> </w:t>
            </w:r>
            <w:r>
              <w:rPr>
                <w:rFonts w:ascii="Times New Roman" w:hAnsi="Times New Roman" w:eastAsia="Times New Roman" w:cs="Times New Roman"/>
                <w:i/>
                <w:iCs/>
                <w:sz w:val="21"/>
                <w:szCs w:val="21"/>
              </w:rPr>
              <w:t>chinensis</w:t>
            </w:r>
          </w:p>
        </w:tc>
        <w:tc>
          <w:tcPr>
            <w:tcW w:w="1514" w:type="dxa"/>
            <w:vAlign w:val="top"/>
          </w:tcPr>
          <w:p w14:paraId="5431E1C3">
            <w:pPr>
              <w:pStyle w:val="6"/>
              <w:spacing w:before="52" w:line="221" w:lineRule="auto"/>
              <w:ind w:left="557"/>
            </w:pPr>
            <w:r>
              <w:rPr>
                <w:spacing w:val="-3"/>
              </w:rPr>
              <w:t>灌木</w:t>
            </w:r>
          </w:p>
        </w:tc>
        <w:tc>
          <w:tcPr>
            <w:tcW w:w="1708" w:type="dxa"/>
            <w:vAlign w:val="top"/>
          </w:tcPr>
          <w:p w14:paraId="7CA90478">
            <w:pPr>
              <w:pStyle w:val="6"/>
              <w:spacing w:before="53" w:line="222" w:lineRule="auto"/>
              <w:ind w:left="752"/>
            </w:pPr>
            <w:r>
              <w:t>少</w:t>
            </w:r>
          </w:p>
        </w:tc>
      </w:tr>
      <w:tr w14:paraId="594EC4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314370A9">
            <w:pPr>
              <w:spacing w:before="88" w:line="216" w:lineRule="auto"/>
              <w:ind w:left="3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24</w:t>
            </w:r>
          </w:p>
        </w:tc>
        <w:tc>
          <w:tcPr>
            <w:tcW w:w="1384" w:type="dxa"/>
            <w:vAlign w:val="top"/>
          </w:tcPr>
          <w:p w14:paraId="2EF44282">
            <w:pPr>
              <w:pStyle w:val="6"/>
              <w:spacing w:before="53" w:line="221" w:lineRule="auto"/>
              <w:ind w:left="280"/>
            </w:pPr>
            <w:r>
              <w:rPr>
                <w:spacing w:val="-3"/>
              </w:rPr>
              <w:t>云南繁缕</w:t>
            </w:r>
          </w:p>
        </w:tc>
        <w:tc>
          <w:tcPr>
            <w:tcW w:w="3632" w:type="dxa"/>
            <w:vAlign w:val="top"/>
          </w:tcPr>
          <w:p w14:paraId="789DA3CB">
            <w:pPr>
              <w:spacing w:before="86" w:line="193" w:lineRule="auto"/>
              <w:ind w:left="103"/>
              <w:rPr>
                <w:rFonts w:ascii="Times New Roman" w:hAnsi="Times New Roman" w:eastAsia="Times New Roman" w:cs="Times New Roman"/>
                <w:sz w:val="21"/>
                <w:szCs w:val="21"/>
              </w:rPr>
            </w:pPr>
            <w:r>
              <w:rPr>
                <w:rFonts w:ascii="Times New Roman" w:hAnsi="Times New Roman" w:eastAsia="Times New Roman" w:cs="Times New Roman"/>
                <w:i/>
                <w:iCs/>
                <w:spacing w:val="2"/>
                <w:sz w:val="21"/>
                <w:szCs w:val="21"/>
              </w:rPr>
              <w:t>Stellaria</w:t>
            </w:r>
            <w:r>
              <w:rPr>
                <w:rFonts w:ascii="Times New Roman" w:hAnsi="Times New Roman" w:eastAsia="Times New Roman" w:cs="Times New Roman"/>
                <w:i/>
                <w:iCs/>
                <w:spacing w:val="-13"/>
                <w:sz w:val="21"/>
                <w:szCs w:val="21"/>
              </w:rPr>
              <w:t xml:space="preserve"> </w:t>
            </w:r>
            <w:r>
              <w:rPr>
                <w:rFonts w:ascii="Times New Roman" w:hAnsi="Times New Roman" w:eastAsia="Times New Roman" w:cs="Times New Roman"/>
                <w:i/>
                <w:iCs/>
                <w:spacing w:val="2"/>
                <w:sz w:val="21"/>
                <w:szCs w:val="21"/>
              </w:rPr>
              <w:t>yunnanensis</w:t>
            </w:r>
            <w:r>
              <w:rPr>
                <w:rFonts w:ascii="Times New Roman" w:hAnsi="Times New Roman" w:eastAsia="Times New Roman" w:cs="Times New Roman"/>
                <w:i/>
                <w:iCs/>
                <w:spacing w:val="-37"/>
                <w:sz w:val="21"/>
                <w:szCs w:val="21"/>
              </w:rPr>
              <w:t xml:space="preserve"> </w:t>
            </w:r>
            <w:r>
              <w:rPr>
                <w:rFonts w:ascii="Times New Roman" w:hAnsi="Times New Roman" w:eastAsia="Times New Roman" w:cs="Times New Roman"/>
                <w:i/>
                <w:iCs/>
                <w:spacing w:val="2"/>
                <w:sz w:val="21"/>
                <w:szCs w:val="21"/>
              </w:rPr>
              <w:t>f.</w:t>
            </w:r>
            <w:r>
              <w:rPr>
                <w:rFonts w:ascii="Times New Roman" w:hAnsi="Times New Roman" w:eastAsia="Times New Roman" w:cs="Times New Roman"/>
                <w:i/>
                <w:iCs/>
                <w:spacing w:val="-16"/>
                <w:sz w:val="21"/>
                <w:szCs w:val="21"/>
              </w:rPr>
              <w:t xml:space="preserve"> </w:t>
            </w:r>
            <w:r>
              <w:rPr>
                <w:rFonts w:ascii="Times New Roman" w:hAnsi="Times New Roman" w:eastAsia="Times New Roman" w:cs="Times New Roman"/>
                <w:i/>
                <w:iCs/>
                <w:spacing w:val="2"/>
                <w:sz w:val="21"/>
                <w:szCs w:val="21"/>
              </w:rPr>
              <w:t>yunnanensis</w:t>
            </w:r>
          </w:p>
        </w:tc>
        <w:tc>
          <w:tcPr>
            <w:tcW w:w="1514" w:type="dxa"/>
            <w:vAlign w:val="top"/>
          </w:tcPr>
          <w:p w14:paraId="340DE853">
            <w:pPr>
              <w:pStyle w:val="6"/>
              <w:spacing w:before="53" w:line="220" w:lineRule="auto"/>
              <w:ind w:left="556"/>
            </w:pPr>
            <w:r>
              <w:rPr>
                <w:spacing w:val="-2"/>
              </w:rPr>
              <w:t>草本</w:t>
            </w:r>
          </w:p>
        </w:tc>
        <w:tc>
          <w:tcPr>
            <w:tcW w:w="1708" w:type="dxa"/>
            <w:vAlign w:val="top"/>
          </w:tcPr>
          <w:p w14:paraId="5E8595DE">
            <w:pPr>
              <w:pStyle w:val="6"/>
              <w:spacing w:before="53" w:line="222" w:lineRule="auto"/>
              <w:ind w:left="752"/>
            </w:pPr>
            <w:r>
              <w:t>少</w:t>
            </w:r>
          </w:p>
        </w:tc>
      </w:tr>
      <w:tr w14:paraId="641B6F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27E653F2">
            <w:pPr>
              <w:spacing w:before="89" w:line="215" w:lineRule="auto"/>
              <w:ind w:left="3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w:t>
            </w:r>
          </w:p>
        </w:tc>
        <w:tc>
          <w:tcPr>
            <w:tcW w:w="1384" w:type="dxa"/>
            <w:vAlign w:val="top"/>
          </w:tcPr>
          <w:p w14:paraId="7A9E8558">
            <w:pPr>
              <w:pStyle w:val="6"/>
              <w:spacing w:before="54" w:line="221" w:lineRule="auto"/>
              <w:ind w:left="379"/>
            </w:pPr>
            <w:r>
              <w:rPr>
                <w:spacing w:val="-2"/>
              </w:rPr>
              <w:t>蒲公英</w:t>
            </w:r>
          </w:p>
        </w:tc>
        <w:tc>
          <w:tcPr>
            <w:tcW w:w="3632" w:type="dxa"/>
            <w:vAlign w:val="top"/>
          </w:tcPr>
          <w:p w14:paraId="11AA1FAF">
            <w:pPr>
              <w:spacing w:before="86" w:line="193" w:lineRule="auto"/>
              <w:ind w:left="117"/>
              <w:rPr>
                <w:rFonts w:ascii="Times New Roman" w:hAnsi="Times New Roman" w:eastAsia="Times New Roman" w:cs="Times New Roman"/>
                <w:sz w:val="21"/>
                <w:szCs w:val="21"/>
              </w:rPr>
            </w:pPr>
            <w:r>
              <w:rPr>
                <w:rFonts w:ascii="Times New Roman" w:hAnsi="Times New Roman" w:eastAsia="Times New Roman" w:cs="Times New Roman"/>
                <w:i/>
                <w:iCs/>
                <w:spacing w:val="-2"/>
                <w:sz w:val="21"/>
                <w:szCs w:val="21"/>
              </w:rPr>
              <w:t>Taraxacum mongolicum</w:t>
            </w:r>
          </w:p>
        </w:tc>
        <w:tc>
          <w:tcPr>
            <w:tcW w:w="1514" w:type="dxa"/>
            <w:vAlign w:val="top"/>
          </w:tcPr>
          <w:p w14:paraId="6B929CFD">
            <w:pPr>
              <w:pStyle w:val="6"/>
              <w:spacing w:before="54" w:line="220" w:lineRule="auto"/>
              <w:ind w:left="556"/>
            </w:pPr>
            <w:r>
              <w:rPr>
                <w:spacing w:val="-2"/>
              </w:rPr>
              <w:t>草本</w:t>
            </w:r>
          </w:p>
        </w:tc>
        <w:tc>
          <w:tcPr>
            <w:tcW w:w="1708" w:type="dxa"/>
            <w:vAlign w:val="top"/>
          </w:tcPr>
          <w:p w14:paraId="34990E14">
            <w:pPr>
              <w:pStyle w:val="6"/>
              <w:spacing w:before="54" w:line="221" w:lineRule="auto"/>
              <w:ind w:left="752"/>
            </w:pPr>
            <w:r>
              <w:t>少</w:t>
            </w:r>
          </w:p>
        </w:tc>
      </w:tr>
      <w:tr w14:paraId="2299E7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830" w:type="dxa"/>
            <w:vAlign w:val="top"/>
          </w:tcPr>
          <w:p w14:paraId="47404C00">
            <w:pPr>
              <w:spacing w:before="89" w:line="216" w:lineRule="auto"/>
              <w:ind w:left="3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w:t>
            </w:r>
          </w:p>
        </w:tc>
        <w:tc>
          <w:tcPr>
            <w:tcW w:w="1384" w:type="dxa"/>
            <w:vAlign w:val="top"/>
          </w:tcPr>
          <w:p w14:paraId="14C1EC2B">
            <w:pPr>
              <w:pStyle w:val="6"/>
              <w:spacing w:before="55" w:line="221" w:lineRule="auto"/>
              <w:ind w:left="381"/>
            </w:pPr>
            <w:r>
              <w:rPr>
                <w:spacing w:val="-2"/>
              </w:rPr>
              <w:t>桑寄生</w:t>
            </w:r>
          </w:p>
        </w:tc>
        <w:tc>
          <w:tcPr>
            <w:tcW w:w="3632" w:type="dxa"/>
            <w:vAlign w:val="top"/>
          </w:tcPr>
          <w:p w14:paraId="206E041F">
            <w:pPr>
              <w:spacing w:before="87" w:line="193" w:lineRule="auto"/>
              <w:ind w:left="117"/>
              <w:rPr>
                <w:rFonts w:ascii="Times New Roman" w:hAnsi="Times New Roman" w:eastAsia="Times New Roman" w:cs="Times New Roman"/>
                <w:sz w:val="21"/>
                <w:szCs w:val="21"/>
              </w:rPr>
            </w:pPr>
            <w:r>
              <w:rPr>
                <w:rFonts w:ascii="Times New Roman" w:hAnsi="Times New Roman" w:eastAsia="Times New Roman" w:cs="Times New Roman"/>
                <w:i/>
                <w:iCs/>
                <w:spacing w:val="-2"/>
                <w:sz w:val="21"/>
                <w:szCs w:val="21"/>
              </w:rPr>
              <w:t>Taxillus nigrans</w:t>
            </w:r>
          </w:p>
        </w:tc>
        <w:tc>
          <w:tcPr>
            <w:tcW w:w="1514" w:type="dxa"/>
            <w:vAlign w:val="top"/>
          </w:tcPr>
          <w:p w14:paraId="3341D412">
            <w:pPr>
              <w:pStyle w:val="6"/>
              <w:spacing w:before="54" w:line="220" w:lineRule="auto"/>
              <w:ind w:left="571"/>
            </w:pPr>
            <w:r>
              <w:rPr>
                <w:spacing w:val="-6"/>
              </w:rPr>
              <w:t>附生</w:t>
            </w:r>
          </w:p>
        </w:tc>
        <w:tc>
          <w:tcPr>
            <w:tcW w:w="1708" w:type="dxa"/>
            <w:vAlign w:val="top"/>
          </w:tcPr>
          <w:p w14:paraId="12216E31">
            <w:pPr>
              <w:pStyle w:val="6"/>
              <w:spacing w:before="54" w:line="222" w:lineRule="auto"/>
              <w:ind w:left="752"/>
            </w:pPr>
            <w:r>
              <w:t>少</w:t>
            </w:r>
          </w:p>
        </w:tc>
      </w:tr>
      <w:tr w14:paraId="12386F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35A17BA9">
            <w:pPr>
              <w:spacing w:before="89" w:line="215" w:lineRule="auto"/>
              <w:ind w:left="3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w:t>
            </w:r>
          </w:p>
        </w:tc>
        <w:tc>
          <w:tcPr>
            <w:tcW w:w="1384" w:type="dxa"/>
            <w:vAlign w:val="top"/>
          </w:tcPr>
          <w:p w14:paraId="571E8A3A">
            <w:pPr>
              <w:pStyle w:val="6"/>
              <w:spacing w:before="54" w:line="221" w:lineRule="auto"/>
              <w:ind w:left="379"/>
            </w:pPr>
            <w:r>
              <w:rPr>
                <w:spacing w:val="-2"/>
              </w:rPr>
              <w:t>乌鸦果</w:t>
            </w:r>
          </w:p>
        </w:tc>
        <w:tc>
          <w:tcPr>
            <w:tcW w:w="3632" w:type="dxa"/>
            <w:vAlign w:val="top"/>
          </w:tcPr>
          <w:p w14:paraId="6003C808">
            <w:pPr>
              <w:spacing w:before="87" w:line="193" w:lineRule="auto"/>
              <w:ind w:left="128"/>
              <w:rPr>
                <w:rFonts w:ascii="Times New Roman" w:hAnsi="Times New Roman" w:eastAsia="Times New Roman" w:cs="Times New Roman"/>
                <w:sz w:val="21"/>
                <w:szCs w:val="21"/>
              </w:rPr>
            </w:pPr>
            <w:r>
              <w:rPr>
                <w:rFonts w:ascii="Times New Roman" w:hAnsi="Times New Roman" w:eastAsia="Times New Roman" w:cs="Times New Roman"/>
                <w:i/>
                <w:iCs/>
                <w:spacing w:val="-1"/>
                <w:sz w:val="21"/>
                <w:szCs w:val="21"/>
              </w:rPr>
              <w:t>Vaccinium</w:t>
            </w:r>
            <w:r>
              <w:rPr>
                <w:rFonts w:ascii="Times New Roman" w:hAnsi="Times New Roman" w:eastAsia="Times New Roman" w:cs="Times New Roman"/>
                <w:i/>
                <w:iCs/>
                <w:spacing w:val="-30"/>
                <w:sz w:val="21"/>
                <w:szCs w:val="21"/>
              </w:rPr>
              <w:t xml:space="preserve"> </w:t>
            </w:r>
            <w:r>
              <w:rPr>
                <w:rFonts w:ascii="Times New Roman" w:hAnsi="Times New Roman" w:eastAsia="Times New Roman" w:cs="Times New Roman"/>
                <w:i/>
                <w:iCs/>
                <w:spacing w:val="-1"/>
                <w:sz w:val="21"/>
                <w:szCs w:val="21"/>
              </w:rPr>
              <w:t>fragile</w:t>
            </w:r>
          </w:p>
        </w:tc>
        <w:tc>
          <w:tcPr>
            <w:tcW w:w="1514" w:type="dxa"/>
            <w:vAlign w:val="top"/>
          </w:tcPr>
          <w:p w14:paraId="0E6A014E">
            <w:pPr>
              <w:pStyle w:val="6"/>
              <w:spacing w:before="54" w:line="221" w:lineRule="auto"/>
              <w:ind w:left="557"/>
            </w:pPr>
            <w:r>
              <w:rPr>
                <w:spacing w:val="-3"/>
              </w:rPr>
              <w:t>灌木</w:t>
            </w:r>
          </w:p>
        </w:tc>
        <w:tc>
          <w:tcPr>
            <w:tcW w:w="1708" w:type="dxa"/>
            <w:vAlign w:val="top"/>
          </w:tcPr>
          <w:p w14:paraId="1B35591D">
            <w:pPr>
              <w:pStyle w:val="6"/>
              <w:spacing w:before="54" w:line="221" w:lineRule="auto"/>
              <w:ind w:left="648"/>
            </w:pPr>
            <w:r>
              <w:rPr>
                <w:spacing w:val="-2"/>
              </w:rPr>
              <w:t>较多</w:t>
            </w:r>
          </w:p>
        </w:tc>
      </w:tr>
      <w:tr w14:paraId="76E9A0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trPr>
        <w:tc>
          <w:tcPr>
            <w:tcW w:w="830" w:type="dxa"/>
            <w:vAlign w:val="top"/>
          </w:tcPr>
          <w:p w14:paraId="1FFD79E5">
            <w:pPr>
              <w:spacing w:before="92" w:line="215" w:lineRule="auto"/>
              <w:ind w:left="3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28</w:t>
            </w:r>
          </w:p>
        </w:tc>
        <w:tc>
          <w:tcPr>
            <w:tcW w:w="1384" w:type="dxa"/>
            <w:vAlign w:val="top"/>
          </w:tcPr>
          <w:p w14:paraId="28A49AFD">
            <w:pPr>
              <w:pStyle w:val="6"/>
              <w:spacing w:before="57" w:line="221" w:lineRule="auto"/>
              <w:ind w:left="276"/>
            </w:pPr>
            <w:r>
              <w:rPr>
                <w:spacing w:val="-2"/>
              </w:rPr>
              <w:t>灰叶堇菜</w:t>
            </w:r>
          </w:p>
        </w:tc>
        <w:tc>
          <w:tcPr>
            <w:tcW w:w="3632" w:type="dxa"/>
            <w:vAlign w:val="top"/>
          </w:tcPr>
          <w:p w14:paraId="5B46979A">
            <w:pPr>
              <w:spacing w:before="90" w:line="193" w:lineRule="auto"/>
              <w:ind w:left="128"/>
              <w:rPr>
                <w:rFonts w:ascii="Times New Roman" w:hAnsi="Times New Roman" w:eastAsia="Times New Roman" w:cs="Times New Roman"/>
                <w:sz w:val="21"/>
                <w:szCs w:val="21"/>
              </w:rPr>
            </w:pPr>
            <w:r>
              <w:rPr>
                <w:rFonts w:ascii="Times New Roman" w:hAnsi="Times New Roman" w:eastAsia="Times New Roman" w:cs="Times New Roman"/>
                <w:i/>
                <w:iCs/>
                <w:spacing w:val="-3"/>
                <w:sz w:val="21"/>
                <w:szCs w:val="21"/>
              </w:rPr>
              <w:t>Viola delavayi</w:t>
            </w:r>
          </w:p>
        </w:tc>
        <w:tc>
          <w:tcPr>
            <w:tcW w:w="1514" w:type="dxa"/>
            <w:vAlign w:val="top"/>
          </w:tcPr>
          <w:p w14:paraId="0C94F1B5">
            <w:pPr>
              <w:pStyle w:val="6"/>
              <w:spacing w:before="57" w:line="220" w:lineRule="auto"/>
              <w:ind w:left="556"/>
            </w:pPr>
            <w:r>
              <w:rPr>
                <w:spacing w:val="-2"/>
              </w:rPr>
              <w:t>草本</w:t>
            </w:r>
          </w:p>
        </w:tc>
        <w:tc>
          <w:tcPr>
            <w:tcW w:w="1708" w:type="dxa"/>
            <w:vAlign w:val="top"/>
          </w:tcPr>
          <w:p w14:paraId="1DAAB19E">
            <w:pPr>
              <w:pStyle w:val="6"/>
              <w:spacing w:before="57" w:line="221" w:lineRule="auto"/>
              <w:ind w:left="752"/>
            </w:pPr>
            <w:r>
              <w:t>少</w:t>
            </w:r>
          </w:p>
        </w:tc>
      </w:tr>
      <w:tr w14:paraId="6F4D8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830" w:type="dxa"/>
            <w:vAlign w:val="top"/>
          </w:tcPr>
          <w:p w14:paraId="53A6DEBC">
            <w:pPr>
              <w:spacing w:before="90" w:line="214" w:lineRule="auto"/>
              <w:ind w:left="3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29</w:t>
            </w:r>
          </w:p>
        </w:tc>
        <w:tc>
          <w:tcPr>
            <w:tcW w:w="1384" w:type="dxa"/>
            <w:vAlign w:val="top"/>
          </w:tcPr>
          <w:p w14:paraId="45F9D266">
            <w:pPr>
              <w:pStyle w:val="6"/>
              <w:spacing w:before="55" w:line="220" w:lineRule="auto"/>
              <w:ind w:left="273"/>
            </w:pPr>
            <w:r>
              <w:rPr>
                <w:spacing w:val="-1"/>
              </w:rPr>
              <w:t>桦叶葡萄</w:t>
            </w:r>
          </w:p>
        </w:tc>
        <w:tc>
          <w:tcPr>
            <w:tcW w:w="3632" w:type="dxa"/>
            <w:vAlign w:val="top"/>
          </w:tcPr>
          <w:p w14:paraId="09ADE6CB">
            <w:pPr>
              <w:spacing w:before="88" w:line="193" w:lineRule="auto"/>
              <w:ind w:left="128"/>
              <w:rPr>
                <w:rFonts w:ascii="Times New Roman" w:hAnsi="Times New Roman" w:eastAsia="Times New Roman" w:cs="Times New Roman"/>
                <w:sz w:val="21"/>
                <w:szCs w:val="21"/>
              </w:rPr>
            </w:pPr>
            <w:r>
              <w:rPr>
                <w:rFonts w:ascii="Times New Roman" w:hAnsi="Times New Roman" w:eastAsia="Times New Roman" w:cs="Times New Roman"/>
                <w:i/>
                <w:iCs/>
                <w:spacing w:val="-3"/>
                <w:sz w:val="21"/>
                <w:szCs w:val="21"/>
              </w:rPr>
              <w:t>Vitis betulifolia</w:t>
            </w:r>
          </w:p>
        </w:tc>
        <w:tc>
          <w:tcPr>
            <w:tcW w:w="1514" w:type="dxa"/>
            <w:vAlign w:val="top"/>
          </w:tcPr>
          <w:p w14:paraId="7CA180BD">
            <w:pPr>
              <w:pStyle w:val="6"/>
              <w:spacing w:before="55" w:line="220" w:lineRule="auto"/>
              <w:ind w:left="556"/>
            </w:pPr>
            <w:r>
              <w:rPr>
                <w:spacing w:val="-2"/>
              </w:rPr>
              <w:t>藤本</w:t>
            </w:r>
          </w:p>
        </w:tc>
        <w:tc>
          <w:tcPr>
            <w:tcW w:w="1708" w:type="dxa"/>
            <w:vAlign w:val="top"/>
          </w:tcPr>
          <w:p w14:paraId="44152384">
            <w:pPr>
              <w:pStyle w:val="6"/>
              <w:spacing w:before="55" w:line="220" w:lineRule="auto"/>
              <w:ind w:left="752"/>
            </w:pPr>
            <w:r>
              <w:t>少</w:t>
            </w:r>
          </w:p>
        </w:tc>
      </w:tr>
      <w:tr w14:paraId="1EF38A8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830" w:type="dxa"/>
            <w:vAlign w:val="top"/>
          </w:tcPr>
          <w:p w14:paraId="63E3BBE2">
            <w:pPr>
              <w:spacing w:before="91" w:line="218" w:lineRule="auto"/>
              <w:ind w:left="31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30</w:t>
            </w:r>
          </w:p>
        </w:tc>
        <w:tc>
          <w:tcPr>
            <w:tcW w:w="1384" w:type="dxa"/>
            <w:vAlign w:val="top"/>
          </w:tcPr>
          <w:p w14:paraId="78B87031">
            <w:pPr>
              <w:pStyle w:val="6"/>
              <w:spacing w:before="55" w:line="221" w:lineRule="auto"/>
              <w:ind w:left="379"/>
            </w:pPr>
            <w:r>
              <w:rPr>
                <w:spacing w:val="-2"/>
              </w:rPr>
              <w:t>草丝竹</w:t>
            </w:r>
          </w:p>
        </w:tc>
        <w:tc>
          <w:tcPr>
            <w:tcW w:w="3632" w:type="dxa"/>
            <w:vAlign w:val="top"/>
          </w:tcPr>
          <w:p w14:paraId="1840DF11">
            <w:pPr>
              <w:spacing w:before="88" w:line="193" w:lineRule="auto"/>
              <w:ind w:left="121"/>
              <w:rPr>
                <w:rFonts w:ascii="Times New Roman" w:hAnsi="Times New Roman" w:eastAsia="Times New Roman" w:cs="Times New Roman"/>
                <w:sz w:val="21"/>
                <w:szCs w:val="21"/>
              </w:rPr>
            </w:pPr>
            <w:r>
              <w:rPr>
                <w:rFonts w:ascii="Times New Roman" w:hAnsi="Times New Roman" w:eastAsia="Times New Roman" w:cs="Times New Roman"/>
                <w:i/>
                <w:iCs/>
                <w:spacing w:val="-2"/>
                <w:sz w:val="21"/>
                <w:szCs w:val="21"/>
              </w:rPr>
              <w:t>Yushania andropogonoides</w:t>
            </w:r>
          </w:p>
        </w:tc>
        <w:tc>
          <w:tcPr>
            <w:tcW w:w="1514" w:type="dxa"/>
            <w:vAlign w:val="top"/>
          </w:tcPr>
          <w:p w14:paraId="335B12BB">
            <w:pPr>
              <w:pStyle w:val="6"/>
              <w:spacing w:before="55" w:line="221" w:lineRule="auto"/>
              <w:ind w:left="557"/>
            </w:pPr>
            <w:r>
              <w:rPr>
                <w:spacing w:val="-3"/>
              </w:rPr>
              <w:t>灌木</w:t>
            </w:r>
          </w:p>
        </w:tc>
        <w:tc>
          <w:tcPr>
            <w:tcW w:w="1708" w:type="dxa"/>
            <w:vAlign w:val="top"/>
          </w:tcPr>
          <w:p w14:paraId="3D6F12F6">
            <w:pPr>
              <w:pStyle w:val="6"/>
              <w:spacing w:before="55" w:line="223" w:lineRule="auto"/>
              <w:ind w:left="752"/>
            </w:pPr>
            <w:r>
              <w:t>少</w:t>
            </w:r>
          </w:p>
        </w:tc>
      </w:tr>
    </w:tbl>
    <w:p w14:paraId="78E2FEA3">
      <w:pPr>
        <w:spacing w:before="115" w:line="217" w:lineRule="auto"/>
        <w:ind w:left="487"/>
        <w:rPr>
          <w:rFonts w:ascii="宋体" w:hAnsi="宋体" w:eastAsia="宋体" w:cs="宋体"/>
          <w:sz w:val="24"/>
          <w:szCs w:val="24"/>
        </w:rPr>
      </w:pPr>
      <w:r>
        <w:rPr>
          <w:rFonts w:ascii="宋体" w:hAnsi="宋体" w:eastAsia="宋体" w:cs="宋体"/>
          <w:spacing w:val="-2"/>
          <w:sz w:val="24"/>
          <w:szCs w:val="24"/>
        </w:rPr>
        <w:t>⑤云南特有种</w:t>
      </w:r>
    </w:p>
    <w:p w14:paraId="7CDC183E">
      <w:pPr>
        <w:spacing w:before="183" w:line="344" w:lineRule="auto"/>
        <w:ind w:left="8" w:right="18" w:firstLine="480"/>
        <w:rPr>
          <w:rFonts w:ascii="宋体" w:hAnsi="宋体" w:eastAsia="宋体" w:cs="宋体"/>
          <w:sz w:val="24"/>
          <w:szCs w:val="24"/>
        </w:rPr>
      </w:pPr>
      <w:r>
        <w:rPr>
          <w:rFonts w:ascii="宋体" w:hAnsi="宋体" w:eastAsia="宋体" w:cs="宋体"/>
          <w:spacing w:val="-3"/>
          <w:sz w:val="24"/>
          <w:szCs w:val="24"/>
        </w:rPr>
        <w:t xml:space="preserve">评价区共调查到云南特有植物 </w:t>
      </w:r>
      <w:r>
        <w:rPr>
          <w:rFonts w:ascii="Times New Roman" w:hAnsi="Times New Roman" w:eastAsia="Times New Roman" w:cs="Times New Roman"/>
          <w:spacing w:val="-3"/>
          <w:sz w:val="24"/>
          <w:szCs w:val="24"/>
        </w:rPr>
        <w:t>3</w:t>
      </w:r>
      <w:r>
        <w:rPr>
          <w:rFonts w:ascii="Times New Roman" w:hAnsi="Times New Roman" w:eastAsia="Times New Roman" w:cs="Times New Roman"/>
          <w:spacing w:val="60"/>
          <w:sz w:val="24"/>
          <w:szCs w:val="24"/>
        </w:rPr>
        <w:t xml:space="preserve"> </w:t>
      </w:r>
      <w:r>
        <w:rPr>
          <w:rFonts w:ascii="宋体" w:hAnsi="宋体" w:eastAsia="宋体" w:cs="宋体"/>
          <w:spacing w:val="-3"/>
          <w:sz w:val="24"/>
          <w:szCs w:val="24"/>
        </w:rPr>
        <w:t>种，这些云南特有植物为滇中至滇东北常见物种，</w:t>
      </w:r>
      <w:r>
        <w:rPr>
          <w:rFonts w:ascii="宋体" w:hAnsi="宋体" w:eastAsia="宋体" w:cs="宋体"/>
          <w:sz w:val="24"/>
          <w:szCs w:val="24"/>
        </w:rPr>
        <w:t>在本评价区内也很常见，多数分布在评价区各地次生的生境中，属于广布种和常见种，</w:t>
      </w:r>
      <w:r>
        <w:rPr>
          <w:rFonts w:ascii="宋体" w:hAnsi="宋体" w:eastAsia="宋体" w:cs="宋体"/>
          <w:spacing w:val="-3"/>
          <w:sz w:val="24"/>
          <w:szCs w:val="24"/>
        </w:rPr>
        <w:t>详见表</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2-9</w:t>
      </w:r>
      <w:r>
        <w:rPr>
          <w:rFonts w:ascii="宋体" w:hAnsi="宋体" w:eastAsia="宋体" w:cs="宋体"/>
          <w:spacing w:val="-3"/>
          <w:sz w:val="24"/>
          <w:szCs w:val="24"/>
        </w:rPr>
        <w:t>。</w:t>
      </w:r>
    </w:p>
    <w:p w14:paraId="7CD3AFCD">
      <w:pPr>
        <w:spacing w:line="229" w:lineRule="auto"/>
        <w:ind w:left="3005"/>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8"/>
          <w:sz w:val="21"/>
          <w:szCs w:val="21"/>
        </w:rPr>
        <w:t xml:space="preserve"> </w:t>
      </w:r>
      <w:r>
        <w:rPr>
          <w:rFonts w:ascii="Times New Roman" w:hAnsi="Times New Roman" w:eastAsia="Times New Roman" w:cs="Times New Roman"/>
          <w:b/>
          <w:bCs/>
          <w:spacing w:val="-2"/>
          <w:sz w:val="21"/>
          <w:szCs w:val="21"/>
        </w:rPr>
        <w:t xml:space="preserve">2-9    </w:t>
      </w:r>
      <w:r>
        <w:rPr>
          <w:rFonts w:ascii="宋体" w:hAnsi="宋体" w:eastAsia="宋体" w:cs="宋体"/>
          <w:b/>
          <w:bCs/>
          <w:spacing w:val="-2"/>
          <w:sz w:val="21"/>
          <w:szCs w:val="21"/>
        </w:rPr>
        <w:t>评级区云南特有种一览表</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27"/>
        <w:gridCol w:w="1200"/>
        <w:gridCol w:w="2828"/>
        <w:gridCol w:w="722"/>
        <w:gridCol w:w="719"/>
        <w:gridCol w:w="2872"/>
      </w:tblGrid>
      <w:tr w14:paraId="4BCD23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727" w:type="dxa"/>
            <w:vAlign w:val="top"/>
          </w:tcPr>
          <w:p w14:paraId="46D5ACDC">
            <w:pPr>
              <w:pStyle w:val="6"/>
              <w:spacing w:before="56" w:line="222" w:lineRule="auto"/>
              <w:ind w:left="155"/>
            </w:pPr>
            <w:r>
              <w:rPr>
                <w:b/>
                <w:bCs/>
                <w:spacing w:val="-4"/>
              </w:rPr>
              <w:t>序号</w:t>
            </w:r>
          </w:p>
        </w:tc>
        <w:tc>
          <w:tcPr>
            <w:tcW w:w="1200" w:type="dxa"/>
            <w:vAlign w:val="top"/>
          </w:tcPr>
          <w:p w14:paraId="47E5D9A6">
            <w:pPr>
              <w:pStyle w:val="6"/>
              <w:spacing w:before="56" w:line="221" w:lineRule="auto"/>
              <w:ind w:left="304"/>
            </w:pPr>
            <w:r>
              <w:rPr>
                <w:b/>
                <w:bCs/>
                <w:spacing w:val="-8"/>
              </w:rPr>
              <w:t>中文名</w:t>
            </w:r>
          </w:p>
        </w:tc>
        <w:tc>
          <w:tcPr>
            <w:tcW w:w="2828" w:type="dxa"/>
            <w:vAlign w:val="top"/>
          </w:tcPr>
          <w:p w14:paraId="1977CC0E">
            <w:pPr>
              <w:pStyle w:val="6"/>
              <w:spacing w:before="56" w:line="222" w:lineRule="auto"/>
              <w:ind w:left="1102"/>
            </w:pPr>
            <w:r>
              <w:rPr>
                <w:b/>
                <w:bCs/>
                <w:spacing w:val="-4"/>
              </w:rPr>
              <w:t>拉丁名</w:t>
            </w:r>
          </w:p>
        </w:tc>
        <w:tc>
          <w:tcPr>
            <w:tcW w:w="722" w:type="dxa"/>
            <w:vAlign w:val="top"/>
          </w:tcPr>
          <w:p w14:paraId="6306A419">
            <w:pPr>
              <w:pStyle w:val="6"/>
              <w:spacing w:before="55" w:line="221" w:lineRule="auto"/>
              <w:ind w:left="157"/>
            </w:pPr>
            <w:r>
              <w:rPr>
                <w:b/>
                <w:bCs/>
                <w:spacing w:val="-5"/>
              </w:rPr>
              <w:t>性状</w:t>
            </w:r>
          </w:p>
        </w:tc>
        <w:tc>
          <w:tcPr>
            <w:tcW w:w="719" w:type="dxa"/>
            <w:vAlign w:val="top"/>
          </w:tcPr>
          <w:p w14:paraId="02ECE5C0">
            <w:pPr>
              <w:pStyle w:val="6"/>
              <w:spacing w:before="55" w:line="221" w:lineRule="auto"/>
              <w:ind w:left="154"/>
            </w:pPr>
            <w:r>
              <w:rPr>
                <w:b/>
                <w:bCs/>
                <w:spacing w:val="-5"/>
              </w:rPr>
              <w:t>数量</w:t>
            </w:r>
          </w:p>
        </w:tc>
        <w:tc>
          <w:tcPr>
            <w:tcW w:w="2872" w:type="dxa"/>
            <w:vAlign w:val="top"/>
          </w:tcPr>
          <w:p w14:paraId="78673825">
            <w:pPr>
              <w:pStyle w:val="6"/>
              <w:spacing w:before="56" w:line="220" w:lineRule="auto"/>
              <w:ind w:left="1232"/>
            </w:pPr>
            <w:r>
              <w:rPr>
                <w:b/>
                <w:bCs/>
                <w:spacing w:val="-5"/>
              </w:rPr>
              <w:t>分布</w:t>
            </w:r>
          </w:p>
        </w:tc>
      </w:tr>
      <w:tr w14:paraId="40178D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727" w:type="dxa"/>
            <w:vAlign w:val="top"/>
          </w:tcPr>
          <w:p w14:paraId="1F08EACF">
            <w:pPr>
              <w:spacing w:before="90" w:line="218" w:lineRule="auto"/>
              <w:ind w:left="331"/>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200" w:type="dxa"/>
            <w:vAlign w:val="top"/>
          </w:tcPr>
          <w:p w14:paraId="1052ED49">
            <w:pPr>
              <w:pStyle w:val="6"/>
              <w:spacing w:before="54" w:line="221" w:lineRule="auto"/>
              <w:ind w:left="206"/>
            </w:pPr>
            <w:r>
              <w:rPr>
                <w:spacing w:val="-8"/>
              </w:rPr>
              <w:t>昆明木蓝</w:t>
            </w:r>
          </w:p>
        </w:tc>
        <w:tc>
          <w:tcPr>
            <w:tcW w:w="2828" w:type="dxa"/>
            <w:vAlign w:val="top"/>
          </w:tcPr>
          <w:p w14:paraId="1EDB6FA4">
            <w:pPr>
              <w:spacing w:before="88" w:line="193" w:lineRule="auto"/>
              <w:ind w:left="94"/>
              <w:rPr>
                <w:rFonts w:ascii="Times New Roman" w:hAnsi="Times New Roman" w:eastAsia="Times New Roman" w:cs="Times New Roman"/>
                <w:sz w:val="21"/>
                <w:szCs w:val="21"/>
              </w:rPr>
            </w:pPr>
            <w:r>
              <w:rPr>
                <w:rFonts w:ascii="Times New Roman" w:hAnsi="Times New Roman" w:eastAsia="Times New Roman" w:cs="Times New Roman"/>
                <w:i/>
                <w:iCs/>
                <w:spacing w:val="1"/>
                <w:sz w:val="21"/>
                <w:szCs w:val="21"/>
              </w:rPr>
              <w:t>Indigofera</w:t>
            </w:r>
            <w:r>
              <w:rPr>
                <w:rFonts w:ascii="Times New Roman" w:hAnsi="Times New Roman" w:eastAsia="Times New Roman" w:cs="Times New Roman"/>
                <w:i/>
                <w:iCs/>
                <w:spacing w:val="-14"/>
                <w:sz w:val="21"/>
                <w:szCs w:val="21"/>
              </w:rPr>
              <w:t xml:space="preserve"> </w:t>
            </w:r>
            <w:r>
              <w:rPr>
                <w:rFonts w:ascii="Times New Roman" w:hAnsi="Times New Roman" w:eastAsia="Times New Roman" w:cs="Times New Roman"/>
                <w:i/>
                <w:iCs/>
                <w:spacing w:val="1"/>
                <w:sz w:val="21"/>
                <w:szCs w:val="21"/>
              </w:rPr>
              <w:t>pampaniniana</w:t>
            </w:r>
          </w:p>
        </w:tc>
        <w:tc>
          <w:tcPr>
            <w:tcW w:w="722" w:type="dxa"/>
            <w:vAlign w:val="top"/>
          </w:tcPr>
          <w:p w14:paraId="306CC556">
            <w:pPr>
              <w:pStyle w:val="6"/>
              <w:spacing w:before="54" w:line="221" w:lineRule="auto"/>
              <w:ind w:left="157"/>
            </w:pPr>
            <w:r>
              <w:rPr>
                <w:spacing w:val="-3"/>
              </w:rPr>
              <w:t>灌木</w:t>
            </w:r>
          </w:p>
        </w:tc>
        <w:tc>
          <w:tcPr>
            <w:tcW w:w="719" w:type="dxa"/>
            <w:vAlign w:val="top"/>
          </w:tcPr>
          <w:p w14:paraId="0233F32C">
            <w:pPr>
              <w:pStyle w:val="6"/>
              <w:spacing w:before="55" w:line="222" w:lineRule="auto"/>
              <w:ind w:left="152"/>
            </w:pPr>
            <w:r>
              <w:rPr>
                <w:spacing w:val="-2"/>
              </w:rPr>
              <w:t>较多</w:t>
            </w:r>
          </w:p>
        </w:tc>
        <w:tc>
          <w:tcPr>
            <w:tcW w:w="2872" w:type="dxa"/>
            <w:vAlign w:val="top"/>
          </w:tcPr>
          <w:p w14:paraId="5D0E5E97">
            <w:pPr>
              <w:pStyle w:val="6"/>
              <w:spacing w:before="54" w:line="221" w:lineRule="auto"/>
              <w:ind w:left="1231"/>
            </w:pPr>
            <w:r>
              <w:rPr>
                <w:spacing w:val="-2"/>
              </w:rPr>
              <w:t>滇中</w:t>
            </w:r>
          </w:p>
        </w:tc>
      </w:tr>
      <w:tr w14:paraId="4395CD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27" w:type="dxa"/>
            <w:vAlign w:val="top"/>
          </w:tcPr>
          <w:p w14:paraId="1CC24093">
            <w:pPr>
              <w:spacing w:before="91" w:line="215" w:lineRule="auto"/>
              <w:ind w:left="311"/>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200" w:type="dxa"/>
            <w:vAlign w:val="top"/>
          </w:tcPr>
          <w:p w14:paraId="17773259">
            <w:pPr>
              <w:pStyle w:val="6"/>
              <w:spacing w:before="56" w:line="221" w:lineRule="auto"/>
              <w:ind w:left="285"/>
            </w:pPr>
            <w:r>
              <w:rPr>
                <w:spacing w:val="-2"/>
              </w:rPr>
              <w:t>草丝竹</w:t>
            </w:r>
          </w:p>
        </w:tc>
        <w:tc>
          <w:tcPr>
            <w:tcW w:w="2828" w:type="dxa"/>
            <w:vAlign w:val="top"/>
          </w:tcPr>
          <w:p w14:paraId="31BB27CA">
            <w:pPr>
              <w:spacing w:before="89" w:line="193" w:lineRule="auto"/>
              <w:ind w:left="120"/>
              <w:rPr>
                <w:rFonts w:ascii="Times New Roman" w:hAnsi="Times New Roman" w:eastAsia="Times New Roman" w:cs="Times New Roman"/>
                <w:sz w:val="21"/>
                <w:szCs w:val="21"/>
              </w:rPr>
            </w:pPr>
            <w:r>
              <w:rPr>
                <w:rFonts w:ascii="Times New Roman" w:hAnsi="Times New Roman" w:eastAsia="Times New Roman" w:cs="Times New Roman"/>
                <w:i/>
                <w:iCs/>
                <w:spacing w:val="-2"/>
                <w:sz w:val="21"/>
                <w:szCs w:val="21"/>
              </w:rPr>
              <w:t>Yushania andropogonoides</w:t>
            </w:r>
          </w:p>
        </w:tc>
        <w:tc>
          <w:tcPr>
            <w:tcW w:w="722" w:type="dxa"/>
            <w:vAlign w:val="top"/>
          </w:tcPr>
          <w:p w14:paraId="59909585">
            <w:pPr>
              <w:pStyle w:val="6"/>
              <w:spacing w:before="56" w:line="221" w:lineRule="auto"/>
              <w:ind w:left="157"/>
            </w:pPr>
            <w:r>
              <w:rPr>
                <w:spacing w:val="-3"/>
              </w:rPr>
              <w:t>灌木</w:t>
            </w:r>
          </w:p>
        </w:tc>
        <w:tc>
          <w:tcPr>
            <w:tcW w:w="719" w:type="dxa"/>
            <w:vAlign w:val="top"/>
          </w:tcPr>
          <w:p w14:paraId="209908DB">
            <w:pPr>
              <w:pStyle w:val="6"/>
              <w:spacing w:before="56" w:line="221" w:lineRule="auto"/>
              <w:ind w:left="259"/>
            </w:pPr>
            <w:r>
              <w:t>少</w:t>
            </w:r>
          </w:p>
        </w:tc>
        <w:tc>
          <w:tcPr>
            <w:tcW w:w="2872" w:type="dxa"/>
            <w:vAlign w:val="top"/>
          </w:tcPr>
          <w:p w14:paraId="393424EC">
            <w:pPr>
              <w:pStyle w:val="6"/>
              <w:spacing w:before="56" w:line="221" w:lineRule="auto"/>
              <w:ind w:left="1231"/>
            </w:pPr>
            <w:r>
              <w:rPr>
                <w:spacing w:val="-2"/>
              </w:rPr>
              <w:t>滇中</w:t>
            </w:r>
          </w:p>
        </w:tc>
      </w:tr>
      <w:tr w14:paraId="1D5FE7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5" w:hRule="atLeast"/>
        </w:trPr>
        <w:tc>
          <w:tcPr>
            <w:tcW w:w="727" w:type="dxa"/>
            <w:vAlign w:val="top"/>
          </w:tcPr>
          <w:p w14:paraId="63AD14D9">
            <w:pPr>
              <w:spacing w:before="92" w:line="221" w:lineRule="auto"/>
              <w:ind w:left="315"/>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200" w:type="dxa"/>
            <w:vAlign w:val="top"/>
          </w:tcPr>
          <w:p w14:paraId="59EAAE04">
            <w:pPr>
              <w:pStyle w:val="6"/>
              <w:spacing w:before="57" w:line="221" w:lineRule="auto"/>
              <w:ind w:left="180"/>
            </w:pPr>
            <w:r>
              <w:rPr>
                <w:spacing w:val="-1"/>
              </w:rPr>
              <w:t>桦叶葡萄</w:t>
            </w:r>
          </w:p>
        </w:tc>
        <w:tc>
          <w:tcPr>
            <w:tcW w:w="2828" w:type="dxa"/>
            <w:vAlign w:val="top"/>
          </w:tcPr>
          <w:p w14:paraId="69CEE7E4">
            <w:pPr>
              <w:spacing w:before="90" w:line="193" w:lineRule="auto"/>
              <w:ind w:left="127"/>
              <w:rPr>
                <w:rFonts w:ascii="Times New Roman" w:hAnsi="Times New Roman" w:eastAsia="Times New Roman" w:cs="Times New Roman"/>
                <w:sz w:val="21"/>
                <w:szCs w:val="21"/>
              </w:rPr>
            </w:pPr>
            <w:r>
              <w:rPr>
                <w:rFonts w:ascii="Times New Roman" w:hAnsi="Times New Roman" w:eastAsia="Times New Roman" w:cs="Times New Roman"/>
                <w:i/>
                <w:iCs/>
                <w:spacing w:val="-3"/>
                <w:sz w:val="21"/>
                <w:szCs w:val="21"/>
              </w:rPr>
              <w:t>Vitis betulifolia</w:t>
            </w:r>
          </w:p>
        </w:tc>
        <w:tc>
          <w:tcPr>
            <w:tcW w:w="722" w:type="dxa"/>
            <w:vAlign w:val="top"/>
          </w:tcPr>
          <w:p w14:paraId="35AA4692">
            <w:pPr>
              <w:pStyle w:val="6"/>
              <w:spacing w:before="57" w:line="220" w:lineRule="auto"/>
              <w:ind w:left="156"/>
            </w:pPr>
            <w:r>
              <w:rPr>
                <w:spacing w:val="-2"/>
              </w:rPr>
              <w:t>藤本</w:t>
            </w:r>
          </w:p>
        </w:tc>
        <w:tc>
          <w:tcPr>
            <w:tcW w:w="719" w:type="dxa"/>
            <w:vAlign w:val="top"/>
          </w:tcPr>
          <w:p w14:paraId="68718962">
            <w:pPr>
              <w:pStyle w:val="6"/>
              <w:spacing w:before="57" w:line="223" w:lineRule="auto"/>
              <w:ind w:left="259"/>
            </w:pPr>
            <w:r>
              <w:t>少</w:t>
            </w:r>
          </w:p>
        </w:tc>
        <w:tc>
          <w:tcPr>
            <w:tcW w:w="2872" w:type="dxa"/>
            <w:vAlign w:val="top"/>
          </w:tcPr>
          <w:p w14:paraId="499F6E72">
            <w:pPr>
              <w:pStyle w:val="6"/>
              <w:spacing w:before="57" w:line="221" w:lineRule="auto"/>
              <w:ind w:left="811"/>
            </w:pPr>
            <w:r>
              <w:rPr>
                <w:spacing w:val="-1"/>
              </w:rPr>
              <w:t>滇东南、滇中</w:t>
            </w:r>
          </w:p>
        </w:tc>
      </w:tr>
    </w:tbl>
    <w:p w14:paraId="146CFBDB">
      <w:pPr>
        <w:spacing w:before="116" w:line="217" w:lineRule="auto"/>
        <w:ind w:left="487"/>
        <w:rPr>
          <w:rFonts w:ascii="宋体" w:hAnsi="宋体" w:eastAsia="宋体" w:cs="宋体"/>
          <w:sz w:val="24"/>
          <w:szCs w:val="24"/>
        </w:rPr>
      </w:pPr>
      <w:r>
        <w:rPr>
          <w:rFonts w:ascii="宋体" w:hAnsi="宋体" w:eastAsia="宋体" w:cs="宋体"/>
          <w:spacing w:val="-2"/>
          <w:sz w:val="24"/>
          <w:szCs w:val="24"/>
        </w:rPr>
        <w:t>⑥古树名木</w:t>
      </w:r>
    </w:p>
    <w:p w14:paraId="452705AD">
      <w:pPr>
        <w:spacing w:before="185" w:line="359" w:lineRule="auto"/>
        <w:ind w:left="9" w:firstLine="481"/>
        <w:rPr>
          <w:rFonts w:ascii="宋体" w:hAnsi="宋体" w:eastAsia="宋体" w:cs="宋体"/>
          <w:sz w:val="24"/>
          <w:szCs w:val="24"/>
        </w:rPr>
      </w:pPr>
      <w:r>
        <w:rPr>
          <w:rFonts w:ascii="宋体" w:hAnsi="宋体" w:eastAsia="宋体" w:cs="宋体"/>
          <w:spacing w:val="-9"/>
          <w:sz w:val="24"/>
          <w:szCs w:val="24"/>
        </w:rPr>
        <w:t>按照全国绿化委员会、国家林业局文件（全绿字〔</w:t>
      </w:r>
      <w:r>
        <w:rPr>
          <w:rFonts w:ascii="Times New Roman" w:hAnsi="Times New Roman" w:eastAsia="Times New Roman" w:cs="Times New Roman"/>
          <w:spacing w:val="-9"/>
          <w:sz w:val="24"/>
          <w:szCs w:val="24"/>
        </w:rPr>
        <w:t>2001</w:t>
      </w:r>
      <w:r>
        <w:rPr>
          <w:rFonts w:ascii="宋体" w:hAnsi="宋体" w:eastAsia="宋体" w:cs="宋体"/>
          <w:spacing w:val="-9"/>
          <w:sz w:val="24"/>
          <w:szCs w:val="24"/>
        </w:rPr>
        <w:t>〕</w:t>
      </w:r>
      <w:r>
        <w:rPr>
          <w:rFonts w:ascii="Times New Roman" w:hAnsi="Times New Roman" w:eastAsia="Times New Roman" w:cs="Times New Roman"/>
          <w:spacing w:val="-9"/>
          <w:sz w:val="24"/>
          <w:szCs w:val="24"/>
        </w:rPr>
        <w:t>15</w:t>
      </w:r>
      <w:r>
        <w:rPr>
          <w:rFonts w:ascii="Times New Roman" w:hAnsi="Times New Roman" w:eastAsia="Times New Roman" w:cs="Times New Roman"/>
          <w:spacing w:val="16"/>
          <w:w w:val="101"/>
          <w:sz w:val="24"/>
          <w:szCs w:val="24"/>
        </w:rPr>
        <w:t xml:space="preserve"> </w:t>
      </w:r>
      <w:r>
        <w:rPr>
          <w:rFonts w:ascii="宋体" w:hAnsi="宋体" w:eastAsia="宋体" w:cs="宋体"/>
          <w:spacing w:val="-9"/>
          <w:sz w:val="24"/>
          <w:szCs w:val="24"/>
        </w:rPr>
        <w:t>号）对古</w:t>
      </w:r>
      <w:r>
        <w:rPr>
          <w:rFonts w:ascii="宋体" w:hAnsi="宋体" w:eastAsia="宋体" w:cs="宋体"/>
          <w:spacing w:val="-10"/>
          <w:sz w:val="24"/>
          <w:szCs w:val="24"/>
        </w:rPr>
        <w:t>树名木的界定，</w:t>
      </w:r>
      <w:r>
        <w:rPr>
          <w:rFonts w:ascii="宋体" w:hAnsi="宋体" w:eastAsia="宋体" w:cs="宋体"/>
          <w:spacing w:val="-5"/>
          <w:sz w:val="24"/>
          <w:szCs w:val="24"/>
        </w:rPr>
        <w:t>古树指树龄在</w:t>
      </w:r>
      <w:r>
        <w:rPr>
          <w:rFonts w:ascii="宋体" w:hAnsi="宋体" w:eastAsia="宋体" w:cs="宋体"/>
          <w:spacing w:val="-56"/>
          <w:sz w:val="24"/>
          <w:szCs w:val="24"/>
        </w:rPr>
        <w:t xml:space="preserve"> </w:t>
      </w:r>
      <w:r>
        <w:rPr>
          <w:rFonts w:ascii="Times New Roman" w:hAnsi="Times New Roman" w:eastAsia="Times New Roman" w:cs="Times New Roman"/>
          <w:spacing w:val="-5"/>
          <w:sz w:val="24"/>
          <w:szCs w:val="24"/>
        </w:rPr>
        <w:t>100</w:t>
      </w:r>
      <w:r>
        <w:rPr>
          <w:rFonts w:ascii="Times New Roman" w:hAnsi="Times New Roman" w:eastAsia="Times New Roman" w:cs="Times New Roman"/>
          <w:spacing w:val="-13"/>
          <w:sz w:val="24"/>
          <w:szCs w:val="24"/>
        </w:rPr>
        <w:t xml:space="preserve"> </w:t>
      </w:r>
      <w:r>
        <w:rPr>
          <w:rFonts w:ascii="宋体" w:hAnsi="宋体" w:eastAsia="宋体" w:cs="宋体"/>
          <w:spacing w:val="-5"/>
          <w:sz w:val="24"/>
          <w:szCs w:val="24"/>
        </w:rPr>
        <w:t>年以上的树木；名木指在历史上或社会上有重大影响的中外历</w:t>
      </w:r>
      <w:r>
        <w:rPr>
          <w:rFonts w:ascii="宋体" w:hAnsi="宋体" w:eastAsia="宋体" w:cs="宋体"/>
          <w:spacing w:val="-6"/>
          <w:sz w:val="24"/>
          <w:szCs w:val="24"/>
        </w:rPr>
        <w:t>代名人、</w:t>
      </w:r>
      <w:r>
        <w:rPr>
          <w:rFonts w:ascii="宋体" w:hAnsi="宋体" w:eastAsia="宋体" w:cs="宋体"/>
          <w:spacing w:val="-2"/>
          <w:sz w:val="24"/>
          <w:szCs w:val="24"/>
        </w:rPr>
        <w:t>领袖人物所植或者具有极其重要的历史、文化价值、具有纪念意义的树木。按照这个界定，根据输电线路沿线各县（区）林业局相关资料及现场调查结果，本次调查未见有古</w:t>
      </w:r>
      <w:r>
        <w:rPr>
          <w:rFonts w:ascii="宋体" w:hAnsi="宋体" w:eastAsia="宋体" w:cs="宋体"/>
          <w:spacing w:val="-7"/>
          <w:sz w:val="24"/>
          <w:szCs w:val="24"/>
        </w:rPr>
        <w:t>树名木分布。</w:t>
      </w:r>
    </w:p>
    <w:p w14:paraId="61119091">
      <w:pPr>
        <w:spacing w:before="7" w:line="233" w:lineRule="auto"/>
        <w:ind w:left="485"/>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）重要动物分布</w:t>
      </w:r>
    </w:p>
    <w:p w14:paraId="6338263B">
      <w:pPr>
        <w:spacing w:before="166" w:line="217" w:lineRule="auto"/>
        <w:ind w:left="488"/>
        <w:rPr>
          <w:rFonts w:ascii="宋体" w:hAnsi="宋体" w:eastAsia="宋体" w:cs="宋体"/>
          <w:sz w:val="24"/>
          <w:szCs w:val="24"/>
        </w:rPr>
      </w:pPr>
      <w:r>
        <w:rPr>
          <w:rFonts w:ascii="宋体" w:hAnsi="宋体" w:eastAsia="宋体" w:cs="宋体"/>
          <w:spacing w:val="-1"/>
          <w:sz w:val="24"/>
          <w:szCs w:val="24"/>
        </w:rPr>
        <w:t>①重点保护野生动物</w:t>
      </w:r>
    </w:p>
    <w:p w14:paraId="3AC3613B">
      <w:pPr>
        <w:spacing w:before="185" w:line="232" w:lineRule="auto"/>
        <w:ind w:left="489"/>
        <w:rPr>
          <w:rFonts w:ascii="宋体" w:hAnsi="宋体" w:eastAsia="宋体" w:cs="宋体"/>
          <w:sz w:val="24"/>
          <w:szCs w:val="24"/>
        </w:rPr>
      </w:pPr>
      <w:r>
        <w:rPr>
          <w:rFonts w:ascii="宋体" w:hAnsi="宋体" w:eastAsia="宋体" w:cs="宋体"/>
          <w:spacing w:val="-6"/>
          <w:sz w:val="24"/>
          <w:szCs w:val="24"/>
        </w:rPr>
        <w:t>根据《国家重点保护野生动物名录》（</w:t>
      </w:r>
      <w:r>
        <w:rPr>
          <w:rFonts w:ascii="Times New Roman" w:hAnsi="Times New Roman" w:eastAsia="Times New Roman" w:cs="Times New Roman"/>
          <w:spacing w:val="-6"/>
          <w:sz w:val="24"/>
          <w:szCs w:val="24"/>
        </w:rPr>
        <w:t>2021</w:t>
      </w:r>
      <w:r>
        <w:rPr>
          <w:rFonts w:ascii="宋体" w:hAnsi="宋体" w:eastAsia="宋体" w:cs="宋体"/>
          <w:spacing w:val="-54"/>
          <w:sz w:val="24"/>
          <w:szCs w:val="24"/>
        </w:rPr>
        <w:t>），</w:t>
      </w:r>
      <w:r>
        <w:rPr>
          <w:rFonts w:ascii="宋体" w:hAnsi="宋体" w:eastAsia="宋体" w:cs="宋体"/>
          <w:spacing w:val="-6"/>
          <w:sz w:val="24"/>
          <w:szCs w:val="24"/>
        </w:rPr>
        <w:t>评价区未记录到国家重点保护动物。</w:t>
      </w:r>
    </w:p>
    <w:p w14:paraId="7F0281B2">
      <w:pPr>
        <w:spacing w:before="167" w:line="217" w:lineRule="auto"/>
        <w:ind w:left="487"/>
        <w:rPr>
          <w:rFonts w:ascii="宋体" w:hAnsi="宋体" w:eastAsia="宋体" w:cs="宋体"/>
          <w:sz w:val="24"/>
          <w:szCs w:val="24"/>
        </w:rPr>
      </w:pPr>
      <w:r>
        <w:rPr>
          <w:rFonts w:ascii="宋体" w:hAnsi="宋体" w:eastAsia="宋体" w:cs="宋体"/>
          <w:spacing w:val="-1"/>
          <w:sz w:val="24"/>
          <w:szCs w:val="24"/>
        </w:rPr>
        <w:t>②云南省级保护动物</w:t>
      </w:r>
    </w:p>
    <w:p w14:paraId="464F2CEE">
      <w:pPr>
        <w:spacing w:line="217" w:lineRule="auto"/>
        <w:rPr>
          <w:rFonts w:ascii="宋体" w:hAnsi="宋体" w:eastAsia="宋体" w:cs="宋体"/>
          <w:sz w:val="24"/>
          <w:szCs w:val="24"/>
        </w:rPr>
        <w:sectPr>
          <w:footerReference r:id="rId167" w:type="default"/>
          <w:pgSz w:w="11907" w:h="16841"/>
          <w:pgMar w:top="400" w:right="1329" w:bottom="1126" w:left="1418" w:header="0" w:footer="925" w:gutter="0"/>
          <w:cols w:space="720" w:num="1"/>
        </w:sectPr>
      </w:pPr>
    </w:p>
    <w:p w14:paraId="0344A8DE">
      <w:pPr>
        <w:spacing w:line="249" w:lineRule="auto"/>
        <w:rPr>
          <w:rFonts w:ascii="Arial"/>
          <w:sz w:val="21"/>
        </w:rPr>
      </w:pPr>
    </w:p>
    <w:p w14:paraId="737EDEDD">
      <w:pPr>
        <w:spacing w:line="249" w:lineRule="auto"/>
        <w:rPr>
          <w:rFonts w:ascii="Arial"/>
          <w:sz w:val="21"/>
        </w:rPr>
      </w:pPr>
    </w:p>
    <w:p w14:paraId="64AD37AD">
      <w:pPr>
        <w:spacing w:line="249" w:lineRule="auto"/>
        <w:rPr>
          <w:rFonts w:ascii="Arial"/>
          <w:sz w:val="21"/>
        </w:rPr>
      </w:pPr>
    </w:p>
    <w:p w14:paraId="575CCDBF">
      <w:pPr>
        <w:spacing w:line="249" w:lineRule="auto"/>
        <w:rPr>
          <w:rFonts w:ascii="Arial"/>
          <w:sz w:val="21"/>
        </w:rPr>
      </w:pPr>
    </w:p>
    <w:p w14:paraId="6DFE2116">
      <w:pPr>
        <w:spacing w:line="249" w:lineRule="auto"/>
        <w:rPr>
          <w:rFonts w:ascii="Arial"/>
          <w:sz w:val="21"/>
        </w:rPr>
      </w:pPr>
    </w:p>
    <w:p w14:paraId="5D3DD84A">
      <w:pPr>
        <w:spacing w:before="78" w:line="352" w:lineRule="auto"/>
        <w:ind w:left="5" w:right="208" w:firstLine="478"/>
        <w:rPr>
          <w:rFonts w:ascii="宋体" w:hAnsi="宋体" w:eastAsia="宋体" w:cs="宋体"/>
          <w:sz w:val="24"/>
          <w:szCs w:val="24"/>
        </w:rPr>
      </w:pPr>
      <w:r>
        <w:rPr>
          <w:rFonts w:ascii="宋体" w:hAnsi="宋体" w:eastAsia="宋体" w:cs="宋体"/>
          <w:spacing w:val="-2"/>
          <w:sz w:val="24"/>
          <w:szCs w:val="24"/>
        </w:rPr>
        <w:t>按照《云南省重点保护陆生野生动物名录》（</w:t>
      </w:r>
      <w:r>
        <w:rPr>
          <w:rFonts w:ascii="Times New Roman" w:hAnsi="Times New Roman" w:eastAsia="Times New Roman" w:cs="Times New Roman"/>
          <w:spacing w:val="-2"/>
          <w:sz w:val="24"/>
          <w:szCs w:val="24"/>
        </w:rPr>
        <w:t>2023</w:t>
      </w:r>
      <w:r>
        <w:rPr>
          <w:rFonts w:ascii="宋体" w:hAnsi="宋体" w:eastAsia="宋体" w:cs="宋体"/>
          <w:spacing w:val="-2"/>
          <w:sz w:val="24"/>
          <w:szCs w:val="24"/>
        </w:rPr>
        <w:t>）统计，评价区未发</w:t>
      </w:r>
      <w:r>
        <w:rPr>
          <w:rFonts w:ascii="宋体" w:hAnsi="宋体" w:eastAsia="宋体" w:cs="宋体"/>
          <w:spacing w:val="-3"/>
          <w:sz w:val="24"/>
          <w:szCs w:val="24"/>
        </w:rPr>
        <w:t>现有云南省</w:t>
      </w:r>
      <w:r>
        <w:rPr>
          <w:rFonts w:ascii="宋体" w:hAnsi="宋体" w:eastAsia="宋体" w:cs="宋体"/>
          <w:spacing w:val="-6"/>
          <w:sz w:val="24"/>
          <w:szCs w:val="24"/>
        </w:rPr>
        <w:t>级重点保护动物。</w:t>
      </w:r>
    </w:p>
    <w:p w14:paraId="3C6A3ADF">
      <w:pPr>
        <w:spacing w:before="21" w:line="217" w:lineRule="auto"/>
        <w:ind w:left="480"/>
        <w:rPr>
          <w:rFonts w:ascii="宋体" w:hAnsi="宋体" w:eastAsia="宋体" w:cs="宋体"/>
          <w:sz w:val="24"/>
          <w:szCs w:val="24"/>
        </w:rPr>
      </w:pPr>
      <w:r>
        <w:rPr>
          <w:rFonts w:ascii="宋体" w:hAnsi="宋体" w:eastAsia="宋体" w:cs="宋体"/>
          <w:spacing w:val="-1"/>
          <w:sz w:val="24"/>
          <w:szCs w:val="24"/>
        </w:rPr>
        <w:t>③红色物种受威胁动物</w:t>
      </w:r>
    </w:p>
    <w:p w14:paraId="441BA5BF">
      <w:pPr>
        <w:spacing w:before="183" w:line="359" w:lineRule="auto"/>
        <w:ind w:right="204" w:firstLine="482"/>
        <w:rPr>
          <w:rFonts w:ascii="宋体" w:hAnsi="宋体" w:eastAsia="宋体" w:cs="宋体"/>
          <w:sz w:val="24"/>
          <w:szCs w:val="24"/>
        </w:rPr>
      </w:pPr>
      <w:r>
        <w:rPr>
          <w:rFonts w:ascii="宋体" w:hAnsi="宋体" w:eastAsia="宋体" w:cs="宋体"/>
          <w:spacing w:val="-12"/>
          <w:sz w:val="24"/>
          <w:szCs w:val="24"/>
        </w:rPr>
        <w:t>按照《中国生物多样性红色名录》中极危（</w:t>
      </w:r>
      <w:r>
        <w:rPr>
          <w:rFonts w:ascii="Times New Roman" w:hAnsi="Times New Roman" w:eastAsia="Times New Roman" w:cs="Times New Roman"/>
          <w:spacing w:val="-12"/>
          <w:sz w:val="24"/>
          <w:szCs w:val="24"/>
        </w:rPr>
        <w:t>Critically En</w:t>
      </w:r>
      <w:r>
        <w:rPr>
          <w:rFonts w:ascii="Times New Roman" w:hAnsi="Times New Roman" w:eastAsia="Times New Roman" w:cs="Times New Roman"/>
          <w:spacing w:val="-13"/>
          <w:sz w:val="24"/>
          <w:szCs w:val="24"/>
        </w:rPr>
        <w:t>dangered</w:t>
      </w:r>
      <w:r>
        <w:rPr>
          <w:rFonts w:ascii="宋体" w:hAnsi="宋体" w:eastAsia="宋体" w:cs="宋体"/>
          <w:spacing w:val="-13"/>
          <w:sz w:val="24"/>
          <w:szCs w:val="24"/>
        </w:rPr>
        <w:t>）、濒危（</w:t>
      </w:r>
      <w:r>
        <w:rPr>
          <w:rFonts w:ascii="Times New Roman" w:hAnsi="Times New Roman" w:eastAsia="Times New Roman" w:cs="Times New Roman"/>
          <w:spacing w:val="-13"/>
          <w:sz w:val="24"/>
          <w:szCs w:val="24"/>
        </w:rPr>
        <w:t>Endangered</w:t>
      </w:r>
      <w:r>
        <w:rPr>
          <w:rFonts w:ascii="宋体" w:hAnsi="宋体" w:eastAsia="宋体" w:cs="宋体"/>
          <w:spacing w:val="-13"/>
          <w:sz w:val="24"/>
          <w:szCs w:val="24"/>
        </w:rPr>
        <w:t>）</w:t>
      </w:r>
      <w:r>
        <w:rPr>
          <w:rFonts w:ascii="宋体" w:hAnsi="宋体" w:eastAsia="宋体" w:cs="宋体"/>
          <w:spacing w:val="-4"/>
          <w:sz w:val="24"/>
          <w:szCs w:val="24"/>
        </w:rPr>
        <w:t>和易危（</w:t>
      </w:r>
      <w:r>
        <w:rPr>
          <w:rFonts w:ascii="Times New Roman" w:hAnsi="Times New Roman" w:eastAsia="Times New Roman" w:cs="Times New Roman"/>
          <w:spacing w:val="-4"/>
          <w:sz w:val="24"/>
          <w:szCs w:val="24"/>
        </w:rPr>
        <w:t>Vulnerable</w:t>
      </w:r>
      <w:r>
        <w:rPr>
          <w:rFonts w:ascii="宋体" w:hAnsi="宋体" w:eastAsia="宋体" w:cs="宋体"/>
          <w:spacing w:val="-4"/>
          <w:sz w:val="24"/>
          <w:szCs w:val="24"/>
        </w:rPr>
        <w:t>）三个等级，通</w:t>
      </w:r>
      <w:r>
        <w:rPr>
          <w:rFonts w:ascii="宋体" w:hAnsi="宋体" w:eastAsia="宋体" w:cs="宋体"/>
          <w:spacing w:val="-5"/>
          <w:sz w:val="24"/>
          <w:szCs w:val="24"/>
        </w:rPr>
        <w:t>常称为受威胁物种。评价区未记录到红色名录极危、</w:t>
      </w:r>
      <w:r>
        <w:rPr>
          <w:rFonts w:ascii="宋体" w:hAnsi="宋体" w:eastAsia="宋体" w:cs="宋体"/>
          <w:spacing w:val="-4"/>
          <w:sz w:val="24"/>
          <w:szCs w:val="24"/>
        </w:rPr>
        <w:t>濒危和易危动物物种。</w:t>
      </w:r>
    </w:p>
    <w:p w14:paraId="71713FEB">
      <w:pPr>
        <w:spacing w:before="6" w:line="217" w:lineRule="auto"/>
        <w:ind w:left="480"/>
        <w:rPr>
          <w:rFonts w:ascii="宋体" w:hAnsi="宋体" w:eastAsia="宋体" w:cs="宋体"/>
          <w:sz w:val="24"/>
          <w:szCs w:val="24"/>
        </w:rPr>
      </w:pPr>
      <w:r>
        <w:rPr>
          <w:rFonts w:ascii="宋体" w:hAnsi="宋体" w:eastAsia="宋体" w:cs="宋体"/>
          <w:spacing w:val="-2"/>
          <w:sz w:val="24"/>
          <w:szCs w:val="24"/>
        </w:rPr>
        <w:t>④极小种群</w:t>
      </w:r>
    </w:p>
    <w:p w14:paraId="4BA5175F">
      <w:pPr>
        <w:spacing w:before="185" w:line="218" w:lineRule="auto"/>
        <w:ind w:left="480"/>
        <w:rPr>
          <w:rFonts w:ascii="宋体" w:hAnsi="宋体" w:eastAsia="宋体" w:cs="宋体"/>
          <w:sz w:val="24"/>
          <w:szCs w:val="24"/>
        </w:rPr>
      </w:pPr>
      <w:r>
        <w:rPr>
          <w:rFonts w:ascii="宋体" w:hAnsi="宋体" w:eastAsia="宋体" w:cs="宋体"/>
          <w:spacing w:val="-2"/>
          <w:sz w:val="24"/>
          <w:szCs w:val="24"/>
        </w:rPr>
        <w:t>评价区内未发现国家和云南省政府列入拯救保护的极小种群物种。</w:t>
      </w:r>
    </w:p>
    <w:p w14:paraId="01699FF4">
      <w:pPr>
        <w:spacing w:before="185" w:line="217" w:lineRule="auto"/>
        <w:ind w:left="480"/>
        <w:rPr>
          <w:rFonts w:ascii="宋体" w:hAnsi="宋体" w:eastAsia="宋体" w:cs="宋体"/>
          <w:sz w:val="24"/>
          <w:szCs w:val="24"/>
        </w:rPr>
      </w:pPr>
      <w:r>
        <w:rPr>
          <w:rFonts w:ascii="宋体" w:hAnsi="宋体" w:eastAsia="宋体" w:cs="宋体"/>
          <w:spacing w:val="-2"/>
          <w:sz w:val="24"/>
          <w:szCs w:val="24"/>
        </w:rPr>
        <w:t>⑤入侵动物</w:t>
      </w:r>
    </w:p>
    <w:p w14:paraId="44126475">
      <w:pPr>
        <w:spacing w:before="186" w:line="218" w:lineRule="auto"/>
        <w:ind w:left="484"/>
        <w:rPr>
          <w:rFonts w:ascii="宋体" w:hAnsi="宋体" w:eastAsia="宋体" w:cs="宋体"/>
          <w:sz w:val="24"/>
          <w:szCs w:val="24"/>
        </w:rPr>
      </w:pPr>
      <w:r>
        <w:rPr>
          <w:rFonts w:ascii="宋体" w:hAnsi="宋体" w:eastAsia="宋体" w:cs="宋体"/>
          <w:spacing w:val="-3"/>
          <w:sz w:val="24"/>
          <w:szCs w:val="24"/>
        </w:rPr>
        <w:t>工程评价区内未记录到外来入侵动物分布。</w:t>
      </w:r>
    </w:p>
    <w:p w14:paraId="513AE5AB">
      <w:pPr>
        <w:spacing w:before="184" w:line="233" w:lineRule="auto"/>
        <w:ind w:left="490"/>
        <w:rPr>
          <w:rFonts w:ascii="宋体" w:hAnsi="宋体" w:eastAsia="宋体" w:cs="宋体"/>
          <w:sz w:val="24"/>
          <w:szCs w:val="24"/>
        </w:rPr>
      </w:pPr>
      <w:r>
        <w:rPr>
          <w:rFonts w:ascii="宋体" w:hAnsi="宋体" w:eastAsia="宋体" w:cs="宋体"/>
          <w:b/>
          <w:bCs/>
          <w:spacing w:val="-5"/>
          <w:sz w:val="24"/>
          <w:szCs w:val="24"/>
        </w:rPr>
        <w:t>（</w:t>
      </w:r>
      <w:r>
        <w:rPr>
          <w:rFonts w:ascii="Times New Roman" w:hAnsi="Times New Roman" w:eastAsia="Times New Roman" w:cs="Times New Roman"/>
          <w:b/>
          <w:bCs/>
          <w:spacing w:val="-5"/>
          <w:sz w:val="24"/>
          <w:szCs w:val="24"/>
        </w:rPr>
        <w:t>2</w:t>
      </w:r>
      <w:r>
        <w:rPr>
          <w:rFonts w:ascii="宋体" w:hAnsi="宋体" w:eastAsia="宋体" w:cs="宋体"/>
          <w:b/>
          <w:bCs/>
          <w:spacing w:val="-5"/>
          <w:sz w:val="24"/>
          <w:szCs w:val="24"/>
        </w:rPr>
        <w:t>）重要生境分布</w:t>
      </w:r>
    </w:p>
    <w:p w14:paraId="44D94C6A">
      <w:pPr>
        <w:spacing w:before="166" w:line="233" w:lineRule="auto"/>
        <w:ind w:left="500"/>
        <w:rPr>
          <w:rFonts w:ascii="宋体" w:hAnsi="宋体" w:eastAsia="宋体" w:cs="宋体"/>
          <w:sz w:val="24"/>
          <w:szCs w:val="24"/>
        </w:rPr>
      </w:pPr>
      <w:r>
        <w:rPr>
          <w:rFonts w:ascii="Times New Roman" w:hAnsi="Times New Roman" w:eastAsia="Times New Roman" w:cs="Times New Roman"/>
          <w:spacing w:val="-5"/>
          <w:sz w:val="24"/>
          <w:szCs w:val="24"/>
        </w:rPr>
        <w:t>1</w:t>
      </w:r>
      <w:r>
        <w:rPr>
          <w:rFonts w:ascii="宋体" w:hAnsi="宋体" w:eastAsia="宋体" w:cs="宋体"/>
          <w:spacing w:val="-5"/>
          <w:sz w:val="24"/>
          <w:szCs w:val="24"/>
        </w:rPr>
        <w:t>）鸟类迁徙路径</w:t>
      </w:r>
    </w:p>
    <w:p w14:paraId="7520B44F">
      <w:pPr>
        <w:spacing w:before="164" w:line="360" w:lineRule="auto"/>
        <w:ind w:left="3" w:right="190" w:firstLine="482"/>
        <w:rPr>
          <w:rFonts w:ascii="宋体" w:hAnsi="宋体" w:eastAsia="宋体" w:cs="宋体"/>
          <w:sz w:val="24"/>
          <w:szCs w:val="24"/>
        </w:rPr>
      </w:pPr>
      <w:r>
        <w:rPr>
          <w:rFonts w:ascii="宋体" w:hAnsi="宋体" w:eastAsia="宋体" w:cs="宋体"/>
          <w:spacing w:val="-2"/>
          <w:sz w:val="24"/>
          <w:szCs w:val="24"/>
        </w:rPr>
        <w:t>鸟类迁徙通道泛指鸟类中的某些种类，每年春季和秋季，有规律的、沿相对固定的</w:t>
      </w:r>
      <w:r>
        <w:rPr>
          <w:rFonts w:ascii="宋体" w:hAnsi="宋体" w:eastAsia="宋体" w:cs="宋体"/>
          <w:spacing w:val="-1"/>
          <w:sz w:val="24"/>
          <w:szCs w:val="24"/>
        </w:rPr>
        <w:t>路线、定时地在繁殖地区和越冬地区之间进行的长距离</w:t>
      </w:r>
      <w:r>
        <w:rPr>
          <w:rFonts w:ascii="宋体" w:hAnsi="宋体" w:eastAsia="宋体" w:cs="宋体"/>
          <w:spacing w:val="-2"/>
          <w:sz w:val="24"/>
          <w:szCs w:val="24"/>
        </w:rPr>
        <w:t>的往返移居的行为现象。</w:t>
      </w:r>
    </w:p>
    <w:p w14:paraId="29A82E88">
      <w:pPr>
        <w:spacing w:before="7" w:line="359" w:lineRule="auto"/>
        <w:ind w:left="1" w:right="184" w:firstLine="486"/>
        <w:jc w:val="both"/>
        <w:rPr>
          <w:rFonts w:ascii="宋体" w:hAnsi="宋体" w:eastAsia="宋体" w:cs="宋体"/>
          <w:sz w:val="24"/>
          <w:szCs w:val="24"/>
        </w:rPr>
      </w:pPr>
      <w:r>
        <w:rPr>
          <w:rFonts w:ascii="宋体" w:hAnsi="宋体" w:eastAsia="宋体" w:cs="宋体"/>
          <w:spacing w:val="-2"/>
          <w:sz w:val="24"/>
          <w:szCs w:val="24"/>
        </w:rPr>
        <w:t>云南省地处中国西南边陲，地势西北高，东南低，山脉、河流以南北走向为主。地</w:t>
      </w:r>
      <w:r>
        <w:rPr>
          <w:rFonts w:ascii="宋体" w:hAnsi="宋体" w:eastAsia="宋体" w:cs="宋体"/>
          <w:spacing w:val="-6"/>
          <w:sz w:val="24"/>
          <w:szCs w:val="24"/>
        </w:rPr>
        <w:t>形、气候复杂，</w:t>
      </w:r>
      <w:r>
        <w:rPr>
          <w:rFonts w:ascii="宋体" w:hAnsi="宋体" w:eastAsia="宋体" w:cs="宋体"/>
          <w:spacing w:val="53"/>
          <w:sz w:val="24"/>
          <w:szCs w:val="24"/>
        </w:rPr>
        <w:t xml:space="preserve"> </w:t>
      </w:r>
      <w:r>
        <w:rPr>
          <w:rFonts w:ascii="宋体" w:hAnsi="宋体" w:eastAsia="宋体" w:cs="宋体"/>
          <w:spacing w:val="-6"/>
          <w:sz w:val="24"/>
          <w:szCs w:val="24"/>
        </w:rPr>
        <w:t>生物多样性十分丰富。每年的秋冬季都有大量的候鸟经过。在</w:t>
      </w:r>
      <w:r>
        <w:rPr>
          <w:rFonts w:ascii="宋体" w:hAnsi="宋体" w:eastAsia="宋体" w:cs="宋体"/>
          <w:spacing w:val="-7"/>
          <w:sz w:val="24"/>
          <w:szCs w:val="24"/>
        </w:rPr>
        <w:t>云南的某</w:t>
      </w:r>
      <w:r>
        <w:rPr>
          <w:rFonts w:ascii="宋体" w:hAnsi="宋体" w:eastAsia="宋体" w:cs="宋体"/>
          <w:spacing w:val="-2"/>
          <w:sz w:val="24"/>
          <w:szCs w:val="24"/>
        </w:rPr>
        <w:t>些区域，每逢浓雾，且月光昏暗的秋冬季夜晚，当地居民常上山利用火光或灯光招引并扑打“雾露雀”，这些“雾露雀”就是夜间迁徙的候鸟，而扑打“雾露雀”的区域一般</w:t>
      </w:r>
      <w:r>
        <w:rPr>
          <w:rFonts w:ascii="宋体" w:hAnsi="宋体" w:eastAsia="宋体" w:cs="宋体"/>
          <w:spacing w:val="-6"/>
          <w:sz w:val="24"/>
          <w:szCs w:val="24"/>
        </w:rPr>
        <w:t>被称为“打雀山”。根据鸟类研究学者的调查，</w:t>
      </w:r>
      <w:r>
        <w:rPr>
          <w:rFonts w:ascii="宋体" w:hAnsi="宋体" w:eastAsia="宋体" w:cs="宋体"/>
          <w:spacing w:val="49"/>
          <w:sz w:val="24"/>
          <w:szCs w:val="24"/>
        </w:rPr>
        <w:t xml:space="preserve"> </w:t>
      </w:r>
      <w:r>
        <w:rPr>
          <w:rFonts w:ascii="宋体" w:hAnsi="宋体" w:eastAsia="宋体" w:cs="宋体"/>
          <w:spacing w:val="-6"/>
          <w:sz w:val="24"/>
          <w:szCs w:val="24"/>
        </w:rPr>
        <w:t>在云南省境内共发现夜间鸟类迁徙聚集</w:t>
      </w:r>
      <w:r>
        <w:rPr>
          <w:rFonts w:ascii="宋体" w:hAnsi="宋体" w:eastAsia="宋体" w:cs="宋体"/>
          <w:spacing w:val="-2"/>
          <w:sz w:val="24"/>
          <w:szCs w:val="24"/>
        </w:rPr>
        <w:t>点</w:t>
      </w:r>
      <w:r>
        <w:rPr>
          <w:rFonts w:ascii="宋体" w:hAnsi="宋体" w:eastAsia="宋体" w:cs="宋体"/>
          <w:spacing w:val="-55"/>
          <w:sz w:val="24"/>
          <w:szCs w:val="24"/>
        </w:rPr>
        <w:t xml:space="preserve"> </w:t>
      </w:r>
      <w:r>
        <w:rPr>
          <w:rFonts w:ascii="Times New Roman" w:hAnsi="Times New Roman" w:eastAsia="Times New Roman" w:cs="Times New Roman"/>
          <w:spacing w:val="-2"/>
          <w:sz w:val="24"/>
          <w:szCs w:val="24"/>
        </w:rPr>
        <w:t xml:space="preserve">21 </w:t>
      </w:r>
      <w:r>
        <w:rPr>
          <w:rFonts w:ascii="宋体" w:hAnsi="宋体" w:eastAsia="宋体" w:cs="宋体"/>
          <w:spacing w:val="-2"/>
          <w:sz w:val="24"/>
          <w:szCs w:val="24"/>
        </w:rPr>
        <w:t>个（将部分相邻的点位合并</w:t>
      </w:r>
      <w:r>
        <w:rPr>
          <w:rFonts w:ascii="宋体" w:hAnsi="宋体" w:eastAsia="宋体" w:cs="宋体"/>
          <w:spacing w:val="7"/>
          <w:sz w:val="24"/>
          <w:szCs w:val="24"/>
        </w:rPr>
        <w:t>），</w:t>
      </w:r>
      <w:r>
        <w:rPr>
          <w:rFonts w:ascii="宋体" w:hAnsi="宋体" w:eastAsia="宋体" w:cs="宋体"/>
          <w:spacing w:val="-2"/>
          <w:sz w:val="24"/>
          <w:szCs w:val="24"/>
        </w:rPr>
        <w:t>分布于</w:t>
      </w:r>
      <w:r>
        <w:rPr>
          <w:rFonts w:ascii="宋体" w:hAnsi="宋体" w:eastAsia="宋体" w:cs="宋体"/>
          <w:spacing w:val="-57"/>
          <w:sz w:val="24"/>
          <w:szCs w:val="24"/>
        </w:rPr>
        <w:t xml:space="preserve"> </w:t>
      </w:r>
      <w:r>
        <w:rPr>
          <w:rFonts w:ascii="Times New Roman" w:hAnsi="Times New Roman" w:eastAsia="Times New Roman" w:cs="Times New Roman"/>
          <w:spacing w:val="-2"/>
          <w:sz w:val="24"/>
          <w:szCs w:val="24"/>
        </w:rPr>
        <w:t xml:space="preserve">23 </w:t>
      </w:r>
      <w:r>
        <w:rPr>
          <w:rFonts w:ascii="宋体" w:hAnsi="宋体" w:eastAsia="宋体" w:cs="宋体"/>
          <w:spacing w:val="-2"/>
          <w:sz w:val="24"/>
          <w:szCs w:val="24"/>
        </w:rPr>
        <w:t>县（部分点位处于两县交界区域）。这</w:t>
      </w:r>
      <w:r>
        <w:rPr>
          <w:rFonts w:ascii="宋体" w:hAnsi="宋体" w:eastAsia="宋体" w:cs="宋体"/>
          <w:spacing w:val="-1"/>
          <w:sz w:val="24"/>
          <w:szCs w:val="24"/>
        </w:rPr>
        <w:t xml:space="preserve">些区域大部分分布在山间（山脊）垭口的坡地或台地，海拔 </w:t>
      </w:r>
      <w:r>
        <w:rPr>
          <w:rFonts w:ascii="Times New Roman" w:hAnsi="Times New Roman" w:eastAsia="Times New Roman" w:cs="Times New Roman"/>
          <w:spacing w:val="-1"/>
          <w:sz w:val="24"/>
          <w:szCs w:val="24"/>
        </w:rPr>
        <w:t>16</w:t>
      </w:r>
      <w:r>
        <w:rPr>
          <w:rFonts w:ascii="Times New Roman" w:hAnsi="Times New Roman" w:eastAsia="Times New Roman" w:cs="Times New Roman"/>
          <w:spacing w:val="-2"/>
          <w:sz w:val="24"/>
          <w:szCs w:val="24"/>
        </w:rPr>
        <w:t>00-3100m</w:t>
      </w:r>
      <w:r>
        <w:rPr>
          <w:rFonts w:ascii="Times New Roman" w:hAnsi="Times New Roman" w:eastAsia="Times New Roman" w:cs="Times New Roman"/>
          <w:spacing w:val="33"/>
          <w:sz w:val="24"/>
          <w:szCs w:val="24"/>
        </w:rPr>
        <w:t xml:space="preserve"> </w:t>
      </w:r>
      <w:r>
        <w:rPr>
          <w:rFonts w:ascii="宋体" w:hAnsi="宋体" w:eastAsia="宋体" w:cs="宋体"/>
          <w:spacing w:val="-2"/>
          <w:sz w:val="24"/>
          <w:szCs w:val="24"/>
        </w:rPr>
        <w:t>均有分布，植</w:t>
      </w:r>
      <w:r>
        <w:rPr>
          <w:rFonts w:ascii="宋体" w:hAnsi="宋体" w:eastAsia="宋体" w:cs="宋体"/>
          <w:spacing w:val="-3"/>
          <w:sz w:val="24"/>
          <w:szCs w:val="24"/>
        </w:rPr>
        <w:t>被以低矮的灌丛和草坡为主，缺少高大乔木。</w:t>
      </w:r>
    </w:p>
    <w:p w14:paraId="0AF1EB9B">
      <w:pPr>
        <w:spacing w:before="1" w:line="361" w:lineRule="auto"/>
        <w:ind w:firstLine="486"/>
        <w:jc w:val="both"/>
        <w:rPr>
          <w:rFonts w:ascii="宋体" w:hAnsi="宋体" w:eastAsia="宋体" w:cs="宋体"/>
          <w:sz w:val="24"/>
          <w:szCs w:val="24"/>
        </w:rPr>
      </w:pPr>
      <w:r>
        <w:rPr>
          <w:rFonts w:ascii="宋体" w:hAnsi="宋体" w:eastAsia="宋体" w:cs="宋体"/>
          <w:spacing w:val="-2"/>
          <w:sz w:val="24"/>
          <w:szCs w:val="24"/>
        </w:rPr>
        <w:t>鸟类研究学者发现在云南省境内至少有东西两条秋季候鸟迁徙路线，其中西线为从</w:t>
      </w:r>
      <w:r>
        <w:rPr>
          <w:rFonts w:ascii="宋体" w:hAnsi="宋体" w:eastAsia="宋体" w:cs="宋体"/>
          <w:spacing w:val="2"/>
          <w:sz w:val="24"/>
          <w:szCs w:val="24"/>
        </w:rPr>
        <w:t>北边的云岭向南经过哀牢山、无量山，之后顺元江出境</w:t>
      </w:r>
      <w:r>
        <w:rPr>
          <w:rFonts w:ascii="宋体" w:hAnsi="宋体" w:eastAsia="宋体" w:cs="宋体"/>
          <w:spacing w:val="1"/>
          <w:sz w:val="24"/>
          <w:szCs w:val="24"/>
        </w:rPr>
        <w:t>，即云岭—苍山—哀牢山一线；</w:t>
      </w:r>
      <w:r>
        <w:rPr>
          <w:rFonts w:ascii="宋体" w:hAnsi="宋体" w:eastAsia="宋体" w:cs="宋体"/>
          <w:spacing w:val="-6"/>
          <w:sz w:val="24"/>
          <w:szCs w:val="24"/>
        </w:rPr>
        <w:t>东线为滇东北乌蒙山至滇东南，即滇东乌蒙山一线。其中，</w:t>
      </w:r>
      <w:r>
        <w:rPr>
          <w:rFonts w:ascii="宋体" w:hAnsi="宋体" w:eastAsia="宋体" w:cs="宋体"/>
          <w:spacing w:val="49"/>
          <w:sz w:val="24"/>
          <w:szCs w:val="24"/>
        </w:rPr>
        <w:t xml:space="preserve"> </w:t>
      </w:r>
      <w:r>
        <w:rPr>
          <w:rFonts w:ascii="宋体" w:hAnsi="宋体" w:eastAsia="宋体" w:cs="宋体"/>
          <w:spacing w:val="-6"/>
          <w:sz w:val="24"/>
          <w:szCs w:val="24"/>
        </w:rPr>
        <w:t>滇西横断山脉地区的山体走</w:t>
      </w:r>
      <w:r>
        <w:rPr>
          <w:rFonts w:ascii="宋体" w:hAnsi="宋体" w:eastAsia="宋体" w:cs="宋体"/>
          <w:spacing w:val="-1"/>
          <w:sz w:val="24"/>
          <w:szCs w:val="24"/>
        </w:rPr>
        <w:t>向为西北—东南走向，经过滇西地区的候鸟</w:t>
      </w:r>
      <w:r>
        <w:rPr>
          <w:rFonts w:ascii="宋体" w:hAnsi="宋体" w:eastAsia="宋体" w:cs="宋体"/>
          <w:spacing w:val="-2"/>
          <w:sz w:val="24"/>
          <w:szCs w:val="24"/>
        </w:rPr>
        <w:t>就在山脉东北的一侧聚集，迁徙路线呈西北</w:t>
      </w:r>
      <w:r>
        <w:rPr>
          <w:rFonts w:ascii="宋体" w:hAnsi="宋体" w:eastAsia="宋体" w:cs="宋体"/>
          <w:spacing w:val="-1"/>
          <w:sz w:val="24"/>
          <w:szCs w:val="24"/>
        </w:rPr>
        <w:t>—东南走向。而滇东北的乌蒙山脉则呈东北—</w:t>
      </w:r>
      <w:r>
        <w:rPr>
          <w:rFonts w:ascii="宋体" w:hAnsi="宋体" w:eastAsia="宋体" w:cs="宋体"/>
          <w:spacing w:val="-2"/>
          <w:sz w:val="24"/>
          <w:szCs w:val="24"/>
        </w:rPr>
        <w:t>西南走向，而经过滇东北地区的候鸟则是</w:t>
      </w:r>
      <w:r>
        <w:rPr>
          <w:rFonts w:ascii="宋体" w:hAnsi="宋体" w:eastAsia="宋体" w:cs="宋体"/>
          <w:spacing w:val="-6"/>
          <w:sz w:val="24"/>
          <w:szCs w:val="24"/>
        </w:rPr>
        <w:t>在山脉西北一侧聚集，迁徙路线呈东北—西南走向。因此，</w:t>
      </w:r>
      <w:r>
        <w:rPr>
          <w:rFonts w:ascii="宋体" w:hAnsi="宋体" w:eastAsia="宋体" w:cs="宋体"/>
          <w:spacing w:val="50"/>
          <w:sz w:val="24"/>
          <w:szCs w:val="24"/>
        </w:rPr>
        <w:t xml:space="preserve"> </w:t>
      </w:r>
      <w:r>
        <w:rPr>
          <w:rFonts w:ascii="宋体" w:hAnsi="宋体" w:eastAsia="宋体" w:cs="宋体"/>
          <w:spacing w:val="-6"/>
          <w:sz w:val="24"/>
          <w:szCs w:val="24"/>
        </w:rPr>
        <w:t>候鸟在云南境内的迁徙线路</w:t>
      </w:r>
      <w:r>
        <w:rPr>
          <w:rFonts w:ascii="宋体" w:hAnsi="宋体" w:eastAsia="宋体" w:cs="宋体"/>
          <w:spacing w:val="-3"/>
          <w:sz w:val="24"/>
          <w:szCs w:val="24"/>
        </w:rPr>
        <w:t>不管在东线还是西线都出现在山脉向北的一侧。但候鸟为恢复其北至南磁力线迁徙方向，</w:t>
      </w:r>
    </w:p>
    <w:p w14:paraId="77C23DBC">
      <w:pPr>
        <w:spacing w:line="361" w:lineRule="auto"/>
        <w:rPr>
          <w:rFonts w:ascii="宋体" w:hAnsi="宋体" w:eastAsia="宋体" w:cs="宋体"/>
          <w:sz w:val="24"/>
          <w:szCs w:val="24"/>
        </w:rPr>
        <w:sectPr>
          <w:footerReference r:id="rId168" w:type="default"/>
          <w:pgSz w:w="11907" w:h="16841"/>
          <w:pgMar w:top="400" w:right="1227" w:bottom="1126" w:left="1426" w:header="0" w:footer="925" w:gutter="0"/>
          <w:cols w:space="720" w:num="1"/>
        </w:sectPr>
      </w:pPr>
    </w:p>
    <w:p w14:paraId="267C1FAA">
      <w:pPr>
        <w:spacing w:line="249" w:lineRule="auto"/>
        <w:rPr>
          <w:rFonts w:ascii="Arial"/>
          <w:sz w:val="21"/>
        </w:rPr>
      </w:pPr>
    </w:p>
    <w:p w14:paraId="0B7D23CD">
      <w:pPr>
        <w:spacing w:line="249" w:lineRule="auto"/>
        <w:rPr>
          <w:rFonts w:ascii="Arial"/>
          <w:sz w:val="21"/>
        </w:rPr>
      </w:pPr>
    </w:p>
    <w:p w14:paraId="5222597D">
      <w:pPr>
        <w:spacing w:line="249" w:lineRule="auto"/>
        <w:rPr>
          <w:rFonts w:ascii="Arial"/>
          <w:sz w:val="21"/>
        </w:rPr>
      </w:pPr>
    </w:p>
    <w:p w14:paraId="71BAFE24">
      <w:pPr>
        <w:spacing w:line="249" w:lineRule="auto"/>
        <w:rPr>
          <w:rFonts w:ascii="Arial"/>
          <w:sz w:val="21"/>
        </w:rPr>
      </w:pPr>
    </w:p>
    <w:p w14:paraId="72845B1E">
      <w:pPr>
        <w:spacing w:line="249" w:lineRule="auto"/>
        <w:rPr>
          <w:rFonts w:ascii="Arial"/>
          <w:sz w:val="21"/>
        </w:rPr>
      </w:pPr>
    </w:p>
    <w:p w14:paraId="59CFB4DE">
      <w:pPr>
        <w:spacing w:before="78" w:line="360" w:lineRule="auto"/>
        <w:jc w:val="both"/>
        <w:rPr>
          <w:rFonts w:ascii="宋体" w:hAnsi="宋体" w:eastAsia="宋体" w:cs="宋体"/>
          <w:sz w:val="24"/>
          <w:szCs w:val="24"/>
        </w:rPr>
      </w:pPr>
      <w:r>
        <w:rPr>
          <w:rFonts w:ascii="宋体" w:hAnsi="宋体" w:eastAsia="宋体" w:cs="宋体"/>
          <w:spacing w:val="-5"/>
          <w:sz w:val="24"/>
          <w:szCs w:val="24"/>
        </w:rPr>
        <w:t>每当遇到山间沟谷、低矮山脊或者山脊垭口时， 大量候鸟就会从这些区域翻越山脊继续</w:t>
      </w:r>
      <w:r>
        <w:rPr>
          <w:rFonts w:ascii="宋体" w:hAnsi="宋体" w:eastAsia="宋体" w:cs="宋体"/>
          <w:spacing w:val="-6"/>
          <w:sz w:val="24"/>
          <w:szCs w:val="24"/>
        </w:rPr>
        <w:t>向南迁飞，当这些区域出现刮南风或西南风、有浓雾、无月亮的夜间，</w:t>
      </w:r>
      <w:r>
        <w:rPr>
          <w:rFonts w:ascii="宋体" w:hAnsi="宋体" w:eastAsia="宋体" w:cs="宋体"/>
          <w:spacing w:val="52"/>
          <w:sz w:val="24"/>
          <w:szCs w:val="24"/>
        </w:rPr>
        <w:t xml:space="preserve"> </w:t>
      </w:r>
      <w:r>
        <w:rPr>
          <w:rFonts w:ascii="宋体" w:hAnsi="宋体" w:eastAsia="宋体" w:cs="宋体"/>
          <w:spacing w:val="-6"/>
          <w:sz w:val="24"/>
          <w:szCs w:val="24"/>
        </w:rPr>
        <w:t>候鸟就</w:t>
      </w:r>
      <w:r>
        <w:rPr>
          <w:rFonts w:ascii="宋体" w:hAnsi="宋体" w:eastAsia="宋体" w:cs="宋体"/>
          <w:spacing w:val="-7"/>
          <w:sz w:val="24"/>
          <w:szCs w:val="24"/>
        </w:rPr>
        <w:t>会降低飞</w:t>
      </w:r>
      <w:r>
        <w:rPr>
          <w:rFonts w:ascii="宋体" w:hAnsi="宋体" w:eastAsia="宋体" w:cs="宋体"/>
          <w:spacing w:val="-2"/>
          <w:sz w:val="24"/>
          <w:szCs w:val="24"/>
        </w:rPr>
        <w:t>行高度，并且会朝向光源（特别为黄色光）方向飞行，一旦遇到灯光或火光，就会趋光</w:t>
      </w:r>
      <w:r>
        <w:rPr>
          <w:rFonts w:ascii="宋体" w:hAnsi="宋体" w:eastAsia="宋体" w:cs="宋体"/>
          <w:spacing w:val="-6"/>
          <w:sz w:val="24"/>
          <w:szCs w:val="24"/>
        </w:rPr>
        <w:t>而来，形成了夜间扑火的特异现象。所以，</w:t>
      </w:r>
      <w:r>
        <w:rPr>
          <w:rFonts w:ascii="宋体" w:hAnsi="宋体" w:eastAsia="宋体" w:cs="宋体"/>
          <w:spacing w:val="48"/>
          <w:sz w:val="24"/>
          <w:szCs w:val="24"/>
        </w:rPr>
        <w:t xml:space="preserve"> </w:t>
      </w:r>
      <w:r>
        <w:rPr>
          <w:rFonts w:ascii="宋体" w:hAnsi="宋体" w:eastAsia="宋体" w:cs="宋体"/>
          <w:spacing w:val="-6"/>
          <w:sz w:val="24"/>
          <w:szCs w:val="24"/>
        </w:rPr>
        <w:t>“打雀山”就是候鸟在云南境内迁徙的主要</w:t>
      </w:r>
      <w:r>
        <w:rPr>
          <w:rFonts w:ascii="宋体" w:hAnsi="宋体" w:eastAsia="宋体" w:cs="宋体"/>
          <w:spacing w:val="-4"/>
          <w:sz w:val="24"/>
          <w:szCs w:val="24"/>
        </w:rPr>
        <w:t>聚集区，即主要迁徙通道。</w:t>
      </w:r>
    </w:p>
    <w:p w14:paraId="106D9B0E">
      <w:pPr>
        <w:spacing w:line="340" w:lineRule="auto"/>
        <w:ind w:firstLine="483"/>
        <w:rPr>
          <w:rFonts w:ascii="宋体" w:hAnsi="宋体" w:eastAsia="宋体" w:cs="宋体"/>
          <w:sz w:val="24"/>
          <w:szCs w:val="24"/>
        </w:rPr>
      </w:pPr>
      <w:r>
        <w:rPr>
          <w:rFonts w:ascii="宋体" w:hAnsi="宋体" w:eastAsia="宋体" w:cs="宋体"/>
          <w:spacing w:val="-5"/>
          <w:sz w:val="24"/>
          <w:szCs w:val="24"/>
        </w:rPr>
        <w:t>项目区处于云南省秋季迁徙候鸟的迁徙东线区域。根据现有资料， 云南省鸟类迁徙</w:t>
      </w:r>
      <w:r>
        <w:rPr>
          <w:rFonts w:ascii="宋体" w:hAnsi="宋体" w:eastAsia="宋体" w:cs="宋体"/>
          <w:spacing w:val="-2"/>
          <w:sz w:val="24"/>
          <w:szCs w:val="24"/>
        </w:rPr>
        <w:t>通道距离工程最近的距离约</w:t>
      </w:r>
      <w:r>
        <w:rPr>
          <w:rFonts w:ascii="宋体" w:hAnsi="宋体" w:eastAsia="宋体" w:cs="宋体"/>
          <w:spacing w:val="-46"/>
          <w:sz w:val="24"/>
          <w:szCs w:val="24"/>
        </w:rPr>
        <w:t xml:space="preserve"> </w:t>
      </w:r>
      <w:r>
        <w:rPr>
          <w:rFonts w:ascii="Times New Roman" w:hAnsi="Times New Roman" w:eastAsia="Times New Roman" w:cs="Times New Roman"/>
          <w:spacing w:val="-2"/>
          <w:sz w:val="24"/>
          <w:szCs w:val="24"/>
        </w:rPr>
        <w:t>26km</w:t>
      </w:r>
      <w:r>
        <w:rPr>
          <w:rFonts w:ascii="宋体" w:hAnsi="宋体" w:eastAsia="宋体" w:cs="宋体"/>
          <w:spacing w:val="-2"/>
          <w:sz w:val="24"/>
          <w:szCs w:val="24"/>
        </w:rPr>
        <w:t>，不与鸟类迁徙通道重叠。</w:t>
      </w:r>
    </w:p>
    <w:p w14:paraId="74E18393">
      <w:pPr>
        <w:spacing w:line="5782" w:lineRule="exact"/>
        <w:ind w:firstLine="365"/>
      </w:pPr>
      <w:r>
        <w:rPr>
          <w:position w:val="-115"/>
        </w:rPr>
        <w:drawing>
          <wp:inline distT="0" distB="0" distL="0" distR="0">
            <wp:extent cx="5273675" cy="3671570"/>
            <wp:effectExtent l="0" t="0" r="0" b="0"/>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261"/>
                    <a:stretch>
                      <a:fillRect/>
                    </a:stretch>
                  </pic:blipFill>
                  <pic:spPr>
                    <a:xfrm>
                      <a:off x="0" y="0"/>
                      <a:ext cx="5273675" cy="3672204"/>
                    </a:xfrm>
                    <a:prstGeom prst="rect">
                      <a:avLst/>
                    </a:prstGeom>
                  </pic:spPr>
                </pic:pic>
              </a:graphicData>
            </a:graphic>
          </wp:inline>
        </w:drawing>
      </w:r>
    </w:p>
    <w:p w14:paraId="45A23341">
      <w:pPr>
        <w:spacing w:before="210" w:line="234" w:lineRule="auto"/>
        <w:ind w:left="2386"/>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28"/>
          <w:sz w:val="21"/>
          <w:szCs w:val="21"/>
        </w:rPr>
        <w:t xml:space="preserve"> </w:t>
      </w:r>
      <w:r>
        <w:rPr>
          <w:rFonts w:ascii="Times New Roman" w:hAnsi="Times New Roman" w:eastAsia="Times New Roman" w:cs="Times New Roman"/>
          <w:b/>
          <w:bCs/>
          <w:spacing w:val="-3"/>
          <w:sz w:val="21"/>
          <w:szCs w:val="21"/>
        </w:rPr>
        <w:t xml:space="preserve">2-1    </w:t>
      </w:r>
      <w:r>
        <w:rPr>
          <w:rFonts w:ascii="宋体" w:hAnsi="宋体" w:eastAsia="宋体" w:cs="宋体"/>
          <w:b/>
          <w:bCs/>
          <w:spacing w:val="-3"/>
          <w:sz w:val="21"/>
          <w:szCs w:val="21"/>
        </w:rPr>
        <w:t>项目与云南省鸟类迁徙通道位置关系图</w:t>
      </w:r>
    </w:p>
    <w:p w14:paraId="27B4A025">
      <w:pPr>
        <w:spacing w:line="234" w:lineRule="auto"/>
        <w:rPr>
          <w:rFonts w:ascii="宋体" w:hAnsi="宋体" w:eastAsia="宋体" w:cs="宋体"/>
          <w:sz w:val="21"/>
          <w:szCs w:val="21"/>
        </w:rPr>
        <w:sectPr>
          <w:footerReference r:id="rId169" w:type="default"/>
          <w:pgSz w:w="11907" w:h="16841"/>
          <w:pgMar w:top="400" w:right="1415" w:bottom="1126" w:left="1428" w:header="0" w:footer="925" w:gutter="0"/>
          <w:cols w:space="720" w:num="1"/>
        </w:sectPr>
      </w:pPr>
    </w:p>
    <w:p w14:paraId="6202F120">
      <w:pPr>
        <w:spacing w:line="297" w:lineRule="auto"/>
        <w:rPr>
          <w:rFonts w:ascii="Arial"/>
          <w:sz w:val="21"/>
        </w:rPr>
      </w:pPr>
    </w:p>
    <w:p w14:paraId="50E7EE3F">
      <w:pPr>
        <w:spacing w:line="298" w:lineRule="auto"/>
        <w:rPr>
          <w:rFonts w:ascii="Arial"/>
          <w:sz w:val="21"/>
        </w:rPr>
      </w:pPr>
    </w:p>
    <w:p w14:paraId="7B14810B">
      <w:pPr>
        <w:spacing w:line="298" w:lineRule="auto"/>
        <w:rPr>
          <w:rFonts w:ascii="Arial"/>
          <w:sz w:val="21"/>
        </w:rPr>
      </w:pPr>
    </w:p>
    <w:p w14:paraId="7D3A96AC">
      <w:pPr>
        <w:spacing w:line="298" w:lineRule="auto"/>
        <w:rPr>
          <w:rFonts w:ascii="Arial"/>
          <w:sz w:val="21"/>
        </w:rPr>
      </w:pPr>
    </w:p>
    <w:p w14:paraId="135FA1CE">
      <w:pPr>
        <w:spacing w:before="69" w:line="234" w:lineRule="auto"/>
        <w:ind w:left="1996"/>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8"/>
          <w:sz w:val="21"/>
          <w:szCs w:val="21"/>
        </w:rPr>
        <w:t xml:space="preserve"> </w:t>
      </w:r>
      <w:r>
        <w:rPr>
          <w:rFonts w:ascii="Times New Roman" w:hAnsi="Times New Roman" w:eastAsia="Times New Roman" w:cs="Times New Roman"/>
          <w:b/>
          <w:bCs/>
          <w:spacing w:val="-2"/>
          <w:sz w:val="21"/>
          <w:szCs w:val="21"/>
        </w:rPr>
        <w:t xml:space="preserve">2-10    </w:t>
      </w:r>
      <w:r>
        <w:rPr>
          <w:rFonts w:ascii="宋体" w:hAnsi="宋体" w:eastAsia="宋体" w:cs="宋体"/>
          <w:b/>
          <w:bCs/>
          <w:spacing w:val="-2"/>
          <w:sz w:val="21"/>
          <w:szCs w:val="21"/>
        </w:rPr>
        <w:t>云南省候鸟迁徙通道重点区域范围（第一批）</w:t>
      </w:r>
    </w:p>
    <w:p w14:paraId="0AE3B9BD">
      <w:pPr>
        <w:spacing w:before="60" w:line="4849" w:lineRule="exact"/>
        <w:ind w:firstLine="786"/>
      </w:pPr>
      <w:r>
        <w:rPr>
          <w:position w:val="-96"/>
        </w:rPr>
        <w:drawing>
          <wp:inline distT="0" distB="0" distL="0" distR="0">
            <wp:extent cx="4747895" cy="3078480"/>
            <wp:effectExtent l="0" t="0" r="0" b="0"/>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262"/>
                    <a:stretch>
                      <a:fillRect/>
                    </a:stretch>
                  </pic:blipFill>
                  <pic:spPr>
                    <a:xfrm>
                      <a:off x="0" y="0"/>
                      <a:ext cx="4748403" cy="3079114"/>
                    </a:xfrm>
                    <a:prstGeom prst="rect">
                      <a:avLst/>
                    </a:prstGeom>
                  </pic:spPr>
                </pic:pic>
              </a:graphicData>
            </a:graphic>
          </wp:inline>
        </w:drawing>
      </w:r>
    </w:p>
    <w:p w14:paraId="2553931F">
      <w:pPr>
        <w:spacing w:before="193" w:line="233" w:lineRule="auto"/>
        <w:ind w:left="476"/>
        <w:rPr>
          <w:rFonts w:ascii="宋体" w:hAnsi="宋体" w:eastAsia="宋体" w:cs="宋体"/>
          <w:sz w:val="24"/>
          <w:szCs w:val="24"/>
        </w:rPr>
      </w:pPr>
      <w:r>
        <w:rPr>
          <w:rFonts w:ascii="Times New Roman" w:hAnsi="Times New Roman" w:eastAsia="Times New Roman" w:cs="Times New Roman"/>
          <w:spacing w:val="-1"/>
          <w:sz w:val="24"/>
          <w:szCs w:val="24"/>
        </w:rPr>
        <w:t>2</w:t>
      </w:r>
      <w:r>
        <w:rPr>
          <w:rFonts w:ascii="宋体" w:hAnsi="宋体" w:eastAsia="宋体" w:cs="宋体"/>
          <w:spacing w:val="-1"/>
          <w:sz w:val="24"/>
          <w:szCs w:val="24"/>
        </w:rPr>
        <w:t>）云南省候鸟迁徙通道重点区域</w:t>
      </w:r>
    </w:p>
    <w:p w14:paraId="5AE760CF">
      <w:pPr>
        <w:spacing w:before="165" w:line="360" w:lineRule="auto"/>
        <w:ind w:firstLine="480"/>
        <w:rPr>
          <w:rFonts w:ascii="宋体" w:hAnsi="宋体" w:eastAsia="宋体" w:cs="宋体"/>
          <w:sz w:val="24"/>
          <w:szCs w:val="24"/>
        </w:rPr>
      </w:pPr>
      <w:r>
        <w:rPr>
          <w:rFonts w:ascii="宋体" w:hAnsi="宋体" w:eastAsia="宋体" w:cs="宋体"/>
          <w:spacing w:val="-2"/>
          <w:sz w:val="24"/>
          <w:szCs w:val="24"/>
        </w:rPr>
        <w:t>根据云南省林业和草原局公告（</w:t>
      </w:r>
      <w:r>
        <w:rPr>
          <w:rFonts w:ascii="Times New Roman" w:hAnsi="Times New Roman" w:eastAsia="Times New Roman" w:cs="Times New Roman"/>
          <w:spacing w:val="-2"/>
          <w:sz w:val="24"/>
          <w:szCs w:val="24"/>
        </w:rPr>
        <w:t>2023</w:t>
      </w:r>
      <w:r>
        <w:rPr>
          <w:rFonts w:ascii="Times New Roman" w:hAnsi="Times New Roman" w:eastAsia="Times New Roman" w:cs="Times New Roman"/>
          <w:spacing w:val="16"/>
          <w:sz w:val="24"/>
          <w:szCs w:val="24"/>
        </w:rPr>
        <w:t xml:space="preserve"> </w:t>
      </w:r>
      <w:r>
        <w:rPr>
          <w:rFonts w:ascii="宋体" w:hAnsi="宋体" w:eastAsia="宋体" w:cs="宋体"/>
          <w:spacing w:val="-2"/>
          <w:sz w:val="24"/>
          <w:szCs w:val="24"/>
        </w:rPr>
        <w:t>年第</w:t>
      </w:r>
      <w:r>
        <w:rPr>
          <w:rFonts w:ascii="宋体" w:hAnsi="宋体" w:eastAsia="宋体" w:cs="宋体"/>
          <w:spacing w:val="-27"/>
          <w:sz w:val="24"/>
          <w:szCs w:val="24"/>
        </w:rPr>
        <w:t xml:space="preserve"> </w:t>
      </w:r>
      <w:r>
        <w:rPr>
          <w:rFonts w:ascii="Times New Roman" w:hAnsi="Times New Roman" w:eastAsia="Times New Roman" w:cs="Times New Roman"/>
          <w:spacing w:val="-2"/>
          <w:sz w:val="24"/>
          <w:szCs w:val="24"/>
        </w:rPr>
        <w:t>10</w:t>
      </w:r>
      <w:r>
        <w:rPr>
          <w:rFonts w:ascii="Times New Roman" w:hAnsi="Times New Roman" w:eastAsia="Times New Roman" w:cs="Times New Roman"/>
          <w:spacing w:val="17"/>
          <w:sz w:val="24"/>
          <w:szCs w:val="24"/>
        </w:rPr>
        <w:t xml:space="preserve"> </w:t>
      </w:r>
      <w:r>
        <w:rPr>
          <w:rFonts w:ascii="宋体" w:hAnsi="宋体" w:eastAsia="宋体" w:cs="宋体"/>
          <w:spacing w:val="-2"/>
          <w:sz w:val="24"/>
          <w:szCs w:val="24"/>
        </w:rPr>
        <w:t>号</w:t>
      </w:r>
      <w:r>
        <w:rPr>
          <w:rFonts w:ascii="宋体" w:hAnsi="宋体" w:eastAsia="宋体" w:cs="宋体"/>
          <w:spacing w:val="4"/>
          <w:sz w:val="24"/>
          <w:szCs w:val="24"/>
        </w:rPr>
        <w:t>），</w:t>
      </w:r>
      <w:r>
        <w:rPr>
          <w:rFonts w:ascii="宋体" w:hAnsi="宋体" w:eastAsia="宋体" w:cs="宋体"/>
          <w:spacing w:val="-2"/>
          <w:sz w:val="24"/>
          <w:szCs w:val="24"/>
        </w:rPr>
        <w:t>公布了第一批云南省候鸟迁徙</w:t>
      </w:r>
      <w:r>
        <w:rPr>
          <w:rFonts w:ascii="宋体" w:hAnsi="宋体" w:eastAsia="宋体" w:cs="宋体"/>
          <w:spacing w:val="-6"/>
          <w:sz w:val="24"/>
          <w:szCs w:val="24"/>
        </w:rPr>
        <w:t>通道重要地点保护范围。地点包括昭通市永善县，</w:t>
      </w:r>
      <w:r>
        <w:rPr>
          <w:rFonts w:ascii="宋体" w:hAnsi="宋体" w:eastAsia="宋体" w:cs="宋体"/>
          <w:spacing w:val="48"/>
          <w:sz w:val="24"/>
          <w:szCs w:val="24"/>
        </w:rPr>
        <w:t xml:space="preserve"> </w:t>
      </w:r>
      <w:r>
        <w:rPr>
          <w:rFonts w:ascii="宋体" w:hAnsi="宋体" w:eastAsia="宋体" w:cs="宋体"/>
          <w:spacing w:val="-6"/>
          <w:sz w:val="24"/>
          <w:szCs w:val="24"/>
        </w:rPr>
        <w:t>玉溪市新平彝族傣族自治县，楚雄彝族自治州南华县，大理白族自治州洱源县、南涧县、巍山彝族回族自治县、弥渡县</w:t>
      </w:r>
      <w:r>
        <w:rPr>
          <w:rFonts w:ascii="宋体" w:hAnsi="宋体" w:eastAsia="宋体" w:cs="宋体"/>
          <w:spacing w:val="-7"/>
          <w:sz w:val="24"/>
          <w:szCs w:val="24"/>
        </w:rPr>
        <w:t>，</w:t>
      </w:r>
      <w:r>
        <w:rPr>
          <w:rFonts w:ascii="宋体" w:hAnsi="宋体" w:eastAsia="宋体" w:cs="宋体"/>
          <w:spacing w:val="52"/>
          <w:sz w:val="24"/>
          <w:szCs w:val="24"/>
        </w:rPr>
        <w:t xml:space="preserve"> </w:t>
      </w:r>
      <w:r>
        <w:rPr>
          <w:rFonts w:ascii="宋体" w:hAnsi="宋体" w:eastAsia="宋体" w:cs="宋体"/>
          <w:spacing w:val="-7"/>
          <w:sz w:val="24"/>
          <w:szCs w:val="24"/>
        </w:rPr>
        <w:t>普</w:t>
      </w:r>
      <w:r>
        <w:rPr>
          <w:rFonts w:ascii="宋体" w:hAnsi="宋体" w:eastAsia="宋体" w:cs="宋体"/>
          <w:spacing w:val="-6"/>
          <w:sz w:val="24"/>
          <w:szCs w:val="24"/>
        </w:rPr>
        <w:t>洱市镇沅彝族哈尼族拉祜族自治县，红河哈尼族彝族自治州绿春县、开远市，</w:t>
      </w:r>
      <w:r>
        <w:rPr>
          <w:rFonts w:ascii="宋体" w:hAnsi="宋体" w:eastAsia="宋体" w:cs="宋体"/>
          <w:spacing w:val="48"/>
          <w:sz w:val="24"/>
          <w:szCs w:val="24"/>
        </w:rPr>
        <w:t xml:space="preserve"> </w:t>
      </w:r>
      <w:r>
        <w:rPr>
          <w:rFonts w:ascii="宋体" w:hAnsi="宋体" w:eastAsia="宋体" w:cs="宋体"/>
          <w:spacing w:val="-6"/>
          <w:sz w:val="24"/>
          <w:szCs w:val="24"/>
        </w:rPr>
        <w:t>文山壮族</w:t>
      </w:r>
      <w:r>
        <w:rPr>
          <w:rFonts w:ascii="宋体" w:hAnsi="宋体" w:eastAsia="宋体" w:cs="宋体"/>
          <w:spacing w:val="-1"/>
          <w:sz w:val="24"/>
          <w:szCs w:val="24"/>
        </w:rPr>
        <w:t>苗族自治州富宁县、砚山县等</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 xml:space="preserve">7 </w:t>
      </w:r>
      <w:r>
        <w:rPr>
          <w:rFonts w:ascii="宋体" w:hAnsi="宋体" w:eastAsia="宋体" w:cs="宋体"/>
          <w:spacing w:val="-1"/>
          <w:sz w:val="24"/>
          <w:szCs w:val="24"/>
        </w:rPr>
        <w:t>个州（市）</w:t>
      </w:r>
      <w:r>
        <w:rPr>
          <w:rFonts w:ascii="Times New Roman" w:hAnsi="Times New Roman" w:eastAsia="Times New Roman" w:cs="Times New Roman"/>
          <w:spacing w:val="-1"/>
          <w:sz w:val="24"/>
          <w:szCs w:val="24"/>
        </w:rPr>
        <w:t xml:space="preserve">12 </w:t>
      </w:r>
      <w:r>
        <w:rPr>
          <w:rFonts w:ascii="宋体" w:hAnsi="宋体" w:eastAsia="宋体" w:cs="宋体"/>
          <w:spacing w:val="-1"/>
          <w:sz w:val="24"/>
          <w:szCs w:val="24"/>
        </w:rPr>
        <w:t>县（市）</w:t>
      </w:r>
      <w:r>
        <w:rPr>
          <w:rFonts w:ascii="Times New Roman" w:hAnsi="Times New Roman" w:eastAsia="Times New Roman" w:cs="Times New Roman"/>
          <w:spacing w:val="-1"/>
          <w:sz w:val="24"/>
          <w:szCs w:val="24"/>
        </w:rPr>
        <w:t xml:space="preserve">10 </w:t>
      </w:r>
      <w:r>
        <w:rPr>
          <w:rFonts w:ascii="宋体" w:hAnsi="宋体" w:eastAsia="宋体" w:cs="宋体"/>
          <w:spacing w:val="-1"/>
          <w:sz w:val="24"/>
          <w:szCs w:val="24"/>
        </w:rPr>
        <w:t>处候鸟迁徙</w:t>
      </w:r>
      <w:r>
        <w:rPr>
          <w:rFonts w:ascii="宋体" w:hAnsi="宋体" w:eastAsia="宋体" w:cs="宋体"/>
          <w:spacing w:val="-2"/>
          <w:sz w:val="24"/>
          <w:szCs w:val="24"/>
        </w:rPr>
        <w:t>通道重要地点。</w:t>
      </w:r>
    </w:p>
    <w:p w14:paraId="20E2D15C">
      <w:pPr>
        <w:spacing w:before="1" w:line="351" w:lineRule="auto"/>
        <w:ind w:left="4" w:firstLine="477"/>
        <w:rPr>
          <w:rFonts w:ascii="宋体" w:hAnsi="宋体" w:eastAsia="宋体" w:cs="宋体"/>
          <w:sz w:val="24"/>
          <w:szCs w:val="24"/>
        </w:rPr>
      </w:pPr>
      <w:r>
        <w:rPr>
          <w:rFonts w:ascii="宋体" w:hAnsi="宋体" w:eastAsia="宋体" w:cs="宋体"/>
          <w:spacing w:val="-1"/>
          <w:sz w:val="24"/>
          <w:szCs w:val="24"/>
        </w:rPr>
        <w:t xml:space="preserve">本项目位于会泽县北部，不涉及以上 </w:t>
      </w:r>
      <w:r>
        <w:rPr>
          <w:rFonts w:ascii="Times New Roman" w:hAnsi="Times New Roman" w:eastAsia="Times New Roman" w:cs="Times New Roman"/>
          <w:spacing w:val="-1"/>
          <w:sz w:val="24"/>
          <w:szCs w:val="24"/>
        </w:rPr>
        <w:t>10</w:t>
      </w:r>
      <w:r>
        <w:rPr>
          <w:rFonts w:ascii="Times New Roman" w:hAnsi="Times New Roman" w:eastAsia="Times New Roman" w:cs="Times New Roman"/>
          <w:spacing w:val="50"/>
          <w:sz w:val="24"/>
          <w:szCs w:val="24"/>
        </w:rPr>
        <w:t xml:space="preserve"> </w:t>
      </w:r>
      <w:r>
        <w:rPr>
          <w:rFonts w:ascii="宋体" w:hAnsi="宋体" w:eastAsia="宋体" w:cs="宋体"/>
          <w:spacing w:val="-1"/>
          <w:sz w:val="24"/>
          <w:szCs w:val="24"/>
        </w:rPr>
        <w:t>处候鸟迁徙通</w:t>
      </w:r>
      <w:r>
        <w:rPr>
          <w:rFonts w:ascii="宋体" w:hAnsi="宋体" w:eastAsia="宋体" w:cs="宋体"/>
          <w:spacing w:val="-2"/>
          <w:sz w:val="24"/>
          <w:szCs w:val="24"/>
        </w:rPr>
        <w:t>道重要地点，因此，对云南</w:t>
      </w:r>
      <w:r>
        <w:rPr>
          <w:rFonts w:ascii="宋体" w:hAnsi="宋体" w:eastAsia="宋体" w:cs="宋体"/>
          <w:spacing w:val="-3"/>
          <w:sz w:val="24"/>
          <w:szCs w:val="24"/>
        </w:rPr>
        <w:t>省候鸟迁徙通道重点区域无影响。</w:t>
      </w:r>
    </w:p>
    <w:p w14:paraId="6FD3CB93">
      <w:pPr>
        <w:spacing w:before="21" w:line="233" w:lineRule="auto"/>
        <w:ind w:left="481"/>
        <w:rPr>
          <w:rFonts w:ascii="宋体" w:hAnsi="宋体" w:eastAsia="宋体" w:cs="宋体"/>
          <w:sz w:val="24"/>
          <w:szCs w:val="24"/>
        </w:rPr>
      </w:pPr>
      <w:r>
        <w:rPr>
          <w:rFonts w:ascii="Times New Roman" w:hAnsi="Times New Roman" w:eastAsia="Times New Roman" w:cs="Times New Roman"/>
          <w:spacing w:val="-3"/>
          <w:sz w:val="24"/>
          <w:szCs w:val="24"/>
        </w:rPr>
        <w:t>3</w:t>
      </w:r>
      <w:r>
        <w:rPr>
          <w:rFonts w:ascii="宋体" w:hAnsi="宋体" w:eastAsia="宋体" w:cs="宋体"/>
          <w:spacing w:val="-3"/>
          <w:sz w:val="24"/>
          <w:szCs w:val="24"/>
        </w:rPr>
        <w:t>）鱼类洄游通道</w:t>
      </w:r>
    </w:p>
    <w:p w14:paraId="3E0F5857">
      <w:pPr>
        <w:spacing w:before="164" w:line="219" w:lineRule="auto"/>
        <w:ind w:left="481"/>
        <w:rPr>
          <w:rFonts w:ascii="宋体" w:hAnsi="宋体" w:eastAsia="宋体" w:cs="宋体"/>
          <w:sz w:val="24"/>
          <w:szCs w:val="24"/>
        </w:rPr>
      </w:pPr>
      <w:r>
        <w:rPr>
          <w:rFonts w:ascii="宋体" w:hAnsi="宋体" w:eastAsia="宋体" w:cs="宋体"/>
          <w:spacing w:val="-1"/>
          <w:sz w:val="24"/>
          <w:szCs w:val="24"/>
        </w:rPr>
        <w:t>本工程线路建设施工不涉及水体。因此，工程也不涉</w:t>
      </w:r>
      <w:r>
        <w:rPr>
          <w:rFonts w:ascii="宋体" w:hAnsi="宋体" w:eastAsia="宋体" w:cs="宋体"/>
          <w:spacing w:val="-2"/>
          <w:sz w:val="24"/>
          <w:szCs w:val="24"/>
        </w:rPr>
        <w:t>及鱼类资源的重要生境。</w:t>
      </w:r>
    </w:p>
    <w:p w14:paraId="5BD31B0A">
      <w:pPr>
        <w:spacing w:before="184" w:line="233" w:lineRule="auto"/>
        <w:ind w:left="489"/>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4</w:t>
      </w:r>
      <w:r>
        <w:rPr>
          <w:rFonts w:ascii="宋体" w:hAnsi="宋体" w:eastAsia="宋体" w:cs="宋体"/>
          <w:b/>
          <w:bCs/>
          <w:spacing w:val="-4"/>
          <w:sz w:val="24"/>
          <w:szCs w:val="24"/>
        </w:rPr>
        <w:t>）土地利用现状调查</w:t>
      </w:r>
    </w:p>
    <w:p w14:paraId="7CFE5201">
      <w:pPr>
        <w:spacing w:before="167" w:line="361" w:lineRule="auto"/>
        <w:ind w:firstLine="482"/>
        <w:rPr>
          <w:rFonts w:ascii="宋体" w:hAnsi="宋体" w:eastAsia="宋体" w:cs="宋体"/>
          <w:sz w:val="24"/>
          <w:szCs w:val="24"/>
        </w:rPr>
      </w:pPr>
      <w:r>
        <w:rPr>
          <w:rFonts w:ascii="宋体" w:hAnsi="宋体" w:eastAsia="宋体" w:cs="宋体"/>
          <w:spacing w:val="-3"/>
          <w:sz w:val="24"/>
          <w:szCs w:val="24"/>
        </w:rPr>
        <w:t>依据《土地利用现状分类》（</w:t>
      </w:r>
      <w:r>
        <w:rPr>
          <w:rFonts w:ascii="Times New Roman" w:hAnsi="Times New Roman" w:eastAsia="Times New Roman" w:cs="Times New Roman"/>
          <w:spacing w:val="-3"/>
          <w:sz w:val="24"/>
          <w:szCs w:val="24"/>
        </w:rPr>
        <w:t>GB/T 21010-2017</w:t>
      </w:r>
      <w:r>
        <w:rPr>
          <w:rFonts w:ascii="宋体" w:hAnsi="宋体" w:eastAsia="宋体" w:cs="宋体"/>
          <w:spacing w:val="-11"/>
          <w:sz w:val="24"/>
          <w:szCs w:val="24"/>
        </w:rPr>
        <w:t>），</w:t>
      </w:r>
      <w:r>
        <w:rPr>
          <w:rFonts w:ascii="宋体" w:hAnsi="宋体" w:eastAsia="宋体" w:cs="宋体"/>
          <w:spacing w:val="-3"/>
          <w:sz w:val="24"/>
          <w:szCs w:val="24"/>
        </w:rPr>
        <w:t>在卫星遥感影像解译的基础上，</w:t>
      </w:r>
      <w:r>
        <w:rPr>
          <w:rFonts w:ascii="宋体" w:hAnsi="宋体" w:eastAsia="宋体" w:cs="宋体"/>
          <w:spacing w:val="-2"/>
          <w:sz w:val="24"/>
          <w:szCs w:val="24"/>
        </w:rPr>
        <w:t>结合实地调查结果，综合分析后对评价区土地进行分类，将范围内土地利用现状分为耕</w:t>
      </w:r>
      <w:r>
        <w:rPr>
          <w:rFonts w:ascii="宋体" w:hAnsi="宋体" w:eastAsia="宋体" w:cs="宋体"/>
          <w:spacing w:val="-8"/>
          <w:sz w:val="24"/>
          <w:szCs w:val="24"/>
        </w:rPr>
        <w:t>地、林地、草地、建筑用地、裸地共</w:t>
      </w:r>
      <w:r>
        <w:rPr>
          <w:rFonts w:ascii="宋体" w:hAnsi="宋体" w:eastAsia="宋体" w:cs="宋体"/>
          <w:spacing w:val="-48"/>
          <w:sz w:val="24"/>
          <w:szCs w:val="24"/>
        </w:rPr>
        <w:t xml:space="preserve"> </w:t>
      </w:r>
      <w:r>
        <w:rPr>
          <w:rFonts w:ascii="Times New Roman" w:hAnsi="Times New Roman" w:eastAsia="Times New Roman" w:cs="Times New Roman"/>
          <w:spacing w:val="-8"/>
          <w:sz w:val="24"/>
          <w:szCs w:val="24"/>
        </w:rPr>
        <w:t>5</w:t>
      </w:r>
      <w:r>
        <w:rPr>
          <w:rFonts w:ascii="Times New Roman" w:hAnsi="Times New Roman" w:eastAsia="Times New Roman" w:cs="Times New Roman"/>
          <w:spacing w:val="12"/>
          <w:sz w:val="24"/>
          <w:szCs w:val="24"/>
        </w:rPr>
        <w:t xml:space="preserve"> </w:t>
      </w:r>
      <w:r>
        <w:rPr>
          <w:rFonts w:ascii="宋体" w:hAnsi="宋体" w:eastAsia="宋体" w:cs="宋体"/>
          <w:spacing w:val="-8"/>
          <w:sz w:val="24"/>
          <w:szCs w:val="24"/>
        </w:rPr>
        <w:t>大类。其中草地面积最大，</w:t>
      </w:r>
      <w:r>
        <w:rPr>
          <w:rFonts w:ascii="宋体" w:hAnsi="宋体" w:eastAsia="宋体" w:cs="宋体"/>
          <w:spacing w:val="54"/>
          <w:sz w:val="24"/>
          <w:szCs w:val="24"/>
        </w:rPr>
        <w:t xml:space="preserve"> </w:t>
      </w:r>
      <w:r>
        <w:rPr>
          <w:rFonts w:ascii="宋体" w:hAnsi="宋体" w:eastAsia="宋体" w:cs="宋体"/>
          <w:spacing w:val="-8"/>
          <w:sz w:val="24"/>
          <w:szCs w:val="24"/>
        </w:rPr>
        <w:t>为</w:t>
      </w:r>
      <w:r>
        <w:rPr>
          <w:rFonts w:ascii="宋体" w:hAnsi="宋体" w:eastAsia="宋体" w:cs="宋体"/>
          <w:spacing w:val="-29"/>
          <w:sz w:val="24"/>
          <w:szCs w:val="24"/>
        </w:rPr>
        <w:t xml:space="preserve"> </w:t>
      </w:r>
      <w:r>
        <w:rPr>
          <w:rFonts w:ascii="Times New Roman" w:hAnsi="Times New Roman" w:eastAsia="Times New Roman" w:cs="Times New Roman"/>
          <w:spacing w:val="-8"/>
          <w:sz w:val="24"/>
          <w:szCs w:val="24"/>
        </w:rPr>
        <w:t>1278.81hm</w:t>
      </w:r>
      <w:r>
        <w:rPr>
          <w:rFonts w:ascii="Times New Roman" w:hAnsi="Times New Roman" w:eastAsia="Times New Roman" w:cs="Times New Roman"/>
          <w:spacing w:val="-8"/>
          <w:position w:val="9"/>
          <w:sz w:val="16"/>
          <w:szCs w:val="16"/>
        </w:rPr>
        <w:t>2</w:t>
      </w:r>
      <w:r>
        <w:rPr>
          <w:rFonts w:ascii="Times New Roman" w:hAnsi="Times New Roman" w:eastAsia="Times New Roman" w:cs="Times New Roman"/>
          <w:spacing w:val="-10"/>
          <w:position w:val="9"/>
          <w:sz w:val="16"/>
          <w:szCs w:val="16"/>
        </w:rPr>
        <w:t xml:space="preserve"> </w:t>
      </w:r>
      <w:r>
        <w:rPr>
          <w:rFonts w:ascii="宋体" w:hAnsi="宋体" w:eastAsia="宋体" w:cs="宋体"/>
          <w:spacing w:val="-8"/>
          <w:sz w:val="24"/>
          <w:szCs w:val="24"/>
        </w:rPr>
        <w:t>，占评价区总面积的</w:t>
      </w:r>
      <w:r>
        <w:rPr>
          <w:rFonts w:ascii="宋体" w:hAnsi="宋体" w:eastAsia="宋体" w:cs="宋体"/>
          <w:spacing w:val="-31"/>
          <w:sz w:val="24"/>
          <w:szCs w:val="24"/>
        </w:rPr>
        <w:t xml:space="preserve"> </w:t>
      </w:r>
      <w:r>
        <w:rPr>
          <w:rFonts w:ascii="Times New Roman" w:hAnsi="Times New Roman" w:eastAsia="Times New Roman" w:cs="Times New Roman"/>
          <w:spacing w:val="-8"/>
          <w:sz w:val="24"/>
          <w:szCs w:val="24"/>
        </w:rPr>
        <w:t>59.</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8"/>
          <w:sz w:val="24"/>
          <w:szCs w:val="24"/>
        </w:rPr>
        <w:t>14%</w:t>
      </w:r>
      <w:r>
        <w:rPr>
          <w:rFonts w:ascii="宋体" w:hAnsi="宋体" w:eastAsia="宋体" w:cs="宋体"/>
          <w:spacing w:val="-8"/>
          <w:sz w:val="24"/>
          <w:szCs w:val="24"/>
        </w:rPr>
        <w:t>；其次为林地，总面积为</w:t>
      </w:r>
      <w:r>
        <w:rPr>
          <w:rFonts w:ascii="宋体" w:hAnsi="宋体" w:eastAsia="宋体" w:cs="宋体"/>
          <w:spacing w:val="-48"/>
          <w:sz w:val="24"/>
          <w:szCs w:val="24"/>
        </w:rPr>
        <w:t xml:space="preserve"> </w:t>
      </w:r>
      <w:r>
        <w:rPr>
          <w:rFonts w:ascii="Times New Roman" w:hAnsi="Times New Roman" w:eastAsia="Times New Roman" w:cs="Times New Roman"/>
          <w:spacing w:val="-8"/>
          <w:sz w:val="24"/>
          <w:szCs w:val="24"/>
        </w:rPr>
        <w:t>571.86hm</w:t>
      </w:r>
      <w:r>
        <w:rPr>
          <w:rFonts w:ascii="Times New Roman" w:hAnsi="Times New Roman" w:eastAsia="Times New Roman" w:cs="Times New Roman"/>
          <w:spacing w:val="-8"/>
          <w:position w:val="9"/>
          <w:sz w:val="16"/>
          <w:szCs w:val="16"/>
        </w:rPr>
        <w:t>2</w:t>
      </w:r>
      <w:r>
        <w:rPr>
          <w:rFonts w:ascii="Times New Roman" w:hAnsi="Times New Roman" w:eastAsia="Times New Roman" w:cs="Times New Roman"/>
          <w:spacing w:val="-10"/>
          <w:position w:val="9"/>
          <w:sz w:val="16"/>
          <w:szCs w:val="16"/>
        </w:rPr>
        <w:t xml:space="preserve"> </w:t>
      </w:r>
      <w:r>
        <w:rPr>
          <w:rFonts w:ascii="宋体" w:hAnsi="宋体" w:eastAsia="宋体" w:cs="宋体"/>
          <w:spacing w:val="-8"/>
          <w:sz w:val="24"/>
          <w:szCs w:val="24"/>
        </w:rPr>
        <w:t>，包括乔木林、灌木林地，</w:t>
      </w:r>
      <w:r>
        <w:rPr>
          <w:rFonts w:ascii="宋体" w:hAnsi="宋体" w:eastAsia="宋体" w:cs="宋体"/>
          <w:spacing w:val="95"/>
          <w:sz w:val="24"/>
          <w:szCs w:val="24"/>
        </w:rPr>
        <w:t xml:space="preserve"> </w:t>
      </w:r>
      <w:r>
        <w:rPr>
          <w:rFonts w:ascii="宋体" w:hAnsi="宋体" w:eastAsia="宋体" w:cs="宋体"/>
          <w:spacing w:val="-8"/>
          <w:sz w:val="24"/>
          <w:szCs w:val="24"/>
        </w:rPr>
        <w:t>占</w:t>
      </w:r>
      <w:r>
        <w:rPr>
          <w:rFonts w:ascii="宋体" w:hAnsi="宋体" w:eastAsia="宋体" w:cs="宋体"/>
          <w:spacing w:val="-2"/>
          <w:sz w:val="24"/>
          <w:szCs w:val="24"/>
        </w:rPr>
        <w:t>评价区总面积的</w:t>
      </w:r>
      <w:r>
        <w:rPr>
          <w:rFonts w:ascii="宋体" w:hAnsi="宋体" w:eastAsia="宋体" w:cs="宋体"/>
          <w:spacing w:val="-56"/>
          <w:sz w:val="24"/>
          <w:szCs w:val="24"/>
        </w:rPr>
        <w:t xml:space="preserve"> </w:t>
      </w:r>
      <w:r>
        <w:rPr>
          <w:rFonts w:ascii="Times New Roman" w:hAnsi="Times New Roman" w:eastAsia="Times New Roman" w:cs="Times New Roman"/>
          <w:spacing w:val="-2"/>
          <w:sz w:val="24"/>
          <w:szCs w:val="24"/>
        </w:rPr>
        <w:t>26.45%</w:t>
      </w:r>
      <w:r>
        <w:rPr>
          <w:rFonts w:ascii="宋体" w:hAnsi="宋体" w:eastAsia="宋体" w:cs="宋体"/>
          <w:spacing w:val="-2"/>
          <w:sz w:val="24"/>
          <w:szCs w:val="24"/>
        </w:rPr>
        <w:t>；耕地总面积为</w:t>
      </w:r>
      <w:r>
        <w:rPr>
          <w:rFonts w:ascii="宋体" w:hAnsi="宋体" w:eastAsia="宋体" w:cs="宋体"/>
          <w:spacing w:val="-50"/>
          <w:sz w:val="24"/>
          <w:szCs w:val="24"/>
        </w:rPr>
        <w:t xml:space="preserve"> </w:t>
      </w:r>
      <w:r>
        <w:rPr>
          <w:rFonts w:ascii="Times New Roman" w:hAnsi="Times New Roman" w:eastAsia="Times New Roman" w:cs="Times New Roman"/>
          <w:spacing w:val="-2"/>
          <w:sz w:val="24"/>
          <w:szCs w:val="24"/>
        </w:rPr>
        <w:t>309.06hm</w:t>
      </w:r>
      <w:r>
        <w:rPr>
          <w:rFonts w:ascii="Times New Roman" w:hAnsi="Times New Roman" w:eastAsia="Times New Roman" w:cs="Times New Roman"/>
          <w:spacing w:val="-2"/>
          <w:position w:val="9"/>
          <w:sz w:val="16"/>
          <w:szCs w:val="16"/>
        </w:rPr>
        <w:t>2</w:t>
      </w:r>
      <w:r>
        <w:rPr>
          <w:rFonts w:ascii="Times New Roman" w:hAnsi="Times New Roman" w:eastAsia="Times New Roman" w:cs="Times New Roman"/>
          <w:spacing w:val="-10"/>
          <w:position w:val="9"/>
          <w:sz w:val="16"/>
          <w:szCs w:val="16"/>
        </w:rPr>
        <w:t xml:space="preserve"> </w:t>
      </w:r>
      <w:r>
        <w:rPr>
          <w:rFonts w:ascii="宋体" w:hAnsi="宋体" w:eastAsia="宋体" w:cs="宋体"/>
          <w:spacing w:val="-2"/>
          <w:sz w:val="24"/>
          <w:szCs w:val="24"/>
        </w:rPr>
        <w:t>，包括水田与旱地，占评价区总面积的</w:t>
      </w:r>
      <w:r>
        <w:rPr>
          <w:rFonts w:ascii="宋体" w:hAnsi="宋体" w:eastAsia="宋体" w:cs="宋体"/>
          <w:spacing w:val="-32"/>
          <w:sz w:val="24"/>
          <w:szCs w:val="24"/>
        </w:rPr>
        <w:t xml:space="preserve"> </w:t>
      </w:r>
      <w:r>
        <w:rPr>
          <w:rFonts w:ascii="Times New Roman" w:hAnsi="Times New Roman" w:eastAsia="Times New Roman" w:cs="Times New Roman"/>
          <w:spacing w:val="-2"/>
          <w:sz w:val="24"/>
          <w:szCs w:val="24"/>
        </w:rPr>
        <w:t>14.29%</w:t>
      </w:r>
      <w:r>
        <w:rPr>
          <w:rFonts w:ascii="宋体" w:hAnsi="宋体" w:eastAsia="宋体" w:cs="宋体"/>
          <w:spacing w:val="-2"/>
          <w:sz w:val="24"/>
          <w:szCs w:val="24"/>
        </w:rPr>
        <w:t>。评级区土地利用现状详见</w:t>
      </w:r>
      <w:r>
        <w:rPr>
          <w:rFonts w:ascii="宋体" w:hAnsi="宋体" w:eastAsia="宋体" w:cs="宋体"/>
          <w:spacing w:val="-3"/>
          <w:sz w:val="24"/>
          <w:szCs w:val="24"/>
        </w:rPr>
        <w:t>表</w:t>
      </w:r>
      <w:r>
        <w:rPr>
          <w:rFonts w:ascii="宋体" w:hAnsi="宋体" w:eastAsia="宋体" w:cs="宋体"/>
          <w:spacing w:val="-42"/>
          <w:sz w:val="24"/>
          <w:szCs w:val="24"/>
        </w:rPr>
        <w:t xml:space="preserve"> </w:t>
      </w:r>
      <w:r>
        <w:rPr>
          <w:rFonts w:ascii="Times New Roman" w:hAnsi="Times New Roman" w:eastAsia="Times New Roman" w:cs="Times New Roman"/>
          <w:spacing w:val="-3"/>
          <w:sz w:val="24"/>
          <w:szCs w:val="24"/>
        </w:rPr>
        <w:t>2-11</w:t>
      </w:r>
      <w:r>
        <w:rPr>
          <w:rFonts w:ascii="宋体" w:hAnsi="宋体" w:eastAsia="宋体" w:cs="宋体"/>
          <w:spacing w:val="-3"/>
          <w:sz w:val="24"/>
          <w:szCs w:val="24"/>
        </w:rPr>
        <w:t>。</w:t>
      </w:r>
    </w:p>
    <w:p w14:paraId="7F99348D">
      <w:pPr>
        <w:spacing w:line="361" w:lineRule="auto"/>
        <w:rPr>
          <w:rFonts w:ascii="宋体" w:hAnsi="宋体" w:eastAsia="宋体" w:cs="宋体"/>
          <w:sz w:val="24"/>
          <w:szCs w:val="24"/>
        </w:rPr>
        <w:sectPr>
          <w:footerReference r:id="rId170" w:type="default"/>
          <w:pgSz w:w="11907" w:h="16841"/>
          <w:pgMar w:top="400" w:right="1414" w:bottom="1126" w:left="1427" w:header="0" w:footer="925" w:gutter="0"/>
          <w:cols w:space="720" w:num="1"/>
        </w:sectPr>
      </w:pPr>
    </w:p>
    <w:p w14:paraId="245FC5A3">
      <w:pPr>
        <w:spacing w:line="297" w:lineRule="auto"/>
        <w:rPr>
          <w:rFonts w:ascii="Arial"/>
          <w:sz w:val="21"/>
        </w:rPr>
      </w:pPr>
    </w:p>
    <w:p w14:paraId="6E8FBF24">
      <w:pPr>
        <w:spacing w:line="298" w:lineRule="auto"/>
        <w:rPr>
          <w:rFonts w:ascii="Arial"/>
          <w:sz w:val="21"/>
        </w:rPr>
      </w:pPr>
    </w:p>
    <w:p w14:paraId="289253C1">
      <w:pPr>
        <w:spacing w:line="298" w:lineRule="auto"/>
        <w:rPr>
          <w:rFonts w:ascii="Arial"/>
          <w:sz w:val="21"/>
        </w:rPr>
      </w:pPr>
    </w:p>
    <w:p w14:paraId="498AB4D7">
      <w:pPr>
        <w:spacing w:line="298" w:lineRule="auto"/>
        <w:rPr>
          <w:rFonts w:ascii="Arial"/>
          <w:sz w:val="21"/>
        </w:rPr>
      </w:pPr>
    </w:p>
    <w:p w14:paraId="71BD2BA3">
      <w:pPr>
        <w:spacing w:before="68" w:line="229" w:lineRule="auto"/>
        <w:ind w:left="2952"/>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5"/>
          <w:sz w:val="21"/>
          <w:szCs w:val="21"/>
        </w:rPr>
        <w:t xml:space="preserve"> </w:t>
      </w:r>
      <w:r>
        <w:rPr>
          <w:rFonts w:ascii="Times New Roman" w:hAnsi="Times New Roman" w:eastAsia="Times New Roman" w:cs="Times New Roman"/>
          <w:b/>
          <w:bCs/>
          <w:spacing w:val="-2"/>
          <w:sz w:val="21"/>
          <w:szCs w:val="21"/>
        </w:rPr>
        <w:t xml:space="preserve">2-11    </w:t>
      </w:r>
      <w:r>
        <w:rPr>
          <w:rFonts w:ascii="宋体" w:hAnsi="宋体" w:eastAsia="宋体" w:cs="宋体"/>
          <w:b/>
          <w:bCs/>
          <w:spacing w:val="-2"/>
          <w:sz w:val="21"/>
          <w:szCs w:val="21"/>
        </w:rPr>
        <w:t>评价区内土地利用现状表</w:t>
      </w:r>
    </w:p>
    <w:tbl>
      <w:tblPr>
        <w:tblStyle w:val="5"/>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10"/>
        <w:gridCol w:w="1557"/>
        <w:gridCol w:w="2409"/>
        <w:gridCol w:w="2126"/>
        <w:gridCol w:w="2262"/>
      </w:tblGrid>
      <w:tr w14:paraId="7562E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710" w:type="dxa"/>
            <w:vAlign w:val="top"/>
          </w:tcPr>
          <w:p w14:paraId="4E2A82F6">
            <w:pPr>
              <w:pStyle w:val="6"/>
              <w:spacing w:before="55" w:line="222" w:lineRule="auto"/>
              <w:ind w:left="148"/>
            </w:pPr>
            <w:r>
              <w:rPr>
                <w:b/>
                <w:bCs/>
                <w:spacing w:val="-4"/>
              </w:rPr>
              <w:t>序号</w:t>
            </w:r>
          </w:p>
        </w:tc>
        <w:tc>
          <w:tcPr>
            <w:tcW w:w="1557" w:type="dxa"/>
            <w:vAlign w:val="top"/>
          </w:tcPr>
          <w:p w14:paraId="22C78952">
            <w:pPr>
              <w:pStyle w:val="6"/>
              <w:spacing w:before="55" w:line="221" w:lineRule="auto"/>
              <w:ind w:left="467"/>
            </w:pPr>
            <w:r>
              <w:rPr>
                <w:b/>
                <w:bCs/>
                <w:spacing w:val="-5"/>
              </w:rPr>
              <w:t>一级类</w:t>
            </w:r>
          </w:p>
        </w:tc>
        <w:tc>
          <w:tcPr>
            <w:tcW w:w="2409" w:type="dxa"/>
            <w:vAlign w:val="top"/>
          </w:tcPr>
          <w:p w14:paraId="291DA104">
            <w:pPr>
              <w:pStyle w:val="6"/>
              <w:spacing w:before="55" w:line="221" w:lineRule="auto"/>
              <w:ind w:left="896"/>
            </w:pPr>
            <w:r>
              <w:rPr>
                <w:b/>
                <w:bCs/>
                <w:spacing w:val="-4"/>
              </w:rPr>
              <w:t>二级类</w:t>
            </w:r>
          </w:p>
        </w:tc>
        <w:tc>
          <w:tcPr>
            <w:tcW w:w="2126" w:type="dxa"/>
            <w:vAlign w:val="top"/>
          </w:tcPr>
          <w:p w14:paraId="095AD386">
            <w:pPr>
              <w:pStyle w:val="6"/>
              <w:spacing w:before="56" w:line="224" w:lineRule="auto"/>
              <w:ind w:left="647"/>
              <w:rPr>
                <w:rFonts w:ascii="Times New Roman" w:hAnsi="Times New Roman" w:eastAsia="Times New Roman" w:cs="Times New Roman"/>
                <w:sz w:val="13"/>
                <w:szCs w:val="13"/>
              </w:rPr>
            </w:pPr>
            <w:r>
              <w:rPr>
                <w:b/>
                <w:bCs/>
                <w:spacing w:val="-1"/>
              </w:rPr>
              <w:t>面积</w:t>
            </w:r>
            <w:r>
              <w:rPr>
                <w:rFonts w:ascii="Times New Roman" w:hAnsi="Times New Roman" w:eastAsia="Times New Roman" w:cs="Times New Roman"/>
                <w:b/>
                <w:bCs/>
                <w:spacing w:val="-1"/>
              </w:rPr>
              <w:t>/hm</w:t>
            </w:r>
            <w:r>
              <w:rPr>
                <w:rFonts w:ascii="Times New Roman" w:hAnsi="Times New Roman" w:eastAsia="Times New Roman" w:cs="Times New Roman"/>
                <w:b/>
                <w:bCs/>
                <w:spacing w:val="-1"/>
                <w:position w:val="6"/>
                <w:sz w:val="13"/>
                <w:szCs w:val="13"/>
              </w:rPr>
              <w:t>2</w:t>
            </w:r>
          </w:p>
        </w:tc>
        <w:tc>
          <w:tcPr>
            <w:tcW w:w="2262" w:type="dxa"/>
            <w:vAlign w:val="top"/>
          </w:tcPr>
          <w:p w14:paraId="04CE6271">
            <w:pPr>
              <w:pStyle w:val="6"/>
              <w:spacing w:before="56" w:line="224" w:lineRule="auto"/>
              <w:ind w:left="719"/>
              <w:rPr>
                <w:rFonts w:ascii="Times New Roman" w:hAnsi="Times New Roman" w:eastAsia="Times New Roman" w:cs="Times New Roman"/>
              </w:rPr>
            </w:pPr>
            <w:r>
              <w:rPr>
                <w:b/>
                <w:bCs/>
                <w:spacing w:val="-5"/>
              </w:rPr>
              <w:t>百分比</w:t>
            </w:r>
            <w:r>
              <w:rPr>
                <w:rFonts w:ascii="Times New Roman" w:hAnsi="Times New Roman" w:eastAsia="Times New Roman" w:cs="Times New Roman"/>
                <w:b/>
                <w:bCs/>
                <w:spacing w:val="-5"/>
              </w:rPr>
              <w:t>%</w:t>
            </w:r>
          </w:p>
        </w:tc>
      </w:tr>
      <w:tr w14:paraId="09158D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710" w:type="dxa"/>
            <w:vMerge w:val="restart"/>
            <w:tcBorders>
              <w:bottom w:val="nil"/>
            </w:tcBorders>
            <w:vAlign w:val="top"/>
          </w:tcPr>
          <w:p w14:paraId="02231893">
            <w:pPr>
              <w:spacing w:before="249" w:line="236" w:lineRule="auto"/>
              <w:ind w:left="324"/>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1557" w:type="dxa"/>
            <w:vMerge w:val="restart"/>
            <w:tcBorders>
              <w:bottom w:val="nil"/>
            </w:tcBorders>
            <w:vAlign w:val="top"/>
          </w:tcPr>
          <w:p w14:paraId="45C9E92A">
            <w:pPr>
              <w:pStyle w:val="6"/>
              <w:spacing w:before="214" w:line="220" w:lineRule="auto"/>
              <w:ind w:left="572"/>
            </w:pPr>
            <w:r>
              <w:rPr>
                <w:spacing w:val="-2"/>
              </w:rPr>
              <w:t>耕地</w:t>
            </w:r>
          </w:p>
        </w:tc>
        <w:tc>
          <w:tcPr>
            <w:tcW w:w="2409" w:type="dxa"/>
            <w:vAlign w:val="top"/>
          </w:tcPr>
          <w:p w14:paraId="62A61BD8">
            <w:pPr>
              <w:pStyle w:val="6"/>
              <w:spacing w:before="53" w:line="221" w:lineRule="auto"/>
              <w:ind w:left="1000"/>
            </w:pPr>
            <w:r>
              <w:rPr>
                <w:spacing w:val="-3"/>
              </w:rPr>
              <w:t>水田</w:t>
            </w:r>
          </w:p>
        </w:tc>
        <w:tc>
          <w:tcPr>
            <w:tcW w:w="2126" w:type="dxa"/>
            <w:vAlign w:val="top"/>
          </w:tcPr>
          <w:p w14:paraId="3B480E61">
            <w:pPr>
              <w:spacing w:before="88" w:line="218" w:lineRule="auto"/>
              <w:ind w:left="885"/>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69.3</w:t>
            </w:r>
          </w:p>
        </w:tc>
        <w:tc>
          <w:tcPr>
            <w:tcW w:w="2262" w:type="dxa"/>
            <w:vAlign w:val="top"/>
          </w:tcPr>
          <w:p w14:paraId="097F31F9">
            <w:pPr>
              <w:spacing w:before="88" w:line="218" w:lineRule="auto"/>
              <w:ind w:left="95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3.20</w:t>
            </w:r>
          </w:p>
        </w:tc>
      </w:tr>
      <w:tr w14:paraId="2AFCE0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Merge w:val="continue"/>
            <w:tcBorders>
              <w:top w:val="nil"/>
            </w:tcBorders>
            <w:vAlign w:val="top"/>
          </w:tcPr>
          <w:p w14:paraId="18D064EC">
            <w:pPr>
              <w:rPr>
                <w:rFonts w:ascii="Arial"/>
                <w:sz w:val="21"/>
              </w:rPr>
            </w:pPr>
          </w:p>
        </w:tc>
        <w:tc>
          <w:tcPr>
            <w:tcW w:w="1557" w:type="dxa"/>
            <w:vMerge w:val="continue"/>
            <w:tcBorders>
              <w:top w:val="nil"/>
            </w:tcBorders>
            <w:vAlign w:val="top"/>
          </w:tcPr>
          <w:p w14:paraId="4A74F317">
            <w:pPr>
              <w:rPr>
                <w:rFonts w:ascii="Arial"/>
                <w:sz w:val="21"/>
              </w:rPr>
            </w:pPr>
          </w:p>
        </w:tc>
        <w:tc>
          <w:tcPr>
            <w:tcW w:w="2409" w:type="dxa"/>
            <w:vAlign w:val="top"/>
          </w:tcPr>
          <w:p w14:paraId="56569C3C">
            <w:pPr>
              <w:pStyle w:val="6"/>
              <w:spacing w:before="52" w:line="222" w:lineRule="auto"/>
              <w:ind w:left="1000"/>
            </w:pPr>
            <w:r>
              <w:rPr>
                <w:spacing w:val="-3"/>
              </w:rPr>
              <w:t>旱地</w:t>
            </w:r>
          </w:p>
        </w:tc>
        <w:tc>
          <w:tcPr>
            <w:tcW w:w="2126" w:type="dxa"/>
            <w:vAlign w:val="top"/>
          </w:tcPr>
          <w:p w14:paraId="1543F92D">
            <w:pPr>
              <w:spacing w:before="87" w:line="217" w:lineRule="auto"/>
              <w:ind w:left="77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239.76</w:t>
            </w:r>
          </w:p>
        </w:tc>
        <w:tc>
          <w:tcPr>
            <w:tcW w:w="2262" w:type="dxa"/>
            <w:vAlign w:val="top"/>
          </w:tcPr>
          <w:p w14:paraId="16B752AD">
            <w:pPr>
              <w:spacing w:before="87" w:line="217" w:lineRule="auto"/>
              <w:ind w:left="91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11.09</w:t>
            </w:r>
          </w:p>
        </w:tc>
      </w:tr>
      <w:tr w14:paraId="019656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Merge w:val="restart"/>
            <w:tcBorders>
              <w:bottom w:val="nil"/>
            </w:tcBorders>
            <w:vAlign w:val="top"/>
          </w:tcPr>
          <w:p w14:paraId="14FACE19">
            <w:pPr>
              <w:spacing w:before="248" w:line="236" w:lineRule="auto"/>
              <w:ind w:left="304"/>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1557" w:type="dxa"/>
            <w:vMerge w:val="restart"/>
            <w:tcBorders>
              <w:bottom w:val="nil"/>
            </w:tcBorders>
            <w:vAlign w:val="top"/>
          </w:tcPr>
          <w:p w14:paraId="6F89F826">
            <w:pPr>
              <w:pStyle w:val="6"/>
              <w:spacing w:before="213" w:line="221" w:lineRule="auto"/>
              <w:ind w:left="573"/>
            </w:pPr>
            <w:r>
              <w:rPr>
                <w:spacing w:val="-2"/>
              </w:rPr>
              <w:t>林地</w:t>
            </w:r>
          </w:p>
        </w:tc>
        <w:tc>
          <w:tcPr>
            <w:tcW w:w="2409" w:type="dxa"/>
            <w:vAlign w:val="top"/>
          </w:tcPr>
          <w:p w14:paraId="780F8EDF">
            <w:pPr>
              <w:pStyle w:val="6"/>
              <w:spacing w:before="52" w:line="221" w:lineRule="auto"/>
              <w:ind w:left="790"/>
            </w:pPr>
            <w:r>
              <w:rPr>
                <w:spacing w:val="-2"/>
              </w:rPr>
              <w:t>乔木林地</w:t>
            </w:r>
          </w:p>
        </w:tc>
        <w:tc>
          <w:tcPr>
            <w:tcW w:w="2126" w:type="dxa"/>
            <w:vAlign w:val="top"/>
          </w:tcPr>
          <w:p w14:paraId="75890338">
            <w:pPr>
              <w:spacing w:before="88" w:line="216" w:lineRule="auto"/>
              <w:ind w:left="79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126.99</w:t>
            </w:r>
          </w:p>
        </w:tc>
        <w:tc>
          <w:tcPr>
            <w:tcW w:w="2262" w:type="dxa"/>
            <w:vAlign w:val="top"/>
          </w:tcPr>
          <w:p w14:paraId="5E04200F">
            <w:pPr>
              <w:spacing w:before="88" w:line="216" w:lineRule="auto"/>
              <w:ind w:left="95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5.88</w:t>
            </w:r>
          </w:p>
        </w:tc>
      </w:tr>
      <w:tr w14:paraId="0F7F25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Merge w:val="continue"/>
            <w:tcBorders>
              <w:top w:val="nil"/>
            </w:tcBorders>
            <w:vAlign w:val="top"/>
          </w:tcPr>
          <w:p w14:paraId="0FE45563">
            <w:pPr>
              <w:rPr>
                <w:rFonts w:ascii="Arial"/>
                <w:sz w:val="21"/>
              </w:rPr>
            </w:pPr>
          </w:p>
        </w:tc>
        <w:tc>
          <w:tcPr>
            <w:tcW w:w="1557" w:type="dxa"/>
            <w:vMerge w:val="continue"/>
            <w:tcBorders>
              <w:top w:val="nil"/>
            </w:tcBorders>
            <w:vAlign w:val="top"/>
          </w:tcPr>
          <w:p w14:paraId="31C8470B">
            <w:pPr>
              <w:rPr>
                <w:rFonts w:ascii="Arial"/>
                <w:sz w:val="21"/>
              </w:rPr>
            </w:pPr>
          </w:p>
        </w:tc>
        <w:tc>
          <w:tcPr>
            <w:tcW w:w="2409" w:type="dxa"/>
            <w:vAlign w:val="top"/>
          </w:tcPr>
          <w:p w14:paraId="7CD0F11A">
            <w:pPr>
              <w:pStyle w:val="6"/>
              <w:spacing w:before="53" w:line="221" w:lineRule="auto"/>
              <w:ind w:left="792"/>
            </w:pPr>
            <w:r>
              <w:rPr>
                <w:spacing w:val="-2"/>
              </w:rPr>
              <w:t>灌木林地</w:t>
            </w:r>
          </w:p>
        </w:tc>
        <w:tc>
          <w:tcPr>
            <w:tcW w:w="2126" w:type="dxa"/>
            <w:vAlign w:val="top"/>
          </w:tcPr>
          <w:p w14:paraId="7014D56D">
            <w:pPr>
              <w:spacing w:before="88" w:line="216" w:lineRule="auto"/>
              <w:ind w:left="77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444.87</w:t>
            </w:r>
          </w:p>
        </w:tc>
        <w:tc>
          <w:tcPr>
            <w:tcW w:w="2262" w:type="dxa"/>
            <w:vAlign w:val="top"/>
          </w:tcPr>
          <w:p w14:paraId="61D275E3">
            <w:pPr>
              <w:spacing w:before="88" w:line="216" w:lineRule="auto"/>
              <w:ind w:left="89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20.57</w:t>
            </w:r>
          </w:p>
        </w:tc>
      </w:tr>
      <w:tr w14:paraId="1DC303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Align w:val="top"/>
          </w:tcPr>
          <w:p w14:paraId="73E68C29">
            <w:pPr>
              <w:spacing w:before="89" w:line="215" w:lineRule="auto"/>
              <w:ind w:left="308"/>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1557" w:type="dxa"/>
            <w:vAlign w:val="top"/>
          </w:tcPr>
          <w:p w14:paraId="3EB6CE7F">
            <w:pPr>
              <w:pStyle w:val="6"/>
              <w:spacing w:before="53" w:line="221" w:lineRule="auto"/>
              <w:ind w:left="574"/>
            </w:pPr>
            <w:r>
              <w:rPr>
                <w:spacing w:val="-2"/>
              </w:rPr>
              <w:t>草地</w:t>
            </w:r>
          </w:p>
        </w:tc>
        <w:tc>
          <w:tcPr>
            <w:tcW w:w="2409" w:type="dxa"/>
            <w:vAlign w:val="top"/>
          </w:tcPr>
          <w:p w14:paraId="78421A6E">
            <w:pPr>
              <w:pStyle w:val="6"/>
              <w:spacing w:before="53" w:line="221" w:lineRule="auto"/>
              <w:ind w:left="790"/>
            </w:pPr>
            <w:r>
              <w:rPr>
                <w:spacing w:val="-2"/>
              </w:rPr>
              <w:t>其他草地</w:t>
            </w:r>
          </w:p>
        </w:tc>
        <w:tc>
          <w:tcPr>
            <w:tcW w:w="2126" w:type="dxa"/>
            <w:vAlign w:val="top"/>
          </w:tcPr>
          <w:p w14:paraId="1DDCB86A">
            <w:pPr>
              <w:spacing w:before="89" w:line="215" w:lineRule="auto"/>
              <w:ind w:left="742"/>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1278.81</w:t>
            </w:r>
          </w:p>
        </w:tc>
        <w:tc>
          <w:tcPr>
            <w:tcW w:w="2262" w:type="dxa"/>
            <w:vAlign w:val="top"/>
          </w:tcPr>
          <w:p w14:paraId="0255F90A">
            <w:pPr>
              <w:spacing w:before="89" w:line="215" w:lineRule="auto"/>
              <w:ind w:left="89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59.14</w:t>
            </w:r>
          </w:p>
        </w:tc>
      </w:tr>
      <w:tr w14:paraId="477287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710" w:type="dxa"/>
            <w:vAlign w:val="top"/>
          </w:tcPr>
          <w:p w14:paraId="6E15487B">
            <w:pPr>
              <w:spacing w:before="89" w:line="215" w:lineRule="auto"/>
              <w:ind w:left="303"/>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1557" w:type="dxa"/>
            <w:vAlign w:val="top"/>
          </w:tcPr>
          <w:p w14:paraId="036876BF">
            <w:pPr>
              <w:pStyle w:val="6"/>
              <w:spacing w:before="54" w:line="221" w:lineRule="auto"/>
              <w:ind w:left="360"/>
            </w:pPr>
            <w:r>
              <w:rPr>
                <w:spacing w:val="-1"/>
              </w:rPr>
              <w:t>住宅用地</w:t>
            </w:r>
          </w:p>
        </w:tc>
        <w:tc>
          <w:tcPr>
            <w:tcW w:w="2409" w:type="dxa"/>
            <w:vAlign w:val="top"/>
          </w:tcPr>
          <w:p w14:paraId="05ABA4AC">
            <w:pPr>
              <w:pStyle w:val="6"/>
              <w:spacing w:before="54" w:line="220" w:lineRule="auto"/>
              <w:ind w:left="683"/>
            </w:pPr>
            <w:r>
              <w:rPr>
                <w:spacing w:val="-1"/>
              </w:rPr>
              <w:t>农村宅基地</w:t>
            </w:r>
          </w:p>
        </w:tc>
        <w:tc>
          <w:tcPr>
            <w:tcW w:w="2126" w:type="dxa"/>
            <w:vAlign w:val="top"/>
          </w:tcPr>
          <w:p w14:paraId="4445CF6D">
            <w:pPr>
              <w:spacing w:before="89" w:line="215" w:lineRule="auto"/>
              <w:ind w:left="88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2.52</w:t>
            </w:r>
          </w:p>
        </w:tc>
        <w:tc>
          <w:tcPr>
            <w:tcW w:w="2262" w:type="dxa"/>
            <w:vAlign w:val="top"/>
          </w:tcPr>
          <w:p w14:paraId="564DA024">
            <w:pPr>
              <w:spacing w:before="89" w:line="215" w:lineRule="auto"/>
              <w:ind w:left="94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w:t>
            </w:r>
          </w:p>
        </w:tc>
      </w:tr>
      <w:tr w14:paraId="2385CD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4676" w:type="dxa"/>
            <w:gridSpan w:val="3"/>
            <w:vAlign w:val="top"/>
          </w:tcPr>
          <w:p w14:paraId="7E4838DB">
            <w:pPr>
              <w:pStyle w:val="6"/>
              <w:spacing w:before="57" w:line="222" w:lineRule="auto"/>
              <w:ind w:left="2135"/>
            </w:pPr>
            <w:r>
              <w:rPr>
                <w:spacing w:val="-2"/>
              </w:rPr>
              <w:t>合计</w:t>
            </w:r>
          </w:p>
        </w:tc>
        <w:tc>
          <w:tcPr>
            <w:tcW w:w="2126" w:type="dxa"/>
            <w:vAlign w:val="top"/>
          </w:tcPr>
          <w:p w14:paraId="37AB0A5D">
            <w:pPr>
              <w:spacing w:before="92" w:line="219" w:lineRule="auto"/>
              <w:ind w:left="72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2162.25</w:t>
            </w:r>
          </w:p>
        </w:tc>
        <w:tc>
          <w:tcPr>
            <w:tcW w:w="2262" w:type="dxa"/>
            <w:vAlign w:val="top"/>
          </w:tcPr>
          <w:p w14:paraId="318CCE88">
            <w:pPr>
              <w:spacing w:before="92" w:line="219" w:lineRule="auto"/>
              <w:ind w:left="99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100</w:t>
            </w:r>
          </w:p>
        </w:tc>
      </w:tr>
    </w:tbl>
    <w:p w14:paraId="0B9579A7">
      <w:pPr>
        <w:spacing w:before="145" w:line="233" w:lineRule="auto"/>
        <w:ind w:left="4"/>
        <w:rPr>
          <w:rFonts w:ascii="宋体" w:hAnsi="宋体" w:eastAsia="宋体" w:cs="宋体"/>
          <w:sz w:val="18"/>
          <w:szCs w:val="18"/>
        </w:rPr>
      </w:pPr>
      <w:r>
        <w:rPr>
          <w:rFonts w:ascii="宋体" w:hAnsi="宋体" w:eastAsia="宋体" w:cs="宋体"/>
          <w:sz w:val="18"/>
          <w:szCs w:val="18"/>
        </w:rPr>
        <w:t>注：依据《土地利用现状分类》（</w:t>
      </w:r>
      <w:r>
        <w:rPr>
          <w:rFonts w:ascii="Times New Roman" w:hAnsi="Times New Roman" w:eastAsia="Times New Roman" w:cs="Times New Roman"/>
          <w:sz w:val="18"/>
          <w:szCs w:val="18"/>
        </w:rPr>
        <w:t>GB/T 2101</w:t>
      </w:r>
      <w:r>
        <w:rPr>
          <w:rFonts w:ascii="Times New Roman" w:hAnsi="Times New Roman" w:eastAsia="Times New Roman" w:cs="Times New Roman"/>
          <w:spacing w:val="-1"/>
          <w:sz w:val="18"/>
          <w:szCs w:val="18"/>
        </w:rPr>
        <w:t>0-2017</w:t>
      </w:r>
      <w:r>
        <w:rPr>
          <w:rFonts w:ascii="宋体" w:hAnsi="宋体" w:eastAsia="宋体" w:cs="宋体"/>
          <w:spacing w:val="-1"/>
          <w:sz w:val="18"/>
          <w:szCs w:val="18"/>
        </w:rPr>
        <w:t>）</w:t>
      </w:r>
    </w:p>
    <w:p w14:paraId="22613F6B">
      <w:pPr>
        <w:spacing w:before="210" w:line="235" w:lineRule="auto"/>
        <w:ind w:left="495"/>
        <w:rPr>
          <w:rFonts w:ascii="宋体" w:hAnsi="宋体" w:eastAsia="宋体" w:cs="宋体"/>
          <w:sz w:val="24"/>
          <w:szCs w:val="24"/>
        </w:rPr>
      </w:pPr>
      <w:r>
        <w:rPr>
          <w:rFonts w:ascii="宋体" w:hAnsi="宋体" w:eastAsia="宋体" w:cs="宋体"/>
          <w:b/>
          <w:bCs/>
          <w:spacing w:val="-5"/>
          <w:sz w:val="24"/>
          <w:szCs w:val="24"/>
        </w:rPr>
        <w:t>（</w:t>
      </w:r>
      <w:r>
        <w:rPr>
          <w:rFonts w:ascii="Times New Roman" w:hAnsi="Times New Roman" w:eastAsia="Times New Roman" w:cs="Times New Roman"/>
          <w:b/>
          <w:bCs/>
          <w:spacing w:val="-5"/>
          <w:sz w:val="24"/>
          <w:szCs w:val="24"/>
        </w:rPr>
        <w:t>5</w:t>
      </w:r>
      <w:r>
        <w:rPr>
          <w:rFonts w:ascii="宋体" w:hAnsi="宋体" w:eastAsia="宋体" w:cs="宋体"/>
          <w:b/>
          <w:bCs/>
          <w:spacing w:val="-5"/>
          <w:sz w:val="24"/>
          <w:szCs w:val="24"/>
        </w:rPr>
        <w:t>）生态系统调查</w:t>
      </w:r>
    </w:p>
    <w:p w14:paraId="294DD856">
      <w:pPr>
        <w:spacing w:before="162" w:line="233" w:lineRule="auto"/>
        <w:ind w:left="505"/>
        <w:rPr>
          <w:rFonts w:ascii="宋体" w:hAnsi="宋体" w:eastAsia="宋体" w:cs="宋体"/>
          <w:sz w:val="24"/>
          <w:szCs w:val="24"/>
        </w:rPr>
      </w:pPr>
      <w:r>
        <w:rPr>
          <w:rFonts w:ascii="Times New Roman" w:hAnsi="Times New Roman" w:eastAsia="Times New Roman" w:cs="Times New Roman"/>
          <w:spacing w:val="-4"/>
          <w:sz w:val="24"/>
          <w:szCs w:val="24"/>
        </w:rPr>
        <w:t>1</w:t>
      </w:r>
      <w:r>
        <w:rPr>
          <w:rFonts w:ascii="宋体" w:hAnsi="宋体" w:eastAsia="宋体" w:cs="宋体"/>
          <w:spacing w:val="-4"/>
          <w:sz w:val="24"/>
          <w:szCs w:val="24"/>
        </w:rPr>
        <w:t>）生态系统类型及分布</w:t>
      </w:r>
    </w:p>
    <w:p w14:paraId="343AE988">
      <w:pPr>
        <w:spacing w:before="164" w:line="352" w:lineRule="auto"/>
        <w:ind w:left="2" w:firstLine="486"/>
        <w:rPr>
          <w:rFonts w:ascii="宋体" w:hAnsi="宋体" w:eastAsia="宋体" w:cs="宋体"/>
          <w:sz w:val="24"/>
          <w:szCs w:val="24"/>
        </w:rPr>
      </w:pPr>
      <w:r>
        <w:rPr>
          <w:rFonts w:ascii="宋体" w:hAnsi="宋体" w:eastAsia="宋体" w:cs="宋体"/>
          <w:spacing w:val="-6"/>
          <w:sz w:val="24"/>
          <w:szCs w:val="24"/>
        </w:rPr>
        <w:t>依据《全国生态状况调查评估技术规范—生态系统遥感解译与野外核查》（</w:t>
      </w:r>
      <w:r>
        <w:rPr>
          <w:rFonts w:ascii="Times New Roman" w:hAnsi="Times New Roman" w:eastAsia="Times New Roman" w:cs="Times New Roman"/>
          <w:spacing w:val="-6"/>
          <w:sz w:val="24"/>
          <w:szCs w:val="24"/>
        </w:rPr>
        <w:t>HJ</w:t>
      </w:r>
      <w:r>
        <w:rPr>
          <w:rFonts w:ascii="Times New Roman" w:hAnsi="Times New Roman" w:eastAsia="Times New Roman" w:cs="Times New Roman"/>
          <w:spacing w:val="13"/>
          <w:sz w:val="24"/>
          <w:szCs w:val="24"/>
        </w:rPr>
        <w:t xml:space="preserve"> </w:t>
      </w:r>
      <w:r>
        <w:rPr>
          <w:rFonts w:ascii="Times New Roman" w:hAnsi="Times New Roman" w:eastAsia="Times New Roman" w:cs="Times New Roman"/>
          <w:spacing w:val="-6"/>
          <w:sz w:val="24"/>
          <w:szCs w:val="24"/>
        </w:rPr>
        <w:t>1166-</w:t>
      </w:r>
      <w:r>
        <w:rPr>
          <w:rFonts w:ascii="Times New Roman" w:hAnsi="Times New Roman" w:eastAsia="Times New Roman" w:cs="Times New Roman"/>
          <w:sz w:val="24"/>
          <w:szCs w:val="24"/>
        </w:rPr>
        <w:t xml:space="preserve">  </w:t>
      </w:r>
      <w:r>
        <w:rPr>
          <w:rFonts w:ascii="Times New Roman" w:hAnsi="Times New Roman" w:eastAsia="Times New Roman" w:cs="Times New Roman"/>
          <w:spacing w:val="-3"/>
          <w:sz w:val="24"/>
          <w:szCs w:val="24"/>
        </w:rPr>
        <w:t>2021</w:t>
      </w:r>
      <w:r>
        <w:rPr>
          <w:rFonts w:ascii="宋体" w:hAnsi="宋体" w:eastAsia="宋体" w:cs="宋体"/>
          <w:spacing w:val="-56"/>
          <w:w w:val="88"/>
          <w:sz w:val="24"/>
          <w:szCs w:val="24"/>
        </w:rPr>
        <w:t>），</w:t>
      </w:r>
      <w:r>
        <w:rPr>
          <w:rFonts w:ascii="宋体" w:hAnsi="宋体" w:eastAsia="宋体" w:cs="宋体"/>
          <w:spacing w:val="-3"/>
          <w:sz w:val="24"/>
          <w:szCs w:val="24"/>
        </w:rPr>
        <w:t>在卫星遥感影像解译的基础上，结合实地调查结果，综合分析</w:t>
      </w:r>
      <w:r>
        <w:rPr>
          <w:rFonts w:ascii="宋体" w:hAnsi="宋体" w:eastAsia="宋体" w:cs="宋体"/>
          <w:spacing w:val="-4"/>
          <w:sz w:val="24"/>
          <w:szCs w:val="24"/>
        </w:rPr>
        <w:t>后对评价区生态系</w:t>
      </w:r>
      <w:r>
        <w:rPr>
          <w:rFonts w:ascii="宋体" w:hAnsi="宋体" w:eastAsia="宋体" w:cs="宋体"/>
          <w:spacing w:val="-1"/>
          <w:sz w:val="24"/>
          <w:szCs w:val="24"/>
        </w:rPr>
        <w:t>统类型进行分类，将评价区生态系统类型分</w:t>
      </w:r>
      <w:r>
        <w:rPr>
          <w:rFonts w:ascii="宋体" w:hAnsi="宋体" w:eastAsia="宋体" w:cs="宋体"/>
          <w:spacing w:val="-2"/>
          <w:sz w:val="24"/>
          <w:szCs w:val="24"/>
        </w:rPr>
        <w:t>为森林生态系统、灌丛生态系统、草地生态</w:t>
      </w:r>
      <w:r>
        <w:rPr>
          <w:rFonts w:ascii="宋体" w:hAnsi="宋体" w:eastAsia="宋体" w:cs="宋体"/>
          <w:spacing w:val="-12"/>
          <w:sz w:val="24"/>
          <w:szCs w:val="24"/>
        </w:rPr>
        <w:t>系统、农田生态系统和城镇生态系统</w:t>
      </w:r>
      <w:r>
        <w:rPr>
          <w:rFonts w:ascii="Times New Roman" w:hAnsi="Times New Roman" w:eastAsia="Times New Roman" w:cs="Times New Roman"/>
          <w:spacing w:val="-12"/>
          <w:sz w:val="24"/>
          <w:szCs w:val="24"/>
        </w:rPr>
        <w:t>5</w:t>
      </w:r>
      <w:r>
        <w:rPr>
          <w:rFonts w:ascii="Times New Roman" w:hAnsi="Times New Roman" w:eastAsia="Times New Roman" w:cs="Times New Roman"/>
          <w:spacing w:val="-4"/>
          <w:sz w:val="24"/>
          <w:szCs w:val="24"/>
        </w:rPr>
        <w:t xml:space="preserve"> </w:t>
      </w:r>
      <w:r>
        <w:rPr>
          <w:rFonts w:ascii="宋体" w:hAnsi="宋体" w:eastAsia="宋体" w:cs="宋体"/>
          <w:spacing w:val="-12"/>
          <w:sz w:val="24"/>
          <w:szCs w:val="24"/>
        </w:rPr>
        <w:t>大类。其中，草地生态系统面积最大，为</w:t>
      </w:r>
      <w:r>
        <w:rPr>
          <w:rFonts w:ascii="宋体" w:hAnsi="宋体" w:eastAsia="宋体" w:cs="宋体"/>
          <w:spacing w:val="-57"/>
          <w:sz w:val="24"/>
          <w:szCs w:val="24"/>
        </w:rPr>
        <w:t xml:space="preserve"> </w:t>
      </w:r>
      <w:r>
        <w:rPr>
          <w:rFonts w:ascii="Times New Roman" w:hAnsi="Times New Roman" w:eastAsia="Times New Roman" w:cs="Times New Roman"/>
          <w:spacing w:val="-12"/>
          <w:sz w:val="24"/>
          <w:szCs w:val="24"/>
        </w:rPr>
        <w:t>1278.81hm</w:t>
      </w:r>
      <w:r>
        <w:rPr>
          <w:rFonts w:ascii="Times New Roman" w:hAnsi="Times New Roman" w:eastAsia="Times New Roman" w:cs="Times New Roman"/>
          <w:spacing w:val="-12"/>
          <w:position w:val="9"/>
          <w:sz w:val="16"/>
          <w:szCs w:val="16"/>
        </w:rPr>
        <w:t>2</w:t>
      </w:r>
      <w:r>
        <w:rPr>
          <w:rFonts w:ascii="宋体" w:hAnsi="宋体" w:eastAsia="宋体" w:cs="宋体"/>
          <w:spacing w:val="-12"/>
          <w:sz w:val="24"/>
          <w:szCs w:val="24"/>
        </w:rPr>
        <w:t>，</w:t>
      </w:r>
      <w:r>
        <w:rPr>
          <w:rFonts w:ascii="宋体" w:hAnsi="宋体" w:eastAsia="宋体" w:cs="宋体"/>
          <w:spacing w:val="-2"/>
          <w:sz w:val="24"/>
          <w:szCs w:val="24"/>
        </w:rPr>
        <w:t>占评价区总面积的</w:t>
      </w:r>
      <w:r>
        <w:rPr>
          <w:rFonts w:ascii="宋体" w:hAnsi="宋体" w:eastAsia="宋体" w:cs="宋体"/>
          <w:spacing w:val="-48"/>
          <w:sz w:val="24"/>
          <w:szCs w:val="24"/>
        </w:rPr>
        <w:t xml:space="preserve"> </w:t>
      </w:r>
      <w:r>
        <w:rPr>
          <w:rFonts w:ascii="Times New Roman" w:hAnsi="Times New Roman" w:eastAsia="Times New Roman" w:cs="Times New Roman"/>
          <w:spacing w:val="-2"/>
          <w:sz w:val="24"/>
          <w:szCs w:val="24"/>
        </w:rPr>
        <w:t>59.</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2"/>
          <w:sz w:val="24"/>
          <w:szCs w:val="24"/>
        </w:rPr>
        <w:t>14%</w:t>
      </w:r>
      <w:r>
        <w:rPr>
          <w:rFonts w:ascii="宋体" w:hAnsi="宋体" w:eastAsia="宋体" w:cs="宋体"/>
          <w:spacing w:val="-2"/>
          <w:sz w:val="24"/>
          <w:szCs w:val="24"/>
        </w:rPr>
        <w:t>；其次为灌丛生</w:t>
      </w:r>
      <w:r>
        <w:rPr>
          <w:rFonts w:ascii="宋体" w:hAnsi="宋体" w:eastAsia="宋体" w:cs="宋体"/>
          <w:spacing w:val="-3"/>
          <w:sz w:val="24"/>
          <w:szCs w:val="24"/>
        </w:rPr>
        <w:t>态系统，面积为</w:t>
      </w:r>
      <w:r>
        <w:rPr>
          <w:rFonts w:ascii="宋体" w:hAnsi="宋体" w:eastAsia="宋体" w:cs="宋体"/>
          <w:spacing w:val="-56"/>
          <w:sz w:val="24"/>
          <w:szCs w:val="24"/>
        </w:rPr>
        <w:t xml:space="preserve"> </w:t>
      </w:r>
      <w:r>
        <w:rPr>
          <w:rFonts w:ascii="Times New Roman" w:hAnsi="Times New Roman" w:eastAsia="Times New Roman" w:cs="Times New Roman"/>
          <w:spacing w:val="-3"/>
          <w:sz w:val="24"/>
          <w:szCs w:val="24"/>
        </w:rPr>
        <w:t>444.87hm</w:t>
      </w:r>
      <w:r>
        <w:rPr>
          <w:rFonts w:ascii="Times New Roman" w:hAnsi="Times New Roman" w:eastAsia="Times New Roman" w:cs="Times New Roman"/>
          <w:spacing w:val="-3"/>
          <w:position w:val="9"/>
          <w:sz w:val="16"/>
          <w:szCs w:val="16"/>
        </w:rPr>
        <w:t>2</w:t>
      </w:r>
      <w:r>
        <w:rPr>
          <w:rFonts w:ascii="Times New Roman" w:hAnsi="Times New Roman" w:eastAsia="Times New Roman" w:cs="Times New Roman"/>
          <w:spacing w:val="-10"/>
          <w:position w:val="9"/>
          <w:sz w:val="16"/>
          <w:szCs w:val="16"/>
        </w:rPr>
        <w:t xml:space="preserve"> </w:t>
      </w:r>
      <w:r>
        <w:rPr>
          <w:rFonts w:ascii="宋体" w:hAnsi="宋体" w:eastAsia="宋体" w:cs="宋体"/>
          <w:spacing w:val="-3"/>
          <w:sz w:val="24"/>
          <w:szCs w:val="24"/>
        </w:rPr>
        <w:t>，占评价区总面积</w:t>
      </w:r>
      <w:r>
        <w:rPr>
          <w:rFonts w:ascii="宋体" w:hAnsi="宋体" w:eastAsia="宋体" w:cs="宋体"/>
          <w:spacing w:val="-1"/>
          <w:sz w:val="24"/>
          <w:szCs w:val="24"/>
        </w:rPr>
        <w:t>的</w:t>
      </w:r>
      <w:r>
        <w:rPr>
          <w:rFonts w:ascii="宋体" w:hAnsi="宋体" w:eastAsia="宋体" w:cs="宋体"/>
          <w:spacing w:val="-55"/>
          <w:sz w:val="24"/>
          <w:szCs w:val="24"/>
        </w:rPr>
        <w:t xml:space="preserve"> </w:t>
      </w:r>
      <w:r>
        <w:rPr>
          <w:rFonts w:ascii="Times New Roman" w:hAnsi="Times New Roman" w:eastAsia="Times New Roman" w:cs="Times New Roman"/>
          <w:spacing w:val="-1"/>
          <w:sz w:val="24"/>
          <w:szCs w:val="24"/>
        </w:rPr>
        <w:t>20.57%</w:t>
      </w:r>
      <w:r>
        <w:rPr>
          <w:rFonts w:ascii="宋体" w:hAnsi="宋体" w:eastAsia="宋体" w:cs="宋体"/>
          <w:spacing w:val="-1"/>
          <w:sz w:val="24"/>
          <w:szCs w:val="24"/>
        </w:rPr>
        <w:t>。评价区生态系统类型详见表</w:t>
      </w:r>
      <w:r>
        <w:rPr>
          <w:rFonts w:ascii="宋体" w:hAnsi="宋体" w:eastAsia="宋体" w:cs="宋体"/>
          <w:spacing w:val="-43"/>
          <w:sz w:val="24"/>
          <w:szCs w:val="24"/>
        </w:rPr>
        <w:t xml:space="preserve"> </w:t>
      </w:r>
      <w:r>
        <w:rPr>
          <w:rFonts w:ascii="Times New Roman" w:hAnsi="Times New Roman" w:eastAsia="Times New Roman" w:cs="Times New Roman"/>
          <w:spacing w:val="-1"/>
          <w:sz w:val="24"/>
          <w:szCs w:val="24"/>
        </w:rPr>
        <w:t>2</w:t>
      </w:r>
      <w:r>
        <w:rPr>
          <w:rFonts w:ascii="Times New Roman" w:hAnsi="Times New Roman" w:eastAsia="Times New Roman" w:cs="Times New Roman"/>
          <w:spacing w:val="-2"/>
          <w:sz w:val="24"/>
          <w:szCs w:val="24"/>
        </w:rPr>
        <w:t>-12</w:t>
      </w:r>
      <w:r>
        <w:rPr>
          <w:rFonts w:ascii="宋体" w:hAnsi="宋体" w:eastAsia="宋体" w:cs="宋体"/>
          <w:spacing w:val="-2"/>
          <w:sz w:val="24"/>
          <w:szCs w:val="24"/>
        </w:rPr>
        <w:t>。</w:t>
      </w:r>
    </w:p>
    <w:p w14:paraId="047607BB">
      <w:pPr>
        <w:spacing w:line="229" w:lineRule="auto"/>
        <w:ind w:left="2847"/>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4"/>
          <w:sz w:val="21"/>
          <w:szCs w:val="21"/>
        </w:rPr>
        <w:t xml:space="preserve"> </w:t>
      </w:r>
      <w:r>
        <w:rPr>
          <w:rFonts w:ascii="Times New Roman" w:hAnsi="Times New Roman" w:eastAsia="Times New Roman" w:cs="Times New Roman"/>
          <w:b/>
          <w:bCs/>
          <w:spacing w:val="-2"/>
          <w:sz w:val="21"/>
          <w:szCs w:val="21"/>
        </w:rPr>
        <w:t xml:space="preserve">2-12    </w:t>
      </w:r>
      <w:r>
        <w:rPr>
          <w:rFonts w:ascii="宋体" w:hAnsi="宋体" w:eastAsia="宋体" w:cs="宋体"/>
          <w:b/>
          <w:bCs/>
          <w:spacing w:val="-2"/>
          <w:sz w:val="21"/>
          <w:szCs w:val="21"/>
        </w:rPr>
        <w:t>评价区生态系统类型情况表</w:t>
      </w:r>
    </w:p>
    <w:tbl>
      <w:tblPr>
        <w:tblStyle w:val="5"/>
        <w:tblW w:w="906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65"/>
        <w:gridCol w:w="1349"/>
        <w:gridCol w:w="1329"/>
        <w:gridCol w:w="1317"/>
        <w:gridCol w:w="1351"/>
        <w:gridCol w:w="1317"/>
        <w:gridCol w:w="933"/>
      </w:tblGrid>
      <w:tr w14:paraId="266D72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1465" w:type="dxa"/>
            <w:vAlign w:val="top"/>
          </w:tcPr>
          <w:p w14:paraId="39306E5D">
            <w:pPr>
              <w:pStyle w:val="6"/>
              <w:spacing w:before="202" w:line="221" w:lineRule="auto"/>
              <w:ind w:left="108"/>
            </w:pPr>
            <w:r>
              <w:rPr>
                <w:b/>
                <w:bCs/>
                <w:spacing w:val="-3"/>
              </w:rPr>
              <w:t>生态系统类型</w:t>
            </w:r>
          </w:p>
        </w:tc>
        <w:tc>
          <w:tcPr>
            <w:tcW w:w="1349" w:type="dxa"/>
            <w:vAlign w:val="top"/>
          </w:tcPr>
          <w:p w14:paraId="220D3AEF">
            <w:pPr>
              <w:pStyle w:val="6"/>
              <w:spacing w:before="56"/>
              <w:ind w:left="472" w:right="250" w:hanging="216"/>
            </w:pPr>
            <w:r>
              <w:rPr>
                <w:b/>
                <w:bCs/>
                <w:spacing w:val="-4"/>
              </w:rPr>
              <w:t>森林生态</w:t>
            </w:r>
            <w:r>
              <w:rPr>
                <w:b/>
                <w:bCs/>
                <w:spacing w:val="-5"/>
              </w:rPr>
              <w:t>系统</w:t>
            </w:r>
          </w:p>
        </w:tc>
        <w:tc>
          <w:tcPr>
            <w:tcW w:w="1329" w:type="dxa"/>
            <w:vAlign w:val="top"/>
          </w:tcPr>
          <w:p w14:paraId="4200754D">
            <w:pPr>
              <w:pStyle w:val="6"/>
              <w:spacing w:before="56"/>
              <w:ind w:left="461" w:right="240" w:hanging="212"/>
            </w:pPr>
            <w:r>
              <w:rPr>
                <w:b/>
                <w:bCs/>
                <w:spacing w:val="-4"/>
              </w:rPr>
              <w:t>灌丛生态</w:t>
            </w:r>
            <w:r>
              <w:rPr>
                <w:b/>
                <w:bCs/>
                <w:spacing w:val="-5"/>
              </w:rPr>
              <w:t>系统</w:t>
            </w:r>
          </w:p>
        </w:tc>
        <w:tc>
          <w:tcPr>
            <w:tcW w:w="1317" w:type="dxa"/>
            <w:vAlign w:val="top"/>
          </w:tcPr>
          <w:p w14:paraId="5869EE36">
            <w:pPr>
              <w:pStyle w:val="6"/>
              <w:spacing w:before="56"/>
              <w:ind w:left="456" w:right="231" w:hanging="211"/>
            </w:pPr>
            <w:r>
              <w:rPr>
                <w:b/>
                <w:bCs/>
                <w:spacing w:val="-4"/>
              </w:rPr>
              <w:t>草地生态</w:t>
            </w:r>
            <w:r>
              <w:rPr>
                <w:b/>
                <w:bCs/>
                <w:spacing w:val="-5"/>
              </w:rPr>
              <w:t>系统</w:t>
            </w:r>
          </w:p>
        </w:tc>
        <w:tc>
          <w:tcPr>
            <w:tcW w:w="1351" w:type="dxa"/>
            <w:vAlign w:val="top"/>
          </w:tcPr>
          <w:p w14:paraId="0C008852">
            <w:pPr>
              <w:pStyle w:val="6"/>
              <w:spacing w:before="56"/>
              <w:ind w:left="473" w:right="248" w:hanging="213"/>
            </w:pPr>
            <w:r>
              <w:rPr>
                <w:b/>
                <w:bCs/>
                <w:spacing w:val="-4"/>
              </w:rPr>
              <w:t>农田生态</w:t>
            </w:r>
            <w:r>
              <w:rPr>
                <w:b/>
                <w:bCs/>
                <w:spacing w:val="-5"/>
              </w:rPr>
              <w:t>系统</w:t>
            </w:r>
          </w:p>
        </w:tc>
        <w:tc>
          <w:tcPr>
            <w:tcW w:w="1317" w:type="dxa"/>
            <w:vAlign w:val="top"/>
          </w:tcPr>
          <w:p w14:paraId="4BDD492E">
            <w:pPr>
              <w:pStyle w:val="6"/>
              <w:spacing w:before="56"/>
              <w:ind w:left="457" w:right="230" w:hanging="213"/>
            </w:pPr>
            <w:r>
              <w:rPr>
                <w:b/>
                <w:bCs/>
                <w:spacing w:val="-4"/>
              </w:rPr>
              <w:t>城镇生态</w:t>
            </w:r>
            <w:r>
              <w:rPr>
                <w:b/>
                <w:bCs/>
                <w:spacing w:val="-5"/>
              </w:rPr>
              <w:t>系统</w:t>
            </w:r>
          </w:p>
        </w:tc>
        <w:tc>
          <w:tcPr>
            <w:tcW w:w="933" w:type="dxa"/>
            <w:vAlign w:val="top"/>
          </w:tcPr>
          <w:p w14:paraId="09680C06">
            <w:pPr>
              <w:pStyle w:val="6"/>
              <w:spacing w:before="202" w:line="222" w:lineRule="auto"/>
              <w:ind w:left="260"/>
            </w:pPr>
            <w:r>
              <w:rPr>
                <w:b/>
                <w:bCs/>
                <w:spacing w:val="-4"/>
              </w:rPr>
              <w:t>合计</w:t>
            </w:r>
          </w:p>
        </w:tc>
      </w:tr>
      <w:tr w14:paraId="421D24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9" w:hRule="atLeast"/>
        </w:trPr>
        <w:tc>
          <w:tcPr>
            <w:tcW w:w="1465" w:type="dxa"/>
            <w:vAlign w:val="top"/>
          </w:tcPr>
          <w:p w14:paraId="3DDEF44D">
            <w:pPr>
              <w:pStyle w:val="6"/>
              <w:spacing w:before="73" w:line="225" w:lineRule="auto"/>
              <w:ind w:left="150"/>
            </w:pPr>
            <w:r>
              <w:rPr>
                <w:spacing w:val="-1"/>
              </w:rPr>
              <w:t>面积（</w:t>
            </w:r>
            <w:r>
              <w:rPr>
                <w:rFonts w:ascii="Times New Roman" w:hAnsi="Times New Roman" w:eastAsia="Times New Roman" w:cs="Times New Roman"/>
                <w:spacing w:val="-1"/>
              </w:rPr>
              <w:t>hm</w:t>
            </w:r>
            <w:r>
              <w:rPr>
                <w:rFonts w:ascii="Times New Roman" w:hAnsi="Times New Roman" w:eastAsia="Times New Roman" w:cs="Times New Roman"/>
                <w:spacing w:val="-1"/>
                <w:position w:val="1"/>
                <w:sz w:val="13"/>
                <w:szCs w:val="13"/>
              </w:rPr>
              <w:t>2</w:t>
            </w:r>
            <w:r>
              <w:rPr>
                <w:spacing w:val="-1"/>
                <w:position w:val="1"/>
              </w:rPr>
              <w:t>）</w:t>
            </w:r>
          </w:p>
        </w:tc>
        <w:tc>
          <w:tcPr>
            <w:tcW w:w="1349" w:type="dxa"/>
            <w:vAlign w:val="top"/>
          </w:tcPr>
          <w:p w14:paraId="4C49EC13">
            <w:pPr>
              <w:spacing w:before="107" w:line="230" w:lineRule="auto"/>
              <w:ind w:left="40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126.99</w:t>
            </w:r>
          </w:p>
        </w:tc>
        <w:tc>
          <w:tcPr>
            <w:tcW w:w="1329" w:type="dxa"/>
            <w:vAlign w:val="top"/>
          </w:tcPr>
          <w:p w14:paraId="54679845">
            <w:pPr>
              <w:spacing w:before="107" w:line="230" w:lineRule="auto"/>
              <w:ind w:left="37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444.87</w:t>
            </w:r>
          </w:p>
        </w:tc>
        <w:tc>
          <w:tcPr>
            <w:tcW w:w="1317" w:type="dxa"/>
            <w:vAlign w:val="top"/>
          </w:tcPr>
          <w:p w14:paraId="51D8A8D6">
            <w:pPr>
              <w:spacing w:before="107" w:line="230" w:lineRule="auto"/>
              <w:ind w:left="339"/>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1278.81</w:t>
            </w:r>
          </w:p>
        </w:tc>
        <w:tc>
          <w:tcPr>
            <w:tcW w:w="1351" w:type="dxa"/>
            <w:vAlign w:val="top"/>
          </w:tcPr>
          <w:p w14:paraId="165D4AE2">
            <w:pPr>
              <w:spacing w:before="107" w:line="230" w:lineRule="auto"/>
              <w:ind w:left="39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309.06</w:t>
            </w:r>
          </w:p>
        </w:tc>
        <w:tc>
          <w:tcPr>
            <w:tcW w:w="1317" w:type="dxa"/>
            <w:vAlign w:val="top"/>
          </w:tcPr>
          <w:p w14:paraId="7C0548A3">
            <w:pPr>
              <w:spacing w:before="107" w:line="230" w:lineRule="auto"/>
              <w:ind w:left="47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2.52</w:t>
            </w:r>
          </w:p>
        </w:tc>
        <w:tc>
          <w:tcPr>
            <w:tcW w:w="933" w:type="dxa"/>
            <w:vAlign w:val="top"/>
          </w:tcPr>
          <w:p w14:paraId="7B59297C">
            <w:pPr>
              <w:spacing w:before="107" w:line="230" w:lineRule="auto"/>
              <w:ind w:left="12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2162.25</w:t>
            </w:r>
          </w:p>
        </w:tc>
      </w:tr>
      <w:tr w14:paraId="06145F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4" w:hRule="atLeast"/>
        </w:trPr>
        <w:tc>
          <w:tcPr>
            <w:tcW w:w="1465" w:type="dxa"/>
            <w:vAlign w:val="top"/>
          </w:tcPr>
          <w:p w14:paraId="2B802916">
            <w:pPr>
              <w:pStyle w:val="6"/>
              <w:spacing w:before="177" w:line="235" w:lineRule="auto"/>
              <w:ind w:left="133"/>
            </w:pPr>
            <w:r>
              <w:rPr>
                <w:spacing w:val="-3"/>
              </w:rPr>
              <w:t>百分比（</w:t>
            </w:r>
            <w:r>
              <w:rPr>
                <w:rFonts w:ascii="Times New Roman" w:hAnsi="Times New Roman" w:eastAsia="Times New Roman" w:cs="Times New Roman"/>
                <w:spacing w:val="-3"/>
              </w:rPr>
              <w:t>%</w:t>
            </w:r>
            <w:r>
              <w:rPr>
                <w:spacing w:val="-3"/>
              </w:rPr>
              <w:t>）</w:t>
            </w:r>
          </w:p>
        </w:tc>
        <w:tc>
          <w:tcPr>
            <w:tcW w:w="1349" w:type="dxa"/>
            <w:vAlign w:val="top"/>
          </w:tcPr>
          <w:p w14:paraId="1E274156">
            <w:pPr>
              <w:spacing w:before="212" w:line="233" w:lineRule="auto"/>
              <w:ind w:left="49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5.88</w:t>
            </w:r>
          </w:p>
        </w:tc>
        <w:tc>
          <w:tcPr>
            <w:tcW w:w="1329" w:type="dxa"/>
            <w:vAlign w:val="top"/>
          </w:tcPr>
          <w:p w14:paraId="5754A331">
            <w:pPr>
              <w:spacing w:before="212" w:line="233" w:lineRule="auto"/>
              <w:ind w:left="42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20.57</w:t>
            </w:r>
          </w:p>
        </w:tc>
        <w:tc>
          <w:tcPr>
            <w:tcW w:w="1317" w:type="dxa"/>
            <w:vAlign w:val="top"/>
          </w:tcPr>
          <w:p w14:paraId="55495FCC">
            <w:pPr>
              <w:spacing w:before="212" w:line="233" w:lineRule="auto"/>
              <w:ind w:left="43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59.14</w:t>
            </w:r>
          </w:p>
        </w:tc>
        <w:tc>
          <w:tcPr>
            <w:tcW w:w="1351" w:type="dxa"/>
            <w:vAlign w:val="top"/>
          </w:tcPr>
          <w:p w14:paraId="79E9D3B5">
            <w:pPr>
              <w:spacing w:before="212" w:line="233" w:lineRule="auto"/>
              <w:ind w:left="462"/>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14.29</w:t>
            </w:r>
          </w:p>
        </w:tc>
        <w:tc>
          <w:tcPr>
            <w:tcW w:w="1317" w:type="dxa"/>
            <w:vAlign w:val="top"/>
          </w:tcPr>
          <w:p w14:paraId="154B32C5">
            <w:pPr>
              <w:spacing w:before="212" w:line="233" w:lineRule="auto"/>
              <w:ind w:left="48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w:t>
            </w:r>
          </w:p>
        </w:tc>
        <w:tc>
          <w:tcPr>
            <w:tcW w:w="933" w:type="dxa"/>
            <w:vAlign w:val="top"/>
          </w:tcPr>
          <w:p w14:paraId="12F3BE29">
            <w:pPr>
              <w:spacing w:before="212" w:line="233" w:lineRule="auto"/>
              <w:ind w:left="199"/>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100.00</w:t>
            </w:r>
          </w:p>
        </w:tc>
      </w:tr>
    </w:tbl>
    <w:p w14:paraId="6BDCD8E0">
      <w:pPr>
        <w:spacing w:before="116" w:line="233" w:lineRule="auto"/>
        <w:ind w:left="482"/>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）生态系统服务功能</w:t>
      </w:r>
    </w:p>
    <w:p w14:paraId="547CA26B">
      <w:pPr>
        <w:spacing w:before="165" w:line="217" w:lineRule="auto"/>
        <w:ind w:left="486"/>
        <w:rPr>
          <w:rFonts w:ascii="宋体" w:hAnsi="宋体" w:eastAsia="宋体" w:cs="宋体"/>
          <w:sz w:val="24"/>
          <w:szCs w:val="24"/>
        </w:rPr>
      </w:pPr>
      <w:r>
        <w:rPr>
          <w:rFonts w:ascii="宋体" w:hAnsi="宋体" w:eastAsia="宋体" w:cs="宋体"/>
          <w:spacing w:val="-2"/>
          <w:sz w:val="24"/>
          <w:szCs w:val="24"/>
        </w:rPr>
        <w:t>①森林生态系统</w:t>
      </w:r>
    </w:p>
    <w:p w14:paraId="7B34FFB8">
      <w:pPr>
        <w:spacing w:before="186" w:line="360" w:lineRule="auto"/>
        <w:ind w:left="6" w:right="188" w:firstLine="480"/>
        <w:rPr>
          <w:rFonts w:ascii="宋体" w:hAnsi="宋体" w:eastAsia="宋体" w:cs="宋体"/>
          <w:sz w:val="24"/>
          <w:szCs w:val="24"/>
        </w:rPr>
      </w:pPr>
      <w:r>
        <w:rPr>
          <w:rFonts w:ascii="宋体" w:hAnsi="宋体" w:eastAsia="宋体" w:cs="宋体"/>
          <w:spacing w:val="-2"/>
          <w:sz w:val="24"/>
          <w:szCs w:val="24"/>
        </w:rPr>
        <w:t>森林生态系统是森林群落与其环境在功能流的作用下形成一定结构、功能和自我调</w:t>
      </w:r>
      <w:r>
        <w:rPr>
          <w:rFonts w:ascii="宋体" w:hAnsi="宋体" w:eastAsia="宋体" w:cs="宋体"/>
          <w:sz w:val="24"/>
          <w:szCs w:val="24"/>
        </w:rPr>
        <w:t>控的自然综合体，是陆地生态系统中最重要的自</w:t>
      </w:r>
      <w:r>
        <w:rPr>
          <w:rFonts w:ascii="宋体" w:hAnsi="宋体" w:eastAsia="宋体" w:cs="宋体"/>
          <w:spacing w:val="-1"/>
          <w:sz w:val="24"/>
          <w:szCs w:val="24"/>
        </w:rPr>
        <w:t>然生态系统类型之一。</w:t>
      </w:r>
    </w:p>
    <w:p w14:paraId="58577EB9">
      <w:pPr>
        <w:spacing w:line="360" w:lineRule="auto"/>
        <w:ind w:left="7" w:right="188" w:firstLine="478"/>
        <w:jc w:val="both"/>
        <w:rPr>
          <w:rFonts w:ascii="宋体" w:hAnsi="宋体" w:eastAsia="宋体" w:cs="宋体"/>
          <w:sz w:val="24"/>
          <w:szCs w:val="24"/>
        </w:rPr>
      </w:pPr>
      <w:r>
        <w:rPr>
          <w:rFonts w:ascii="宋体" w:hAnsi="宋体" w:eastAsia="宋体" w:cs="宋体"/>
          <w:spacing w:val="-2"/>
          <w:sz w:val="24"/>
          <w:szCs w:val="24"/>
        </w:rPr>
        <w:t>评价区中森林生态系统的植被类型以云南松群落为主。森林生态系统是动物良好的栖息地和避难所，也是工程评价区内各种野生动物的主要活动场所，如鸟类中的大多数</w:t>
      </w:r>
      <w:r>
        <w:rPr>
          <w:rFonts w:ascii="宋体" w:hAnsi="宋体" w:eastAsia="宋体" w:cs="宋体"/>
          <w:spacing w:val="-9"/>
          <w:sz w:val="24"/>
          <w:szCs w:val="24"/>
        </w:rPr>
        <w:t>鸣禽，如黄臀鹎、领雀嘴鹎、黑头金翅雀等；</w:t>
      </w:r>
      <w:r>
        <w:rPr>
          <w:rFonts w:ascii="宋体" w:hAnsi="宋体" w:eastAsia="宋体" w:cs="宋体"/>
          <w:spacing w:val="-69"/>
          <w:sz w:val="24"/>
          <w:szCs w:val="24"/>
        </w:rPr>
        <w:t xml:space="preserve"> </w:t>
      </w:r>
      <w:r>
        <w:rPr>
          <w:rFonts w:ascii="宋体" w:hAnsi="宋体" w:eastAsia="宋体" w:cs="宋体"/>
          <w:spacing w:val="-9"/>
          <w:sz w:val="24"/>
          <w:szCs w:val="24"/>
        </w:rPr>
        <w:t>兽类中的半地下生活型种类（如褐家鼠等）</w:t>
      </w:r>
      <w:r>
        <w:rPr>
          <w:rFonts w:ascii="宋体" w:hAnsi="宋体" w:eastAsia="宋体" w:cs="宋体"/>
          <w:spacing w:val="-10"/>
          <w:sz w:val="24"/>
          <w:szCs w:val="24"/>
        </w:rPr>
        <w:t>和树栖型种类（如赤腹松鼠等）。</w:t>
      </w:r>
    </w:p>
    <w:p w14:paraId="3F32928F">
      <w:pPr>
        <w:spacing w:before="1" w:line="217" w:lineRule="auto"/>
        <w:ind w:left="485"/>
        <w:rPr>
          <w:rFonts w:ascii="宋体" w:hAnsi="宋体" w:eastAsia="宋体" w:cs="宋体"/>
          <w:sz w:val="24"/>
          <w:szCs w:val="24"/>
        </w:rPr>
      </w:pPr>
      <w:r>
        <w:rPr>
          <w:rFonts w:ascii="宋体" w:hAnsi="宋体" w:eastAsia="宋体" w:cs="宋体"/>
          <w:spacing w:val="-1"/>
          <w:sz w:val="24"/>
          <w:szCs w:val="24"/>
        </w:rPr>
        <w:t>②灌丛生态系统</w:t>
      </w:r>
    </w:p>
    <w:p w14:paraId="63BDD81E">
      <w:pPr>
        <w:spacing w:before="185" w:line="219" w:lineRule="auto"/>
        <w:ind w:left="489"/>
        <w:rPr>
          <w:rFonts w:ascii="宋体" w:hAnsi="宋体" w:eastAsia="宋体" w:cs="宋体"/>
          <w:sz w:val="24"/>
          <w:szCs w:val="24"/>
        </w:rPr>
      </w:pPr>
      <w:r>
        <w:rPr>
          <w:rFonts w:ascii="宋体" w:hAnsi="宋体" w:eastAsia="宋体" w:cs="宋体"/>
          <w:spacing w:val="-2"/>
          <w:sz w:val="24"/>
          <w:szCs w:val="24"/>
        </w:rPr>
        <w:t>灌丛生态系统是指以灌木为主的生物与其环境构成的统一整体，广泛分布于中国温</w:t>
      </w:r>
    </w:p>
    <w:p w14:paraId="011C3E4C">
      <w:pPr>
        <w:spacing w:line="219" w:lineRule="auto"/>
        <w:rPr>
          <w:rFonts w:ascii="宋体" w:hAnsi="宋体" w:eastAsia="宋体" w:cs="宋体"/>
          <w:sz w:val="24"/>
          <w:szCs w:val="24"/>
        </w:rPr>
        <w:sectPr>
          <w:footerReference r:id="rId171" w:type="default"/>
          <w:pgSz w:w="11907" w:h="16841"/>
          <w:pgMar w:top="400" w:right="1227" w:bottom="1126" w:left="1421" w:header="0" w:footer="925" w:gutter="0"/>
          <w:cols w:space="720" w:num="1"/>
        </w:sectPr>
      </w:pPr>
    </w:p>
    <w:p w14:paraId="1D3D4EEE">
      <w:pPr>
        <w:spacing w:line="249" w:lineRule="auto"/>
        <w:rPr>
          <w:rFonts w:ascii="Arial"/>
          <w:sz w:val="21"/>
        </w:rPr>
      </w:pPr>
    </w:p>
    <w:p w14:paraId="0DD01F93">
      <w:pPr>
        <w:spacing w:line="249" w:lineRule="auto"/>
        <w:rPr>
          <w:rFonts w:ascii="Arial"/>
          <w:sz w:val="21"/>
        </w:rPr>
      </w:pPr>
    </w:p>
    <w:p w14:paraId="0C61F0F0">
      <w:pPr>
        <w:spacing w:line="249" w:lineRule="auto"/>
        <w:rPr>
          <w:rFonts w:ascii="Arial"/>
          <w:sz w:val="21"/>
        </w:rPr>
      </w:pPr>
    </w:p>
    <w:p w14:paraId="77DA8774">
      <w:pPr>
        <w:spacing w:line="249" w:lineRule="auto"/>
        <w:rPr>
          <w:rFonts w:ascii="Arial"/>
          <w:sz w:val="21"/>
        </w:rPr>
      </w:pPr>
    </w:p>
    <w:p w14:paraId="72DC9278">
      <w:pPr>
        <w:spacing w:line="249" w:lineRule="auto"/>
        <w:rPr>
          <w:rFonts w:ascii="Arial"/>
          <w:sz w:val="21"/>
        </w:rPr>
      </w:pPr>
    </w:p>
    <w:p w14:paraId="4EA0C2FD">
      <w:pPr>
        <w:spacing w:before="78" w:line="360" w:lineRule="auto"/>
        <w:ind w:left="1" w:right="80" w:firstLine="5"/>
        <w:rPr>
          <w:rFonts w:ascii="宋体" w:hAnsi="宋体" w:eastAsia="宋体" w:cs="宋体"/>
          <w:sz w:val="24"/>
          <w:szCs w:val="24"/>
        </w:rPr>
      </w:pPr>
      <w:r>
        <w:rPr>
          <w:rFonts w:ascii="宋体" w:hAnsi="宋体" w:eastAsia="宋体" w:cs="宋体"/>
          <w:spacing w:val="-5"/>
          <w:sz w:val="24"/>
          <w:szCs w:val="24"/>
        </w:rPr>
        <w:t>带、亚热带及热带地区。除特殊生境下（如海滨、河滩等） 为原生类型外，大部分是森</w:t>
      </w:r>
      <w:r>
        <w:rPr>
          <w:rFonts w:ascii="宋体" w:hAnsi="宋体" w:eastAsia="宋体" w:cs="宋体"/>
          <w:spacing w:val="-2"/>
          <w:sz w:val="24"/>
          <w:szCs w:val="24"/>
        </w:rPr>
        <w:t>林砍伐后，土壤日趋瘠薄、生境趋于干旱化所形成的次生类型。</w:t>
      </w:r>
    </w:p>
    <w:p w14:paraId="0BB66B9D">
      <w:pPr>
        <w:spacing w:before="5" w:line="359" w:lineRule="auto"/>
        <w:ind w:right="80" w:firstLine="479"/>
        <w:jc w:val="both"/>
        <w:rPr>
          <w:rFonts w:ascii="宋体" w:hAnsi="宋体" w:eastAsia="宋体" w:cs="宋体"/>
          <w:sz w:val="24"/>
          <w:szCs w:val="24"/>
        </w:rPr>
      </w:pPr>
      <w:r>
        <w:rPr>
          <w:rFonts w:ascii="宋体" w:hAnsi="宋体" w:eastAsia="宋体" w:cs="宋体"/>
          <w:spacing w:val="-2"/>
          <w:sz w:val="24"/>
          <w:szCs w:val="24"/>
        </w:rPr>
        <w:t>评价区内灌丛生态系统的植被类型以粉背黄栌、白刺花、马桑等为优势组成的次生</w:t>
      </w:r>
      <w:r>
        <w:rPr>
          <w:rFonts w:ascii="宋体" w:hAnsi="宋体" w:eastAsia="宋体" w:cs="宋体"/>
          <w:spacing w:val="-5"/>
          <w:sz w:val="24"/>
          <w:szCs w:val="24"/>
        </w:rPr>
        <w:t>类型。灌丛生态系统也是评价区内多种野生动物的主要活动场所， 如爬行类中的灌丛石</w:t>
      </w:r>
      <w:r>
        <w:rPr>
          <w:rFonts w:ascii="宋体" w:hAnsi="宋体" w:eastAsia="宋体" w:cs="宋体"/>
          <w:spacing w:val="-6"/>
          <w:sz w:val="24"/>
          <w:szCs w:val="24"/>
        </w:rPr>
        <w:t>隙型种类，如：赤链蛇等；鸟类的陆禽山斑鸠、黄臀鹎及大多数鸣禽</w:t>
      </w:r>
      <w:r>
        <w:rPr>
          <w:rFonts w:ascii="宋体" w:hAnsi="宋体" w:eastAsia="宋体" w:cs="宋体"/>
          <w:spacing w:val="-7"/>
          <w:sz w:val="24"/>
          <w:szCs w:val="24"/>
        </w:rPr>
        <w:t>等；</w:t>
      </w:r>
      <w:r>
        <w:rPr>
          <w:rFonts w:ascii="宋体" w:hAnsi="宋体" w:eastAsia="宋体" w:cs="宋体"/>
          <w:spacing w:val="57"/>
          <w:sz w:val="24"/>
          <w:szCs w:val="24"/>
        </w:rPr>
        <w:t xml:space="preserve"> </w:t>
      </w:r>
      <w:r>
        <w:rPr>
          <w:rFonts w:ascii="宋体" w:hAnsi="宋体" w:eastAsia="宋体" w:cs="宋体"/>
          <w:spacing w:val="-7"/>
          <w:sz w:val="24"/>
          <w:szCs w:val="24"/>
        </w:rPr>
        <w:t>兽类的半地下</w:t>
      </w:r>
      <w:r>
        <w:rPr>
          <w:rFonts w:ascii="宋体" w:hAnsi="宋体" w:eastAsia="宋体" w:cs="宋体"/>
          <w:spacing w:val="-4"/>
          <w:sz w:val="24"/>
          <w:szCs w:val="24"/>
        </w:rPr>
        <w:t>生活性种类，如云南兔等。</w:t>
      </w:r>
    </w:p>
    <w:p w14:paraId="3D87818A">
      <w:pPr>
        <w:spacing w:line="217" w:lineRule="auto"/>
        <w:ind w:left="479"/>
        <w:rPr>
          <w:rFonts w:ascii="宋体" w:hAnsi="宋体" w:eastAsia="宋体" w:cs="宋体"/>
          <w:sz w:val="24"/>
          <w:szCs w:val="24"/>
        </w:rPr>
      </w:pPr>
      <w:r>
        <w:rPr>
          <w:rFonts w:ascii="宋体" w:hAnsi="宋体" w:eastAsia="宋体" w:cs="宋体"/>
          <w:spacing w:val="-1"/>
          <w:sz w:val="24"/>
          <w:szCs w:val="24"/>
        </w:rPr>
        <w:t>③草地生态系统</w:t>
      </w:r>
    </w:p>
    <w:p w14:paraId="20513515">
      <w:pPr>
        <w:spacing w:before="186" w:line="360" w:lineRule="auto"/>
        <w:ind w:right="80" w:firstLine="481"/>
        <w:rPr>
          <w:rFonts w:ascii="宋体" w:hAnsi="宋体" w:eastAsia="宋体" w:cs="宋体"/>
          <w:sz w:val="24"/>
          <w:szCs w:val="24"/>
        </w:rPr>
      </w:pPr>
      <w:r>
        <w:rPr>
          <w:rFonts w:ascii="宋体" w:hAnsi="宋体" w:eastAsia="宋体" w:cs="宋体"/>
          <w:spacing w:val="-2"/>
          <w:sz w:val="24"/>
          <w:szCs w:val="24"/>
        </w:rPr>
        <w:t>草地生态系统是指以多年生草本植物为主要生产者的陆地生态系统，为人类提供了净初级物质生产、碳蓄积与碳汇、调节气候、涵养水源、水土保持和防风固沙、改良土</w:t>
      </w:r>
      <w:r>
        <w:rPr>
          <w:rFonts w:ascii="宋体" w:hAnsi="宋体" w:eastAsia="宋体" w:cs="宋体"/>
          <w:spacing w:val="-6"/>
          <w:sz w:val="24"/>
          <w:szCs w:val="24"/>
        </w:rPr>
        <w:t>壤、维持生物多样性等产品和服务功能。根据现场调查，</w:t>
      </w:r>
      <w:r>
        <w:rPr>
          <w:rFonts w:ascii="宋体" w:hAnsi="宋体" w:eastAsia="宋体" w:cs="宋体"/>
          <w:spacing w:val="47"/>
          <w:sz w:val="24"/>
          <w:szCs w:val="24"/>
        </w:rPr>
        <w:t xml:space="preserve"> </w:t>
      </w:r>
      <w:r>
        <w:rPr>
          <w:rFonts w:ascii="宋体" w:hAnsi="宋体" w:eastAsia="宋体" w:cs="宋体"/>
          <w:spacing w:val="-6"/>
          <w:sz w:val="24"/>
          <w:szCs w:val="24"/>
        </w:rPr>
        <w:t>评价区内草地生态系统具有一</w:t>
      </w:r>
      <w:r>
        <w:rPr>
          <w:rFonts w:ascii="宋体" w:hAnsi="宋体" w:eastAsia="宋体" w:cs="宋体"/>
          <w:spacing w:val="-2"/>
          <w:sz w:val="24"/>
          <w:szCs w:val="24"/>
        </w:rPr>
        <w:t>定的面积，其服务功能主要为涵养水源、水土保持和防风固沙等。</w:t>
      </w:r>
    </w:p>
    <w:p w14:paraId="56A6D87D">
      <w:pPr>
        <w:spacing w:line="217" w:lineRule="auto"/>
        <w:ind w:left="479"/>
        <w:rPr>
          <w:rFonts w:ascii="宋体" w:hAnsi="宋体" w:eastAsia="宋体" w:cs="宋体"/>
          <w:sz w:val="24"/>
          <w:szCs w:val="24"/>
        </w:rPr>
      </w:pPr>
      <w:r>
        <w:rPr>
          <w:rFonts w:ascii="宋体" w:hAnsi="宋体" w:eastAsia="宋体" w:cs="宋体"/>
          <w:spacing w:val="-1"/>
          <w:sz w:val="24"/>
          <w:szCs w:val="24"/>
        </w:rPr>
        <w:t>④农田生态系统</w:t>
      </w:r>
    </w:p>
    <w:p w14:paraId="50B51046">
      <w:pPr>
        <w:spacing w:before="185" w:line="360" w:lineRule="auto"/>
        <w:ind w:firstLine="480"/>
        <w:rPr>
          <w:rFonts w:ascii="宋体" w:hAnsi="宋体" w:eastAsia="宋体" w:cs="宋体"/>
          <w:sz w:val="24"/>
          <w:szCs w:val="24"/>
        </w:rPr>
      </w:pPr>
      <w:r>
        <w:rPr>
          <w:rFonts w:ascii="宋体" w:hAnsi="宋体" w:eastAsia="宋体" w:cs="宋体"/>
          <w:spacing w:val="5"/>
          <w:sz w:val="24"/>
          <w:szCs w:val="24"/>
        </w:rPr>
        <w:t>农业生态系统是指由一定农业地域内相互作用的生物因素和非生</w:t>
      </w:r>
      <w:r>
        <w:rPr>
          <w:rFonts w:ascii="宋体" w:hAnsi="宋体" w:eastAsia="宋体" w:cs="宋体"/>
          <w:spacing w:val="4"/>
          <w:sz w:val="24"/>
          <w:szCs w:val="24"/>
        </w:rPr>
        <w:t>物因素构成的功</w:t>
      </w:r>
      <w:r>
        <w:rPr>
          <w:rFonts w:ascii="宋体" w:hAnsi="宋体" w:eastAsia="宋体" w:cs="宋体"/>
          <w:spacing w:val="-6"/>
          <w:sz w:val="24"/>
          <w:szCs w:val="24"/>
        </w:rPr>
        <w:t>能整体，人类生产活动干预下形成的人工生态系统。建立合理的农业生态系统，</w:t>
      </w:r>
      <w:r>
        <w:rPr>
          <w:rFonts w:ascii="宋体" w:hAnsi="宋体" w:eastAsia="宋体" w:cs="宋体"/>
          <w:spacing w:val="48"/>
          <w:sz w:val="24"/>
          <w:szCs w:val="24"/>
        </w:rPr>
        <w:t xml:space="preserve"> </w:t>
      </w:r>
      <w:r>
        <w:rPr>
          <w:rFonts w:ascii="宋体" w:hAnsi="宋体" w:eastAsia="宋体" w:cs="宋体"/>
          <w:spacing w:val="-6"/>
          <w:sz w:val="24"/>
          <w:szCs w:val="24"/>
        </w:rPr>
        <w:t>对于农</w:t>
      </w:r>
      <w:r>
        <w:rPr>
          <w:rFonts w:ascii="宋体" w:hAnsi="宋体" w:eastAsia="宋体" w:cs="宋体"/>
          <w:spacing w:val="1"/>
          <w:sz w:val="24"/>
          <w:szCs w:val="24"/>
        </w:rPr>
        <w:t>业资源的有效利用、农业生产的持续发展以及维护</w:t>
      </w:r>
      <w:r>
        <w:rPr>
          <w:rFonts w:ascii="宋体" w:hAnsi="宋体" w:eastAsia="宋体" w:cs="宋体"/>
          <w:sz w:val="24"/>
          <w:szCs w:val="24"/>
        </w:rPr>
        <w:t>良好的人类生存环境都有重要作用。</w:t>
      </w:r>
    </w:p>
    <w:p w14:paraId="30EC99D7">
      <w:pPr>
        <w:spacing w:line="360" w:lineRule="auto"/>
        <w:ind w:firstLine="480"/>
        <w:rPr>
          <w:rFonts w:ascii="宋体" w:hAnsi="宋体" w:eastAsia="宋体" w:cs="宋体"/>
          <w:sz w:val="24"/>
          <w:szCs w:val="24"/>
        </w:rPr>
      </w:pPr>
      <w:r>
        <w:rPr>
          <w:rFonts w:ascii="宋体" w:hAnsi="宋体" w:eastAsia="宋体" w:cs="宋体"/>
          <w:spacing w:val="-2"/>
          <w:sz w:val="24"/>
          <w:szCs w:val="24"/>
        </w:rPr>
        <w:t>评价区农业生态系统的主要功能体现在农产品及副产品生产，包括为人们提供农产</w:t>
      </w:r>
      <w:r>
        <w:rPr>
          <w:rFonts w:ascii="宋体" w:hAnsi="宋体" w:eastAsia="宋体" w:cs="宋体"/>
          <w:spacing w:val="1"/>
          <w:sz w:val="24"/>
          <w:szCs w:val="24"/>
        </w:rPr>
        <w:t>品及其提供生物能源等。此外，农业生态系统也具</w:t>
      </w:r>
      <w:r>
        <w:rPr>
          <w:rFonts w:ascii="宋体" w:hAnsi="宋体" w:eastAsia="宋体" w:cs="宋体"/>
          <w:sz w:val="24"/>
          <w:szCs w:val="24"/>
        </w:rPr>
        <w:t>有养分循环、水分调剂、传粉播种、</w:t>
      </w:r>
      <w:r>
        <w:rPr>
          <w:rFonts w:ascii="宋体" w:hAnsi="宋体" w:eastAsia="宋体" w:cs="宋体"/>
          <w:spacing w:val="-3"/>
          <w:sz w:val="24"/>
          <w:szCs w:val="24"/>
        </w:rPr>
        <w:t>病虫害控制、生物多样性及基因资源等功能。</w:t>
      </w:r>
    </w:p>
    <w:p w14:paraId="775AF12E">
      <w:pPr>
        <w:spacing w:line="360" w:lineRule="auto"/>
        <w:ind w:left="1" w:right="80" w:firstLine="479"/>
        <w:jc w:val="both"/>
        <w:rPr>
          <w:rFonts w:ascii="宋体" w:hAnsi="宋体" w:eastAsia="宋体" w:cs="宋体"/>
          <w:sz w:val="24"/>
          <w:szCs w:val="24"/>
        </w:rPr>
      </w:pPr>
      <w:r>
        <w:rPr>
          <w:rFonts w:ascii="宋体" w:hAnsi="宋体" w:eastAsia="宋体" w:cs="宋体"/>
          <w:spacing w:val="-2"/>
          <w:sz w:val="24"/>
          <w:szCs w:val="24"/>
        </w:rPr>
        <w:t>农业生态系统属于人工控制的生态系统，与人类伴居的动物多活于此，如鸟类的常</w:t>
      </w:r>
      <w:r>
        <w:rPr>
          <w:rFonts w:ascii="宋体" w:hAnsi="宋体" w:eastAsia="宋体" w:cs="宋体"/>
          <w:spacing w:val="-7"/>
          <w:sz w:val="24"/>
          <w:szCs w:val="24"/>
        </w:rPr>
        <w:t>见家燕、树麻雀等，</w:t>
      </w:r>
      <w:r>
        <w:rPr>
          <w:rFonts w:ascii="宋体" w:hAnsi="宋体" w:eastAsia="宋体" w:cs="宋体"/>
          <w:spacing w:val="84"/>
          <w:sz w:val="24"/>
          <w:szCs w:val="24"/>
        </w:rPr>
        <w:t xml:space="preserve"> </w:t>
      </w:r>
      <w:r>
        <w:rPr>
          <w:rFonts w:ascii="宋体" w:hAnsi="宋体" w:eastAsia="宋体" w:cs="宋体"/>
          <w:spacing w:val="-7"/>
          <w:sz w:val="24"/>
          <w:szCs w:val="24"/>
        </w:rPr>
        <w:t>以及兽类中的部分半地下生活型种类，主要为家野两栖的小型啮齿</w:t>
      </w:r>
      <w:r>
        <w:rPr>
          <w:rFonts w:ascii="宋体" w:hAnsi="宋体" w:eastAsia="宋体" w:cs="宋体"/>
          <w:spacing w:val="-3"/>
          <w:sz w:val="24"/>
          <w:szCs w:val="24"/>
        </w:rPr>
        <w:t>动物，如：褐家鼠、小家鼠等。</w:t>
      </w:r>
    </w:p>
    <w:p w14:paraId="20D24A3E">
      <w:pPr>
        <w:spacing w:line="360" w:lineRule="auto"/>
        <w:ind w:right="80" w:firstLine="479"/>
        <w:rPr>
          <w:rFonts w:ascii="宋体" w:hAnsi="宋体" w:eastAsia="宋体" w:cs="宋体"/>
          <w:sz w:val="24"/>
          <w:szCs w:val="24"/>
        </w:rPr>
      </w:pPr>
      <w:r>
        <w:rPr>
          <w:rFonts w:ascii="宋体" w:hAnsi="宋体" w:eastAsia="宋体" w:cs="宋体"/>
          <w:spacing w:val="-2"/>
          <w:sz w:val="24"/>
          <w:szCs w:val="24"/>
        </w:rPr>
        <w:t>评价区的农业植被在线路沿线均有分布，农业植被分为粮食作物和经济作物，其中粮食作物主要有马铃薯和玉米等；经济作物主要有核桃等。</w:t>
      </w:r>
    </w:p>
    <w:p w14:paraId="4EB64B50">
      <w:pPr>
        <w:spacing w:line="217" w:lineRule="auto"/>
        <w:ind w:left="479"/>
        <w:rPr>
          <w:rFonts w:ascii="宋体" w:hAnsi="宋体" w:eastAsia="宋体" w:cs="宋体"/>
          <w:sz w:val="24"/>
          <w:szCs w:val="24"/>
        </w:rPr>
      </w:pPr>
      <w:r>
        <w:rPr>
          <w:rFonts w:ascii="宋体" w:hAnsi="宋体" w:eastAsia="宋体" w:cs="宋体"/>
          <w:spacing w:val="-1"/>
          <w:sz w:val="24"/>
          <w:szCs w:val="24"/>
        </w:rPr>
        <w:t>⑤城镇生态系统</w:t>
      </w:r>
    </w:p>
    <w:p w14:paraId="50263315">
      <w:pPr>
        <w:spacing w:before="186" w:line="357" w:lineRule="auto"/>
        <w:ind w:right="79" w:firstLine="480"/>
        <w:rPr>
          <w:rFonts w:ascii="宋体" w:hAnsi="宋体" w:eastAsia="宋体" w:cs="宋体"/>
          <w:sz w:val="24"/>
          <w:szCs w:val="24"/>
        </w:rPr>
      </w:pPr>
      <w:r>
        <w:rPr>
          <w:rFonts w:ascii="宋体" w:hAnsi="宋体" w:eastAsia="宋体" w:cs="宋体"/>
          <w:spacing w:val="-2"/>
          <w:sz w:val="24"/>
          <w:szCs w:val="24"/>
        </w:rPr>
        <w:t>城镇生态系统是一种复合的人工化生态系统，与自然生态系统在结构和功能上存在</w:t>
      </w:r>
      <w:r>
        <w:rPr>
          <w:rFonts w:ascii="宋体" w:hAnsi="宋体" w:eastAsia="宋体" w:cs="宋体"/>
          <w:spacing w:val="-3"/>
          <w:sz w:val="24"/>
          <w:szCs w:val="24"/>
        </w:rPr>
        <w:t>着差别。评价区内城镇</w:t>
      </w:r>
      <w:r>
        <w:rPr>
          <w:rFonts w:ascii="Times New Roman" w:hAnsi="Times New Roman" w:eastAsia="Times New Roman" w:cs="Times New Roman"/>
          <w:spacing w:val="-3"/>
          <w:sz w:val="24"/>
          <w:szCs w:val="24"/>
        </w:rPr>
        <w:t>/</w:t>
      </w:r>
      <w:r>
        <w:rPr>
          <w:rFonts w:ascii="宋体" w:hAnsi="宋体" w:eastAsia="宋体" w:cs="宋体"/>
          <w:spacing w:val="-3"/>
          <w:sz w:val="24"/>
          <w:szCs w:val="24"/>
        </w:rPr>
        <w:t>村落生态系统中自然植被较少，植被类型较为</w:t>
      </w:r>
      <w:r>
        <w:rPr>
          <w:rFonts w:ascii="宋体" w:hAnsi="宋体" w:eastAsia="宋体" w:cs="宋体"/>
          <w:spacing w:val="-4"/>
          <w:sz w:val="24"/>
          <w:szCs w:val="24"/>
        </w:rPr>
        <w:t>简单，主要为人工</w:t>
      </w:r>
      <w:r>
        <w:rPr>
          <w:rFonts w:ascii="宋体" w:hAnsi="宋体" w:eastAsia="宋体" w:cs="宋体"/>
          <w:spacing w:val="-3"/>
          <w:sz w:val="24"/>
          <w:szCs w:val="24"/>
        </w:rPr>
        <w:t>栽培核桃、桃等。评价区城镇</w:t>
      </w:r>
      <w:r>
        <w:rPr>
          <w:rFonts w:ascii="Times New Roman" w:hAnsi="Times New Roman" w:eastAsia="Times New Roman" w:cs="Times New Roman"/>
          <w:spacing w:val="-3"/>
          <w:sz w:val="24"/>
          <w:szCs w:val="24"/>
        </w:rPr>
        <w:t>/</w:t>
      </w:r>
      <w:r>
        <w:rPr>
          <w:rFonts w:ascii="宋体" w:hAnsi="宋体" w:eastAsia="宋体" w:cs="宋体"/>
          <w:spacing w:val="-3"/>
          <w:sz w:val="24"/>
          <w:szCs w:val="24"/>
        </w:rPr>
        <w:t>村落生态系统动物主要为与人类伴居的</w:t>
      </w:r>
      <w:r>
        <w:rPr>
          <w:rFonts w:ascii="宋体" w:hAnsi="宋体" w:eastAsia="宋体" w:cs="宋体"/>
          <w:spacing w:val="-4"/>
          <w:sz w:val="24"/>
          <w:szCs w:val="24"/>
        </w:rPr>
        <w:t>种类，如鸟类中的</w:t>
      </w:r>
      <w:r>
        <w:rPr>
          <w:rFonts w:ascii="宋体" w:hAnsi="宋体" w:eastAsia="宋体" w:cs="宋体"/>
          <w:spacing w:val="-3"/>
          <w:sz w:val="24"/>
          <w:szCs w:val="24"/>
        </w:rPr>
        <w:t>树麻雀、兽类中的褐家鼠、小家鼠等。</w:t>
      </w:r>
    </w:p>
    <w:p w14:paraId="2791E0A2">
      <w:pPr>
        <w:spacing w:line="357" w:lineRule="auto"/>
        <w:rPr>
          <w:rFonts w:ascii="宋体" w:hAnsi="宋体" w:eastAsia="宋体" w:cs="宋体"/>
          <w:sz w:val="24"/>
          <w:szCs w:val="24"/>
        </w:rPr>
        <w:sectPr>
          <w:footerReference r:id="rId172" w:type="default"/>
          <w:pgSz w:w="11907" w:h="16841"/>
          <w:pgMar w:top="400" w:right="1335" w:bottom="1126" w:left="1427" w:header="0" w:footer="925" w:gutter="0"/>
          <w:cols w:space="720" w:num="1"/>
        </w:sectPr>
      </w:pPr>
    </w:p>
    <w:p w14:paraId="4CD26B9C">
      <w:pPr>
        <w:spacing w:before="2"/>
      </w:pPr>
    </w:p>
    <w:p w14:paraId="0BD28C15">
      <w:pPr>
        <w:spacing w:before="2"/>
      </w:pPr>
    </w:p>
    <w:p w14:paraId="7C6685E7">
      <w:pPr>
        <w:spacing w:before="1"/>
      </w:pPr>
    </w:p>
    <w:p w14:paraId="03104D1D">
      <w:pPr>
        <w:spacing w:before="1"/>
      </w:pPr>
    </w:p>
    <w:p w14:paraId="6B455D98">
      <w:pPr>
        <w:spacing w:before="1"/>
      </w:pP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068"/>
      </w:tblGrid>
      <w:tr w14:paraId="1AE856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33" w:hRule="atLeast"/>
        </w:trPr>
        <w:tc>
          <w:tcPr>
            <w:tcW w:w="9068" w:type="dxa"/>
            <w:tcBorders>
              <w:bottom w:val="nil"/>
            </w:tcBorders>
            <w:vAlign w:val="top"/>
          </w:tcPr>
          <w:p w14:paraId="5CE316C1">
            <w:pPr>
              <w:spacing w:line="2906" w:lineRule="exact"/>
              <w:ind w:firstLine="4536"/>
            </w:pPr>
            <w:r>
              <w:pict>
                <v:shape id="_x0000_s1324" o:spid="_x0000_s1324" style="position:absolute;left:0pt;margin-left:226.55pt;margin-top:0pt;height:145.6pt;width:0.5pt;mso-position-horizontal-relative:page;mso-position-vertical-relative:page;z-index:251692032;mso-width-relative:page;mso-height-relative:page;" fillcolor="#000000" filled="t" stroked="f" coordsize="10,2912" path="m0,38l9,38,9,9,0,9,0,38xem0,9l9,9,9,0,0,0,0,9xem0,2901l9,2901,9,38,0,38,0,2901xem0,2911l9,2911,9,2901,0,2901,0,2911xe">
                  <v:path/>
                  <v:fill on="t" focussize="0,0"/>
                  <v:stroke on="f"/>
                  <v:imagedata o:title=""/>
                  <o:lock v:ext="edit"/>
                </v:shape>
              </w:pict>
            </w:r>
            <w:r>
              <w:drawing>
                <wp:anchor distT="0" distB="0" distL="0" distR="0" simplePos="0" relativeHeight="251685888" behindDoc="0" locked="0" layoutInCell="1" allowOverlap="1">
                  <wp:simplePos x="0" y="0"/>
                  <wp:positionH relativeFrom="rightMargin">
                    <wp:posOffset>-5751830</wp:posOffset>
                  </wp:positionH>
                  <wp:positionV relativeFrom="topMargin">
                    <wp:posOffset>-3175</wp:posOffset>
                  </wp:positionV>
                  <wp:extent cx="2872105" cy="1849120"/>
                  <wp:effectExtent l="0" t="0" r="0" b="0"/>
                  <wp:wrapNone/>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263"/>
                          <a:stretch>
                            <a:fillRect/>
                          </a:stretch>
                        </pic:blipFill>
                        <pic:spPr>
                          <a:xfrm>
                            <a:off x="0" y="0"/>
                            <a:ext cx="2871851" cy="1848865"/>
                          </a:xfrm>
                          <a:prstGeom prst="rect">
                            <a:avLst/>
                          </a:prstGeom>
                        </pic:spPr>
                      </pic:pic>
                    </a:graphicData>
                  </a:graphic>
                </wp:anchor>
              </w:drawing>
            </w:r>
            <w:r>
              <w:rPr>
                <w:position w:val="-58"/>
              </w:rPr>
              <w:drawing>
                <wp:inline distT="0" distB="0" distL="0" distR="0">
                  <wp:extent cx="2871470" cy="1845310"/>
                  <wp:effectExtent l="0" t="0" r="0" b="0"/>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264"/>
                          <a:stretch>
                            <a:fillRect/>
                          </a:stretch>
                        </pic:blipFill>
                        <pic:spPr>
                          <a:xfrm>
                            <a:off x="0" y="0"/>
                            <a:ext cx="2871851" cy="1845690"/>
                          </a:xfrm>
                          <a:prstGeom prst="rect">
                            <a:avLst/>
                          </a:prstGeom>
                        </pic:spPr>
                      </pic:pic>
                    </a:graphicData>
                  </a:graphic>
                </wp:inline>
              </w:drawing>
            </w:r>
          </w:p>
        </w:tc>
      </w:tr>
      <w:tr w14:paraId="7A2688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9068" w:type="dxa"/>
            <w:tcBorders>
              <w:top w:val="nil"/>
              <w:bottom w:val="nil"/>
            </w:tcBorders>
            <w:vAlign w:val="top"/>
          </w:tcPr>
          <w:p w14:paraId="59E7BE5B">
            <w:pPr>
              <w:pStyle w:val="6"/>
              <w:spacing w:before="30" w:line="202" w:lineRule="auto"/>
              <w:ind w:left="3908"/>
            </w:pPr>
            <w:r>
              <w:rPr>
                <w:spacing w:val="-1"/>
              </w:rPr>
              <w:t>森林生态系统</w:t>
            </w:r>
          </w:p>
        </w:tc>
      </w:tr>
      <w:tr w14:paraId="736A92D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8" w:hRule="atLeast"/>
        </w:trPr>
        <w:tc>
          <w:tcPr>
            <w:tcW w:w="9068" w:type="dxa"/>
            <w:tcBorders>
              <w:top w:val="nil"/>
              <w:bottom w:val="nil"/>
            </w:tcBorders>
            <w:vAlign w:val="top"/>
          </w:tcPr>
          <w:p w14:paraId="10CE4AF5">
            <w:pPr>
              <w:spacing w:before="32" w:line="2909" w:lineRule="exact"/>
              <w:ind w:firstLine="4527"/>
            </w:pPr>
            <w:r>
              <w:drawing>
                <wp:anchor distT="0" distB="0" distL="0" distR="0" simplePos="0" relativeHeight="251689984" behindDoc="0" locked="0" layoutInCell="1" allowOverlap="1">
                  <wp:simplePos x="0" y="0"/>
                  <wp:positionH relativeFrom="rightMargin">
                    <wp:posOffset>-2792730</wp:posOffset>
                  </wp:positionH>
                  <wp:positionV relativeFrom="topMargin">
                    <wp:posOffset>43815</wp:posOffset>
                  </wp:positionV>
                  <wp:extent cx="2699385" cy="1798955"/>
                  <wp:effectExtent l="0" t="0" r="0" b="0"/>
                  <wp:wrapNone/>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265"/>
                          <a:stretch>
                            <a:fillRect/>
                          </a:stretch>
                        </pic:blipFill>
                        <pic:spPr>
                          <a:xfrm>
                            <a:off x="0" y="0"/>
                            <a:ext cx="2699384" cy="1799081"/>
                          </a:xfrm>
                          <a:prstGeom prst="rect">
                            <a:avLst/>
                          </a:prstGeom>
                        </pic:spPr>
                      </pic:pic>
                    </a:graphicData>
                  </a:graphic>
                </wp:anchor>
              </w:drawing>
            </w:r>
            <w:r>
              <w:drawing>
                <wp:anchor distT="0" distB="0" distL="0" distR="0" simplePos="0" relativeHeight="251686912" behindDoc="0" locked="0" layoutInCell="1" allowOverlap="1">
                  <wp:simplePos x="0" y="0"/>
                  <wp:positionH relativeFrom="rightMargin">
                    <wp:posOffset>-5751830</wp:posOffset>
                  </wp:positionH>
                  <wp:positionV relativeFrom="topMargin">
                    <wp:posOffset>20320</wp:posOffset>
                  </wp:positionV>
                  <wp:extent cx="2872105" cy="1847215"/>
                  <wp:effectExtent l="0" t="0" r="0" b="0"/>
                  <wp:wrapNone/>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266"/>
                          <a:stretch>
                            <a:fillRect/>
                          </a:stretch>
                        </pic:blipFill>
                        <pic:spPr>
                          <a:xfrm>
                            <a:off x="0" y="0"/>
                            <a:ext cx="2871851" cy="1847469"/>
                          </a:xfrm>
                          <a:prstGeom prst="rect">
                            <a:avLst/>
                          </a:prstGeom>
                        </pic:spPr>
                      </pic:pic>
                    </a:graphicData>
                  </a:graphic>
                </wp:anchor>
              </w:drawing>
            </w:r>
            <w:r>
              <w:rPr>
                <w:position w:val="-58"/>
              </w:rPr>
              <w:pict>
                <v:shape id="_x0000_s1325" o:spid="_x0000_s1325" style="height:145.5pt;width:226.65pt;" fillcolor="#000000" filled="t" stroked="f" coordsize="4532,2910" path="m0,38l9,38,9,9,0,9,0,38xem0,9l9,9,9,0,0,0,0,9xem9,9l4532,9,4532,0,9,0,9,9xem0,2899l9,2899,9,38,0,38,0,2899xem0,2909l9,2909,9,2899,0,2899,0,2909xem9,2909l4532,2909,4532,2899,9,2899,9,2909xe">
                  <v:path/>
                  <v:fill on="t" focussize="0,0"/>
                  <v:stroke on="f"/>
                  <v:imagedata o:title=""/>
                  <o:lock v:ext="edit"/>
                  <w10:wrap type="none"/>
                  <w10:anchorlock/>
                </v:shape>
              </w:pict>
            </w:r>
          </w:p>
        </w:tc>
      </w:tr>
      <w:tr w14:paraId="13A555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9068" w:type="dxa"/>
            <w:tcBorders>
              <w:top w:val="nil"/>
              <w:bottom w:val="nil"/>
            </w:tcBorders>
            <w:vAlign w:val="top"/>
          </w:tcPr>
          <w:p w14:paraId="744AA0CC">
            <w:pPr>
              <w:pStyle w:val="6"/>
              <w:spacing w:before="32" w:line="200" w:lineRule="auto"/>
              <w:ind w:left="3911"/>
            </w:pPr>
            <w:r>
              <w:rPr>
                <w:spacing w:val="-2"/>
              </w:rPr>
              <w:t>灌丛生态系统</w:t>
            </w:r>
          </w:p>
        </w:tc>
      </w:tr>
      <w:tr w14:paraId="7C2F36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7" w:hRule="atLeast"/>
        </w:trPr>
        <w:tc>
          <w:tcPr>
            <w:tcW w:w="9068" w:type="dxa"/>
            <w:tcBorders>
              <w:top w:val="nil"/>
              <w:bottom w:val="nil"/>
            </w:tcBorders>
            <w:vAlign w:val="top"/>
          </w:tcPr>
          <w:p w14:paraId="23625BF4">
            <w:pPr>
              <w:spacing w:before="32" w:line="2909" w:lineRule="exact"/>
              <w:ind w:firstLine="4527"/>
            </w:pPr>
            <w:r>
              <w:drawing>
                <wp:anchor distT="0" distB="0" distL="0" distR="0" simplePos="0" relativeHeight="251688960" behindDoc="0" locked="0" layoutInCell="1" allowOverlap="1">
                  <wp:simplePos x="0" y="0"/>
                  <wp:positionH relativeFrom="rightMargin">
                    <wp:posOffset>-2792730</wp:posOffset>
                  </wp:positionH>
                  <wp:positionV relativeFrom="topMargin">
                    <wp:posOffset>44450</wp:posOffset>
                  </wp:positionV>
                  <wp:extent cx="2699385" cy="1798955"/>
                  <wp:effectExtent l="0" t="0" r="0" b="0"/>
                  <wp:wrapNone/>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267"/>
                          <a:stretch>
                            <a:fillRect/>
                          </a:stretch>
                        </pic:blipFill>
                        <pic:spPr>
                          <a:xfrm>
                            <a:off x="0" y="0"/>
                            <a:ext cx="2699384" cy="1799209"/>
                          </a:xfrm>
                          <a:prstGeom prst="rect">
                            <a:avLst/>
                          </a:prstGeom>
                        </pic:spPr>
                      </pic:pic>
                    </a:graphicData>
                  </a:graphic>
                </wp:anchor>
              </w:drawing>
            </w:r>
            <w:r>
              <w:drawing>
                <wp:anchor distT="0" distB="0" distL="0" distR="0" simplePos="0" relativeHeight="251687936" behindDoc="0" locked="0" layoutInCell="1" allowOverlap="1">
                  <wp:simplePos x="0" y="0"/>
                  <wp:positionH relativeFrom="rightMargin">
                    <wp:posOffset>-5751830</wp:posOffset>
                  </wp:positionH>
                  <wp:positionV relativeFrom="topMargin">
                    <wp:posOffset>20320</wp:posOffset>
                  </wp:positionV>
                  <wp:extent cx="2872105" cy="1847215"/>
                  <wp:effectExtent l="0" t="0" r="0" b="0"/>
                  <wp:wrapNone/>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268"/>
                          <a:stretch>
                            <a:fillRect/>
                          </a:stretch>
                        </pic:blipFill>
                        <pic:spPr>
                          <a:xfrm>
                            <a:off x="0" y="0"/>
                            <a:ext cx="2871851" cy="1847342"/>
                          </a:xfrm>
                          <a:prstGeom prst="rect">
                            <a:avLst/>
                          </a:prstGeom>
                        </pic:spPr>
                      </pic:pic>
                    </a:graphicData>
                  </a:graphic>
                </wp:anchor>
              </w:drawing>
            </w:r>
            <w:r>
              <w:rPr>
                <w:position w:val="-58"/>
              </w:rPr>
              <w:pict>
                <v:shape id="_x0000_s1326" o:spid="_x0000_s1326" style="height:145.5pt;width:226.65pt;" fillcolor="#000000" filled="t" stroked="f" coordsize="4532,2910" path="m0,38l9,38,9,9,0,9,0,38xem0,9l9,9,9,0,0,0,0,9xem9,9l4532,9,4532,0,9,0,9,9xem0,2899l9,2899,9,38,0,38,0,2899xem0,2909l9,2909,9,2899,0,2899,0,2909xem9,2909l4532,2909,4532,2899,9,2899,9,2909xe">
                  <v:path/>
                  <v:fill on="t" focussize="0,0"/>
                  <v:stroke on="f"/>
                  <v:imagedata o:title=""/>
                  <o:lock v:ext="edit"/>
                  <w10:wrap type="none"/>
                  <w10:anchorlock/>
                </v:shape>
              </w:pict>
            </w:r>
          </w:p>
        </w:tc>
      </w:tr>
      <w:tr w14:paraId="5F7A2D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70" w:hRule="atLeast"/>
        </w:trPr>
        <w:tc>
          <w:tcPr>
            <w:tcW w:w="9068" w:type="dxa"/>
            <w:tcBorders>
              <w:top w:val="nil"/>
              <w:bottom w:val="nil"/>
            </w:tcBorders>
            <w:vAlign w:val="top"/>
          </w:tcPr>
          <w:p w14:paraId="0EF89C34">
            <w:pPr>
              <w:pStyle w:val="6"/>
              <w:spacing w:before="33" w:line="199" w:lineRule="auto"/>
              <w:ind w:left="3910"/>
            </w:pPr>
            <w:r>
              <w:rPr>
                <w:spacing w:val="-2"/>
              </w:rPr>
              <w:t>草地生态系统</w:t>
            </w:r>
          </w:p>
        </w:tc>
      </w:tr>
      <w:tr w14:paraId="16C99B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8" w:hRule="atLeast"/>
        </w:trPr>
        <w:tc>
          <w:tcPr>
            <w:tcW w:w="9068" w:type="dxa"/>
            <w:tcBorders>
              <w:top w:val="nil"/>
              <w:bottom w:val="nil"/>
            </w:tcBorders>
            <w:vAlign w:val="top"/>
          </w:tcPr>
          <w:p w14:paraId="16DB8F35">
            <w:pPr>
              <w:spacing w:before="33" w:line="2912" w:lineRule="exact"/>
              <w:ind w:firstLine="4536"/>
            </w:pPr>
            <w:r>
              <w:pict>
                <v:shape id="_x0000_s1327" o:spid="_x0000_s1327" style="position:absolute;left:0pt;margin-left:226.55pt;margin-top:1.65pt;height:145.6pt;width:0.5pt;mso-position-horizontal-relative:page;mso-position-vertical-relative:page;z-index:251691008;mso-width-relative:page;mso-height-relative:page;" fillcolor="#000000" filled="t" stroked="f" coordsize="10,2912" path="m0,38l9,38,9,9,0,9,0,38xem0,9l9,9,9,0,0,0,0,9xem0,2902l9,2902,9,38,0,38,0,2902xem0,2911l9,2911,9,2902,0,2902,0,2911xe">
                  <v:path/>
                  <v:fill on="t" focussize="0,0"/>
                  <v:stroke on="f"/>
                  <v:imagedata o:title=""/>
                  <o:lock v:ext="edit"/>
                </v:shape>
              </w:pict>
            </w:r>
            <w:r>
              <w:drawing>
                <wp:anchor distT="0" distB="0" distL="0" distR="0" simplePos="0" relativeHeight="251684864" behindDoc="0" locked="0" layoutInCell="1" allowOverlap="1">
                  <wp:simplePos x="0" y="0"/>
                  <wp:positionH relativeFrom="rightMargin">
                    <wp:posOffset>-5751830</wp:posOffset>
                  </wp:positionH>
                  <wp:positionV relativeFrom="topMargin">
                    <wp:posOffset>20955</wp:posOffset>
                  </wp:positionV>
                  <wp:extent cx="2872105" cy="1849120"/>
                  <wp:effectExtent l="0" t="0" r="0" b="0"/>
                  <wp:wrapNone/>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269"/>
                          <a:stretch>
                            <a:fillRect/>
                          </a:stretch>
                        </pic:blipFill>
                        <pic:spPr>
                          <a:xfrm>
                            <a:off x="0" y="0"/>
                            <a:ext cx="2871851" cy="1848993"/>
                          </a:xfrm>
                          <a:prstGeom prst="rect">
                            <a:avLst/>
                          </a:prstGeom>
                        </pic:spPr>
                      </pic:pic>
                    </a:graphicData>
                  </a:graphic>
                </wp:anchor>
              </w:drawing>
            </w:r>
            <w:r>
              <w:rPr>
                <w:position w:val="-58"/>
              </w:rPr>
              <w:drawing>
                <wp:inline distT="0" distB="0" distL="0" distR="0">
                  <wp:extent cx="2871470" cy="1848485"/>
                  <wp:effectExtent l="0" t="0" r="0" b="0"/>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270"/>
                          <a:stretch>
                            <a:fillRect/>
                          </a:stretch>
                        </pic:blipFill>
                        <pic:spPr>
                          <a:xfrm>
                            <a:off x="0" y="0"/>
                            <a:ext cx="2871851" cy="1848993"/>
                          </a:xfrm>
                          <a:prstGeom prst="rect">
                            <a:avLst/>
                          </a:prstGeom>
                        </pic:spPr>
                      </pic:pic>
                    </a:graphicData>
                  </a:graphic>
                </wp:inline>
              </w:drawing>
            </w:r>
          </w:p>
        </w:tc>
      </w:tr>
      <w:tr w14:paraId="16B110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0" w:hRule="atLeast"/>
        </w:trPr>
        <w:tc>
          <w:tcPr>
            <w:tcW w:w="9068" w:type="dxa"/>
            <w:tcBorders>
              <w:top w:val="nil"/>
            </w:tcBorders>
            <w:vAlign w:val="top"/>
          </w:tcPr>
          <w:p w14:paraId="16A9B619">
            <w:pPr>
              <w:pStyle w:val="6"/>
              <w:spacing w:before="33" w:line="222" w:lineRule="auto"/>
              <w:ind w:left="3908"/>
            </w:pPr>
            <w:r>
              <w:rPr>
                <w:spacing w:val="-1"/>
              </w:rPr>
              <w:t>农田生态系统</w:t>
            </w:r>
          </w:p>
        </w:tc>
      </w:tr>
    </w:tbl>
    <w:p w14:paraId="13F5EB15">
      <w:pPr>
        <w:rPr>
          <w:rFonts w:ascii="Arial"/>
          <w:sz w:val="21"/>
        </w:rPr>
      </w:pPr>
    </w:p>
    <w:p w14:paraId="69C8FC18">
      <w:pPr>
        <w:rPr>
          <w:rFonts w:ascii="Arial" w:hAnsi="Arial" w:eastAsia="Arial" w:cs="Arial"/>
          <w:sz w:val="21"/>
          <w:szCs w:val="21"/>
        </w:rPr>
        <w:sectPr>
          <w:footerReference r:id="rId173" w:type="default"/>
          <w:pgSz w:w="11907" w:h="16841"/>
          <w:pgMar w:top="400" w:right="1413" w:bottom="1126" w:left="1418" w:header="0" w:footer="925" w:gutter="0"/>
          <w:cols w:space="720" w:num="1"/>
        </w:sectPr>
      </w:pPr>
    </w:p>
    <w:p w14:paraId="466FA1B2">
      <w:pPr>
        <w:spacing w:line="241" w:lineRule="auto"/>
        <w:rPr>
          <w:rFonts w:ascii="Arial"/>
          <w:sz w:val="21"/>
        </w:rPr>
      </w:pPr>
    </w:p>
    <w:p w14:paraId="6603F42C">
      <w:pPr>
        <w:spacing w:line="241" w:lineRule="auto"/>
        <w:rPr>
          <w:rFonts w:ascii="Arial"/>
          <w:sz w:val="21"/>
        </w:rPr>
      </w:pPr>
    </w:p>
    <w:p w14:paraId="5D74F2A6">
      <w:pPr>
        <w:spacing w:line="241" w:lineRule="auto"/>
        <w:rPr>
          <w:rFonts w:ascii="Arial"/>
          <w:sz w:val="21"/>
        </w:rPr>
      </w:pPr>
    </w:p>
    <w:p w14:paraId="715DD43C">
      <w:pPr>
        <w:spacing w:line="242" w:lineRule="auto"/>
        <w:rPr>
          <w:rFonts w:ascii="Arial"/>
          <w:sz w:val="21"/>
        </w:rPr>
      </w:pPr>
    </w:p>
    <w:p w14:paraId="7C63C84F">
      <w:pPr>
        <w:spacing w:line="242" w:lineRule="auto"/>
        <w:rPr>
          <w:rFonts w:ascii="Arial"/>
          <w:sz w:val="21"/>
        </w:rPr>
      </w:pPr>
    </w:p>
    <w:p w14:paraId="0AB199E1">
      <w:pPr>
        <w:spacing w:line="2941" w:lineRule="exact"/>
      </w:pPr>
      <w:r>
        <w:rPr>
          <w:position w:val="-58"/>
        </w:rPr>
        <w:drawing>
          <wp:inline distT="0" distB="0" distL="0" distR="0">
            <wp:extent cx="5761355" cy="1866900"/>
            <wp:effectExtent l="0" t="0" r="0" b="0"/>
            <wp:docPr id="174" name="IM 174"/>
            <wp:cNvGraphicFramePr/>
            <a:graphic xmlns:a="http://schemas.openxmlformats.org/drawingml/2006/main">
              <a:graphicData uri="http://schemas.openxmlformats.org/drawingml/2006/picture">
                <pic:pic xmlns:pic="http://schemas.openxmlformats.org/drawingml/2006/picture">
                  <pic:nvPicPr>
                    <pic:cNvPr id="174" name="IM 174"/>
                    <pic:cNvPicPr/>
                  </pic:nvPicPr>
                  <pic:blipFill>
                    <a:blip r:embed="rId271"/>
                    <a:stretch>
                      <a:fillRect/>
                    </a:stretch>
                  </pic:blipFill>
                  <pic:spPr>
                    <a:xfrm>
                      <a:off x="0" y="0"/>
                      <a:ext cx="5761938" cy="1867153"/>
                    </a:xfrm>
                    <a:prstGeom prst="rect">
                      <a:avLst/>
                    </a:prstGeom>
                  </pic:spPr>
                </pic:pic>
              </a:graphicData>
            </a:graphic>
          </wp:inline>
        </w:drawing>
      </w:r>
    </w:p>
    <w:p w14:paraId="0A716DA3">
      <w:pPr>
        <w:spacing w:line="238" w:lineRule="auto"/>
        <w:rPr>
          <w:sz w:val="21"/>
          <w:szCs w:val="21"/>
        </w:rPr>
      </w:pPr>
      <w:r>
        <w:rPr>
          <w:rFonts w:ascii="宋体" w:hAnsi="宋体" w:eastAsia="宋体" w:cs="宋体"/>
          <w:position w:val="-9"/>
          <w:sz w:val="21"/>
          <w:szCs w:val="21"/>
        </w:rPr>
        <w:drawing>
          <wp:inline distT="0" distB="0" distL="0" distR="0">
            <wp:extent cx="5715" cy="190500"/>
            <wp:effectExtent l="0" t="0" r="0" b="0"/>
            <wp:docPr id="176" name="IM 176"/>
            <wp:cNvGraphicFramePr/>
            <a:graphic xmlns:a="http://schemas.openxmlformats.org/drawingml/2006/main">
              <a:graphicData uri="http://schemas.openxmlformats.org/drawingml/2006/picture">
                <pic:pic xmlns:pic="http://schemas.openxmlformats.org/drawingml/2006/picture">
                  <pic:nvPicPr>
                    <pic:cNvPr id="176" name="IM 176"/>
                    <pic:cNvPicPr/>
                  </pic:nvPicPr>
                  <pic:blipFill>
                    <a:blip r:embed="rId272"/>
                    <a:stretch>
                      <a:fillRect/>
                    </a:stretch>
                  </pic:blipFill>
                  <pic:spPr>
                    <a:xfrm>
                      <a:off x="0" y="0"/>
                      <a:ext cx="6096" cy="190500"/>
                    </a:xfrm>
                    <a:prstGeom prst="rect">
                      <a:avLst/>
                    </a:prstGeom>
                  </pic:spPr>
                </pic:pic>
              </a:graphicData>
            </a:graphic>
          </wp:inline>
        </w:drawing>
      </w:r>
      <w:r>
        <w:rPr>
          <w:rFonts w:ascii="宋体" w:hAnsi="宋体" w:eastAsia="宋体" w:cs="宋体"/>
          <w:spacing w:val="1"/>
          <w:sz w:val="21"/>
          <w:szCs w:val="21"/>
          <w:u w:val="single" w:color="auto"/>
        </w:rPr>
        <w:t xml:space="preserve">                      </w:t>
      </w:r>
      <w:r>
        <w:rPr>
          <w:rFonts w:ascii="宋体" w:hAnsi="宋体" w:eastAsia="宋体" w:cs="宋体"/>
          <w:sz w:val="21"/>
          <w:szCs w:val="21"/>
          <w:u w:val="single" w:color="auto"/>
        </w:rPr>
        <w:t xml:space="preserve">               城镇生态系统                                     </w:t>
      </w:r>
      <w:r>
        <w:rPr>
          <w:position w:val="-9"/>
          <w:sz w:val="21"/>
          <w:szCs w:val="21"/>
        </w:rPr>
        <w:drawing>
          <wp:inline distT="0" distB="0" distL="0" distR="0">
            <wp:extent cx="5715" cy="190500"/>
            <wp:effectExtent l="0" t="0" r="0" b="0"/>
            <wp:docPr id="178" name="IM 178"/>
            <wp:cNvGraphicFramePr/>
            <a:graphic xmlns:a="http://schemas.openxmlformats.org/drawingml/2006/main">
              <a:graphicData uri="http://schemas.openxmlformats.org/drawingml/2006/picture">
                <pic:pic xmlns:pic="http://schemas.openxmlformats.org/drawingml/2006/picture">
                  <pic:nvPicPr>
                    <pic:cNvPr id="178" name="IM 178"/>
                    <pic:cNvPicPr/>
                  </pic:nvPicPr>
                  <pic:blipFill>
                    <a:blip r:embed="rId273"/>
                    <a:stretch>
                      <a:fillRect/>
                    </a:stretch>
                  </pic:blipFill>
                  <pic:spPr>
                    <a:xfrm>
                      <a:off x="0" y="0"/>
                      <a:ext cx="6095" cy="190500"/>
                    </a:xfrm>
                    <a:prstGeom prst="rect">
                      <a:avLst/>
                    </a:prstGeom>
                  </pic:spPr>
                </pic:pic>
              </a:graphicData>
            </a:graphic>
          </wp:inline>
        </w:drawing>
      </w:r>
    </w:p>
    <w:p w14:paraId="1500247E">
      <w:pPr>
        <w:spacing w:before="137" w:line="233" w:lineRule="auto"/>
        <w:ind w:left="2923"/>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8"/>
          <w:sz w:val="21"/>
          <w:szCs w:val="21"/>
        </w:rPr>
        <w:t xml:space="preserve"> </w:t>
      </w:r>
      <w:r>
        <w:rPr>
          <w:rFonts w:ascii="Times New Roman" w:hAnsi="Times New Roman" w:eastAsia="Times New Roman" w:cs="Times New Roman"/>
          <w:b/>
          <w:bCs/>
          <w:spacing w:val="-3"/>
          <w:sz w:val="21"/>
          <w:szCs w:val="21"/>
        </w:rPr>
        <w:t xml:space="preserve">2-2    </w:t>
      </w:r>
      <w:r>
        <w:rPr>
          <w:rFonts w:ascii="宋体" w:hAnsi="宋体" w:eastAsia="宋体" w:cs="宋体"/>
          <w:b/>
          <w:bCs/>
          <w:spacing w:val="-3"/>
          <w:sz w:val="21"/>
          <w:szCs w:val="21"/>
        </w:rPr>
        <w:t>评价区各生态系统类型现状</w:t>
      </w:r>
    </w:p>
    <w:p w14:paraId="6B8648C8">
      <w:pPr>
        <w:spacing w:before="191" w:line="233" w:lineRule="auto"/>
        <w:ind w:left="489"/>
        <w:rPr>
          <w:rFonts w:ascii="宋体" w:hAnsi="宋体" w:eastAsia="宋体" w:cs="宋体"/>
          <w:sz w:val="24"/>
          <w:szCs w:val="24"/>
        </w:rPr>
      </w:pPr>
      <w:r>
        <w:rPr>
          <w:rFonts w:ascii="Times New Roman" w:hAnsi="Times New Roman" w:eastAsia="Times New Roman" w:cs="Times New Roman"/>
          <w:spacing w:val="-3"/>
          <w:sz w:val="24"/>
          <w:szCs w:val="24"/>
        </w:rPr>
        <w:t>3</w:t>
      </w:r>
      <w:r>
        <w:rPr>
          <w:rFonts w:ascii="宋体" w:hAnsi="宋体" w:eastAsia="宋体" w:cs="宋体"/>
          <w:spacing w:val="-3"/>
          <w:sz w:val="24"/>
          <w:szCs w:val="24"/>
        </w:rPr>
        <w:t>）生物量现状</w:t>
      </w:r>
    </w:p>
    <w:p w14:paraId="7B985915">
      <w:pPr>
        <w:spacing w:before="163" w:line="357" w:lineRule="auto"/>
        <w:ind w:left="11" w:right="93" w:firstLine="478"/>
        <w:rPr>
          <w:rFonts w:ascii="宋体" w:hAnsi="宋体" w:eastAsia="宋体" w:cs="宋体"/>
          <w:sz w:val="24"/>
          <w:szCs w:val="24"/>
        </w:rPr>
      </w:pPr>
      <w:r>
        <w:rPr>
          <w:rFonts w:ascii="宋体" w:hAnsi="宋体" w:eastAsia="宋体" w:cs="宋体"/>
          <w:spacing w:val="-8"/>
          <w:sz w:val="24"/>
          <w:szCs w:val="24"/>
        </w:rPr>
        <w:t>根据评价区内植被样方调查结果，结合《中</w:t>
      </w:r>
      <w:r>
        <w:rPr>
          <w:rFonts w:ascii="宋体" w:hAnsi="宋体" w:eastAsia="宋体" w:cs="宋体"/>
          <w:spacing w:val="-9"/>
          <w:sz w:val="24"/>
          <w:szCs w:val="24"/>
        </w:rPr>
        <w:t>国森林生态系统的生物量和生产力》（冯</w:t>
      </w:r>
      <w:r>
        <w:rPr>
          <w:rFonts w:ascii="宋体" w:hAnsi="宋体" w:eastAsia="宋体" w:cs="宋体"/>
          <w:spacing w:val="-7"/>
          <w:sz w:val="24"/>
          <w:szCs w:val="24"/>
        </w:rPr>
        <w:t>宗炜等，</w:t>
      </w:r>
      <w:r>
        <w:rPr>
          <w:rFonts w:ascii="Times New Roman" w:hAnsi="Times New Roman" w:eastAsia="Times New Roman" w:cs="Times New Roman"/>
          <w:spacing w:val="-7"/>
          <w:sz w:val="24"/>
          <w:szCs w:val="24"/>
        </w:rPr>
        <w:t>1999</w:t>
      </w:r>
      <w:r>
        <w:rPr>
          <w:rFonts w:ascii="宋体" w:hAnsi="宋体" w:eastAsia="宋体" w:cs="宋体"/>
          <w:spacing w:val="-7"/>
          <w:sz w:val="24"/>
          <w:szCs w:val="24"/>
        </w:rPr>
        <w:t>）和《我国森林植被的生物量和净生产量》（方精云等，</w:t>
      </w:r>
      <w:r>
        <w:rPr>
          <w:rFonts w:ascii="Times New Roman" w:hAnsi="Times New Roman" w:eastAsia="Times New Roman" w:cs="Times New Roman"/>
          <w:spacing w:val="-7"/>
          <w:sz w:val="24"/>
          <w:szCs w:val="24"/>
        </w:rPr>
        <w:t>19</w:t>
      </w:r>
      <w:r>
        <w:rPr>
          <w:rFonts w:ascii="Times New Roman" w:hAnsi="Times New Roman" w:eastAsia="Times New Roman" w:cs="Times New Roman"/>
          <w:spacing w:val="-8"/>
          <w:sz w:val="24"/>
          <w:szCs w:val="24"/>
        </w:rPr>
        <w:t>96</w:t>
      </w:r>
      <w:r>
        <w:rPr>
          <w:rFonts w:ascii="宋体" w:hAnsi="宋体" w:eastAsia="宋体" w:cs="宋体"/>
          <w:spacing w:val="-8"/>
          <w:sz w:val="24"/>
          <w:szCs w:val="24"/>
        </w:rPr>
        <w:t>）等资料，得</w:t>
      </w:r>
      <w:r>
        <w:rPr>
          <w:rFonts w:ascii="宋体" w:hAnsi="宋体" w:eastAsia="宋体" w:cs="宋体"/>
          <w:spacing w:val="-1"/>
          <w:sz w:val="24"/>
          <w:szCs w:val="24"/>
        </w:rPr>
        <w:t>知各植被类型的平均生物量；再根据各植被类型的面积，估</w:t>
      </w:r>
      <w:r>
        <w:rPr>
          <w:rFonts w:ascii="宋体" w:hAnsi="宋体" w:eastAsia="宋体" w:cs="宋体"/>
          <w:spacing w:val="-2"/>
          <w:sz w:val="24"/>
          <w:szCs w:val="24"/>
        </w:rPr>
        <w:t>算得出评价区生物量。</w:t>
      </w:r>
    </w:p>
    <w:p w14:paraId="59F7CFD9">
      <w:pPr>
        <w:spacing w:before="15" w:line="360" w:lineRule="auto"/>
        <w:ind w:left="8" w:firstLine="479"/>
        <w:jc w:val="both"/>
        <w:rPr>
          <w:rFonts w:ascii="宋体" w:hAnsi="宋体" w:eastAsia="宋体" w:cs="宋体"/>
          <w:sz w:val="24"/>
          <w:szCs w:val="24"/>
        </w:rPr>
      </w:pPr>
      <w:r>
        <w:rPr>
          <w:rFonts w:ascii="宋体" w:hAnsi="宋体" w:eastAsia="宋体" w:cs="宋体"/>
          <w:spacing w:val="-7"/>
          <w:sz w:val="24"/>
          <w:szCs w:val="24"/>
        </w:rPr>
        <w:t>评价区内总生物量</w:t>
      </w:r>
      <w:r>
        <w:rPr>
          <w:rFonts w:ascii="宋体" w:hAnsi="宋体" w:eastAsia="宋体" w:cs="宋体"/>
          <w:spacing w:val="-45"/>
          <w:sz w:val="24"/>
          <w:szCs w:val="24"/>
        </w:rPr>
        <w:t xml:space="preserve"> </w:t>
      </w:r>
      <w:r>
        <w:rPr>
          <w:rFonts w:ascii="Times New Roman" w:hAnsi="Times New Roman" w:eastAsia="Times New Roman" w:cs="Times New Roman"/>
          <w:spacing w:val="-7"/>
          <w:sz w:val="24"/>
          <w:szCs w:val="24"/>
        </w:rPr>
        <w:t>22424.21t</w:t>
      </w:r>
      <w:r>
        <w:rPr>
          <w:rFonts w:ascii="宋体" w:hAnsi="宋体" w:eastAsia="宋体" w:cs="宋体"/>
          <w:spacing w:val="-7"/>
          <w:sz w:val="24"/>
          <w:szCs w:val="24"/>
        </w:rPr>
        <w:t>。评价区总生物量最多的是灌草地，其次是针叶林植被。</w:t>
      </w:r>
      <w:r>
        <w:rPr>
          <w:rFonts w:ascii="宋体" w:hAnsi="宋体" w:eastAsia="宋体" w:cs="宋体"/>
          <w:spacing w:val="-1"/>
          <w:sz w:val="24"/>
          <w:szCs w:val="24"/>
        </w:rPr>
        <w:t>灌草地面积约为</w:t>
      </w:r>
      <w:r>
        <w:rPr>
          <w:rFonts w:ascii="宋体" w:hAnsi="宋体" w:eastAsia="宋体" w:cs="宋体"/>
          <w:spacing w:val="30"/>
          <w:sz w:val="24"/>
          <w:szCs w:val="24"/>
        </w:rPr>
        <w:t xml:space="preserve"> </w:t>
      </w:r>
      <w:r>
        <w:rPr>
          <w:rFonts w:ascii="Times New Roman" w:hAnsi="Times New Roman" w:eastAsia="Times New Roman" w:cs="Times New Roman"/>
          <w:spacing w:val="-1"/>
          <w:sz w:val="24"/>
          <w:szCs w:val="24"/>
        </w:rPr>
        <w:t>1723.68hm</w:t>
      </w:r>
      <w:r>
        <w:rPr>
          <w:rFonts w:ascii="Times New Roman" w:hAnsi="Times New Roman" w:eastAsia="Times New Roman" w:cs="Times New Roman"/>
          <w:spacing w:val="-1"/>
          <w:position w:val="9"/>
          <w:sz w:val="16"/>
          <w:szCs w:val="16"/>
        </w:rPr>
        <w:t>2</w:t>
      </w:r>
      <w:r>
        <w:rPr>
          <w:rFonts w:ascii="Times New Roman" w:hAnsi="Times New Roman" w:eastAsia="Times New Roman" w:cs="Times New Roman"/>
          <w:spacing w:val="-7"/>
          <w:position w:val="9"/>
          <w:sz w:val="16"/>
          <w:szCs w:val="16"/>
        </w:rPr>
        <w:t xml:space="preserve"> </w:t>
      </w:r>
      <w:r>
        <w:rPr>
          <w:rFonts w:ascii="宋体" w:hAnsi="宋体" w:eastAsia="宋体" w:cs="宋体"/>
          <w:spacing w:val="-1"/>
          <w:sz w:val="24"/>
          <w:szCs w:val="24"/>
        </w:rPr>
        <w:t>，占总</w:t>
      </w:r>
      <w:r>
        <w:rPr>
          <w:rFonts w:ascii="宋体" w:hAnsi="宋体" w:eastAsia="宋体" w:cs="宋体"/>
          <w:spacing w:val="-2"/>
          <w:sz w:val="24"/>
          <w:szCs w:val="24"/>
        </w:rPr>
        <w:t xml:space="preserve">面积的 </w:t>
      </w:r>
      <w:r>
        <w:rPr>
          <w:rFonts w:ascii="Times New Roman" w:hAnsi="Times New Roman" w:eastAsia="Times New Roman" w:cs="Times New Roman"/>
          <w:spacing w:val="-2"/>
          <w:sz w:val="24"/>
          <w:szCs w:val="24"/>
        </w:rPr>
        <w:t>79.81%</w:t>
      </w:r>
      <w:r>
        <w:rPr>
          <w:rFonts w:ascii="宋体" w:hAnsi="宋体" w:eastAsia="宋体" w:cs="宋体"/>
          <w:spacing w:val="-2"/>
          <w:sz w:val="24"/>
          <w:szCs w:val="24"/>
        </w:rPr>
        <w:t>，生物量</w:t>
      </w:r>
      <w:r>
        <w:rPr>
          <w:rFonts w:ascii="宋体" w:hAnsi="宋体" w:eastAsia="宋体" w:cs="宋体"/>
          <w:spacing w:val="29"/>
          <w:sz w:val="24"/>
          <w:szCs w:val="24"/>
        </w:rPr>
        <w:t xml:space="preserve"> </w:t>
      </w:r>
      <w:r>
        <w:rPr>
          <w:rFonts w:ascii="Times New Roman" w:hAnsi="Times New Roman" w:eastAsia="Times New Roman" w:cs="Times New Roman"/>
          <w:spacing w:val="-2"/>
          <w:sz w:val="24"/>
          <w:szCs w:val="24"/>
        </w:rPr>
        <w:t>16685.22t</w:t>
      </w:r>
      <w:r>
        <w:rPr>
          <w:rFonts w:ascii="宋体" w:hAnsi="宋体" w:eastAsia="宋体" w:cs="宋体"/>
          <w:spacing w:val="-2"/>
          <w:sz w:val="24"/>
          <w:szCs w:val="24"/>
        </w:rPr>
        <w:t>，</w:t>
      </w:r>
      <w:r>
        <w:rPr>
          <w:rFonts w:ascii="宋体" w:hAnsi="宋体" w:eastAsia="宋体" w:cs="宋体"/>
          <w:spacing w:val="-66"/>
          <w:sz w:val="24"/>
          <w:szCs w:val="24"/>
        </w:rPr>
        <w:t xml:space="preserve"> </w:t>
      </w:r>
      <w:r>
        <w:rPr>
          <w:rFonts w:ascii="宋体" w:hAnsi="宋体" w:eastAsia="宋体" w:cs="宋体"/>
          <w:spacing w:val="-2"/>
          <w:sz w:val="24"/>
          <w:szCs w:val="24"/>
        </w:rPr>
        <w:t>占总生物量的</w:t>
      </w:r>
      <w:r>
        <w:rPr>
          <w:rFonts w:ascii="Times New Roman" w:hAnsi="Times New Roman" w:eastAsia="Times New Roman" w:cs="Times New Roman"/>
          <w:spacing w:val="-3"/>
          <w:sz w:val="24"/>
          <w:szCs w:val="24"/>
        </w:rPr>
        <w:t>74.41%</w:t>
      </w:r>
      <w:r>
        <w:rPr>
          <w:rFonts w:ascii="宋体" w:hAnsi="宋体" w:eastAsia="宋体" w:cs="宋体"/>
          <w:spacing w:val="-3"/>
          <w:sz w:val="24"/>
          <w:szCs w:val="24"/>
        </w:rPr>
        <w:t>；针叶林植被面积为</w:t>
      </w:r>
      <w:r>
        <w:rPr>
          <w:rFonts w:ascii="宋体" w:hAnsi="宋体" w:eastAsia="宋体" w:cs="宋体"/>
          <w:spacing w:val="-31"/>
          <w:sz w:val="24"/>
          <w:szCs w:val="24"/>
        </w:rPr>
        <w:t xml:space="preserve"> </w:t>
      </w:r>
      <w:r>
        <w:rPr>
          <w:rFonts w:ascii="Times New Roman" w:hAnsi="Times New Roman" w:eastAsia="Times New Roman" w:cs="Times New Roman"/>
          <w:spacing w:val="-3"/>
          <w:sz w:val="24"/>
          <w:szCs w:val="24"/>
        </w:rPr>
        <w:t>126.99hm</w:t>
      </w:r>
      <w:r>
        <w:rPr>
          <w:rFonts w:ascii="Times New Roman" w:hAnsi="Times New Roman" w:eastAsia="Times New Roman" w:cs="Times New Roman"/>
          <w:spacing w:val="-3"/>
          <w:position w:val="9"/>
          <w:sz w:val="16"/>
          <w:szCs w:val="16"/>
        </w:rPr>
        <w:t>2</w:t>
      </w:r>
      <w:r>
        <w:rPr>
          <w:rFonts w:ascii="宋体" w:hAnsi="宋体" w:eastAsia="宋体" w:cs="宋体"/>
          <w:spacing w:val="-4"/>
          <w:sz w:val="24"/>
          <w:szCs w:val="24"/>
        </w:rPr>
        <w:t>、占总面积的</w:t>
      </w:r>
      <w:r>
        <w:rPr>
          <w:rFonts w:ascii="宋体" w:hAnsi="宋体" w:eastAsia="宋体" w:cs="宋体"/>
          <w:spacing w:val="-48"/>
          <w:sz w:val="24"/>
          <w:szCs w:val="24"/>
        </w:rPr>
        <w:t xml:space="preserve"> </w:t>
      </w:r>
      <w:r>
        <w:rPr>
          <w:rFonts w:ascii="Times New Roman" w:hAnsi="Times New Roman" w:eastAsia="Times New Roman" w:cs="Times New Roman"/>
          <w:spacing w:val="-4"/>
          <w:sz w:val="24"/>
          <w:szCs w:val="24"/>
        </w:rPr>
        <w:t>5.88%</w:t>
      </w:r>
      <w:r>
        <w:rPr>
          <w:rFonts w:ascii="宋体" w:hAnsi="宋体" w:eastAsia="宋体" w:cs="宋体"/>
          <w:spacing w:val="-4"/>
          <w:sz w:val="24"/>
          <w:szCs w:val="24"/>
        </w:rPr>
        <w:t>，生物量</w:t>
      </w:r>
      <w:r>
        <w:rPr>
          <w:rFonts w:ascii="宋体" w:hAnsi="宋体" w:eastAsia="宋体" w:cs="宋体"/>
          <w:spacing w:val="-47"/>
          <w:sz w:val="24"/>
          <w:szCs w:val="24"/>
        </w:rPr>
        <w:t xml:space="preserve"> </w:t>
      </w:r>
      <w:r>
        <w:rPr>
          <w:rFonts w:ascii="Times New Roman" w:hAnsi="Times New Roman" w:eastAsia="Times New Roman" w:cs="Times New Roman"/>
          <w:spacing w:val="-4"/>
          <w:sz w:val="24"/>
          <w:szCs w:val="24"/>
        </w:rPr>
        <w:t>3884.62t</w:t>
      </w:r>
      <w:r>
        <w:rPr>
          <w:rFonts w:ascii="宋体" w:hAnsi="宋体" w:eastAsia="宋体" w:cs="宋体"/>
          <w:spacing w:val="-4"/>
          <w:sz w:val="24"/>
          <w:szCs w:val="24"/>
        </w:rPr>
        <w:t>，占总生物</w:t>
      </w:r>
      <w:r>
        <w:rPr>
          <w:rFonts w:ascii="宋体" w:hAnsi="宋体" w:eastAsia="宋体" w:cs="宋体"/>
          <w:spacing w:val="-3"/>
          <w:sz w:val="24"/>
          <w:szCs w:val="24"/>
        </w:rPr>
        <w:t>量的</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17.32%</w:t>
      </w:r>
      <w:r>
        <w:rPr>
          <w:rFonts w:ascii="宋体" w:hAnsi="宋体" w:eastAsia="宋体" w:cs="宋体"/>
          <w:spacing w:val="-3"/>
          <w:sz w:val="24"/>
          <w:szCs w:val="24"/>
        </w:rPr>
        <w:t>；农业植被面积为</w:t>
      </w:r>
      <w:r>
        <w:rPr>
          <w:rFonts w:ascii="宋体" w:hAnsi="宋体" w:eastAsia="宋体" w:cs="宋体"/>
          <w:spacing w:val="-50"/>
          <w:sz w:val="24"/>
          <w:szCs w:val="24"/>
        </w:rPr>
        <w:t xml:space="preserve"> </w:t>
      </w:r>
      <w:r>
        <w:rPr>
          <w:rFonts w:ascii="Times New Roman" w:hAnsi="Times New Roman" w:eastAsia="Times New Roman" w:cs="Times New Roman"/>
          <w:spacing w:val="-3"/>
          <w:sz w:val="24"/>
          <w:szCs w:val="24"/>
        </w:rPr>
        <w:t>309.06hm</w:t>
      </w:r>
      <w:r>
        <w:rPr>
          <w:rFonts w:ascii="Times New Roman" w:hAnsi="Times New Roman" w:eastAsia="Times New Roman" w:cs="Times New Roman"/>
          <w:spacing w:val="-3"/>
          <w:position w:val="9"/>
          <w:sz w:val="16"/>
          <w:szCs w:val="16"/>
        </w:rPr>
        <w:t>2</w:t>
      </w:r>
      <w:r>
        <w:rPr>
          <w:rFonts w:ascii="宋体" w:hAnsi="宋体" w:eastAsia="宋体" w:cs="宋体"/>
          <w:spacing w:val="-3"/>
          <w:sz w:val="24"/>
          <w:szCs w:val="24"/>
        </w:rPr>
        <w:t>、占总面积的</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14.31%</w:t>
      </w:r>
      <w:r>
        <w:rPr>
          <w:rFonts w:ascii="宋体" w:hAnsi="宋体" w:eastAsia="宋体" w:cs="宋体"/>
          <w:spacing w:val="-3"/>
          <w:sz w:val="24"/>
          <w:szCs w:val="24"/>
        </w:rPr>
        <w:t>，生物量</w:t>
      </w:r>
      <w:r>
        <w:rPr>
          <w:rFonts w:ascii="宋体" w:hAnsi="宋体" w:eastAsia="宋体" w:cs="宋体"/>
          <w:spacing w:val="-32"/>
          <w:sz w:val="24"/>
          <w:szCs w:val="24"/>
        </w:rPr>
        <w:t xml:space="preserve"> </w:t>
      </w:r>
      <w:r>
        <w:rPr>
          <w:rFonts w:ascii="Times New Roman" w:hAnsi="Times New Roman" w:eastAsia="Times New Roman" w:cs="Times New Roman"/>
          <w:spacing w:val="-3"/>
          <w:sz w:val="24"/>
          <w:szCs w:val="24"/>
        </w:rPr>
        <w:t>1854.</w:t>
      </w:r>
      <w:r>
        <w:rPr>
          <w:rFonts w:ascii="Times New Roman" w:hAnsi="Times New Roman" w:eastAsia="Times New Roman" w:cs="Times New Roman"/>
          <w:spacing w:val="-4"/>
          <w:sz w:val="24"/>
          <w:szCs w:val="24"/>
        </w:rPr>
        <w:t>36t</w:t>
      </w:r>
      <w:r>
        <w:rPr>
          <w:rFonts w:ascii="宋体" w:hAnsi="宋体" w:eastAsia="宋体" w:cs="宋体"/>
          <w:spacing w:val="-4"/>
          <w:sz w:val="24"/>
          <w:szCs w:val="24"/>
        </w:rPr>
        <w:t>，占总</w:t>
      </w:r>
      <w:r>
        <w:rPr>
          <w:rFonts w:ascii="宋体" w:hAnsi="宋体" w:eastAsia="宋体" w:cs="宋体"/>
          <w:spacing w:val="-3"/>
          <w:sz w:val="24"/>
          <w:szCs w:val="24"/>
        </w:rPr>
        <w:t>生物量的</w:t>
      </w:r>
      <w:r>
        <w:rPr>
          <w:rFonts w:ascii="宋体" w:hAnsi="宋体" w:eastAsia="宋体" w:cs="宋体"/>
          <w:spacing w:val="-34"/>
          <w:sz w:val="24"/>
          <w:szCs w:val="24"/>
        </w:rPr>
        <w:t xml:space="preserve"> </w:t>
      </w:r>
      <w:r>
        <w:rPr>
          <w:rFonts w:ascii="Times New Roman" w:hAnsi="Times New Roman" w:eastAsia="Times New Roman" w:cs="Times New Roman"/>
          <w:spacing w:val="-3"/>
          <w:sz w:val="24"/>
          <w:szCs w:val="24"/>
        </w:rPr>
        <w:t>8.27%</w:t>
      </w:r>
      <w:r>
        <w:rPr>
          <w:rFonts w:ascii="宋体" w:hAnsi="宋体" w:eastAsia="宋体" w:cs="宋体"/>
          <w:spacing w:val="-3"/>
          <w:sz w:val="24"/>
          <w:szCs w:val="24"/>
        </w:rPr>
        <w:t>，详见表</w:t>
      </w:r>
      <w:r>
        <w:rPr>
          <w:rFonts w:ascii="宋体" w:hAnsi="宋体" w:eastAsia="宋体" w:cs="宋体"/>
          <w:spacing w:val="-43"/>
          <w:sz w:val="24"/>
          <w:szCs w:val="24"/>
        </w:rPr>
        <w:t xml:space="preserve"> </w:t>
      </w:r>
      <w:r>
        <w:rPr>
          <w:rFonts w:ascii="Times New Roman" w:hAnsi="Times New Roman" w:eastAsia="Times New Roman" w:cs="Times New Roman"/>
          <w:spacing w:val="-3"/>
          <w:sz w:val="24"/>
          <w:szCs w:val="24"/>
        </w:rPr>
        <w:t>2-13</w:t>
      </w:r>
      <w:r>
        <w:rPr>
          <w:rFonts w:ascii="宋体" w:hAnsi="宋体" w:eastAsia="宋体" w:cs="宋体"/>
          <w:spacing w:val="-3"/>
          <w:sz w:val="24"/>
          <w:szCs w:val="24"/>
        </w:rPr>
        <w:t>。</w:t>
      </w:r>
    </w:p>
    <w:p w14:paraId="4102D1B9">
      <w:pPr>
        <w:spacing w:before="11" w:line="233" w:lineRule="auto"/>
        <w:ind w:left="2638"/>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2"/>
          <w:sz w:val="21"/>
          <w:szCs w:val="21"/>
        </w:rPr>
        <w:t xml:space="preserve"> </w:t>
      </w:r>
      <w:r>
        <w:rPr>
          <w:rFonts w:ascii="Times New Roman" w:hAnsi="Times New Roman" w:eastAsia="Times New Roman" w:cs="Times New Roman"/>
          <w:b/>
          <w:bCs/>
          <w:spacing w:val="-2"/>
          <w:sz w:val="21"/>
          <w:szCs w:val="21"/>
        </w:rPr>
        <w:t xml:space="preserve">2-13    </w:t>
      </w:r>
      <w:r>
        <w:rPr>
          <w:rFonts w:ascii="宋体" w:hAnsi="宋体" w:eastAsia="宋体" w:cs="宋体"/>
          <w:b/>
          <w:bCs/>
          <w:spacing w:val="-2"/>
          <w:sz w:val="21"/>
          <w:szCs w:val="21"/>
        </w:rPr>
        <w:t>评价区各植被类型生物量统计表</w:t>
      </w:r>
    </w:p>
    <w:p w14:paraId="4AA262FA">
      <w:pPr>
        <w:spacing w:line="74" w:lineRule="exact"/>
      </w:pP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28"/>
        <w:gridCol w:w="1927"/>
        <w:gridCol w:w="1324"/>
        <w:gridCol w:w="1182"/>
        <w:gridCol w:w="1197"/>
        <w:gridCol w:w="1173"/>
        <w:gridCol w:w="1037"/>
      </w:tblGrid>
      <w:tr w14:paraId="25ED65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4" w:hRule="atLeast"/>
        </w:trPr>
        <w:tc>
          <w:tcPr>
            <w:tcW w:w="1228" w:type="dxa"/>
            <w:vAlign w:val="top"/>
          </w:tcPr>
          <w:p w14:paraId="6DE4A9B9">
            <w:pPr>
              <w:spacing w:line="297" w:lineRule="auto"/>
              <w:rPr>
                <w:rFonts w:ascii="Arial"/>
                <w:sz w:val="21"/>
              </w:rPr>
            </w:pPr>
          </w:p>
          <w:p w14:paraId="5EB235A8">
            <w:pPr>
              <w:pStyle w:val="6"/>
              <w:spacing w:before="68" w:line="221" w:lineRule="auto"/>
              <w:ind w:left="198"/>
            </w:pPr>
            <w:r>
              <w:rPr>
                <w:b/>
                <w:bCs/>
                <w:spacing w:val="-4"/>
              </w:rPr>
              <w:t>植被类型</w:t>
            </w:r>
          </w:p>
        </w:tc>
        <w:tc>
          <w:tcPr>
            <w:tcW w:w="1927" w:type="dxa"/>
            <w:vAlign w:val="top"/>
          </w:tcPr>
          <w:p w14:paraId="405CD2EB">
            <w:pPr>
              <w:spacing w:line="297" w:lineRule="auto"/>
              <w:rPr>
                <w:rFonts w:ascii="Arial"/>
                <w:sz w:val="21"/>
              </w:rPr>
            </w:pPr>
          </w:p>
          <w:p w14:paraId="74E5A5F6">
            <w:pPr>
              <w:pStyle w:val="6"/>
              <w:spacing w:before="68" w:line="221" w:lineRule="auto"/>
              <w:ind w:left="545"/>
            </w:pPr>
            <w:r>
              <w:rPr>
                <w:b/>
                <w:bCs/>
                <w:spacing w:val="-3"/>
              </w:rPr>
              <w:t>代表种类</w:t>
            </w:r>
          </w:p>
        </w:tc>
        <w:tc>
          <w:tcPr>
            <w:tcW w:w="1324" w:type="dxa"/>
            <w:vAlign w:val="top"/>
          </w:tcPr>
          <w:p w14:paraId="63534ADA">
            <w:pPr>
              <w:pStyle w:val="6"/>
              <w:spacing w:before="212" w:line="285" w:lineRule="auto"/>
              <w:ind w:left="214" w:right="132" w:hanging="76"/>
            </w:pPr>
            <w:r>
              <w:rPr>
                <w:b/>
                <w:bCs/>
                <w:spacing w:val="-3"/>
              </w:rPr>
              <w:t>平均生物量</w:t>
            </w:r>
            <w:r>
              <w:rPr>
                <w:b/>
                <w:bCs/>
                <w:spacing w:val="-2"/>
              </w:rPr>
              <w:t>（</w:t>
            </w:r>
            <w:r>
              <w:rPr>
                <w:rFonts w:ascii="Times New Roman" w:hAnsi="Times New Roman" w:eastAsia="Times New Roman" w:cs="Times New Roman"/>
                <w:b/>
                <w:bCs/>
                <w:spacing w:val="-2"/>
              </w:rPr>
              <w:t>t/hm</w:t>
            </w:r>
            <w:r>
              <w:rPr>
                <w:rFonts w:ascii="Times New Roman" w:hAnsi="Times New Roman" w:eastAsia="Times New Roman" w:cs="Times New Roman"/>
                <w:b/>
                <w:bCs/>
                <w:spacing w:val="-2"/>
                <w:position w:val="1"/>
                <w:sz w:val="13"/>
                <w:szCs w:val="13"/>
              </w:rPr>
              <w:t>2</w:t>
            </w:r>
            <w:r>
              <w:rPr>
                <w:b/>
                <w:bCs/>
                <w:spacing w:val="-2"/>
                <w:position w:val="1"/>
              </w:rPr>
              <w:t>）</w:t>
            </w:r>
          </w:p>
        </w:tc>
        <w:tc>
          <w:tcPr>
            <w:tcW w:w="1182" w:type="dxa"/>
            <w:vAlign w:val="top"/>
          </w:tcPr>
          <w:p w14:paraId="10ED1D9C">
            <w:pPr>
              <w:pStyle w:val="6"/>
              <w:spacing w:before="212" w:line="285" w:lineRule="auto"/>
              <w:ind w:left="213" w:right="209" w:firstLine="174"/>
            </w:pPr>
            <w:r>
              <w:rPr>
                <w:b/>
                <w:bCs/>
                <w:spacing w:val="-6"/>
              </w:rPr>
              <w:t>面积（</w:t>
            </w:r>
            <w:r>
              <w:rPr>
                <w:rFonts w:ascii="Times New Roman" w:hAnsi="Times New Roman" w:eastAsia="Times New Roman" w:cs="Times New Roman"/>
                <w:b/>
                <w:bCs/>
                <w:spacing w:val="-6"/>
              </w:rPr>
              <w:t>hm</w:t>
            </w:r>
            <w:r>
              <w:rPr>
                <w:rFonts w:ascii="Times New Roman" w:hAnsi="Times New Roman" w:eastAsia="Times New Roman" w:cs="Times New Roman"/>
                <w:b/>
                <w:bCs/>
                <w:spacing w:val="-6"/>
                <w:position w:val="1"/>
                <w:sz w:val="13"/>
                <w:szCs w:val="13"/>
              </w:rPr>
              <w:t>2</w:t>
            </w:r>
            <w:r>
              <w:rPr>
                <w:b/>
                <w:bCs/>
                <w:spacing w:val="-6"/>
                <w:position w:val="1"/>
              </w:rPr>
              <w:t>）</w:t>
            </w:r>
          </w:p>
        </w:tc>
        <w:tc>
          <w:tcPr>
            <w:tcW w:w="1197" w:type="dxa"/>
            <w:vAlign w:val="top"/>
          </w:tcPr>
          <w:p w14:paraId="4CCA2907">
            <w:pPr>
              <w:pStyle w:val="6"/>
              <w:spacing w:before="211" w:line="284" w:lineRule="auto"/>
              <w:ind w:left="181" w:right="67" w:hanging="104"/>
            </w:pPr>
            <w:r>
              <w:rPr>
                <w:b/>
                <w:bCs/>
                <w:spacing w:val="-3"/>
              </w:rPr>
              <w:t>面积所占比例（</w:t>
            </w:r>
            <w:r>
              <w:rPr>
                <w:rFonts w:ascii="Times New Roman" w:hAnsi="Times New Roman" w:eastAsia="Times New Roman" w:cs="Times New Roman"/>
                <w:b/>
                <w:bCs/>
                <w:spacing w:val="-3"/>
              </w:rPr>
              <w:t>%</w:t>
            </w:r>
            <w:r>
              <w:rPr>
                <w:b/>
                <w:bCs/>
                <w:spacing w:val="-3"/>
              </w:rPr>
              <w:t>）</w:t>
            </w:r>
          </w:p>
        </w:tc>
        <w:tc>
          <w:tcPr>
            <w:tcW w:w="1173" w:type="dxa"/>
            <w:vAlign w:val="top"/>
          </w:tcPr>
          <w:p w14:paraId="13F6A17A">
            <w:pPr>
              <w:spacing w:line="297" w:lineRule="auto"/>
              <w:rPr>
                <w:rFonts w:ascii="Arial"/>
                <w:sz w:val="21"/>
              </w:rPr>
            </w:pPr>
          </w:p>
          <w:p w14:paraId="6B8F2DB6">
            <w:pPr>
              <w:pStyle w:val="6"/>
              <w:spacing w:before="69" w:line="236" w:lineRule="auto"/>
              <w:ind w:left="34"/>
            </w:pPr>
            <w:r>
              <w:rPr>
                <w:b/>
                <w:bCs/>
                <w:spacing w:val="-3"/>
              </w:rPr>
              <w:t>生物量（</w:t>
            </w:r>
            <w:r>
              <w:rPr>
                <w:rFonts w:ascii="Times New Roman" w:hAnsi="Times New Roman" w:eastAsia="Times New Roman" w:cs="Times New Roman"/>
                <w:b/>
                <w:bCs/>
                <w:spacing w:val="-3"/>
              </w:rPr>
              <w:t>t</w:t>
            </w:r>
            <w:r>
              <w:rPr>
                <w:b/>
                <w:bCs/>
                <w:spacing w:val="-3"/>
              </w:rPr>
              <w:t>）</w:t>
            </w:r>
          </w:p>
        </w:tc>
        <w:tc>
          <w:tcPr>
            <w:tcW w:w="1037" w:type="dxa"/>
            <w:vAlign w:val="top"/>
          </w:tcPr>
          <w:p w14:paraId="054DC780">
            <w:pPr>
              <w:pStyle w:val="6"/>
              <w:spacing w:before="56" w:line="274" w:lineRule="auto"/>
              <w:ind w:left="240" w:right="92" w:hanging="136"/>
            </w:pPr>
            <w:r>
              <w:rPr>
                <w:b/>
                <w:bCs/>
                <w:spacing w:val="-4"/>
              </w:rPr>
              <w:t>生物量所</w:t>
            </w:r>
            <w:r>
              <w:rPr>
                <w:b/>
                <w:bCs/>
                <w:spacing w:val="-11"/>
              </w:rPr>
              <w:t>占比例</w:t>
            </w:r>
          </w:p>
          <w:p w14:paraId="728B550E">
            <w:pPr>
              <w:pStyle w:val="6"/>
              <w:spacing w:line="223" w:lineRule="auto"/>
              <w:ind w:left="214"/>
            </w:pPr>
            <w:r>
              <w:rPr>
                <w:b/>
                <w:bCs/>
                <w:spacing w:val="-6"/>
              </w:rPr>
              <w:t>（</w:t>
            </w:r>
            <w:r>
              <w:rPr>
                <w:rFonts w:ascii="Times New Roman" w:hAnsi="Times New Roman" w:eastAsia="Times New Roman" w:cs="Times New Roman"/>
                <w:b/>
                <w:bCs/>
                <w:spacing w:val="-6"/>
              </w:rPr>
              <w:t>%</w:t>
            </w:r>
            <w:r>
              <w:rPr>
                <w:b/>
                <w:bCs/>
                <w:spacing w:val="-6"/>
              </w:rPr>
              <w:t>）</w:t>
            </w:r>
          </w:p>
        </w:tc>
      </w:tr>
      <w:tr w14:paraId="5D912A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1228" w:type="dxa"/>
            <w:vAlign w:val="top"/>
          </w:tcPr>
          <w:p w14:paraId="77B89325">
            <w:pPr>
              <w:pStyle w:val="6"/>
              <w:spacing w:before="52" w:line="221" w:lineRule="auto"/>
              <w:ind w:left="303"/>
            </w:pPr>
            <w:r>
              <w:rPr>
                <w:spacing w:val="-2"/>
              </w:rPr>
              <w:t>针叶林</w:t>
            </w:r>
          </w:p>
        </w:tc>
        <w:tc>
          <w:tcPr>
            <w:tcW w:w="1927" w:type="dxa"/>
            <w:vAlign w:val="top"/>
          </w:tcPr>
          <w:p w14:paraId="3DD359F7">
            <w:pPr>
              <w:pStyle w:val="6"/>
              <w:spacing w:before="52" w:line="221" w:lineRule="auto"/>
              <w:ind w:left="132"/>
            </w:pPr>
            <w:r>
              <w:rPr>
                <w:spacing w:val="-2"/>
              </w:rPr>
              <w:t>云南松、华山松等</w:t>
            </w:r>
          </w:p>
        </w:tc>
        <w:tc>
          <w:tcPr>
            <w:tcW w:w="1324" w:type="dxa"/>
            <w:vAlign w:val="top"/>
          </w:tcPr>
          <w:p w14:paraId="7D49921A">
            <w:pPr>
              <w:spacing w:before="87" w:line="217" w:lineRule="auto"/>
              <w:ind w:left="42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30.59</w:t>
            </w:r>
          </w:p>
        </w:tc>
        <w:tc>
          <w:tcPr>
            <w:tcW w:w="1182" w:type="dxa"/>
            <w:vAlign w:val="top"/>
          </w:tcPr>
          <w:p w14:paraId="56ADAB59">
            <w:pPr>
              <w:spacing w:before="87" w:line="217" w:lineRule="auto"/>
              <w:ind w:left="324"/>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126.99</w:t>
            </w:r>
          </w:p>
        </w:tc>
        <w:tc>
          <w:tcPr>
            <w:tcW w:w="1197" w:type="dxa"/>
            <w:vAlign w:val="top"/>
          </w:tcPr>
          <w:p w14:paraId="5F79A8AD">
            <w:pPr>
              <w:spacing w:before="87" w:line="217" w:lineRule="auto"/>
              <w:ind w:left="42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5.88</w:t>
            </w:r>
          </w:p>
        </w:tc>
        <w:tc>
          <w:tcPr>
            <w:tcW w:w="1173" w:type="dxa"/>
            <w:vAlign w:val="top"/>
          </w:tcPr>
          <w:p w14:paraId="7D7CDD93">
            <w:pPr>
              <w:spacing w:before="87" w:line="217" w:lineRule="auto"/>
              <w:ind w:left="25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3884.62</w:t>
            </w:r>
          </w:p>
        </w:tc>
        <w:tc>
          <w:tcPr>
            <w:tcW w:w="1037" w:type="dxa"/>
            <w:vAlign w:val="top"/>
          </w:tcPr>
          <w:p w14:paraId="230CE6DE">
            <w:pPr>
              <w:spacing w:before="87" w:line="217" w:lineRule="auto"/>
              <w:ind w:left="30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17.32</w:t>
            </w:r>
          </w:p>
        </w:tc>
      </w:tr>
      <w:tr w14:paraId="1DE9961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9" w:hRule="atLeast"/>
        </w:trPr>
        <w:tc>
          <w:tcPr>
            <w:tcW w:w="1228" w:type="dxa"/>
            <w:vAlign w:val="top"/>
          </w:tcPr>
          <w:p w14:paraId="5EA9E88F">
            <w:pPr>
              <w:spacing w:line="294" w:lineRule="auto"/>
              <w:rPr>
                <w:rFonts w:ascii="Arial"/>
                <w:sz w:val="21"/>
              </w:rPr>
            </w:pPr>
          </w:p>
          <w:p w14:paraId="68F94DB2">
            <w:pPr>
              <w:pStyle w:val="6"/>
              <w:spacing w:before="68" w:line="221" w:lineRule="auto"/>
              <w:ind w:left="305"/>
            </w:pPr>
            <w:r>
              <w:rPr>
                <w:spacing w:val="-2"/>
              </w:rPr>
              <w:t>灌草地</w:t>
            </w:r>
          </w:p>
        </w:tc>
        <w:tc>
          <w:tcPr>
            <w:tcW w:w="1927" w:type="dxa"/>
            <w:vAlign w:val="top"/>
          </w:tcPr>
          <w:p w14:paraId="6337EBDC">
            <w:pPr>
              <w:pStyle w:val="6"/>
              <w:spacing w:before="51" w:line="257" w:lineRule="auto"/>
              <w:ind w:left="23" w:right="15" w:hanging="3"/>
              <w:jc w:val="both"/>
            </w:pPr>
            <w:r>
              <w:rPr>
                <w:spacing w:val="-2"/>
              </w:rPr>
              <w:t>清香木、白刺花、粉</w:t>
            </w:r>
            <w:r>
              <w:rPr>
                <w:spacing w:val="-1"/>
              </w:rPr>
              <w:t>背黄栌、马桑、白健</w:t>
            </w:r>
            <w:r>
              <w:rPr>
                <w:spacing w:val="12"/>
              </w:rPr>
              <w:t>秆、刺芒野古草等</w:t>
            </w:r>
          </w:p>
        </w:tc>
        <w:tc>
          <w:tcPr>
            <w:tcW w:w="1324" w:type="dxa"/>
            <w:vAlign w:val="top"/>
          </w:tcPr>
          <w:p w14:paraId="495FB98F">
            <w:pPr>
              <w:spacing w:line="337" w:lineRule="auto"/>
              <w:rPr>
                <w:rFonts w:ascii="Arial"/>
                <w:sz w:val="21"/>
              </w:rPr>
            </w:pPr>
          </w:p>
          <w:p w14:paraId="6197AF09">
            <w:pPr>
              <w:spacing w:before="61" w:line="233" w:lineRule="auto"/>
              <w:ind w:left="482"/>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9.68</w:t>
            </w:r>
          </w:p>
        </w:tc>
        <w:tc>
          <w:tcPr>
            <w:tcW w:w="1182" w:type="dxa"/>
            <w:vAlign w:val="top"/>
          </w:tcPr>
          <w:p w14:paraId="5D2E7C05">
            <w:pPr>
              <w:spacing w:line="337" w:lineRule="auto"/>
              <w:rPr>
                <w:rFonts w:ascii="Arial"/>
                <w:sz w:val="21"/>
              </w:rPr>
            </w:pPr>
          </w:p>
          <w:p w14:paraId="31EA7011">
            <w:pPr>
              <w:spacing w:before="61" w:line="233" w:lineRule="auto"/>
              <w:ind w:left="274"/>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1723.68</w:t>
            </w:r>
          </w:p>
        </w:tc>
        <w:tc>
          <w:tcPr>
            <w:tcW w:w="1197" w:type="dxa"/>
            <w:vAlign w:val="top"/>
          </w:tcPr>
          <w:p w14:paraId="78EDAB35">
            <w:pPr>
              <w:spacing w:line="337" w:lineRule="auto"/>
              <w:rPr>
                <w:rFonts w:ascii="Arial"/>
                <w:sz w:val="21"/>
              </w:rPr>
            </w:pPr>
          </w:p>
          <w:p w14:paraId="78AFA6AF">
            <w:pPr>
              <w:spacing w:before="61" w:line="233" w:lineRule="auto"/>
              <w:ind w:left="36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79.81</w:t>
            </w:r>
          </w:p>
        </w:tc>
        <w:tc>
          <w:tcPr>
            <w:tcW w:w="1173" w:type="dxa"/>
            <w:vAlign w:val="top"/>
          </w:tcPr>
          <w:p w14:paraId="10A3C51D">
            <w:pPr>
              <w:spacing w:line="337" w:lineRule="auto"/>
              <w:rPr>
                <w:rFonts w:ascii="Arial"/>
                <w:sz w:val="21"/>
              </w:rPr>
            </w:pPr>
          </w:p>
          <w:p w14:paraId="4BEA17BD">
            <w:pPr>
              <w:spacing w:before="61" w:line="233" w:lineRule="auto"/>
              <w:ind w:left="21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16685.22</w:t>
            </w:r>
          </w:p>
        </w:tc>
        <w:tc>
          <w:tcPr>
            <w:tcW w:w="1037" w:type="dxa"/>
            <w:vAlign w:val="top"/>
          </w:tcPr>
          <w:p w14:paraId="1912D2C6">
            <w:pPr>
              <w:spacing w:line="337" w:lineRule="auto"/>
              <w:rPr>
                <w:rFonts w:ascii="Arial"/>
                <w:sz w:val="21"/>
              </w:rPr>
            </w:pPr>
          </w:p>
          <w:p w14:paraId="7FAEA067">
            <w:pPr>
              <w:spacing w:before="61" w:line="233" w:lineRule="auto"/>
              <w:ind w:left="28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74.41</w:t>
            </w:r>
          </w:p>
        </w:tc>
      </w:tr>
      <w:tr w14:paraId="7470F0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228" w:type="dxa"/>
            <w:vAlign w:val="top"/>
          </w:tcPr>
          <w:p w14:paraId="3AD6845D">
            <w:pPr>
              <w:pStyle w:val="6"/>
              <w:spacing w:before="210" w:line="221" w:lineRule="auto"/>
              <w:ind w:left="200"/>
            </w:pPr>
            <w:r>
              <w:rPr>
                <w:spacing w:val="-2"/>
              </w:rPr>
              <w:t>农业植被</w:t>
            </w:r>
          </w:p>
        </w:tc>
        <w:tc>
          <w:tcPr>
            <w:tcW w:w="1927" w:type="dxa"/>
            <w:vAlign w:val="top"/>
          </w:tcPr>
          <w:p w14:paraId="4E6CECE6">
            <w:pPr>
              <w:pStyle w:val="6"/>
              <w:spacing w:before="54" w:line="221" w:lineRule="auto"/>
              <w:ind w:left="21"/>
            </w:pPr>
            <w:r>
              <w:rPr>
                <w:spacing w:val="-1"/>
              </w:rPr>
              <w:t>玉米、马铃薯、蔬菜</w:t>
            </w:r>
          </w:p>
          <w:p w14:paraId="17D87228">
            <w:pPr>
              <w:pStyle w:val="6"/>
              <w:spacing w:before="62" w:line="220" w:lineRule="auto"/>
              <w:ind w:left="863"/>
            </w:pPr>
            <w:r>
              <w:t>等</w:t>
            </w:r>
          </w:p>
        </w:tc>
        <w:tc>
          <w:tcPr>
            <w:tcW w:w="1324" w:type="dxa"/>
            <w:vAlign w:val="top"/>
          </w:tcPr>
          <w:p w14:paraId="2A09FA0D">
            <w:pPr>
              <w:spacing w:before="245" w:line="234" w:lineRule="auto"/>
              <w:ind w:left="612"/>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182" w:type="dxa"/>
            <w:vAlign w:val="top"/>
          </w:tcPr>
          <w:p w14:paraId="4FC1ADDE">
            <w:pPr>
              <w:spacing w:before="245" w:line="233" w:lineRule="auto"/>
              <w:ind w:left="30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309.06</w:t>
            </w:r>
          </w:p>
        </w:tc>
        <w:tc>
          <w:tcPr>
            <w:tcW w:w="1197" w:type="dxa"/>
            <w:vAlign w:val="top"/>
          </w:tcPr>
          <w:p w14:paraId="3AB43145">
            <w:pPr>
              <w:spacing w:before="245" w:line="233" w:lineRule="auto"/>
              <w:ind w:left="383"/>
              <w:rPr>
                <w:rFonts w:ascii="Times New Roman" w:hAnsi="Times New Roman" w:eastAsia="Times New Roman" w:cs="Times New Roman"/>
                <w:sz w:val="21"/>
                <w:szCs w:val="21"/>
              </w:rPr>
            </w:pPr>
            <w:r>
              <w:rPr>
                <w:rFonts w:ascii="Times New Roman" w:hAnsi="Times New Roman" w:eastAsia="Times New Roman" w:cs="Times New Roman"/>
                <w:spacing w:val="-5"/>
                <w:sz w:val="21"/>
                <w:szCs w:val="21"/>
              </w:rPr>
              <w:t>14.31</w:t>
            </w:r>
          </w:p>
        </w:tc>
        <w:tc>
          <w:tcPr>
            <w:tcW w:w="1173" w:type="dxa"/>
            <w:vAlign w:val="top"/>
          </w:tcPr>
          <w:p w14:paraId="2A4F09BB">
            <w:pPr>
              <w:spacing w:before="245" w:line="233" w:lineRule="auto"/>
              <w:ind w:left="269"/>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1854.36</w:t>
            </w:r>
          </w:p>
        </w:tc>
        <w:tc>
          <w:tcPr>
            <w:tcW w:w="1037" w:type="dxa"/>
            <w:vAlign w:val="top"/>
          </w:tcPr>
          <w:p w14:paraId="09C017F0">
            <w:pPr>
              <w:spacing w:before="245" w:line="233" w:lineRule="auto"/>
              <w:ind w:left="34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8.27</w:t>
            </w:r>
          </w:p>
        </w:tc>
      </w:tr>
      <w:tr w14:paraId="06DD4B6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1228" w:type="dxa"/>
            <w:vAlign w:val="top"/>
          </w:tcPr>
          <w:p w14:paraId="320EC961">
            <w:pPr>
              <w:pStyle w:val="6"/>
              <w:spacing w:before="58" w:line="222" w:lineRule="auto"/>
              <w:ind w:left="409"/>
            </w:pPr>
            <w:r>
              <w:rPr>
                <w:spacing w:val="-2"/>
              </w:rPr>
              <w:t>合计</w:t>
            </w:r>
          </w:p>
        </w:tc>
        <w:tc>
          <w:tcPr>
            <w:tcW w:w="1927" w:type="dxa"/>
            <w:vAlign w:val="top"/>
          </w:tcPr>
          <w:p w14:paraId="65157F27">
            <w:pPr>
              <w:rPr>
                <w:rFonts w:ascii="Arial"/>
                <w:sz w:val="21"/>
              </w:rPr>
            </w:pPr>
          </w:p>
        </w:tc>
        <w:tc>
          <w:tcPr>
            <w:tcW w:w="1324" w:type="dxa"/>
            <w:vAlign w:val="top"/>
          </w:tcPr>
          <w:p w14:paraId="5CFE300B">
            <w:pPr>
              <w:spacing w:before="93" w:line="218" w:lineRule="auto"/>
              <w:ind w:left="627"/>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182" w:type="dxa"/>
            <w:vAlign w:val="top"/>
          </w:tcPr>
          <w:p w14:paraId="4FEC81B4">
            <w:pPr>
              <w:spacing w:before="93" w:line="218" w:lineRule="auto"/>
              <w:ind w:left="25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2159.73</w:t>
            </w:r>
          </w:p>
        </w:tc>
        <w:tc>
          <w:tcPr>
            <w:tcW w:w="1197" w:type="dxa"/>
            <w:vAlign w:val="top"/>
          </w:tcPr>
          <w:p w14:paraId="3EC7F401">
            <w:pPr>
              <w:spacing w:before="93" w:line="218" w:lineRule="auto"/>
              <w:ind w:left="462"/>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100</w:t>
            </w:r>
          </w:p>
        </w:tc>
        <w:tc>
          <w:tcPr>
            <w:tcW w:w="1173" w:type="dxa"/>
            <w:vAlign w:val="top"/>
          </w:tcPr>
          <w:p w14:paraId="0ECB9927">
            <w:pPr>
              <w:spacing w:before="93" w:line="218" w:lineRule="auto"/>
              <w:ind w:left="19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22424.21</w:t>
            </w:r>
          </w:p>
        </w:tc>
        <w:tc>
          <w:tcPr>
            <w:tcW w:w="1037" w:type="dxa"/>
            <w:vAlign w:val="top"/>
          </w:tcPr>
          <w:p w14:paraId="42CCD63A">
            <w:pPr>
              <w:spacing w:before="93" w:line="218" w:lineRule="auto"/>
              <w:ind w:left="251"/>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100.00</w:t>
            </w:r>
          </w:p>
        </w:tc>
      </w:tr>
    </w:tbl>
    <w:p w14:paraId="012D7228">
      <w:pPr>
        <w:spacing w:before="116" w:line="232" w:lineRule="auto"/>
        <w:ind w:left="498"/>
        <w:rPr>
          <w:rFonts w:ascii="宋体" w:hAnsi="宋体" w:eastAsia="宋体" w:cs="宋体"/>
          <w:sz w:val="24"/>
          <w:szCs w:val="24"/>
        </w:rPr>
      </w:pPr>
      <w:r>
        <w:rPr>
          <w:rFonts w:ascii="宋体" w:hAnsi="宋体" w:eastAsia="宋体" w:cs="宋体"/>
          <w:b/>
          <w:bCs/>
          <w:spacing w:val="-3"/>
          <w:sz w:val="24"/>
          <w:szCs w:val="24"/>
        </w:rPr>
        <w:t>（</w:t>
      </w:r>
      <w:r>
        <w:rPr>
          <w:rFonts w:ascii="Times New Roman" w:hAnsi="Times New Roman" w:eastAsia="Times New Roman" w:cs="Times New Roman"/>
          <w:b/>
          <w:bCs/>
          <w:spacing w:val="-3"/>
          <w:sz w:val="24"/>
          <w:szCs w:val="24"/>
        </w:rPr>
        <w:t>6</w:t>
      </w:r>
      <w:r>
        <w:rPr>
          <w:rFonts w:ascii="宋体" w:hAnsi="宋体" w:eastAsia="宋体" w:cs="宋体"/>
          <w:b/>
          <w:bCs/>
          <w:spacing w:val="-3"/>
          <w:sz w:val="24"/>
          <w:szCs w:val="24"/>
        </w:rPr>
        <w:t>）评价区域生物多样性现状</w:t>
      </w:r>
    </w:p>
    <w:p w14:paraId="6B17A1E3">
      <w:pPr>
        <w:spacing w:before="167" w:line="233" w:lineRule="auto"/>
        <w:ind w:left="508"/>
        <w:rPr>
          <w:rFonts w:ascii="宋体" w:hAnsi="宋体" w:eastAsia="宋体" w:cs="宋体"/>
          <w:sz w:val="24"/>
          <w:szCs w:val="24"/>
        </w:rPr>
      </w:pPr>
      <w:r>
        <w:rPr>
          <w:rFonts w:ascii="Times New Roman" w:hAnsi="Times New Roman" w:eastAsia="Times New Roman" w:cs="Times New Roman"/>
          <w:spacing w:val="-6"/>
          <w:sz w:val="24"/>
          <w:szCs w:val="24"/>
        </w:rPr>
        <w:t>1</w:t>
      </w:r>
      <w:r>
        <w:rPr>
          <w:rFonts w:ascii="宋体" w:hAnsi="宋体" w:eastAsia="宋体" w:cs="宋体"/>
          <w:spacing w:val="-6"/>
          <w:sz w:val="24"/>
          <w:szCs w:val="24"/>
        </w:rPr>
        <w:t>）植被多样性</w:t>
      </w:r>
    </w:p>
    <w:p w14:paraId="7DE3D638">
      <w:pPr>
        <w:spacing w:before="163" w:line="352" w:lineRule="auto"/>
        <w:ind w:left="15" w:right="84" w:firstLine="474"/>
        <w:rPr>
          <w:rFonts w:ascii="宋体" w:hAnsi="宋体" w:eastAsia="宋体" w:cs="宋体"/>
          <w:sz w:val="24"/>
          <w:szCs w:val="24"/>
        </w:rPr>
      </w:pPr>
      <w:r>
        <w:rPr>
          <w:rFonts w:ascii="宋体" w:hAnsi="宋体" w:eastAsia="宋体" w:cs="宋体"/>
          <w:spacing w:val="-1"/>
          <w:sz w:val="24"/>
          <w:szCs w:val="24"/>
        </w:rPr>
        <w:t>本项目评价区自然植被类型包括</w:t>
      </w:r>
      <w:r>
        <w:rPr>
          <w:rFonts w:ascii="宋体" w:hAnsi="宋体" w:eastAsia="宋体" w:cs="宋体"/>
          <w:spacing w:val="-32"/>
          <w:sz w:val="24"/>
          <w:szCs w:val="24"/>
        </w:rPr>
        <w:t xml:space="preserve"> </w:t>
      </w:r>
      <w:r>
        <w:rPr>
          <w:rFonts w:ascii="Times New Roman" w:hAnsi="Times New Roman" w:eastAsia="Times New Roman" w:cs="Times New Roman"/>
          <w:spacing w:val="-1"/>
          <w:sz w:val="24"/>
          <w:szCs w:val="24"/>
        </w:rPr>
        <w:t>3</w:t>
      </w:r>
      <w:r>
        <w:rPr>
          <w:rFonts w:ascii="Times New Roman" w:hAnsi="Times New Roman" w:eastAsia="Times New Roman" w:cs="Times New Roman"/>
          <w:spacing w:val="26"/>
          <w:w w:val="101"/>
          <w:sz w:val="24"/>
          <w:szCs w:val="24"/>
        </w:rPr>
        <w:t xml:space="preserve"> </w:t>
      </w:r>
      <w:r>
        <w:rPr>
          <w:rFonts w:ascii="宋体" w:hAnsi="宋体" w:eastAsia="宋体" w:cs="宋体"/>
          <w:spacing w:val="-1"/>
          <w:sz w:val="24"/>
          <w:szCs w:val="24"/>
        </w:rPr>
        <w:t>个植被型，</w:t>
      </w:r>
      <w:r>
        <w:rPr>
          <w:rFonts w:ascii="Times New Roman" w:hAnsi="Times New Roman" w:eastAsia="Times New Roman" w:cs="Times New Roman"/>
          <w:spacing w:val="-1"/>
          <w:sz w:val="24"/>
          <w:szCs w:val="24"/>
        </w:rPr>
        <w:t>3</w:t>
      </w:r>
      <w:r>
        <w:rPr>
          <w:rFonts w:ascii="Times New Roman" w:hAnsi="Times New Roman" w:eastAsia="Times New Roman" w:cs="Times New Roman"/>
          <w:spacing w:val="26"/>
          <w:sz w:val="24"/>
          <w:szCs w:val="24"/>
        </w:rPr>
        <w:t xml:space="preserve"> </w:t>
      </w:r>
      <w:r>
        <w:rPr>
          <w:rFonts w:ascii="宋体" w:hAnsi="宋体" w:eastAsia="宋体" w:cs="宋体"/>
          <w:spacing w:val="-1"/>
          <w:sz w:val="24"/>
          <w:szCs w:val="24"/>
        </w:rPr>
        <w:t>个植被亚型，</w:t>
      </w:r>
      <w:r>
        <w:rPr>
          <w:rFonts w:ascii="Times New Roman" w:hAnsi="Times New Roman" w:eastAsia="Times New Roman" w:cs="Times New Roman"/>
          <w:spacing w:val="-2"/>
          <w:sz w:val="24"/>
          <w:szCs w:val="24"/>
        </w:rPr>
        <w:t>8</w:t>
      </w:r>
      <w:r>
        <w:rPr>
          <w:rFonts w:ascii="Times New Roman" w:hAnsi="Times New Roman" w:eastAsia="Times New Roman" w:cs="Times New Roman"/>
          <w:spacing w:val="26"/>
          <w:sz w:val="24"/>
          <w:szCs w:val="24"/>
        </w:rPr>
        <w:t xml:space="preserve"> </w:t>
      </w:r>
      <w:r>
        <w:rPr>
          <w:rFonts w:ascii="宋体" w:hAnsi="宋体" w:eastAsia="宋体" w:cs="宋体"/>
          <w:spacing w:val="-2"/>
          <w:sz w:val="24"/>
          <w:szCs w:val="24"/>
        </w:rPr>
        <w:t>个群系。群系包括云南松群落、华山松群落、粉背黄栌灌丛、白刺花灌丛、马桑灌丛、清香木灌丛、云南</w:t>
      </w:r>
    </w:p>
    <w:p w14:paraId="566EEDC7">
      <w:pPr>
        <w:spacing w:line="352" w:lineRule="auto"/>
        <w:rPr>
          <w:rFonts w:ascii="宋体" w:hAnsi="宋体" w:eastAsia="宋体" w:cs="宋体"/>
          <w:sz w:val="24"/>
          <w:szCs w:val="24"/>
        </w:rPr>
        <w:sectPr>
          <w:footerReference r:id="rId174" w:type="default"/>
          <w:pgSz w:w="11907" w:h="16841"/>
          <w:pgMar w:top="400" w:right="1329" w:bottom="1126" w:left="1418" w:header="0" w:footer="925" w:gutter="0"/>
          <w:cols w:space="720" w:num="1"/>
        </w:sectPr>
      </w:pPr>
    </w:p>
    <w:p w14:paraId="78982808">
      <w:pPr>
        <w:spacing w:line="249" w:lineRule="auto"/>
        <w:rPr>
          <w:rFonts w:ascii="Arial"/>
          <w:sz w:val="21"/>
        </w:rPr>
      </w:pPr>
    </w:p>
    <w:p w14:paraId="687BD32B">
      <w:pPr>
        <w:spacing w:line="249" w:lineRule="auto"/>
        <w:rPr>
          <w:rFonts w:ascii="Arial"/>
          <w:sz w:val="21"/>
        </w:rPr>
      </w:pPr>
    </w:p>
    <w:p w14:paraId="51378866">
      <w:pPr>
        <w:spacing w:line="249" w:lineRule="auto"/>
        <w:rPr>
          <w:rFonts w:ascii="Arial"/>
          <w:sz w:val="21"/>
        </w:rPr>
      </w:pPr>
    </w:p>
    <w:p w14:paraId="0D941A30">
      <w:pPr>
        <w:spacing w:line="249" w:lineRule="auto"/>
        <w:rPr>
          <w:rFonts w:ascii="Arial"/>
          <w:sz w:val="21"/>
        </w:rPr>
      </w:pPr>
    </w:p>
    <w:p w14:paraId="3E3D5614">
      <w:pPr>
        <w:spacing w:line="249" w:lineRule="auto"/>
        <w:rPr>
          <w:rFonts w:ascii="Arial"/>
          <w:sz w:val="21"/>
        </w:rPr>
      </w:pPr>
    </w:p>
    <w:p w14:paraId="37F1A167">
      <w:pPr>
        <w:spacing w:before="78" w:line="360" w:lineRule="auto"/>
        <w:ind w:right="138"/>
        <w:rPr>
          <w:rFonts w:ascii="宋体" w:hAnsi="宋体" w:eastAsia="宋体" w:cs="宋体"/>
          <w:sz w:val="24"/>
          <w:szCs w:val="24"/>
        </w:rPr>
      </w:pPr>
      <w:r>
        <w:rPr>
          <w:rFonts w:ascii="宋体" w:hAnsi="宋体" w:eastAsia="宋体" w:cs="宋体"/>
          <w:spacing w:val="-7"/>
          <w:sz w:val="24"/>
          <w:szCs w:val="24"/>
        </w:rPr>
        <w:t>松</w:t>
      </w:r>
      <w:r>
        <w:rPr>
          <w:rFonts w:ascii="Times New Roman" w:hAnsi="Times New Roman" w:eastAsia="Times New Roman" w:cs="Times New Roman"/>
          <w:spacing w:val="-7"/>
          <w:sz w:val="24"/>
          <w:szCs w:val="24"/>
        </w:rPr>
        <w:t>-</w:t>
      </w:r>
      <w:r>
        <w:rPr>
          <w:rFonts w:ascii="宋体" w:hAnsi="宋体" w:eastAsia="宋体" w:cs="宋体"/>
          <w:spacing w:val="-7"/>
          <w:sz w:val="24"/>
          <w:szCs w:val="24"/>
        </w:rPr>
        <w:t>白健秆稀树灌草丛、云南松</w:t>
      </w:r>
      <w:r>
        <w:rPr>
          <w:rFonts w:ascii="Times New Roman" w:hAnsi="Times New Roman" w:eastAsia="Times New Roman" w:cs="Times New Roman"/>
          <w:spacing w:val="-7"/>
          <w:sz w:val="24"/>
          <w:szCs w:val="24"/>
        </w:rPr>
        <w:t>-</w:t>
      </w:r>
      <w:r>
        <w:rPr>
          <w:rFonts w:ascii="宋体" w:hAnsi="宋体" w:eastAsia="宋体" w:cs="宋体"/>
          <w:spacing w:val="-7"/>
          <w:sz w:val="24"/>
          <w:szCs w:val="24"/>
        </w:rPr>
        <w:t>刺芒野古草稀树灌草丛；评价区的人工植被主要是耕地，</w:t>
      </w:r>
      <w:r>
        <w:rPr>
          <w:rFonts w:ascii="宋体" w:hAnsi="宋体" w:eastAsia="宋体" w:cs="宋体"/>
          <w:spacing w:val="-3"/>
          <w:sz w:val="24"/>
          <w:szCs w:val="24"/>
        </w:rPr>
        <w:t>包括水田和旱地</w:t>
      </w:r>
      <w:r>
        <w:rPr>
          <w:rFonts w:ascii="宋体" w:hAnsi="宋体" w:eastAsia="宋体" w:cs="宋体"/>
          <w:spacing w:val="-55"/>
          <w:sz w:val="24"/>
          <w:szCs w:val="24"/>
        </w:rPr>
        <w:t xml:space="preserve"> </w:t>
      </w:r>
      <w:r>
        <w:rPr>
          <w:rFonts w:ascii="Times New Roman" w:hAnsi="Times New Roman" w:eastAsia="Times New Roman" w:cs="Times New Roman"/>
          <w:spacing w:val="-3"/>
          <w:sz w:val="24"/>
          <w:szCs w:val="24"/>
        </w:rPr>
        <w:t xml:space="preserve">2 </w:t>
      </w:r>
      <w:r>
        <w:rPr>
          <w:rFonts w:ascii="宋体" w:hAnsi="宋体" w:eastAsia="宋体" w:cs="宋体"/>
          <w:spacing w:val="-3"/>
          <w:sz w:val="24"/>
          <w:szCs w:val="24"/>
        </w:rPr>
        <w:t>种类型。</w:t>
      </w:r>
    </w:p>
    <w:p w14:paraId="5F9B3748">
      <w:pPr>
        <w:spacing w:line="218" w:lineRule="auto"/>
        <w:ind w:left="480"/>
        <w:rPr>
          <w:rFonts w:ascii="宋体" w:hAnsi="宋体" w:eastAsia="宋体" w:cs="宋体"/>
          <w:sz w:val="24"/>
          <w:szCs w:val="24"/>
        </w:rPr>
      </w:pPr>
      <w:r>
        <w:rPr>
          <w:rFonts w:ascii="宋体" w:hAnsi="宋体" w:eastAsia="宋体" w:cs="宋体"/>
          <w:spacing w:val="-1"/>
          <w:sz w:val="24"/>
          <w:szCs w:val="24"/>
        </w:rPr>
        <w:t>评价区人为活动频繁，农业发达，植被多样性相对单一，总体</w:t>
      </w:r>
      <w:r>
        <w:rPr>
          <w:rFonts w:ascii="宋体" w:hAnsi="宋体" w:eastAsia="宋体" w:cs="宋体"/>
          <w:spacing w:val="-2"/>
          <w:sz w:val="24"/>
          <w:szCs w:val="24"/>
        </w:rPr>
        <w:t>多样性不丰富。</w:t>
      </w:r>
    </w:p>
    <w:p w14:paraId="265D959D">
      <w:pPr>
        <w:spacing w:before="184" w:line="233" w:lineRule="auto"/>
        <w:ind w:left="476"/>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）植物多样性</w:t>
      </w:r>
    </w:p>
    <w:p w14:paraId="309DCC9E">
      <w:pPr>
        <w:spacing w:before="164" w:line="354" w:lineRule="auto"/>
        <w:ind w:right="81" w:firstLine="481"/>
        <w:rPr>
          <w:rFonts w:ascii="宋体" w:hAnsi="宋体" w:eastAsia="宋体" w:cs="宋体"/>
          <w:sz w:val="24"/>
          <w:szCs w:val="24"/>
        </w:rPr>
      </w:pPr>
      <w:r>
        <w:rPr>
          <w:rFonts w:ascii="宋体" w:hAnsi="宋体" w:eastAsia="宋体" w:cs="宋体"/>
          <w:spacing w:val="-4"/>
          <w:sz w:val="24"/>
          <w:szCs w:val="24"/>
        </w:rPr>
        <w:t>调查表明，评价区分布野生维管植物</w:t>
      </w:r>
      <w:r>
        <w:rPr>
          <w:rFonts w:ascii="宋体" w:hAnsi="宋体" w:eastAsia="宋体" w:cs="宋体"/>
          <w:spacing w:val="-40"/>
          <w:sz w:val="24"/>
          <w:szCs w:val="24"/>
        </w:rPr>
        <w:t xml:space="preserve"> </w:t>
      </w:r>
      <w:r>
        <w:rPr>
          <w:rFonts w:ascii="Times New Roman" w:hAnsi="Times New Roman" w:eastAsia="Times New Roman" w:cs="Times New Roman"/>
          <w:spacing w:val="-4"/>
          <w:sz w:val="24"/>
          <w:szCs w:val="24"/>
        </w:rPr>
        <w:t>71</w:t>
      </w:r>
      <w:r>
        <w:rPr>
          <w:rFonts w:ascii="Times New Roman" w:hAnsi="Times New Roman" w:eastAsia="Times New Roman" w:cs="Times New Roman"/>
          <w:spacing w:val="16"/>
          <w:w w:val="101"/>
          <w:sz w:val="24"/>
          <w:szCs w:val="24"/>
        </w:rPr>
        <w:t xml:space="preserve"> </w:t>
      </w:r>
      <w:r>
        <w:rPr>
          <w:rFonts w:ascii="宋体" w:hAnsi="宋体" w:eastAsia="宋体" w:cs="宋体"/>
          <w:spacing w:val="-4"/>
          <w:sz w:val="24"/>
          <w:szCs w:val="24"/>
        </w:rPr>
        <w:t>科</w:t>
      </w:r>
      <w:r>
        <w:rPr>
          <w:rFonts w:ascii="宋体" w:hAnsi="宋体" w:eastAsia="宋体" w:cs="宋体"/>
          <w:spacing w:val="-25"/>
          <w:sz w:val="24"/>
          <w:szCs w:val="24"/>
        </w:rPr>
        <w:t xml:space="preserve"> </w:t>
      </w:r>
      <w:r>
        <w:rPr>
          <w:rFonts w:ascii="Times New Roman" w:hAnsi="Times New Roman" w:eastAsia="Times New Roman" w:cs="Times New Roman"/>
          <w:spacing w:val="-4"/>
          <w:sz w:val="24"/>
          <w:szCs w:val="24"/>
        </w:rPr>
        <w:t>147</w:t>
      </w:r>
      <w:r>
        <w:rPr>
          <w:rFonts w:ascii="Times New Roman" w:hAnsi="Times New Roman" w:eastAsia="Times New Roman" w:cs="Times New Roman"/>
          <w:spacing w:val="19"/>
          <w:sz w:val="24"/>
          <w:szCs w:val="24"/>
        </w:rPr>
        <w:t xml:space="preserve"> </w:t>
      </w:r>
      <w:r>
        <w:rPr>
          <w:rFonts w:ascii="宋体" w:hAnsi="宋体" w:eastAsia="宋体" w:cs="宋体"/>
          <w:spacing w:val="-4"/>
          <w:sz w:val="24"/>
          <w:szCs w:val="24"/>
        </w:rPr>
        <w:t>属</w:t>
      </w:r>
      <w:r>
        <w:rPr>
          <w:rFonts w:ascii="宋体" w:hAnsi="宋体" w:eastAsia="宋体" w:cs="宋体"/>
          <w:spacing w:val="-25"/>
          <w:sz w:val="24"/>
          <w:szCs w:val="24"/>
        </w:rPr>
        <w:t xml:space="preserve"> </w:t>
      </w:r>
      <w:r>
        <w:rPr>
          <w:rFonts w:ascii="Times New Roman" w:hAnsi="Times New Roman" w:eastAsia="Times New Roman" w:cs="Times New Roman"/>
          <w:spacing w:val="-4"/>
          <w:sz w:val="24"/>
          <w:szCs w:val="24"/>
        </w:rPr>
        <w:t>177</w:t>
      </w:r>
      <w:r>
        <w:rPr>
          <w:rFonts w:ascii="Times New Roman" w:hAnsi="Times New Roman" w:eastAsia="Times New Roman" w:cs="Times New Roman"/>
          <w:spacing w:val="16"/>
          <w:w w:val="101"/>
          <w:sz w:val="24"/>
          <w:szCs w:val="24"/>
        </w:rPr>
        <w:t xml:space="preserve"> </w:t>
      </w:r>
      <w:r>
        <w:rPr>
          <w:rFonts w:ascii="宋体" w:hAnsi="宋体" w:eastAsia="宋体" w:cs="宋体"/>
          <w:spacing w:val="-4"/>
          <w:sz w:val="24"/>
          <w:szCs w:val="24"/>
        </w:rPr>
        <w:t>种。其中蕨类植物</w:t>
      </w:r>
      <w:r>
        <w:rPr>
          <w:rFonts w:ascii="宋体" w:hAnsi="宋体" w:eastAsia="宋体" w:cs="宋体"/>
          <w:spacing w:val="-42"/>
          <w:sz w:val="24"/>
          <w:szCs w:val="24"/>
        </w:rPr>
        <w:t xml:space="preserve"> </w:t>
      </w:r>
      <w:r>
        <w:rPr>
          <w:rFonts w:ascii="Times New Roman" w:hAnsi="Times New Roman" w:eastAsia="Times New Roman" w:cs="Times New Roman"/>
          <w:spacing w:val="-4"/>
          <w:sz w:val="24"/>
          <w:szCs w:val="24"/>
        </w:rPr>
        <w:t>6</w:t>
      </w:r>
      <w:r>
        <w:rPr>
          <w:rFonts w:ascii="Times New Roman" w:hAnsi="Times New Roman" w:eastAsia="Times New Roman" w:cs="Times New Roman"/>
          <w:spacing w:val="17"/>
          <w:sz w:val="24"/>
          <w:szCs w:val="24"/>
        </w:rPr>
        <w:t xml:space="preserve"> </w:t>
      </w:r>
      <w:r>
        <w:rPr>
          <w:rFonts w:ascii="宋体" w:hAnsi="宋体" w:eastAsia="宋体" w:cs="宋体"/>
          <w:spacing w:val="-4"/>
          <w:sz w:val="24"/>
          <w:szCs w:val="24"/>
        </w:rPr>
        <w:t>科</w:t>
      </w:r>
      <w:r>
        <w:rPr>
          <w:rFonts w:ascii="宋体" w:hAnsi="宋体" w:eastAsia="宋体" w:cs="宋体"/>
          <w:spacing w:val="-43"/>
          <w:sz w:val="24"/>
          <w:szCs w:val="24"/>
        </w:rPr>
        <w:t xml:space="preserve"> </w:t>
      </w:r>
      <w:r>
        <w:rPr>
          <w:rFonts w:ascii="Times New Roman" w:hAnsi="Times New Roman" w:eastAsia="Times New Roman" w:cs="Times New Roman"/>
          <w:spacing w:val="-4"/>
          <w:sz w:val="24"/>
          <w:szCs w:val="24"/>
        </w:rPr>
        <w:t>6</w:t>
      </w:r>
      <w:r>
        <w:rPr>
          <w:rFonts w:ascii="Times New Roman" w:hAnsi="Times New Roman" w:eastAsia="Times New Roman" w:cs="Times New Roman"/>
          <w:spacing w:val="19"/>
          <w:sz w:val="24"/>
          <w:szCs w:val="24"/>
        </w:rPr>
        <w:t xml:space="preserve"> </w:t>
      </w:r>
      <w:r>
        <w:rPr>
          <w:rFonts w:ascii="宋体" w:hAnsi="宋体" w:eastAsia="宋体" w:cs="宋体"/>
          <w:spacing w:val="-4"/>
          <w:sz w:val="24"/>
          <w:szCs w:val="24"/>
        </w:rPr>
        <w:t>属</w:t>
      </w:r>
      <w:r>
        <w:rPr>
          <w:rFonts w:ascii="Times New Roman" w:hAnsi="Times New Roman" w:eastAsia="Times New Roman" w:cs="Times New Roman"/>
          <w:spacing w:val="-6"/>
          <w:sz w:val="24"/>
          <w:szCs w:val="24"/>
        </w:rPr>
        <w:t xml:space="preserve">6 </w:t>
      </w:r>
      <w:r>
        <w:rPr>
          <w:rFonts w:ascii="宋体" w:hAnsi="宋体" w:eastAsia="宋体" w:cs="宋体"/>
          <w:spacing w:val="-6"/>
          <w:sz w:val="24"/>
          <w:szCs w:val="24"/>
        </w:rPr>
        <w:t>种，裸子植物</w:t>
      </w:r>
      <w:r>
        <w:rPr>
          <w:rFonts w:ascii="宋体" w:hAnsi="宋体" w:eastAsia="宋体" w:cs="宋体"/>
          <w:spacing w:val="-50"/>
          <w:sz w:val="24"/>
          <w:szCs w:val="24"/>
        </w:rPr>
        <w:t xml:space="preserve"> </w:t>
      </w:r>
      <w:r>
        <w:rPr>
          <w:rFonts w:ascii="Times New Roman" w:hAnsi="Times New Roman" w:eastAsia="Times New Roman" w:cs="Times New Roman"/>
          <w:spacing w:val="-6"/>
          <w:sz w:val="24"/>
          <w:szCs w:val="24"/>
        </w:rPr>
        <w:t xml:space="preserve">3 </w:t>
      </w:r>
      <w:r>
        <w:rPr>
          <w:rFonts w:ascii="宋体" w:hAnsi="宋体" w:eastAsia="宋体" w:cs="宋体"/>
          <w:spacing w:val="-6"/>
          <w:sz w:val="24"/>
          <w:szCs w:val="24"/>
        </w:rPr>
        <w:t>科</w:t>
      </w:r>
      <w:r>
        <w:rPr>
          <w:rFonts w:ascii="宋体" w:hAnsi="宋体" w:eastAsia="宋体" w:cs="宋体"/>
          <w:spacing w:val="-56"/>
          <w:sz w:val="24"/>
          <w:szCs w:val="24"/>
        </w:rPr>
        <w:t xml:space="preserve"> </w:t>
      </w:r>
      <w:r>
        <w:rPr>
          <w:rFonts w:ascii="Times New Roman" w:hAnsi="Times New Roman" w:eastAsia="Times New Roman" w:cs="Times New Roman"/>
          <w:spacing w:val="-6"/>
          <w:sz w:val="24"/>
          <w:szCs w:val="24"/>
        </w:rPr>
        <w:t xml:space="preserve">4 </w:t>
      </w:r>
      <w:r>
        <w:rPr>
          <w:rFonts w:ascii="宋体" w:hAnsi="宋体" w:eastAsia="宋体" w:cs="宋体"/>
          <w:spacing w:val="-6"/>
          <w:sz w:val="24"/>
          <w:szCs w:val="24"/>
        </w:rPr>
        <w:t>属</w:t>
      </w:r>
      <w:r>
        <w:rPr>
          <w:rFonts w:ascii="Times New Roman" w:hAnsi="Times New Roman" w:eastAsia="Times New Roman" w:cs="Times New Roman"/>
          <w:spacing w:val="-6"/>
          <w:sz w:val="24"/>
          <w:szCs w:val="24"/>
        </w:rPr>
        <w:t xml:space="preserve">5 </w:t>
      </w:r>
      <w:r>
        <w:rPr>
          <w:rFonts w:ascii="宋体" w:hAnsi="宋体" w:eastAsia="宋体" w:cs="宋体"/>
          <w:spacing w:val="-6"/>
          <w:sz w:val="24"/>
          <w:szCs w:val="24"/>
        </w:rPr>
        <w:t>种，被子植物</w:t>
      </w:r>
      <w:r>
        <w:rPr>
          <w:rFonts w:ascii="宋体" w:hAnsi="宋体" w:eastAsia="宋体" w:cs="宋体"/>
          <w:spacing w:val="-50"/>
          <w:sz w:val="24"/>
          <w:szCs w:val="24"/>
        </w:rPr>
        <w:t xml:space="preserve"> </w:t>
      </w:r>
      <w:r>
        <w:rPr>
          <w:rFonts w:ascii="Times New Roman" w:hAnsi="Times New Roman" w:eastAsia="Times New Roman" w:cs="Times New Roman"/>
          <w:spacing w:val="-6"/>
          <w:sz w:val="24"/>
          <w:szCs w:val="24"/>
        </w:rPr>
        <w:t>62</w:t>
      </w:r>
      <w:r>
        <w:rPr>
          <w:rFonts w:ascii="Times New Roman" w:hAnsi="Times New Roman" w:eastAsia="Times New Roman" w:cs="Times New Roman"/>
          <w:spacing w:val="10"/>
          <w:sz w:val="24"/>
          <w:szCs w:val="24"/>
        </w:rPr>
        <w:t xml:space="preserve"> </w:t>
      </w:r>
      <w:r>
        <w:rPr>
          <w:rFonts w:ascii="宋体" w:hAnsi="宋体" w:eastAsia="宋体" w:cs="宋体"/>
          <w:spacing w:val="-6"/>
          <w:sz w:val="24"/>
          <w:szCs w:val="24"/>
        </w:rPr>
        <w:t>科</w:t>
      </w:r>
      <w:r>
        <w:rPr>
          <w:rFonts w:ascii="宋体" w:hAnsi="宋体" w:eastAsia="宋体" w:cs="宋体"/>
          <w:spacing w:val="-32"/>
          <w:sz w:val="24"/>
          <w:szCs w:val="24"/>
        </w:rPr>
        <w:t xml:space="preserve"> </w:t>
      </w:r>
      <w:r>
        <w:rPr>
          <w:rFonts w:ascii="Times New Roman" w:hAnsi="Times New Roman" w:eastAsia="Times New Roman" w:cs="Times New Roman"/>
          <w:spacing w:val="-6"/>
          <w:sz w:val="24"/>
          <w:szCs w:val="24"/>
        </w:rPr>
        <w:t>137</w:t>
      </w:r>
      <w:r>
        <w:rPr>
          <w:rFonts w:ascii="Times New Roman" w:hAnsi="Times New Roman" w:eastAsia="Times New Roman" w:cs="Times New Roman"/>
          <w:spacing w:val="11"/>
          <w:sz w:val="24"/>
          <w:szCs w:val="24"/>
        </w:rPr>
        <w:t xml:space="preserve"> </w:t>
      </w:r>
      <w:r>
        <w:rPr>
          <w:rFonts w:ascii="宋体" w:hAnsi="宋体" w:eastAsia="宋体" w:cs="宋体"/>
          <w:spacing w:val="-6"/>
          <w:sz w:val="24"/>
          <w:szCs w:val="24"/>
        </w:rPr>
        <w:t>属</w:t>
      </w:r>
      <w:r>
        <w:rPr>
          <w:rFonts w:ascii="宋体" w:hAnsi="宋体" w:eastAsia="宋体" w:cs="宋体"/>
          <w:spacing w:val="-32"/>
          <w:sz w:val="24"/>
          <w:szCs w:val="24"/>
        </w:rPr>
        <w:t xml:space="preserve"> </w:t>
      </w:r>
      <w:r>
        <w:rPr>
          <w:rFonts w:ascii="Times New Roman" w:hAnsi="Times New Roman" w:eastAsia="Times New Roman" w:cs="Times New Roman"/>
          <w:spacing w:val="-6"/>
          <w:sz w:val="24"/>
          <w:szCs w:val="24"/>
        </w:rPr>
        <w:t>166</w:t>
      </w:r>
      <w:r>
        <w:rPr>
          <w:rFonts w:ascii="Times New Roman" w:hAnsi="Times New Roman" w:eastAsia="Times New Roman" w:cs="Times New Roman"/>
          <w:spacing w:val="9"/>
          <w:sz w:val="24"/>
          <w:szCs w:val="24"/>
        </w:rPr>
        <w:t xml:space="preserve"> </w:t>
      </w:r>
      <w:r>
        <w:rPr>
          <w:rFonts w:ascii="宋体" w:hAnsi="宋体" w:eastAsia="宋体" w:cs="宋体"/>
          <w:spacing w:val="-6"/>
          <w:sz w:val="24"/>
          <w:szCs w:val="24"/>
        </w:rPr>
        <w:t>种。评价</w:t>
      </w:r>
      <w:r>
        <w:rPr>
          <w:rFonts w:ascii="宋体" w:hAnsi="宋体" w:eastAsia="宋体" w:cs="宋体"/>
          <w:spacing w:val="-7"/>
          <w:sz w:val="24"/>
          <w:szCs w:val="24"/>
        </w:rPr>
        <w:t>区存在村寨， 耕地分</w:t>
      </w:r>
      <w:r>
        <w:rPr>
          <w:rFonts w:ascii="宋体" w:hAnsi="宋体" w:eastAsia="宋体" w:cs="宋体"/>
          <w:spacing w:val="-3"/>
          <w:sz w:val="24"/>
          <w:szCs w:val="24"/>
        </w:rPr>
        <w:t>布广，分布着较多的栽培植物。</w:t>
      </w:r>
    </w:p>
    <w:p w14:paraId="062318D4">
      <w:pPr>
        <w:spacing w:before="24" w:line="360" w:lineRule="auto"/>
        <w:ind w:right="85" w:firstLine="479"/>
        <w:jc w:val="both"/>
        <w:rPr>
          <w:rFonts w:ascii="宋体" w:hAnsi="宋体" w:eastAsia="宋体" w:cs="宋体"/>
          <w:sz w:val="24"/>
          <w:szCs w:val="24"/>
        </w:rPr>
      </w:pPr>
      <w:r>
        <w:rPr>
          <w:rFonts w:ascii="宋体" w:hAnsi="宋体" w:eastAsia="宋体" w:cs="宋体"/>
          <w:spacing w:val="-2"/>
          <w:sz w:val="24"/>
          <w:szCs w:val="24"/>
        </w:rPr>
        <w:t>评价范围内未发现国家重点野生保护植物和云南省级重点保护植物，亦未发现有古</w:t>
      </w:r>
      <w:r>
        <w:rPr>
          <w:rFonts w:ascii="宋体" w:hAnsi="宋体" w:eastAsia="宋体" w:cs="宋体"/>
          <w:spacing w:val="-6"/>
          <w:sz w:val="24"/>
          <w:szCs w:val="24"/>
        </w:rPr>
        <w:t>树名木，仅有少量中国特有、云南特有植物分布，</w:t>
      </w:r>
      <w:r>
        <w:rPr>
          <w:rFonts w:ascii="宋体" w:hAnsi="宋体" w:eastAsia="宋体" w:cs="宋体"/>
          <w:spacing w:val="55"/>
          <w:sz w:val="24"/>
          <w:szCs w:val="24"/>
        </w:rPr>
        <w:t xml:space="preserve"> </w:t>
      </w:r>
      <w:r>
        <w:rPr>
          <w:rFonts w:ascii="宋体" w:hAnsi="宋体" w:eastAsia="宋体" w:cs="宋体"/>
          <w:spacing w:val="-6"/>
          <w:sz w:val="24"/>
          <w:szCs w:val="24"/>
        </w:rPr>
        <w:t>未见狭域特有植物分布</w:t>
      </w:r>
      <w:r>
        <w:rPr>
          <w:rFonts w:ascii="宋体" w:hAnsi="宋体" w:eastAsia="宋体" w:cs="宋体"/>
          <w:spacing w:val="-7"/>
          <w:sz w:val="24"/>
          <w:szCs w:val="24"/>
        </w:rPr>
        <w:t>，总体上评价</w:t>
      </w:r>
      <w:r>
        <w:rPr>
          <w:rFonts w:ascii="宋体" w:hAnsi="宋体" w:eastAsia="宋体" w:cs="宋体"/>
          <w:spacing w:val="-4"/>
          <w:sz w:val="24"/>
          <w:szCs w:val="24"/>
        </w:rPr>
        <w:t>区植物多样性较为匮乏。</w:t>
      </w:r>
    </w:p>
    <w:p w14:paraId="2FD6B0D1">
      <w:pPr>
        <w:spacing w:line="233" w:lineRule="auto"/>
        <w:ind w:left="481"/>
        <w:rPr>
          <w:rFonts w:ascii="宋体" w:hAnsi="宋体" w:eastAsia="宋体" w:cs="宋体"/>
          <w:sz w:val="24"/>
          <w:szCs w:val="24"/>
        </w:rPr>
      </w:pPr>
      <w:r>
        <w:rPr>
          <w:rFonts w:ascii="Times New Roman" w:hAnsi="Times New Roman" w:eastAsia="Times New Roman" w:cs="Times New Roman"/>
          <w:spacing w:val="-3"/>
          <w:sz w:val="24"/>
          <w:szCs w:val="24"/>
        </w:rPr>
        <w:t>3</w:t>
      </w:r>
      <w:r>
        <w:rPr>
          <w:rFonts w:ascii="宋体" w:hAnsi="宋体" w:eastAsia="宋体" w:cs="宋体"/>
          <w:spacing w:val="-3"/>
          <w:sz w:val="24"/>
          <w:szCs w:val="24"/>
        </w:rPr>
        <w:t>）动物多样性</w:t>
      </w:r>
    </w:p>
    <w:p w14:paraId="25DFD235">
      <w:pPr>
        <w:spacing w:before="167" w:line="359" w:lineRule="auto"/>
        <w:ind w:firstLine="480"/>
        <w:rPr>
          <w:rFonts w:ascii="宋体" w:hAnsi="宋体" w:eastAsia="宋体" w:cs="宋体"/>
          <w:sz w:val="24"/>
          <w:szCs w:val="24"/>
        </w:rPr>
      </w:pPr>
      <w:r>
        <w:rPr>
          <w:rFonts w:ascii="宋体" w:hAnsi="宋体" w:eastAsia="宋体" w:cs="宋体"/>
          <w:spacing w:val="-6"/>
          <w:sz w:val="24"/>
          <w:szCs w:val="24"/>
        </w:rPr>
        <w:t>评价区分布有陆栖脊椎动物评价区内陆生脊椎动物主要包括兽类、两栖类、爬行类、鸟类。该区域人为干扰较多，</w:t>
      </w:r>
      <w:r>
        <w:rPr>
          <w:rFonts w:ascii="宋体" w:hAnsi="宋体" w:eastAsia="宋体" w:cs="宋体"/>
          <w:spacing w:val="57"/>
          <w:sz w:val="24"/>
          <w:szCs w:val="24"/>
        </w:rPr>
        <w:t xml:space="preserve"> </w:t>
      </w:r>
      <w:r>
        <w:rPr>
          <w:rFonts w:ascii="宋体" w:hAnsi="宋体" w:eastAsia="宋体" w:cs="宋体"/>
          <w:spacing w:val="-6"/>
          <w:sz w:val="24"/>
          <w:szCs w:val="24"/>
        </w:rPr>
        <w:t>结合调查的内容，以及资料的整理，评价</w:t>
      </w:r>
      <w:r>
        <w:rPr>
          <w:rFonts w:ascii="宋体" w:hAnsi="宋体" w:eastAsia="宋体" w:cs="宋体"/>
          <w:spacing w:val="-7"/>
          <w:sz w:val="24"/>
          <w:szCs w:val="24"/>
        </w:rPr>
        <w:t>区共统计陆生脊椎动物包括兽类、鸟类、两栖及爬行类共</w:t>
      </w:r>
      <w:r>
        <w:rPr>
          <w:rFonts w:ascii="宋体" w:hAnsi="宋体" w:eastAsia="宋体" w:cs="宋体"/>
          <w:spacing w:val="-13"/>
          <w:sz w:val="24"/>
          <w:szCs w:val="24"/>
        </w:rPr>
        <w:t xml:space="preserve"> </w:t>
      </w:r>
      <w:r>
        <w:rPr>
          <w:rFonts w:ascii="Times New Roman" w:hAnsi="Times New Roman" w:eastAsia="Times New Roman" w:cs="Times New Roman"/>
          <w:spacing w:val="-7"/>
          <w:sz w:val="24"/>
          <w:szCs w:val="24"/>
        </w:rPr>
        <w:t>14</w:t>
      </w:r>
      <w:r>
        <w:rPr>
          <w:rFonts w:ascii="Times New Roman" w:hAnsi="Times New Roman" w:eastAsia="Times New Roman" w:cs="Times New Roman"/>
          <w:spacing w:val="13"/>
          <w:sz w:val="24"/>
          <w:szCs w:val="24"/>
        </w:rPr>
        <w:t xml:space="preserve"> </w:t>
      </w:r>
      <w:r>
        <w:rPr>
          <w:rFonts w:ascii="宋体" w:hAnsi="宋体" w:eastAsia="宋体" w:cs="宋体"/>
          <w:spacing w:val="-7"/>
          <w:sz w:val="24"/>
          <w:szCs w:val="24"/>
        </w:rPr>
        <w:t>纲</w:t>
      </w:r>
      <w:r>
        <w:rPr>
          <w:rFonts w:ascii="宋体" w:hAnsi="宋体" w:eastAsia="宋体" w:cs="宋体"/>
          <w:spacing w:val="-32"/>
          <w:sz w:val="24"/>
          <w:szCs w:val="24"/>
        </w:rPr>
        <w:t xml:space="preserve"> </w:t>
      </w:r>
      <w:r>
        <w:rPr>
          <w:rFonts w:ascii="Times New Roman" w:hAnsi="Times New Roman" w:eastAsia="Times New Roman" w:cs="Times New Roman"/>
          <w:spacing w:val="-7"/>
          <w:sz w:val="24"/>
          <w:szCs w:val="24"/>
        </w:rPr>
        <w:t>16</w:t>
      </w:r>
      <w:r>
        <w:rPr>
          <w:rFonts w:ascii="Times New Roman" w:hAnsi="Times New Roman" w:eastAsia="Times New Roman" w:cs="Times New Roman"/>
          <w:spacing w:val="55"/>
          <w:w w:val="101"/>
          <w:sz w:val="24"/>
          <w:szCs w:val="24"/>
        </w:rPr>
        <w:t xml:space="preserve"> </w:t>
      </w:r>
      <w:r>
        <w:rPr>
          <w:rFonts w:ascii="宋体" w:hAnsi="宋体" w:eastAsia="宋体" w:cs="宋体"/>
          <w:spacing w:val="-7"/>
          <w:sz w:val="24"/>
          <w:szCs w:val="24"/>
        </w:rPr>
        <w:t>目</w:t>
      </w:r>
      <w:r>
        <w:rPr>
          <w:rFonts w:ascii="宋体" w:hAnsi="宋体" w:eastAsia="宋体" w:cs="宋体"/>
          <w:spacing w:val="-50"/>
          <w:sz w:val="24"/>
          <w:szCs w:val="24"/>
        </w:rPr>
        <w:t xml:space="preserve"> </w:t>
      </w:r>
      <w:r>
        <w:rPr>
          <w:rFonts w:ascii="Times New Roman" w:hAnsi="Times New Roman" w:eastAsia="Times New Roman" w:cs="Times New Roman"/>
          <w:spacing w:val="-7"/>
          <w:sz w:val="24"/>
          <w:szCs w:val="24"/>
        </w:rPr>
        <w:t xml:space="preserve">37 </w:t>
      </w:r>
      <w:r>
        <w:rPr>
          <w:rFonts w:ascii="宋体" w:hAnsi="宋体" w:eastAsia="宋体" w:cs="宋体"/>
          <w:spacing w:val="-7"/>
          <w:sz w:val="24"/>
          <w:szCs w:val="24"/>
        </w:rPr>
        <w:t>科</w:t>
      </w:r>
      <w:r>
        <w:rPr>
          <w:rFonts w:ascii="宋体" w:hAnsi="宋体" w:eastAsia="宋体" w:cs="宋体"/>
          <w:spacing w:val="-50"/>
          <w:sz w:val="24"/>
          <w:szCs w:val="24"/>
        </w:rPr>
        <w:t xml:space="preserve"> </w:t>
      </w:r>
      <w:r>
        <w:rPr>
          <w:rFonts w:ascii="Times New Roman" w:hAnsi="Times New Roman" w:eastAsia="Times New Roman" w:cs="Times New Roman"/>
          <w:spacing w:val="-7"/>
          <w:sz w:val="24"/>
          <w:szCs w:val="24"/>
        </w:rPr>
        <w:t xml:space="preserve">63 </w:t>
      </w:r>
      <w:r>
        <w:rPr>
          <w:rFonts w:ascii="宋体" w:hAnsi="宋体" w:eastAsia="宋体" w:cs="宋体"/>
          <w:spacing w:val="-7"/>
          <w:sz w:val="24"/>
          <w:szCs w:val="24"/>
        </w:rPr>
        <w:t>种，其中，爬行类有</w:t>
      </w:r>
      <w:r>
        <w:rPr>
          <w:rFonts w:ascii="宋体" w:hAnsi="宋体" w:eastAsia="宋体" w:cs="宋体"/>
          <w:spacing w:val="-32"/>
          <w:sz w:val="24"/>
          <w:szCs w:val="24"/>
        </w:rPr>
        <w:t xml:space="preserve"> </w:t>
      </w:r>
      <w:r>
        <w:rPr>
          <w:rFonts w:ascii="Times New Roman" w:hAnsi="Times New Roman" w:eastAsia="Times New Roman" w:cs="Times New Roman"/>
          <w:spacing w:val="-7"/>
          <w:sz w:val="24"/>
          <w:szCs w:val="24"/>
        </w:rPr>
        <w:t xml:space="preserve">1  </w:t>
      </w:r>
      <w:r>
        <w:rPr>
          <w:rFonts w:ascii="宋体" w:hAnsi="宋体" w:eastAsia="宋体" w:cs="宋体"/>
          <w:spacing w:val="-7"/>
          <w:sz w:val="24"/>
          <w:szCs w:val="24"/>
        </w:rPr>
        <w:t>目</w:t>
      </w:r>
      <w:r>
        <w:rPr>
          <w:rFonts w:ascii="Times New Roman" w:hAnsi="Times New Roman" w:eastAsia="Times New Roman" w:cs="Times New Roman"/>
          <w:spacing w:val="-8"/>
          <w:sz w:val="24"/>
          <w:szCs w:val="24"/>
        </w:rPr>
        <w:t xml:space="preserve">3 </w:t>
      </w:r>
      <w:r>
        <w:rPr>
          <w:rFonts w:ascii="宋体" w:hAnsi="宋体" w:eastAsia="宋体" w:cs="宋体"/>
          <w:spacing w:val="-8"/>
          <w:sz w:val="24"/>
          <w:szCs w:val="24"/>
        </w:rPr>
        <w:t>科</w:t>
      </w:r>
      <w:r>
        <w:rPr>
          <w:rFonts w:ascii="宋体" w:hAnsi="宋体" w:eastAsia="宋体" w:cs="宋体"/>
          <w:spacing w:val="-45"/>
          <w:sz w:val="24"/>
          <w:szCs w:val="24"/>
        </w:rPr>
        <w:t xml:space="preserve"> </w:t>
      </w:r>
      <w:r>
        <w:rPr>
          <w:rFonts w:ascii="Times New Roman" w:hAnsi="Times New Roman" w:eastAsia="Times New Roman" w:cs="Times New Roman"/>
          <w:spacing w:val="-8"/>
          <w:sz w:val="24"/>
          <w:szCs w:val="24"/>
        </w:rPr>
        <w:t xml:space="preserve">5 </w:t>
      </w:r>
      <w:r>
        <w:rPr>
          <w:rFonts w:ascii="宋体" w:hAnsi="宋体" w:eastAsia="宋体" w:cs="宋体"/>
          <w:spacing w:val="-8"/>
          <w:sz w:val="24"/>
          <w:szCs w:val="24"/>
        </w:rPr>
        <w:t>种，两栖类有</w:t>
      </w:r>
      <w:r>
        <w:rPr>
          <w:rFonts w:ascii="宋体" w:hAnsi="宋体" w:eastAsia="宋体" w:cs="宋体"/>
          <w:spacing w:val="-31"/>
          <w:sz w:val="24"/>
          <w:szCs w:val="24"/>
        </w:rPr>
        <w:t xml:space="preserve"> </w:t>
      </w:r>
      <w:r>
        <w:rPr>
          <w:rFonts w:ascii="Times New Roman" w:hAnsi="Times New Roman" w:eastAsia="Times New Roman" w:cs="Times New Roman"/>
          <w:spacing w:val="-8"/>
          <w:sz w:val="24"/>
          <w:szCs w:val="24"/>
        </w:rPr>
        <w:t xml:space="preserve">1  </w:t>
      </w:r>
      <w:r>
        <w:rPr>
          <w:rFonts w:ascii="宋体" w:hAnsi="宋体" w:eastAsia="宋体" w:cs="宋体"/>
          <w:spacing w:val="-8"/>
          <w:sz w:val="24"/>
          <w:szCs w:val="24"/>
        </w:rPr>
        <w:t>目</w:t>
      </w:r>
      <w:r>
        <w:rPr>
          <w:rFonts w:ascii="宋体" w:hAnsi="宋体" w:eastAsia="宋体" w:cs="宋体"/>
          <w:spacing w:val="-56"/>
          <w:sz w:val="24"/>
          <w:szCs w:val="24"/>
        </w:rPr>
        <w:t xml:space="preserve"> </w:t>
      </w:r>
      <w:r>
        <w:rPr>
          <w:rFonts w:ascii="Times New Roman" w:hAnsi="Times New Roman" w:eastAsia="Times New Roman" w:cs="Times New Roman"/>
          <w:spacing w:val="-8"/>
          <w:sz w:val="24"/>
          <w:szCs w:val="24"/>
        </w:rPr>
        <w:t xml:space="preserve">4 </w:t>
      </w:r>
      <w:r>
        <w:rPr>
          <w:rFonts w:ascii="宋体" w:hAnsi="宋体" w:eastAsia="宋体" w:cs="宋体"/>
          <w:spacing w:val="-8"/>
          <w:sz w:val="24"/>
          <w:szCs w:val="24"/>
        </w:rPr>
        <w:t>科</w:t>
      </w:r>
      <w:r>
        <w:rPr>
          <w:rFonts w:ascii="宋体" w:hAnsi="宋体" w:eastAsia="宋体" w:cs="宋体"/>
          <w:spacing w:val="-50"/>
          <w:sz w:val="24"/>
          <w:szCs w:val="24"/>
        </w:rPr>
        <w:t xml:space="preserve"> </w:t>
      </w:r>
      <w:r>
        <w:rPr>
          <w:rFonts w:ascii="Times New Roman" w:hAnsi="Times New Roman" w:eastAsia="Times New Roman" w:cs="Times New Roman"/>
          <w:spacing w:val="-8"/>
          <w:sz w:val="24"/>
          <w:szCs w:val="24"/>
        </w:rPr>
        <w:t xml:space="preserve">6 </w:t>
      </w:r>
      <w:r>
        <w:rPr>
          <w:rFonts w:ascii="宋体" w:hAnsi="宋体" w:eastAsia="宋体" w:cs="宋体"/>
          <w:spacing w:val="-8"/>
          <w:sz w:val="24"/>
          <w:szCs w:val="24"/>
        </w:rPr>
        <w:t>种，鸟类有</w:t>
      </w:r>
      <w:r>
        <w:rPr>
          <w:rFonts w:ascii="宋体" w:hAnsi="宋体" w:eastAsia="宋体" w:cs="宋体"/>
          <w:spacing w:val="-45"/>
          <w:sz w:val="24"/>
          <w:szCs w:val="24"/>
        </w:rPr>
        <w:t xml:space="preserve"> </w:t>
      </w:r>
      <w:r>
        <w:rPr>
          <w:rFonts w:ascii="Times New Roman" w:hAnsi="Times New Roman" w:eastAsia="Times New Roman" w:cs="Times New Roman"/>
          <w:spacing w:val="-8"/>
          <w:sz w:val="24"/>
          <w:szCs w:val="24"/>
        </w:rPr>
        <w:t>8</w:t>
      </w:r>
      <w:r>
        <w:rPr>
          <w:rFonts w:ascii="Times New Roman" w:hAnsi="Times New Roman" w:eastAsia="Times New Roman" w:cs="Times New Roman"/>
          <w:spacing w:val="58"/>
          <w:sz w:val="24"/>
          <w:szCs w:val="24"/>
        </w:rPr>
        <w:t xml:space="preserve"> </w:t>
      </w:r>
      <w:r>
        <w:rPr>
          <w:rFonts w:ascii="宋体" w:hAnsi="宋体" w:eastAsia="宋体" w:cs="宋体"/>
          <w:spacing w:val="-8"/>
          <w:sz w:val="24"/>
          <w:szCs w:val="24"/>
        </w:rPr>
        <w:t>目</w:t>
      </w:r>
      <w:r>
        <w:rPr>
          <w:rFonts w:ascii="宋体" w:hAnsi="宋体" w:eastAsia="宋体" w:cs="宋体"/>
          <w:spacing w:val="-55"/>
          <w:sz w:val="24"/>
          <w:szCs w:val="24"/>
        </w:rPr>
        <w:t xml:space="preserve"> </w:t>
      </w:r>
      <w:r>
        <w:rPr>
          <w:rFonts w:ascii="Times New Roman" w:hAnsi="Times New Roman" w:eastAsia="Times New Roman" w:cs="Times New Roman"/>
          <w:spacing w:val="-8"/>
          <w:sz w:val="24"/>
          <w:szCs w:val="24"/>
        </w:rPr>
        <w:t>22</w:t>
      </w:r>
      <w:r>
        <w:rPr>
          <w:rFonts w:ascii="Times New Roman" w:hAnsi="Times New Roman" w:eastAsia="Times New Roman" w:cs="Times New Roman"/>
          <w:spacing w:val="9"/>
          <w:sz w:val="24"/>
          <w:szCs w:val="24"/>
        </w:rPr>
        <w:t xml:space="preserve"> </w:t>
      </w:r>
      <w:r>
        <w:rPr>
          <w:rFonts w:ascii="宋体" w:hAnsi="宋体" w:eastAsia="宋体" w:cs="宋体"/>
          <w:spacing w:val="-8"/>
          <w:sz w:val="24"/>
          <w:szCs w:val="24"/>
        </w:rPr>
        <w:t>科</w:t>
      </w:r>
      <w:r>
        <w:rPr>
          <w:rFonts w:ascii="宋体" w:hAnsi="宋体" w:eastAsia="宋体" w:cs="宋体"/>
          <w:spacing w:val="-56"/>
          <w:sz w:val="24"/>
          <w:szCs w:val="24"/>
        </w:rPr>
        <w:t xml:space="preserve"> </w:t>
      </w:r>
      <w:r>
        <w:rPr>
          <w:rFonts w:ascii="Times New Roman" w:hAnsi="Times New Roman" w:eastAsia="Times New Roman" w:cs="Times New Roman"/>
          <w:spacing w:val="-8"/>
          <w:sz w:val="24"/>
          <w:szCs w:val="24"/>
        </w:rPr>
        <w:t>42</w:t>
      </w:r>
      <w:r>
        <w:rPr>
          <w:rFonts w:ascii="Times New Roman" w:hAnsi="Times New Roman" w:eastAsia="Times New Roman" w:cs="Times New Roman"/>
          <w:spacing w:val="9"/>
          <w:sz w:val="24"/>
          <w:szCs w:val="24"/>
        </w:rPr>
        <w:t xml:space="preserve"> </w:t>
      </w:r>
      <w:r>
        <w:rPr>
          <w:rFonts w:ascii="宋体" w:hAnsi="宋体" w:eastAsia="宋体" w:cs="宋体"/>
          <w:spacing w:val="-8"/>
          <w:sz w:val="24"/>
          <w:szCs w:val="24"/>
        </w:rPr>
        <w:t>种，兽类共有</w:t>
      </w:r>
      <w:r>
        <w:rPr>
          <w:rFonts w:ascii="宋体" w:hAnsi="宋体" w:eastAsia="宋体" w:cs="宋体"/>
          <w:spacing w:val="-49"/>
          <w:sz w:val="24"/>
          <w:szCs w:val="24"/>
        </w:rPr>
        <w:t xml:space="preserve"> </w:t>
      </w:r>
      <w:r>
        <w:rPr>
          <w:rFonts w:ascii="Times New Roman" w:hAnsi="Times New Roman" w:eastAsia="Times New Roman" w:cs="Times New Roman"/>
          <w:spacing w:val="-8"/>
          <w:sz w:val="24"/>
          <w:szCs w:val="24"/>
        </w:rPr>
        <w:t xml:space="preserve">6  </w:t>
      </w:r>
      <w:r>
        <w:rPr>
          <w:rFonts w:ascii="宋体" w:hAnsi="宋体" w:eastAsia="宋体" w:cs="宋体"/>
          <w:spacing w:val="-8"/>
          <w:sz w:val="24"/>
          <w:szCs w:val="24"/>
        </w:rPr>
        <w:t>目</w:t>
      </w:r>
      <w:r>
        <w:rPr>
          <w:rFonts w:ascii="宋体" w:hAnsi="宋体" w:eastAsia="宋体" w:cs="宋体"/>
          <w:spacing w:val="-45"/>
          <w:sz w:val="24"/>
          <w:szCs w:val="24"/>
        </w:rPr>
        <w:t xml:space="preserve"> </w:t>
      </w:r>
      <w:r>
        <w:rPr>
          <w:rFonts w:ascii="Times New Roman" w:hAnsi="Times New Roman" w:eastAsia="Times New Roman" w:cs="Times New Roman"/>
          <w:spacing w:val="-8"/>
          <w:sz w:val="24"/>
          <w:szCs w:val="24"/>
        </w:rPr>
        <w:t>8</w:t>
      </w:r>
      <w:r>
        <w:rPr>
          <w:rFonts w:ascii="Times New Roman" w:hAnsi="Times New Roman" w:eastAsia="Times New Roman" w:cs="Times New Roman"/>
          <w:spacing w:val="9"/>
          <w:sz w:val="24"/>
          <w:szCs w:val="24"/>
        </w:rPr>
        <w:t xml:space="preserve"> </w:t>
      </w:r>
      <w:r>
        <w:rPr>
          <w:rFonts w:ascii="宋体" w:hAnsi="宋体" w:eastAsia="宋体" w:cs="宋体"/>
          <w:spacing w:val="-8"/>
          <w:sz w:val="24"/>
          <w:szCs w:val="24"/>
        </w:rPr>
        <w:t>科</w:t>
      </w:r>
      <w:r>
        <w:rPr>
          <w:rFonts w:ascii="宋体" w:hAnsi="宋体" w:eastAsia="宋体" w:cs="宋体"/>
          <w:spacing w:val="-31"/>
          <w:sz w:val="24"/>
          <w:szCs w:val="24"/>
        </w:rPr>
        <w:t xml:space="preserve"> </w:t>
      </w:r>
      <w:r>
        <w:rPr>
          <w:rFonts w:ascii="Times New Roman" w:hAnsi="Times New Roman" w:eastAsia="Times New Roman" w:cs="Times New Roman"/>
          <w:spacing w:val="-8"/>
          <w:sz w:val="24"/>
          <w:szCs w:val="24"/>
        </w:rPr>
        <w:t>10</w:t>
      </w:r>
      <w:r>
        <w:rPr>
          <w:rFonts w:ascii="Times New Roman" w:hAnsi="Times New Roman" w:eastAsia="Times New Roman" w:cs="Times New Roman"/>
          <w:spacing w:val="9"/>
          <w:sz w:val="24"/>
          <w:szCs w:val="24"/>
        </w:rPr>
        <w:t xml:space="preserve"> </w:t>
      </w:r>
      <w:r>
        <w:rPr>
          <w:rFonts w:ascii="宋体" w:hAnsi="宋体" w:eastAsia="宋体" w:cs="宋体"/>
          <w:spacing w:val="-8"/>
          <w:sz w:val="24"/>
          <w:szCs w:val="24"/>
        </w:rPr>
        <w:t>种。</w:t>
      </w:r>
      <w:r>
        <w:rPr>
          <w:rFonts w:ascii="宋体" w:hAnsi="宋体" w:eastAsia="宋体" w:cs="宋体"/>
          <w:spacing w:val="-2"/>
          <w:sz w:val="24"/>
          <w:szCs w:val="24"/>
        </w:rPr>
        <w:t>评价区未记录到国家重点保护动物和云南省重点保护动物。总体上评价区内动物多样性</w:t>
      </w:r>
      <w:r>
        <w:rPr>
          <w:rFonts w:ascii="宋体" w:hAnsi="宋体" w:eastAsia="宋体" w:cs="宋体"/>
          <w:spacing w:val="-7"/>
          <w:sz w:val="24"/>
          <w:szCs w:val="24"/>
        </w:rPr>
        <w:t>相对匮乏。</w:t>
      </w:r>
    </w:p>
    <w:p w14:paraId="1EAE23D2">
      <w:pPr>
        <w:spacing w:before="6" w:line="233" w:lineRule="auto"/>
        <w:ind w:left="475"/>
        <w:rPr>
          <w:rFonts w:ascii="宋体" w:hAnsi="宋体" w:eastAsia="宋体" w:cs="宋体"/>
          <w:sz w:val="24"/>
          <w:szCs w:val="24"/>
        </w:rPr>
      </w:pPr>
      <w:r>
        <w:rPr>
          <w:rFonts w:ascii="Times New Roman" w:hAnsi="Times New Roman" w:eastAsia="Times New Roman" w:cs="Times New Roman"/>
          <w:spacing w:val="-2"/>
          <w:sz w:val="24"/>
          <w:szCs w:val="24"/>
        </w:rPr>
        <w:t>4</w:t>
      </w:r>
      <w:r>
        <w:rPr>
          <w:rFonts w:ascii="宋体" w:hAnsi="宋体" w:eastAsia="宋体" w:cs="宋体"/>
          <w:spacing w:val="-2"/>
          <w:sz w:val="24"/>
          <w:szCs w:val="24"/>
        </w:rPr>
        <w:t>）生态系统多样性</w:t>
      </w:r>
    </w:p>
    <w:p w14:paraId="2DF7C682">
      <w:pPr>
        <w:spacing w:before="165" w:line="360" w:lineRule="auto"/>
        <w:ind w:right="17" w:firstLine="480"/>
        <w:rPr>
          <w:rFonts w:ascii="宋体" w:hAnsi="宋体" w:eastAsia="宋体" w:cs="宋体"/>
          <w:sz w:val="24"/>
          <w:szCs w:val="24"/>
        </w:rPr>
      </w:pPr>
      <w:r>
        <w:rPr>
          <w:rFonts w:ascii="宋体" w:hAnsi="宋体" w:eastAsia="宋体" w:cs="宋体"/>
          <w:spacing w:val="-2"/>
          <w:sz w:val="24"/>
          <w:szCs w:val="24"/>
        </w:rPr>
        <w:t>根据其系统类型的特征和稳定性，组成工程区域的主要生态系统类型可分为森林生</w:t>
      </w:r>
      <w:r>
        <w:rPr>
          <w:rFonts w:ascii="宋体" w:hAnsi="宋体" w:eastAsia="宋体" w:cs="宋体"/>
          <w:spacing w:val="-3"/>
          <w:sz w:val="24"/>
          <w:szCs w:val="24"/>
        </w:rPr>
        <w:t xml:space="preserve">态系统、灌丛生态系统、草地生态系统、农田生态系统和城镇生态系统 </w:t>
      </w:r>
      <w:r>
        <w:rPr>
          <w:rFonts w:ascii="Times New Roman" w:hAnsi="Times New Roman" w:eastAsia="Times New Roman" w:cs="Times New Roman"/>
          <w:spacing w:val="-3"/>
          <w:sz w:val="24"/>
          <w:szCs w:val="24"/>
        </w:rPr>
        <w:t>5</w:t>
      </w:r>
      <w:r>
        <w:rPr>
          <w:rFonts w:ascii="Times New Roman" w:hAnsi="Times New Roman" w:eastAsia="Times New Roman" w:cs="Times New Roman"/>
          <w:spacing w:val="66"/>
          <w:w w:val="101"/>
          <w:sz w:val="24"/>
          <w:szCs w:val="24"/>
        </w:rPr>
        <w:t xml:space="preserve"> </w:t>
      </w:r>
      <w:r>
        <w:rPr>
          <w:rFonts w:ascii="宋体" w:hAnsi="宋体" w:eastAsia="宋体" w:cs="宋体"/>
          <w:spacing w:val="-3"/>
          <w:sz w:val="24"/>
          <w:szCs w:val="24"/>
        </w:rPr>
        <w:t>大类。其中，</w:t>
      </w:r>
      <w:r>
        <w:rPr>
          <w:rFonts w:ascii="宋体" w:hAnsi="宋体" w:eastAsia="宋体" w:cs="宋体"/>
          <w:spacing w:val="-6"/>
          <w:sz w:val="24"/>
          <w:szCs w:val="24"/>
        </w:rPr>
        <w:t>草地生态系统面积最大，为</w:t>
      </w:r>
      <w:r>
        <w:rPr>
          <w:rFonts w:ascii="宋体" w:hAnsi="宋体" w:eastAsia="宋体" w:cs="宋体"/>
          <w:spacing w:val="-19"/>
          <w:sz w:val="24"/>
          <w:szCs w:val="24"/>
        </w:rPr>
        <w:t xml:space="preserve"> </w:t>
      </w:r>
      <w:r>
        <w:rPr>
          <w:rFonts w:ascii="Times New Roman" w:hAnsi="Times New Roman" w:eastAsia="Times New Roman" w:cs="Times New Roman"/>
          <w:spacing w:val="-6"/>
          <w:sz w:val="24"/>
          <w:szCs w:val="24"/>
        </w:rPr>
        <w:t>1278.81hm</w:t>
      </w:r>
      <w:r>
        <w:rPr>
          <w:rFonts w:ascii="Times New Roman" w:hAnsi="Times New Roman" w:eastAsia="Times New Roman" w:cs="Times New Roman"/>
          <w:spacing w:val="-6"/>
          <w:position w:val="9"/>
          <w:sz w:val="16"/>
          <w:szCs w:val="16"/>
        </w:rPr>
        <w:t>2</w:t>
      </w:r>
      <w:r>
        <w:rPr>
          <w:rFonts w:ascii="Times New Roman" w:hAnsi="Times New Roman" w:eastAsia="Times New Roman" w:cs="Times New Roman"/>
          <w:spacing w:val="-9"/>
          <w:position w:val="9"/>
          <w:sz w:val="16"/>
          <w:szCs w:val="16"/>
        </w:rPr>
        <w:t xml:space="preserve"> </w:t>
      </w:r>
      <w:r>
        <w:rPr>
          <w:rFonts w:ascii="宋体" w:hAnsi="宋体" w:eastAsia="宋体" w:cs="宋体"/>
          <w:spacing w:val="-6"/>
          <w:sz w:val="24"/>
          <w:szCs w:val="24"/>
        </w:rPr>
        <w:t>，占评价区总面积的</w:t>
      </w:r>
      <w:r>
        <w:rPr>
          <w:rFonts w:ascii="宋体" w:hAnsi="宋体" w:eastAsia="宋体" w:cs="宋体"/>
          <w:spacing w:val="-48"/>
          <w:sz w:val="24"/>
          <w:szCs w:val="24"/>
        </w:rPr>
        <w:t xml:space="preserve"> </w:t>
      </w:r>
      <w:r>
        <w:rPr>
          <w:rFonts w:ascii="Times New Roman" w:hAnsi="Times New Roman" w:eastAsia="Times New Roman" w:cs="Times New Roman"/>
          <w:spacing w:val="-6"/>
          <w:sz w:val="24"/>
          <w:szCs w:val="24"/>
        </w:rPr>
        <w:t>59.</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6"/>
          <w:sz w:val="24"/>
          <w:szCs w:val="24"/>
        </w:rPr>
        <w:t>14%</w:t>
      </w:r>
      <w:r>
        <w:rPr>
          <w:rFonts w:ascii="宋体" w:hAnsi="宋体" w:eastAsia="宋体" w:cs="宋体"/>
          <w:spacing w:val="-6"/>
          <w:sz w:val="24"/>
          <w:szCs w:val="24"/>
        </w:rPr>
        <w:t>；其次为灌丛生态系</w:t>
      </w:r>
      <w:r>
        <w:rPr>
          <w:rFonts w:ascii="宋体" w:hAnsi="宋体" w:eastAsia="宋体" w:cs="宋体"/>
          <w:spacing w:val="-1"/>
          <w:sz w:val="24"/>
          <w:szCs w:val="24"/>
        </w:rPr>
        <w:t>统，面积为</w:t>
      </w:r>
      <w:r>
        <w:rPr>
          <w:rFonts w:ascii="宋体" w:hAnsi="宋体" w:eastAsia="宋体" w:cs="宋体"/>
          <w:spacing w:val="-56"/>
          <w:sz w:val="24"/>
          <w:szCs w:val="24"/>
        </w:rPr>
        <w:t xml:space="preserve"> </w:t>
      </w:r>
      <w:r>
        <w:rPr>
          <w:rFonts w:ascii="Times New Roman" w:hAnsi="Times New Roman" w:eastAsia="Times New Roman" w:cs="Times New Roman"/>
          <w:spacing w:val="-1"/>
          <w:sz w:val="24"/>
          <w:szCs w:val="24"/>
        </w:rPr>
        <w:t>444.87hm</w:t>
      </w:r>
      <w:r>
        <w:rPr>
          <w:rFonts w:ascii="Times New Roman" w:hAnsi="Times New Roman" w:eastAsia="Times New Roman" w:cs="Times New Roman"/>
          <w:spacing w:val="-1"/>
          <w:position w:val="8"/>
          <w:sz w:val="16"/>
          <w:szCs w:val="16"/>
        </w:rPr>
        <w:t>2</w:t>
      </w:r>
      <w:r>
        <w:rPr>
          <w:rFonts w:ascii="宋体" w:hAnsi="宋体" w:eastAsia="宋体" w:cs="宋体"/>
          <w:spacing w:val="-1"/>
          <w:sz w:val="24"/>
          <w:szCs w:val="24"/>
        </w:rPr>
        <w:t>，占评价区总面积</w:t>
      </w:r>
      <w:r>
        <w:rPr>
          <w:rFonts w:ascii="宋体" w:hAnsi="宋体" w:eastAsia="宋体" w:cs="宋体"/>
          <w:spacing w:val="-2"/>
          <w:sz w:val="24"/>
          <w:szCs w:val="24"/>
        </w:rPr>
        <w:t>的</w:t>
      </w:r>
      <w:r>
        <w:rPr>
          <w:rFonts w:ascii="宋体" w:hAnsi="宋体" w:eastAsia="宋体" w:cs="宋体"/>
          <w:spacing w:val="-36"/>
          <w:sz w:val="24"/>
          <w:szCs w:val="24"/>
        </w:rPr>
        <w:t xml:space="preserve"> </w:t>
      </w:r>
      <w:r>
        <w:rPr>
          <w:rFonts w:ascii="Times New Roman" w:hAnsi="Times New Roman" w:eastAsia="Times New Roman" w:cs="Times New Roman"/>
          <w:spacing w:val="-2"/>
          <w:sz w:val="24"/>
          <w:szCs w:val="24"/>
        </w:rPr>
        <w:t>20.57%</w:t>
      </w:r>
      <w:r>
        <w:rPr>
          <w:rFonts w:ascii="宋体" w:hAnsi="宋体" w:eastAsia="宋体" w:cs="宋体"/>
          <w:spacing w:val="-2"/>
          <w:sz w:val="24"/>
          <w:szCs w:val="24"/>
        </w:rPr>
        <w:t>。</w:t>
      </w:r>
    </w:p>
    <w:p w14:paraId="03587FD4">
      <w:pPr>
        <w:spacing w:before="1" w:line="219" w:lineRule="auto"/>
        <w:ind w:left="487"/>
        <w:rPr>
          <w:rFonts w:ascii="宋体" w:hAnsi="宋体" w:eastAsia="宋体" w:cs="宋体"/>
          <w:sz w:val="24"/>
          <w:szCs w:val="24"/>
        </w:rPr>
      </w:pPr>
      <w:r>
        <w:rPr>
          <w:rFonts w:ascii="宋体" w:hAnsi="宋体" w:eastAsia="宋体" w:cs="宋体"/>
          <w:spacing w:val="-2"/>
          <w:sz w:val="24"/>
          <w:szCs w:val="24"/>
        </w:rPr>
        <w:t>总体上生态系统以自然生态系统为主，生态系统多样性不丰富。</w:t>
      </w:r>
    </w:p>
    <w:p w14:paraId="5E20CB4F">
      <w:pPr>
        <w:spacing w:before="182" w:line="232" w:lineRule="auto"/>
        <w:ind w:left="489"/>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7</w:t>
      </w:r>
      <w:r>
        <w:rPr>
          <w:rFonts w:ascii="宋体" w:hAnsi="宋体" w:eastAsia="宋体" w:cs="宋体"/>
          <w:b/>
          <w:bCs/>
          <w:spacing w:val="-4"/>
          <w:sz w:val="24"/>
          <w:szCs w:val="24"/>
        </w:rPr>
        <w:t>）评价区生态敏感区现状</w:t>
      </w:r>
    </w:p>
    <w:p w14:paraId="0EE6E6BB">
      <w:pPr>
        <w:spacing w:before="167" w:line="234" w:lineRule="auto"/>
        <w:ind w:left="499"/>
        <w:rPr>
          <w:rFonts w:ascii="宋体" w:hAnsi="宋体" w:eastAsia="宋体" w:cs="宋体"/>
          <w:sz w:val="24"/>
          <w:szCs w:val="24"/>
        </w:rPr>
      </w:pPr>
      <w:r>
        <w:rPr>
          <w:rFonts w:ascii="Times New Roman" w:hAnsi="Times New Roman" w:eastAsia="Times New Roman" w:cs="Times New Roman"/>
          <w:spacing w:val="-3"/>
          <w:sz w:val="24"/>
          <w:szCs w:val="24"/>
        </w:rPr>
        <w:t>1</w:t>
      </w:r>
      <w:r>
        <w:rPr>
          <w:rFonts w:ascii="宋体" w:hAnsi="宋体" w:eastAsia="宋体" w:cs="宋体"/>
          <w:spacing w:val="-3"/>
          <w:sz w:val="24"/>
          <w:szCs w:val="24"/>
        </w:rPr>
        <w:t>）项目涉及生态保护红线情况</w:t>
      </w:r>
    </w:p>
    <w:p w14:paraId="47B20CE5">
      <w:pPr>
        <w:spacing w:before="164" w:line="359" w:lineRule="auto"/>
        <w:ind w:left="3" w:right="83" w:firstLine="477"/>
        <w:rPr>
          <w:rFonts w:ascii="宋体" w:hAnsi="宋体" w:eastAsia="宋体" w:cs="宋体"/>
          <w:sz w:val="24"/>
          <w:szCs w:val="24"/>
        </w:rPr>
      </w:pPr>
      <w:r>
        <w:rPr>
          <w:rFonts w:ascii="宋体" w:hAnsi="宋体" w:eastAsia="宋体" w:cs="宋体"/>
          <w:spacing w:val="-2"/>
          <w:sz w:val="24"/>
          <w:szCs w:val="24"/>
        </w:rPr>
        <w:t>根据线路所经区域生态保护红线划定情况，会泽县境内生态保护红线为大面积且连续性分布，线路沿线生态保护红线分布密集，覆盖范围广，加之受线路改接点、地形等的限制，拟建线路无法完全避让生态保护红线，穿越长度约</w:t>
      </w:r>
      <w:r>
        <w:rPr>
          <w:rFonts w:ascii="宋体" w:hAnsi="宋体" w:eastAsia="宋体" w:cs="宋体"/>
          <w:spacing w:val="-16"/>
          <w:sz w:val="24"/>
          <w:szCs w:val="24"/>
        </w:rPr>
        <w:t xml:space="preserve"> </w:t>
      </w:r>
      <w:r>
        <w:rPr>
          <w:rFonts w:ascii="Times New Roman" w:hAnsi="Times New Roman" w:eastAsia="Times New Roman" w:cs="Times New Roman"/>
          <w:spacing w:val="-2"/>
          <w:sz w:val="24"/>
          <w:szCs w:val="24"/>
        </w:rPr>
        <w:t>4257m</w:t>
      </w:r>
      <w:r>
        <w:rPr>
          <w:rFonts w:ascii="宋体" w:hAnsi="宋体" w:eastAsia="宋体" w:cs="宋体"/>
          <w:spacing w:val="-2"/>
          <w:sz w:val="24"/>
          <w:szCs w:val="24"/>
        </w:rPr>
        <w:t xml:space="preserve">，共计 </w:t>
      </w:r>
      <w:r>
        <w:rPr>
          <w:rFonts w:ascii="Times New Roman" w:hAnsi="Times New Roman" w:eastAsia="Times New Roman" w:cs="Times New Roman"/>
          <w:spacing w:val="-2"/>
          <w:sz w:val="24"/>
          <w:szCs w:val="24"/>
        </w:rPr>
        <w:t>13</w:t>
      </w:r>
      <w:r>
        <w:rPr>
          <w:rFonts w:ascii="Times New Roman" w:hAnsi="Times New Roman" w:eastAsia="Times New Roman" w:cs="Times New Roman"/>
          <w:spacing w:val="31"/>
          <w:w w:val="101"/>
          <w:sz w:val="24"/>
          <w:szCs w:val="24"/>
        </w:rPr>
        <w:t xml:space="preserve"> </w:t>
      </w:r>
      <w:r>
        <w:rPr>
          <w:rFonts w:ascii="宋体" w:hAnsi="宋体" w:eastAsia="宋体" w:cs="宋体"/>
          <w:spacing w:val="-2"/>
          <w:sz w:val="24"/>
          <w:szCs w:val="24"/>
        </w:rPr>
        <w:t>个塔基位于生态保护红线内。此区域生态保护红线内植被类型以云南松林、灌丛及稀树灌草丛为</w:t>
      </w:r>
    </w:p>
    <w:p w14:paraId="4CED7D5F">
      <w:pPr>
        <w:spacing w:line="359" w:lineRule="auto"/>
        <w:rPr>
          <w:rFonts w:ascii="宋体" w:hAnsi="宋体" w:eastAsia="宋体" w:cs="宋体"/>
          <w:sz w:val="24"/>
          <w:szCs w:val="24"/>
        </w:rPr>
        <w:sectPr>
          <w:footerReference r:id="rId175" w:type="default"/>
          <w:pgSz w:w="11907" w:h="16841"/>
          <w:pgMar w:top="400" w:right="1330" w:bottom="1126" w:left="1427" w:header="0" w:footer="925" w:gutter="0"/>
          <w:cols w:space="720" w:num="1"/>
        </w:sectPr>
      </w:pPr>
    </w:p>
    <w:p w14:paraId="589F85FE">
      <w:pPr>
        <w:spacing w:line="249" w:lineRule="auto"/>
        <w:rPr>
          <w:rFonts w:ascii="Arial"/>
          <w:sz w:val="21"/>
        </w:rPr>
      </w:pPr>
    </w:p>
    <w:p w14:paraId="07A9C55B">
      <w:pPr>
        <w:spacing w:line="249" w:lineRule="auto"/>
        <w:rPr>
          <w:rFonts w:ascii="Arial"/>
          <w:sz w:val="21"/>
        </w:rPr>
      </w:pPr>
    </w:p>
    <w:p w14:paraId="48511936">
      <w:pPr>
        <w:spacing w:line="249" w:lineRule="auto"/>
        <w:rPr>
          <w:rFonts w:ascii="Arial"/>
          <w:sz w:val="21"/>
        </w:rPr>
      </w:pPr>
    </w:p>
    <w:p w14:paraId="65D2E4EE">
      <w:pPr>
        <w:spacing w:line="249" w:lineRule="auto"/>
        <w:rPr>
          <w:rFonts w:ascii="Arial"/>
          <w:sz w:val="21"/>
        </w:rPr>
      </w:pPr>
    </w:p>
    <w:p w14:paraId="7C670F7B">
      <w:pPr>
        <w:spacing w:line="249" w:lineRule="auto"/>
        <w:rPr>
          <w:rFonts w:ascii="Arial"/>
          <w:sz w:val="21"/>
        </w:rPr>
      </w:pPr>
    </w:p>
    <w:p w14:paraId="5C3B2EEC">
      <w:pPr>
        <w:spacing w:before="78" w:line="360" w:lineRule="auto"/>
        <w:ind w:left="10" w:right="1"/>
        <w:jc w:val="both"/>
        <w:rPr>
          <w:rFonts w:ascii="宋体" w:hAnsi="宋体" w:eastAsia="宋体" w:cs="宋体"/>
          <w:sz w:val="24"/>
          <w:szCs w:val="24"/>
        </w:rPr>
      </w:pPr>
      <w:r>
        <w:rPr>
          <w:rFonts w:ascii="宋体" w:hAnsi="宋体" w:eastAsia="宋体" w:cs="宋体"/>
          <w:spacing w:val="-2"/>
          <w:sz w:val="24"/>
          <w:szCs w:val="24"/>
        </w:rPr>
        <w:t>主。为降低工程建设对生态保护红线的影响，设计经过多维度论证后选择对生态保护红线影响最小的路径方案，并通过优化塔基布设的方式尽量减少生态保护红线内土地占用面积。最终拟定的线路方案无法完全避让分布较密集的生态保护红线。</w:t>
      </w:r>
    </w:p>
    <w:p w14:paraId="116A6BCC">
      <w:pPr>
        <w:spacing w:line="360" w:lineRule="auto"/>
        <w:ind w:left="10" w:right="1" w:firstLine="480"/>
        <w:rPr>
          <w:rFonts w:ascii="宋体" w:hAnsi="宋体" w:eastAsia="宋体" w:cs="宋体"/>
          <w:sz w:val="24"/>
          <w:szCs w:val="24"/>
        </w:rPr>
      </w:pPr>
      <w:r>
        <w:rPr>
          <w:rFonts w:ascii="宋体" w:hAnsi="宋体" w:eastAsia="宋体" w:cs="宋体"/>
          <w:spacing w:val="-2"/>
          <w:sz w:val="24"/>
          <w:szCs w:val="24"/>
        </w:rPr>
        <w:t>本工程输电线路尽可能避让了呈块状分布的生态保护红线密集区，尽可能从生态保</w:t>
      </w:r>
      <w:r>
        <w:rPr>
          <w:rFonts w:ascii="宋体" w:hAnsi="宋体" w:eastAsia="宋体" w:cs="宋体"/>
          <w:spacing w:val="-1"/>
          <w:sz w:val="24"/>
          <w:szCs w:val="24"/>
        </w:rPr>
        <w:t>护红线零星分布区域或间隙通过，最大限度减小</w:t>
      </w:r>
      <w:r>
        <w:rPr>
          <w:rFonts w:ascii="宋体" w:hAnsi="宋体" w:eastAsia="宋体" w:cs="宋体"/>
          <w:spacing w:val="-2"/>
          <w:sz w:val="24"/>
          <w:szCs w:val="24"/>
        </w:rPr>
        <w:t>了对生态保护红线的影响。</w:t>
      </w:r>
    </w:p>
    <w:p w14:paraId="4D6B7F47">
      <w:pPr>
        <w:spacing w:line="326" w:lineRule="auto"/>
        <w:ind w:left="9" w:right="4" w:firstLine="480"/>
        <w:rPr>
          <w:rFonts w:ascii="宋体" w:hAnsi="宋体" w:eastAsia="宋体" w:cs="宋体"/>
          <w:sz w:val="24"/>
          <w:szCs w:val="24"/>
        </w:rPr>
      </w:pPr>
      <w:r>
        <w:rPr>
          <w:rFonts w:ascii="宋体" w:hAnsi="宋体" w:eastAsia="宋体" w:cs="宋体"/>
          <w:spacing w:val="-2"/>
          <w:sz w:val="24"/>
          <w:szCs w:val="24"/>
        </w:rPr>
        <w:t>根据分析，本工程建设不属于大规模连片开发，仅塔基基础占用土地，对沿线生态环境的扰动较小，不损害生态系统的稳定性和完整性。</w:t>
      </w:r>
    </w:p>
    <w:p w14:paraId="4FC37577">
      <w:pPr>
        <w:spacing w:line="5872" w:lineRule="exact"/>
        <w:ind w:firstLine="394"/>
      </w:pPr>
      <w:r>
        <w:rPr>
          <w:position w:val="-117"/>
        </w:rPr>
        <w:drawing>
          <wp:inline distT="0" distB="0" distL="0" distR="0">
            <wp:extent cx="5274310" cy="3728720"/>
            <wp:effectExtent l="0" t="0" r="0" b="0"/>
            <wp:docPr id="180" name="IM 180"/>
            <wp:cNvGraphicFramePr/>
            <a:graphic xmlns:a="http://schemas.openxmlformats.org/drawingml/2006/main">
              <a:graphicData uri="http://schemas.openxmlformats.org/drawingml/2006/picture">
                <pic:pic xmlns:pic="http://schemas.openxmlformats.org/drawingml/2006/picture">
                  <pic:nvPicPr>
                    <pic:cNvPr id="180" name="IM 180"/>
                    <pic:cNvPicPr/>
                  </pic:nvPicPr>
                  <pic:blipFill>
                    <a:blip r:embed="rId274"/>
                    <a:stretch>
                      <a:fillRect/>
                    </a:stretch>
                  </pic:blipFill>
                  <pic:spPr>
                    <a:xfrm>
                      <a:off x="0" y="0"/>
                      <a:ext cx="5274944" cy="3729354"/>
                    </a:xfrm>
                    <a:prstGeom prst="rect">
                      <a:avLst/>
                    </a:prstGeom>
                  </pic:spPr>
                </pic:pic>
              </a:graphicData>
            </a:graphic>
          </wp:inline>
        </w:drawing>
      </w:r>
    </w:p>
    <w:p w14:paraId="5E14CA93">
      <w:pPr>
        <w:spacing w:before="156" w:line="235" w:lineRule="auto"/>
        <w:ind w:left="2607"/>
        <w:rPr>
          <w:rFonts w:ascii="宋体" w:hAnsi="宋体" w:eastAsia="宋体" w:cs="宋体"/>
          <w:sz w:val="21"/>
          <w:szCs w:val="21"/>
        </w:rPr>
      </w:pPr>
      <w:r>
        <w:rPr>
          <w:rFonts w:ascii="宋体" w:hAnsi="宋体" w:eastAsia="宋体" w:cs="宋体"/>
          <w:b/>
          <w:bCs/>
          <w:spacing w:val="-3"/>
          <w:sz w:val="21"/>
          <w:szCs w:val="21"/>
        </w:rPr>
        <w:t>图</w:t>
      </w:r>
      <w:r>
        <w:rPr>
          <w:rFonts w:ascii="宋体" w:hAnsi="宋体" w:eastAsia="宋体" w:cs="宋体"/>
          <w:spacing w:val="-32"/>
          <w:sz w:val="21"/>
          <w:szCs w:val="21"/>
        </w:rPr>
        <w:t xml:space="preserve"> </w:t>
      </w:r>
      <w:r>
        <w:rPr>
          <w:rFonts w:ascii="Times New Roman" w:hAnsi="Times New Roman" w:eastAsia="Times New Roman" w:cs="Times New Roman"/>
          <w:b/>
          <w:bCs/>
          <w:spacing w:val="-3"/>
          <w:sz w:val="21"/>
          <w:szCs w:val="21"/>
        </w:rPr>
        <w:t xml:space="preserve">2-3    </w:t>
      </w:r>
      <w:r>
        <w:rPr>
          <w:rFonts w:ascii="宋体" w:hAnsi="宋体" w:eastAsia="宋体" w:cs="宋体"/>
          <w:b/>
          <w:bCs/>
          <w:spacing w:val="-3"/>
          <w:sz w:val="21"/>
          <w:szCs w:val="21"/>
        </w:rPr>
        <w:t>项目与沿线生态保护红线位置关系</w:t>
      </w:r>
    </w:p>
    <w:p w14:paraId="7551380D">
      <w:pPr>
        <w:spacing w:before="124" w:line="229" w:lineRule="auto"/>
        <w:ind w:left="2215"/>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1"/>
          <w:sz w:val="21"/>
          <w:szCs w:val="21"/>
        </w:rPr>
        <w:t xml:space="preserve"> </w:t>
      </w:r>
      <w:r>
        <w:rPr>
          <w:rFonts w:ascii="Times New Roman" w:hAnsi="Times New Roman" w:eastAsia="Times New Roman" w:cs="Times New Roman"/>
          <w:b/>
          <w:bCs/>
          <w:spacing w:val="-2"/>
          <w:sz w:val="21"/>
          <w:szCs w:val="21"/>
        </w:rPr>
        <w:t xml:space="preserve">2-14    </w:t>
      </w:r>
      <w:r>
        <w:rPr>
          <w:rFonts w:ascii="宋体" w:hAnsi="宋体" w:eastAsia="宋体" w:cs="宋体"/>
          <w:b/>
          <w:bCs/>
          <w:spacing w:val="-2"/>
          <w:sz w:val="21"/>
          <w:szCs w:val="21"/>
        </w:rPr>
        <w:t>生态保护红线内塔基占用植被现状一览表</w:t>
      </w: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3"/>
        <w:gridCol w:w="1701"/>
        <w:gridCol w:w="1840"/>
        <w:gridCol w:w="4534"/>
      </w:tblGrid>
      <w:tr w14:paraId="32D091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993" w:type="dxa"/>
            <w:vAlign w:val="top"/>
          </w:tcPr>
          <w:p w14:paraId="513E2D73">
            <w:pPr>
              <w:pStyle w:val="6"/>
              <w:spacing w:before="55" w:line="223" w:lineRule="auto"/>
              <w:ind w:left="185"/>
            </w:pPr>
            <w:r>
              <w:rPr>
                <w:b/>
                <w:bCs/>
                <w:spacing w:val="-4"/>
              </w:rPr>
              <w:t>塔基点</w:t>
            </w:r>
          </w:p>
        </w:tc>
        <w:tc>
          <w:tcPr>
            <w:tcW w:w="1701" w:type="dxa"/>
            <w:vAlign w:val="top"/>
          </w:tcPr>
          <w:p w14:paraId="4F597E2F">
            <w:pPr>
              <w:pStyle w:val="6"/>
              <w:spacing w:before="55" w:line="221" w:lineRule="auto"/>
              <w:ind w:left="642"/>
            </w:pPr>
            <w:r>
              <w:rPr>
                <w:b/>
                <w:bCs/>
                <w:spacing w:val="-4"/>
              </w:rPr>
              <w:t>类型</w:t>
            </w:r>
          </w:p>
        </w:tc>
        <w:tc>
          <w:tcPr>
            <w:tcW w:w="6374" w:type="dxa"/>
            <w:gridSpan w:val="2"/>
            <w:vAlign w:val="top"/>
          </w:tcPr>
          <w:p w14:paraId="47D1F69B">
            <w:pPr>
              <w:pStyle w:val="6"/>
              <w:spacing w:before="55" w:line="221" w:lineRule="auto"/>
              <w:ind w:left="2030"/>
            </w:pPr>
            <w:r>
              <w:rPr>
                <w:b/>
                <w:bCs/>
                <w:spacing w:val="-3"/>
              </w:rPr>
              <w:t>主要物种及塔基植被照片</w:t>
            </w:r>
          </w:p>
        </w:tc>
      </w:tr>
      <w:tr w14:paraId="5C227D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4" w:hRule="atLeast"/>
        </w:trPr>
        <w:tc>
          <w:tcPr>
            <w:tcW w:w="993" w:type="dxa"/>
            <w:vAlign w:val="top"/>
          </w:tcPr>
          <w:p w14:paraId="09DF3F56">
            <w:pPr>
              <w:spacing w:line="279" w:lineRule="auto"/>
              <w:rPr>
                <w:rFonts w:ascii="Arial"/>
                <w:sz w:val="21"/>
              </w:rPr>
            </w:pPr>
          </w:p>
          <w:p w14:paraId="69E18282">
            <w:pPr>
              <w:spacing w:line="279" w:lineRule="auto"/>
              <w:rPr>
                <w:rFonts w:ascii="Arial"/>
                <w:sz w:val="21"/>
              </w:rPr>
            </w:pPr>
          </w:p>
          <w:p w14:paraId="725AF949">
            <w:pPr>
              <w:spacing w:line="279" w:lineRule="auto"/>
              <w:rPr>
                <w:rFonts w:ascii="Arial"/>
                <w:sz w:val="21"/>
              </w:rPr>
            </w:pPr>
          </w:p>
          <w:p w14:paraId="62F58274">
            <w:pPr>
              <w:spacing w:line="280" w:lineRule="auto"/>
              <w:rPr>
                <w:rFonts w:ascii="Arial"/>
                <w:sz w:val="21"/>
              </w:rPr>
            </w:pPr>
          </w:p>
          <w:p w14:paraId="74F0D554">
            <w:pPr>
              <w:spacing w:before="60" w:line="189" w:lineRule="auto"/>
              <w:ind w:left="38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E4</w:t>
            </w:r>
          </w:p>
        </w:tc>
        <w:tc>
          <w:tcPr>
            <w:tcW w:w="1701" w:type="dxa"/>
            <w:vAlign w:val="top"/>
          </w:tcPr>
          <w:p w14:paraId="293DE93F">
            <w:pPr>
              <w:spacing w:line="305" w:lineRule="auto"/>
              <w:rPr>
                <w:rFonts w:ascii="Arial"/>
                <w:sz w:val="21"/>
              </w:rPr>
            </w:pPr>
          </w:p>
          <w:p w14:paraId="0DF6EA46">
            <w:pPr>
              <w:spacing w:line="306" w:lineRule="auto"/>
              <w:rPr>
                <w:rFonts w:ascii="Arial"/>
                <w:sz w:val="21"/>
              </w:rPr>
            </w:pPr>
          </w:p>
          <w:p w14:paraId="13EDEAF8">
            <w:pPr>
              <w:spacing w:line="306" w:lineRule="auto"/>
              <w:rPr>
                <w:rFonts w:ascii="Arial"/>
                <w:sz w:val="21"/>
              </w:rPr>
            </w:pPr>
          </w:p>
          <w:p w14:paraId="32082B6C">
            <w:pPr>
              <w:pStyle w:val="6"/>
              <w:spacing w:before="68" w:line="283" w:lineRule="auto"/>
              <w:ind w:left="748" w:right="111" w:hanging="621"/>
            </w:pPr>
            <w:r>
              <w:rPr>
                <w:spacing w:val="-2"/>
              </w:rPr>
              <w:t>暖温性稀树灌草</w:t>
            </w:r>
            <w:r>
              <w:t>丛</w:t>
            </w:r>
          </w:p>
        </w:tc>
        <w:tc>
          <w:tcPr>
            <w:tcW w:w="1840" w:type="dxa"/>
            <w:vAlign w:val="top"/>
          </w:tcPr>
          <w:p w14:paraId="344BEFEE">
            <w:pPr>
              <w:spacing w:line="253" w:lineRule="auto"/>
              <w:rPr>
                <w:rFonts w:ascii="Arial"/>
                <w:sz w:val="21"/>
              </w:rPr>
            </w:pPr>
          </w:p>
          <w:p w14:paraId="10D44D17">
            <w:pPr>
              <w:spacing w:line="254" w:lineRule="auto"/>
              <w:rPr>
                <w:rFonts w:ascii="Arial"/>
                <w:sz w:val="21"/>
              </w:rPr>
            </w:pPr>
          </w:p>
          <w:p w14:paraId="2F5241A1">
            <w:pPr>
              <w:spacing w:line="254" w:lineRule="auto"/>
              <w:rPr>
                <w:rFonts w:ascii="Arial"/>
                <w:sz w:val="21"/>
              </w:rPr>
            </w:pPr>
          </w:p>
          <w:p w14:paraId="4B93096E">
            <w:pPr>
              <w:pStyle w:val="6"/>
              <w:spacing w:before="68" w:line="276" w:lineRule="auto"/>
              <w:ind w:left="187" w:right="182" w:firstLine="30"/>
              <w:jc w:val="both"/>
            </w:pPr>
            <w:r>
              <w:rPr>
                <w:spacing w:val="-6"/>
              </w:rPr>
              <w:t>白健秆、粉背黄</w:t>
            </w:r>
            <w:r>
              <w:rPr>
                <w:spacing w:val="-1"/>
              </w:rPr>
              <w:t>栌、白茅、拉拉藤、云南兔儿风</w:t>
            </w:r>
          </w:p>
        </w:tc>
        <w:tc>
          <w:tcPr>
            <w:tcW w:w="4534" w:type="dxa"/>
            <w:vAlign w:val="top"/>
          </w:tcPr>
          <w:p w14:paraId="703AA56F">
            <w:pPr>
              <w:spacing w:before="58" w:line="2381" w:lineRule="exact"/>
              <w:ind w:firstLine="277"/>
            </w:pPr>
            <w:r>
              <w:rPr>
                <w:position w:val="-47"/>
              </w:rPr>
              <w:drawing>
                <wp:inline distT="0" distB="0" distL="0" distR="0">
                  <wp:extent cx="2519045" cy="1511300"/>
                  <wp:effectExtent l="0" t="0" r="0" b="0"/>
                  <wp:docPr id="182" name="IM 182"/>
                  <wp:cNvGraphicFramePr/>
                  <a:graphic xmlns:a="http://schemas.openxmlformats.org/drawingml/2006/main">
                    <a:graphicData uri="http://schemas.openxmlformats.org/drawingml/2006/picture">
                      <pic:pic xmlns:pic="http://schemas.openxmlformats.org/drawingml/2006/picture">
                        <pic:nvPicPr>
                          <pic:cNvPr id="182" name="IM 182"/>
                          <pic:cNvPicPr/>
                        </pic:nvPicPr>
                        <pic:blipFill>
                          <a:blip r:embed="rId275"/>
                          <a:stretch>
                            <a:fillRect/>
                          </a:stretch>
                        </pic:blipFill>
                        <pic:spPr>
                          <a:xfrm>
                            <a:off x="0" y="0"/>
                            <a:ext cx="2519679" cy="1511808"/>
                          </a:xfrm>
                          <a:prstGeom prst="rect">
                            <a:avLst/>
                          </a:prstGeom>
                        </pic:spPr>
                      </pic:pic>
                    </a:graphicData>
                  </a:graphic>
                </wp:inline>
              </w:drawing>
            </w:r>
          </w:p>
        </w:tc>
      </w:tr>
    </w:tbl>
    <w:p w14:paraId="7566DEF2">
      <w:pPr>
        <w:rPr>
          <w:rFonts w:ascii="Arial"/>
          <w:sz w:val="21"/>
        </w:rPr>
      </w:pPr>
    </w:p>
    <w:p w14:paraId="5604EE20">
      <w:pPr>
        <w:rPr>
          <w:rFonts w:ascii="Arial" w:hAnsi="Arial" w:eastAsia="Arial" w:cs="Arial"/>
          <w:sz w:val="21"/>
          <w:szCs w:val="21"/>
        </w:rPr>
        <w:sectPr>
          <w:footerReference r:id="rId176" w:type="default"/>
          <w:pgSz w:w="11907" w:h="16841"/>
          <w:pgMar w:top="400" w:right="1413" w:bottom="1126" w:left="1418" w:header="0" w:footer="925" w:gutter="0"/>
          <w:cols w:space="720" w:num="1"/>
        </w:sectPr>
      </w:pPr>
    </w:p>
    <w:p w14:paraId="08E6646D">
      <w:pPr>
        <w:spacing w:before="2"/>
      </w:pPr>
    </w:p>
    <w:p w14:paraId="7B74FB46">
      <w:pPr>
        <w:spacing w:before="2"/>
      </w:pPr>
    </w:p>
    <w:p w14:paraId="31319E2B">
      <w:pPr>
        <w:spacing w:before="1"/>
      </w:pPr>
    </w:p>
    <w:p w14:paraId="5148EC49">
      <w:pPr>
        <w:spacing w:before="1"/>
      </w:pPr>
    </w:p>
    <w:p w14:paraId="7AA1B3D0">
      <w:pPr>
        <w:spacing w:before="1"/>
      </w:pP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3"/>
        <w:gridCol w:w="1701"/>
        <w:gridCol w:w="1840"/>
        <w:gridCol w:w="4534"/>
      </w:tblGrid>
      <w:tr w14:paraId="1DE2E9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5" w:hRule="atLeast"/>
        </w:trPr>
        <w:tc>
          <w:tcPr>
            <w:tcW w:w="993" w:type="dxa"/>
            <w:vAlign w:val="top"/>
          </w:tcPr>
          <w:p w14:paraId="6C6A9C1F">
            <w:pPr>
              <w:spacing w:line="278" w:lineRule="auto"/>
              <w:rPr>
                <w:rFonts w:ascii="Arial"/>
                <w:sz w:val="21"/>
              </w:rPr>
            </w:pPr>
          </w:p>
          <w:p w14:paraId="6D5F82A3">
            <w:pPr>
              <w:spacing w:line="279" w:lineRule="auto"/>
              <w:rPr>
                <w:rFonts w:ascii="Arial"/>
                <w:sz w:val="21"/>
              </w:rPr>
            </w:pPr>
          </w:p>
          <w:p w14:paraId="637E7890">
            <w:pPr>
              <w:spacing w:line="279" w:lineRule="auto"/>
              <w:rPr>
                <w:rFonts w:ascii="Arial"/>
                <w:sz w:val="21"/>
              </w:rPr>
            </w:pPr>
          </w:p>
          <w:p w14:paraId="1A064CB7">
            <w:pPr>
              <w:spacing w:line="279" w:lineRule="auto"/>
              <w:rPr>
                <w:rFonts w:ascii="Arial"/>
                <w:sz w:val="21"/>
              </w:rPr>
            </w:pPr>
          </w:p>
          <w:p w14:paraId="317D6DF1">
            <w:pPr>
              <w:spacing w:before="61" w:line="234" w:lineRule="auto"/>
              <w:ind w:left="38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E5</w:t>
            </w:r>
          </w:p>
        </w:tc>
        <w:tc>
          <w:tcPr>
            <w:tcW w:w="1701" w:type="dxa"/>
            <w:vAlign w:val="top"/>
          </w:tcPr>
          <w:p w14:paraId="64CF1CD2">
            <w:pPr>
              <w:spacing w:line="268" w:lineRule="auto"/>
              <w:rPr>
                <w:rFonts w:ascii="Arial"/>
                <w:sz w:val="21"/>
              </w:rPr>
            </w:pPr>
          </w:p>
          <w:p w14:paraId="46270947">
            <w:pPr>
              <w:spacing w:line="268" w:lineRule="auto"/>
              <w:rPr>
                <w:rFonts w:ascii="Arial"/>
                <w:sz w:val="21"/>
              </w:rPr>
            </w:pPr>
          </w:p>
          <w:p w14:paraId="753AFF1D">
            <w:pPr>
              <w:spacing w:line="268" w:lineRule="auto"/>
              <w:rPr>
                <w:rFonts w:ascii="Arial"/>
                <w:sz w:val="21"/>
              </w:rPr>
            </w:pPr>
          </w:p>
          <w:p w14:paraId="5B259686">
            <w:pPr>
              <w:spacing w:line="269" w:lineRule="auto"/>
              <w:rPr>
                <w:rFonts w:ascii="Arial"/>
                <w:sz w:val="21"/>
              </w:rPr>
            </w:pPr>
          </w:p>
          <w:p w14:paraId="50B8DB11">
            <w:pPr>
              <w:pStyle w:val="6"/>
              <w:spacing w:before="68" w:line="221" w:lineRule="auto"/>
              <w:ind w:left="232"/>
            </w:pPr>
            <w:r>
              <w:rPr>
                <w:spacing w:val="-3"/>
              </w:rPr>
              <w:t>暖温性针叶林</w:t>
            </w:r>
          </w:p>
        </w:tc>
        <w:tc>
          <w:tcPr>
            <w:tcW w:w="1840" w:type="dxa"/>
            <w:vAlign w:val="top"/>
          </w:tcPr>
          <w:p w14:paraId="6A9C3445">
            <w:pPr>
              <w:spacing w:line="268" w:lineRule="auto"/>
              <w:rPr>
                <w:rFonts w:ascii="Arial"/>
                <w:sz w:val="21"/>
              </w:rPr>
            </w:pPr>
          </w:p>
          <w:p w14:paraId="314CE9EF">
            <w:pPr>
              <w:spacing w:line="268" w:lineRule="auto"/>
              <w:rPr>
                <w:rFonts w:ascii="Arial"/>
                <w:sz w:val="21"/>
              </w:rPr>
            </w:pPr>
          </w:p>
          <w:p w14:paraId="07B9AE82">
            <w:pPr>
              <w:spacing w:line="268" w:lineRule="auto"/>
              <w:rPr>
                <w:rFonts w:ascii="Arial"/>
                <w:sz w:val="21"/>
              </w:rPr>
            </w:pPr>
          </w:p>
          <w:p w14:paraId="22780326">
            <w:pPr>
              <w:spacing w:line="269" w:lineRule="auto"/>
              <w:rPr>
                <w:rFonts w:ascii="Arial"/>
                <w:sz w:val="21"/>
              </w:rPr>
            </w:pPr>
          </w:p>
          <w:p w14:paraId="66AEA4AF">
            <w:pPr>
              <w:pStyle w:val="6"/>
              <w:spacing w:before="68" w:line="221" w:lineRule="auto"/>
              <w:ind w:left="613"/>
            </w:pPr>
            <w:r>
              <w:rPr>
                <w:spacing w:val="-3"/>
              </w:rPr>
              <w:t>云南松</w:t>
            </w:r>
          </w:p>
        </w:tc>
        <w:tc>
          <w:tcPr>
            <w:tcW w:w="4534" w:type="dxa"/>
            <w:vAlign w:val="top"/>
          </w:tcPr>
          <w:p w14:paraId="2BCAE094">
            <w:pPr>
              <w:spacing w:before="63" w:line="2380" w:lineRule="exact"/>
              <w:ind w:firstLine="277"/>
            </w:pPr>
            <w:r>
              <w:rPr>
                <w:position w:val="-47"/>
              </w:rPr>
              <w:drawing>
                <wp:inline distT="0" distB="0" distL="0" distR="0">
                  <wp:extent cx="2519045" cy="1511300"/>
                  <wp:effectExtent l="0" t="0" r="0" b="0"/>
                  <wp:docPr id="184" name="IM 184"/>
                  <wp:cNvGraphicFramePr/>
                  <a:graphic xmlns:a="http://schemas.openxmlformats.org/drawingml/2006/main">
                    <a:graphicData uri="http://schemas.openxmlformats.org/drawingml/2006/picture">
                      <pic:pic xmlns:pic="http://schemas.openxmlformats.org/drawingml/2006/picture">
                        <pic:nvPicPr>
                          <pic:cNvPr id="184" name="IM 184"/>
                          <pic:cNvPicPr/>
                        </pic:nvPicPr>
                        <pic:blipFill>
                          <a:blip r:embed="rId276"/>
                          <a:stretch>
                            <a:fillRect/>
                          </a:stretch>
                        </pic:blipFill>
                        <pic:spPr>
                          <a:xfrm>
                            <a:off x="0" y="0"/>
                            <a:ext cx="2519679" cy="1511807"/>
                          </a:xfrm>
                          <a:prstGeom prst="rect">
                            <a:avLst/>
                          </a:prstGeom>
                        </pic:spPr>
                      </pic:pic>
                    </a:graphicData>
                  </a:graphic>
                </wp:inline>
              </w:drawing>
            </w:r>
          </w:p>
        </w:tc>
      </w:tr>
      <w:tr w14:paraId="10C612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2" w:hRule="atLeast"/>
        </w:trPr>
        <w:tc>
          <w:tcPr>
            <w:tcW w:w="993" w:type="dxa"/>
            <w:vAlign w:val="top"/>
          </w:tcPr>
          <w:p w14:paraId="00AB84DB">
            <w:pPr>
              <w:spacing w:line="278" w:lineRule="auto"/>
              <w:rPr>
                <w:rFonts w:ascii="Arial"/>
                <w:sz w:val="21"/>
              </w:rPr>
            </w:pPr>
          </w:p>
          <w:p w14:paraId="4E051B54">
            <w:pPr>
              <w:spacing w:line="278" w:lineRule="auto"/>
              <w:rPr>
                <w:rFonts w:ascii="Arial"/>
                <w:sz w:val="21"/>
              </w:rPr>
            </w:pPr>
          </w:p>
          <w:p w14:paraId="62FA2076">
            <w:pPr>
              <w:spacing w:line="279" w:lineRule="auto"/>
              <w:rPr>
                <w:rFonts w:ascii="Arial"/>
                <w:sz w:val="21"/>
              </w:rPr>
            </w:pPr>
          </w:p>
          <w:p w14:paraId="403677D6">
            <w:pPr>
              <w:spacing w:line="279" w:lineRule="auto"/>
              <w:rPr>
                <w:rFonts w:ascii="Arial"/>
                <w:sz w:val="21"/>
              </w:rPr>
            </w:pPr>
          </w:p>
          <w:p w14:paraId="04057373">
            <w:pPr>
              <w:spacing w:before="61" w:line="236" w:lineRule="auto"/>
              <w:ind w:left="32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E12</w:t>
            </w:r>
          </w:p>
        </w:tc>
        <w:tc>
          <w:tcPr>
            <w:tcW w:w="1701" w:type="dxa"/>
            <w:vAlign w:val="top"/>
          </w:tcPr>
          <w:p w14:paraId="68FDADE4">
            <w:pPr>
              <w:spacing w:line="267" w:lineRule="auto"/>
              <w:rPr>
                <w:rFonts w:ascii="Arial"/>
                <w:sz w:val="21"/>
              </w:rPr>
            </w:pPr>
          </w:p>
          <w:p w14:paraId="341FAADF">
            <w:pPr>
              <w:spacing w:line="268" w:lineRule="auto"/>
              <w:rPr>
                <w:rFonts w:ascii="Arial"/>
                <w:sz w:val="21"/>
              </w:rPr>
            </w:pPr>
          </w:p>
          <w:p w14:paraId="7480DEF5">
            <w:pPr>
              <w:spacing w:line="268" w:lineRule="auto"/>
              <w:rPr>
                <w:rFonts w:ascii="Arial"/>
                <w:sz w:val="21"/>
              </w:rPr>
            </w:pPr>
          </w:p>
          <w:p w14:paraId="555607DE">
            <w:pPr>
              <w:spacing w:line="268" w:lineRule="auto"/>
              <w:rPr>
                <w:rFonts w:ascii="Arial"/>
                <w:sz w:val="21"/>
              </w:rPr>
            </w:pPr>
          </w:p>
          <w:p w14:paraId="35D978F7">
            <w:pPr>
              <w:pStyle w:val="6"/>
              <w:spacing w:before="68" w:line="221" w:lineRule="auto"/>
              <w:ind w:left="232"/>
            </w:pPr>
            <w:r>
              <w:rPr>
                <w:spacing w:val="-3"/>
              </w:rPr>
              <w:t>暖温性针叶林</w:t>
            </w:r>
          </w:p>
        </w:tc>
        <w:tc>
          <w:tcPr>
            <w:tcW w:w="1840" w:type="dxa"/>
            <w:vAlign w:val="top"/>
          </w:tcPr>
          <w:p w14:paraId="1E53FCF6">
            <w:pPr>
              <w:spacing w:line="267" w:lineRule="auto"/>
              <w:rPr>
                <w:rFonts w:ascii="Arial"/>
                <w:sz w:val="21"/>
              </w:rPr>
            </w:pPr>
          </w:p>
          <w:p w14:paraId="0188A5EA">
            <w:pPr>
              <w:spacing w:line="268" w:lineRule="auto"/>
              <w:rPr>
                <w:rFonts w:ascii="Arial"/>
                <w:sz w:val="21"/>
              </w:rPr>
            </w:pPr>
          </w:p>
          <w:p w14:paraId="16ACD314">
            <w:pPr>
              <w:spacing w:line="268" w:lineRule="auto"/>
              <w:rPr>
                <w:rFonts w:ascii="Arial"/>
                <w:sz w:val="21"/>
              </w:rPr>
            </w:pPr>
          </w:p>
          <w:p w14:paraId="7B544C41">
            <w:pPr>
              <w:spacing w:line="268" w:lineRule="auto"/>
              <w:rPr>
                <w:rFonts w:ascii="Arial"/>
                <w:sz w:val="21"/>
              </w:rPr>
            </w:pPr>
          </w:p>
          <w:p w14:paraId="16203B70">
            <w:pPr>
              <w:pStyle w:val="6"/>
              <w:spacing w:before="68" w:line="221" w:lineRule="auto"/>
              <w:ind w:left="298"/>
            </w:pPr>
            <w:r>
              <w:rPr>
                <w:spacing w:val="-2"/>
              </w:rPr>
              <w:t>云南松、铁仔</w:t>
            </w:r>
          </w:p>
        </w:tc>
        <w:tc>
          <w:tcPr>
            <w:tcW w:w="4534" w:type="dxa"/>
            <w:vAlign w:val="top"/>
          </w:tcPr>
          <w:p w14:paraId="7B271FC1">
            <w:pPr>
              <w:spacing w:before="59" w:line="2380" w:lineRule="exact"/>
              <w:ind w:firstLine="277"/>
            </w:pPr>
            <w:r>
              <w:rPr>
                <w:position w:val="-47"/>
              </w:rPr>
              <w:drawing>
                <wp:inline distT="0" distB="0" distL="0" distR="0">
                  <wp:extent cx="2519045" cy="1511300"/>
                  <wp:effectExtent l="0" t="0" r="0" b="0"/>
                  <wp:docPr id="186" name="IM 186"/>
                  <wp:cNvGraphicFramePr/>
                  <a:graphic xmlns:a="http://schemas.openxmlformats.org/drawingml/2006/main">
                    <a:graphicData uri="http://schemas.openxmlformats.org/drawingml/2006/picture">
                      <pic:pic xmlns:pic="http://schemas.openxmlformats.org/drawingml/2006/picture">
                        <pic:nvPicPr>
                          <pic:cNvPr id="186" name="IM 186"/>
                          <pic:cNvPicPr/>
                        </pic:nvPicPr>
                        <pic:blipFill>
                          <a:blip r:embed="rId277"/>
                          <a:stretch>
                            <a:fillRect/>
                          </a:stretch>
                        </pic:blipFill>
                        <pic:spPr>
                          <a:xfrm>
                            <a:off x="0" y="0"/>
                            <a:ext cx="2519679" cy="1511807"/>
                          </a:xfrm>
                          <a:prstGeom prst="rect">
                            <a:avLst/>
                          </a:prstGeom>
                        </pic:spPr>
                      </pic:pic>
                    </a:graphicData>
                  </a:graphic>
                </wp:inline>
              </w:drawing>
            </w:r>
          </w:p>
        </w:tc>
      </w:tr>
      <w:tr w14:paraId="49FD00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0" w:hRule="atLeast"/>
        </w:trPr>
        <w:tc>
          <w:tcPr>
            <w:tcW w:w="993" w:type="dxa"/>
            <w:vAlign w:val="top"/>
          </w:tcPr>
          <w:p w14:paraId="4ACED5AA">
            <w:pPr>
              <w:spacing w:line="278" w:lineRule="auto"/>
              <w:rPr>
                <w:rFonts w:ascii="Arial"/>
                <w:sz w:val="21"/>
              </w:rPr>
            </w:pPr>
          </w:p>
          <w:p w14:paraId="45477634">
            <w:pPr>
              <w:spacing w:line="278" w:lineRule="auto"/>
              <w:rPr>
                <w:rFonts w:ascii="Arial"/>
                <w:sz w:val="21"/>
              </w:rPr>
            </w:pPr>
          </w:p>
          <w:p w14:paraId="7CD81502">
            <w:pPr>
              <w:spacing w:line="278" w:lineRule="auto"/>
              <w:rPr>
                <w:rFonts w:ascii="Arial"/>
                <w:sz w:val="21"/>
              </w:rPr>
            </w:pPr>
          </w:p>
          <w:p w14:paraId="1B8EB30B">
            <w:pPr>
              <w:spacing w:line="278" w:lineRule="auto"/>
              <w:rPr>
                <w:rFonts w:ascii="Arial"/>
                <w:sz w:val="21"/>
              </w:rPr>
            </w:pPr>
          </w:p>
          <w:p w14:paraId="1AC96330">
            <w:pPr>
              <w:spacing w:before="61" w:line="234" w:lineRule="auto"/>
              <w:ind w:left="32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E13</w:t>
            </w:r>
          </w:p>
        </w:tc>
        <w:tc>
          <w:tcPr>
            <w:tcW w:w="1701" w:type="dxa"/>
            <w:vAlign w:val="top"/>
          </w:tcPr>
          <w:p w14:paraId="74E7D78E">
            <w:pPr>
              <w:spacing w:line="267" w:lineRule="auto"/>
              <w:rPr>
                <w:rFonts w:ascii="Arial"/>
                <w:sz w:val="21"/>
              </w:rPr>
            </w:pPr>
          </w:p>
          <w:p w14:paraId="49EEA39D">
            <w:pPr>
              <w:spacing w:line="267" w:lineRule="auto"/>
              <w:rPr>
                <w:rFonts w:ascii="Arial"/>
                <w:sz w:val="21"/>
              </w:rPr>
            </w:pPr>
          </w:p>
          <w:p w14:paraId="0C21A2CC">
            <w:pPr>
              <w:spacing w:line="268" w:lineRule="auto"/>
              <w:rPr>
                <w:rFonts w:ascii="Arial"/>
                <w:sz w:val="21"/>
              </w:rPr>
            </w:pPr>
          </w:p>
          <w:p w14:paraId="55AEB834">
            <w:pPr>
              <w:spacing w:line="268" w:lineRule="auto"/>
              <w:rPr>
                <w:rFonts w:ascii="Arial"/>
                <w:sz w:val="21"/>
              </w:rPr>
            </w:pPr>
          </w:p>
          <w:p w14:paraId="12038C24">
            <w:pPr>
              <w:pStyle w:val="6"/>
              <w:spacing w:before="68" w:line="221" w:lineRule="auto"/>
              <w:ind w:left="232"/>
            </w:pPr>
            <w:r>
              <w:rPr>
                <w:spacing w:val="-3"/>
              </w:rPr>
              <w:t>暖温性针叶林</w:t>
            </w:r>
          </w:p>
        </w:tc>
        <w:tc>
          <w:tcPr>
            <w:tcW w:w="1840" w:type="dxa"/>
            <w:vAlign w:val="top"/>
          </w:tcPr>
          <w:p w14:paraId="1EBD93F1">
            <w:pPr>
              <w:spacing w:line="267" w:lineRule="auto"/>
              <w:rPr>
                <w:rFonts w:ascii="Arial"/>
                <w:sz w:val="21"/>
              </w:rPr>
            </w:pPr>
          </w:p>
          <w:p w14:paraId="30ACD362">
            <w:pPr>
              <w:spacing w:line="267" w:lineRule="auto"/>
              <w:rPr>
                <w:rFonts w:ascii="Arial"/>
                <w:sz w:val="21"/>
              </w:rPr>
            </w:pPr>
          </w:p>
          <w:p w14:paraId="3CCB1DD2">
            <w:pPr>
              <w:spacing w:line="268" w:lineRule="auto"/>
              <w:rPr>
                <w:rFonts w:ascii="Arial"/>
                <w:sz w:val="21"/>
              </w:rPr>
            </w:pPr>
          </w:p>
          <w:p w14:paraId="783EC1DB">
            <w:pPr>
              <w:spacing w:line="268" w:lineRule="auto"/>
              <w:rPr>
                <w:rFonts w:ascii="Arial"/>
                <w:sz w:val="21"/>
              </w:rPr>
            </w:pPr>
          </w:p>
          <w:p w14:paraId="7EDB26D5">
            <w:pPr>
              <w:pStyle w:val="6"/>
              <w:spacing w:before="68" w:line="221" w:lineRule="auto"/>
              <w:ind w:left="193"/>
            </w:pPr>
            <w:r>
              <w:rPr>
                <w:spacing w:val="-2"/>
              </w:rPr>
              <w:t>云南松、白刺花</w:t>
            </w:r>
          </w:p>
        </w:tc>
        <w:tc>
          <w:tcPr>
            <w:tcW w:w="4534" w:type="dxa"/>
            <w:vAlign w:val="top"/>
          </w:tcPr>
          <w:p w14:paraId="02D616E8">
            <w:pPr>
              <w:spacing w:before="58" w:line="2380" w:lineRule="exact"/>
              <w:ind w:firstLine="277"/>
            </w:pPr>
            <w:r>
              <w:rPr>
                <w:position w:val="-47"/>
              </w:rPr>
              <w:drawing>
                <wp:inline distT="0" distB="0" distL="0" distR="0">
                  <wp:extent cx="2519045" cy="1511300"/>
                  <wp:effectExtent l="0" t="0" r="0" b="0"/>
                  <wp:docPr id="188" name="IM 188"/>
                  <wp:cNvGraphicFramePr/>
                  <a:graphic xmlns:a="http://schemas.openxmlformats.org/drawingml/2006/main">
                    <a:graphicData uri="http://schemas.openxmlformats.org/drawingml/2006/picture">
                      <pic:pic xmlns:pic="http://schemas.openxmlformats.org/drawingml/2006/picture">
                        <pic:nvPicPr>
                          <pic:cNvPr id="188" name="IM 188"/>
                          <pic:cNvPicPr/>
                        </pic:nvPicPr>
                        <pic:blipFill>
                          <a:blip r:embed="rId278"/>
                          <a:stretch>
                            <a:fillRect/>
                          </a:stretch>
                        </pic:blipFill>
                        <pic:spPr>
                          <a:xfrm>
                            <a:off x="0" y="0"/>
                            <a:ext cx="2519679" cy="1511808"/>
                          </a:xfrm>
                          <a:prstGeom prst="rect">
                            <a:avLst/>
                          </a:prstGeom>
                        </pic:spPr>
                      </pic:pic>
                    </a:graphicData>
                  </a:graphic>
                </wp:inline>
              </w:drawing>
            </w:r>
          </w:p>
        </w:tc>
      </w:tr>
      <w:tr w14:paraId="0B1FD3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9" w:hRule="atLeast"/>
        </w:trPr>
        <w:tc>
          <w:tcPr>
            <w:tcW w:w="993" w:type="dxa"/>
            <w:vAlign w:val="top"/>
          </w:tcPr>
          <w:p w14:paraId="714ABBD8">
            <w:pPr>
              <w:spacing w:line="278" w:lineRule="auto"/>
              <w:rPr>
                <w:rFonts w:ascii="Arial"/>
                <w:sz w:val="21"/>
              </w:rPr>
            </w:pPr>
          </w:p>
          <w:p w14:paraId="1A1A3A64">
            <w:pPr>
              <w:spacing w:line="278" w:lineRule="auto"/>
              <w:rPr>
                <w:rFonts w:ascii="Arial"/>
                <w:sz w:val="21"/>
              </w:rPr>
            </w:pPr>
          </w:p>
          <w:p w14:paraId="221E2377">
            <w:pPr>
              <w:spacing w:line="279" w:lineRule="auto"/>
              <w:rPr>
                <w:rFonts w:ascii="Arial"/>
                <w:sz w:val="21"/>
              </w:rPr>
            </w:pPr>
          </w:p>
          <w:p w14:paraId="596336AF">
            <w:pPr>
              <w:spacing w:line="279" w:lineRule="auto"/>
              <w:rPr>
                <w:rFonts w:ascii="Arial"/>
                <w:sz w:val="21"/>
              </w:rPr>
            </w:pPr>
          </w:p>
          <w:p w14:paraId="6441D81E">
            <w:pPr>
              <w:spacing w:before="60" w:line="233" w:lineRule="auto"/>
              <w:ind w:left="32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E17</w:t>
            </w:r>
          </w:p>
        </w:tc>
        <w:tc>
          <w:tcPr>
            <w:tcW w:w="1701" w:type="dxa"/>
            <w:vAlign w:val="top"/>
          </w:tcPr>
          <w:p w14:paraId="4BF31A64">
            <w:pPr>
              <w:spacing w:line="267" w:lineRule="auto"/>
              <w:rPr>
                <w:rFonts w:ascii="Arial"/>
                <w:sz w:val="21"/>
              </w:rPr>
            </w:pPr>
          </w:p>
          <w:p w14:paraId="70BCA48B">
            <w:pPr>
              <w:spacing w:line="268" w:lineRule="auto"/>
              <w:rPr>
                <w:rFonts w:ascii="Arial"/>
                <w:sz w:val="21"/>
              </w:rPr>
            </w:pPr>
          </w:p>
          <w:p w14:paraId="1D1A94CF">
            <w:pPr>
              <w:spacing w:line="268" w:lineRule="auto"/>
              <w:rPr>
                <w:rFonts w:ascii="Arial"/>
                <w:sz w:val="21"/>
              </w:rPr>
            </w:pPr>
          </w:p>
          <w:p w14:paraId="68BA5A06">
            <w:pPr>
              <w:spacing w:line="268" w:lineRule="auto"/>
              <w:rPr>
                <w:rFonts w:ascii="Arial"/>
                <w:sz w:val="21"/>
              </w:rPr>
            </w:pPr>
          </w:p>
          <w:p w14:paraId="49D12969">
            <w:pPr>
              <w:pStyle w:val="6"/>
              <w:spacing w:before="68" w:line="221" w:lineRule="auto"/>
              <w:ind w:left="232"/>
            </w:pPr>
            <w:r>
              <w:rPr>
                <w:spacing w:val="-3"/>
              </w:rPr>
              <w:t>暖温性针叶林</w:t>
            </w:r>
          </w:p>
        </w:tc>
        <w:tc>
          <w:tcPr>
            <w:tcW w:w="1840" w:type="dxa"/>
            <w:vAlign w:val="top"/>
          </w:tcPr>
          <w:p w14:paraId="301865E9">
            <w:pPr>
              <w:spacing w:line="267" w:lineRule="auto"/>
              <w:rPr>
                <w:rFonts w:ascii="Arial"/>
                <w:sz w:val="21"/>
              </w:rPr>
            </w:pPr>
          </w:p>
          <w:p w14:paraId="1D834E0F">
            <w:pPr>
              <w:spacing w:line="268" w:lineRule="auto"/>
              <w:rPr>
                <w:rFonts w:ascii="Arial"/>
                <w:sz w:val="21"/>
              </w:rPr>
            </w:pPr>
          </w:p>
          <w:p w14:paraId="0E3E6381">
            <w:pPr>
              <w:spacing w:line="268" w:lineRule="auto"/>
              <w:rPr>
                <w:rFonts w:ascii="Arial"/>
                <w:sz w:val="21"/>
              </w:rPr>
            </w:pPr>
          </w:p>
          <w:p w14:paraId="6F068A64">
            <w:pPr>
              <w:spacing w:line="268" w:lineRule="auto"/>
              <w:rPr>
                <w:rFonts w:ascii="Arial"/>
                <w:sz w:val="21"/>
              </w:rPr>
            </w:pPr>
          </w:p>
          <w:p w14:paraId="6031EE4A">
            <w:pPr>
              <w:pStyle w:val="6"/>
              <w:spacing w:before="68" w:line="221" w:lineRule="auto"/>
              <w:ind w:left="298"/>
            </w:pPr>
            <w:r>
              <w:rPr>
                <w:spacing w:val="-2"/>
              </w:rPr>
              <w:t>云南松、火棘</w:t>
            </w:r>
          </w:p>
        </w:tc>
        <w:tc>
          <w:tcPr>
            <w:tcW w:w="4534" w:type="dxa"/>
            <w:vAlign w:val="top"/>
          </w:tcPr>
          <w:p w14:paraId="2249A2EC">
            <w:pPr>
              <w:spacing w:before="59" w:line="2380" w:lineRule="exact"/>
              <w:ind w:firstLine="277"/>
            </w:pPr>
            <w:r>
              <w:rPr>
                <w:position w:val="-47"/>
              </w:rPr>
              <w:drawing>
                <wp:inline distT="0" distB="0" distL="0" distR="0">
                  <wp:extent cx="2519045" cy="1511300"/>
                  <wp:effectExtent l="0" t="0" r="0" b="0"/>
                  <wp:docPr id="190" name="IM 190"/>
                  <wp:cNvGraphicFramePr/>
                  <a:graphic xmlns:a="http://schemas.openxmlformats.org/drawingml/2006/main">
                    <a:graphicData uri="http://schemas.openxmlformats.org/drawingml/2006/picture">
                      <pic:pic xmlns:pic="http://schemas.openxmlformats.org/drawingml/2006/picture">
                        <pic:nvPicPr>
                          <pic:cNvPr id="190" name="IM 190"/>
                          <pic:cNvPicPr/>
                        </pic:nvPicPr>
                        <pic:blipFill>
                          <a:blip r:embed="rId279"/>
                          <a:stretch>
                            <a:fillRect/>
                          </a:stretch>
                        </pic:blipFill>
                        <pic:spPr>
                          <a:xfrm>
                            <a:off x="0" y="0"/>
                            <a:ext cx="2519679" cy="1511808"/>
                          </a:xfrm>
                          <a:prstGeom prst="rect">
                            <a:avLst/>
                          </a:prstGeom>
                        </pic:spPr>
                      </pic:pic>
                    </a:graphicData>
                  </a:graphic>
                </wp:inline>
              </w:drawing>
            </w:r>
          </w:p>
        </w:tc>
      </w:tr>
      <w:tr w14:paraId="522CEF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5" w:hRule="atLeast"/>
        </w:trPr>
        <w:tc>
          <w:tcPr>
            <w:tcW w:w="993" w:type="dxa"/>
            <w:vAlign w:val="top"/>
          </w:tcPr>
          <w:p w14:paraId="53C9F0FC">
            <w:pPr>
              <w:spacing w:line="279" w:lineRule="auto"/>
              <w:rPr>
                <w:rFonts w:ascii="Arial"/>
                <w:sz w:val="21"/>
              </w:rPr>
            </w:pPr>
          </w:p>
          <w:p w14:paraId="1D4B60C5">
            <w:pPr>
              <w:spacing w:line="279" w:lineRule="auto"/>
              <w:rPr>
                <w:rFonts w:ascii="Arial"/>
                <w:sz w:val="21"/>
              </w:rPr>
            </w:pPr>
          </w:p>
          <w:p w14:paraId="29744E18">
            <w:pPr>
              <w:spacing w:line="280" w:lineRule="auto"/>
              <w:rPr>
                <w:rFonts w:ascii="Arial"/>
                <w:sz w:val="21"/>
              </w:rPr>
            </w:pPr>
          </w:p>
          <w:p w14:paraId="04CB7F52">
            <w:pPr>
              <w:spacing w:line="280" w:lineRule="auto"/>
              <w:rPr>
                <w:rFonts w:ascii="Arial"/>
                <w:sz w:val="21"/>
              </w:rPr>
            </w:pPr>
          </w:p>
          <w:p w14:paraId="53761233">
            <w:pPr>
              <w:spacing w:before="60" w:line="189" w:lineRule="auto"/>
              <w:ind w:left="3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D9</w:t>
            </w:r>
          </w:p>
        </w:tc>
        <w:tc>
          <w:tcPr>
            <w:tcW w:w="1701" w:type="dxa"/>
            <w:vAlign w:val="top"/>
          </w:tcPr>
          <w:p w14:paraId="56F6FD4B">
            <w:pPr>
              <w:spacing w:line="268" w:lineRule="auto"/>
              <w:rPr>
                <w:rFonts w:ascii="Arial"/>
                <w:sz w:val="21"/>
              </w:rPr>
            </w:pPr>
          </w:p>
          <w:p w14:paraId="0E77DD16">
            <w:pPr>
              <w:spacing w:line="268" w:lineRule="auto"/>
              <w:rPr>
                <w:rFonts w:ascii="Arial"/>
                <w:sz w:val="21"/>
              </w:rPr>
            </w:pPr>
          </w:p>
          <w:p w14:paraId="61B39EBE">
            <w:pPr>
              <w:spacing w:line="268" w:lineRule="auto"/>
              <w:rPr>
                <w:rFonts w:ascii="Arial"/>
                <w:sz w:val="21"/>
              </w:rPr>
            </w:pPr>
          </w:p>
          <w:p w14:paraId="368C2D8A">
            <w:pPr>
              <w:spacing w:line="269" w:lineRule="auto"/>
              <w:rPr>
                <w:rFonts w:ascii="Arial"/>
                <w:sz w:val="21"/>
              </w:rPr>
            </w:pPr>
          </w:p>
          <w:p w14:paraId="3FF6DB3C">
            <w:pPr>
              <w:pStyle w:val="6"/>
              <w:spacing w:before="68" w:line="221" w:lineRule="auto"/>
              <w:ind w:left="232"/>
            </w:pPr>
            <w:r>
              <w:rPr>
                <w:spacing w:val="-3"/>
              </w:rPr>
              <w:t>暖温性针叶林</w:t>
            </w:r>
          </w:p>
        </w:tc>
        <w:tc>
          <w:tcPr>
            <w:tcW w:w="1840" w:type="dxa"/>
            <w:vAlign w:val="top"/>
          </w:tcPr>
          <w:p w14:paraId="0A5CA633">
            <w:pPr>
              <w:spacing w:line="268" w:lineRule="auto"/>
              <w:rPr>
                <w:rFonts w:ascii="Arial"/>
                <w:sz w:val="21"/>
              </w:rPr>
            </w:pPr>
          </w:p>
          <w:p w14:paraId="161799E9">
            <w:pPr>
              <w:spacing w:line="268" w:lineRule="auto"/>
              <w:rPr>
                <w:rFonts w:ascii="Arial"/>
                <w:sz w:val="21"/>
              </w:rPr>
            </w:pPr>
          </w:p>
          <w:p w14:paraId="3DA2EC0C">
            <w:pPr>
              <w:spacing w:line="268" w:lineRule="auto"/>
              <w:rPr>
                <w:rFonts w:ascii="Arial"/>
                <w:sz w:val="21"/>
              </w:rPr>
            </w:pPr>
          </w:p>
          <w:p w14:paraId="058B2A89">
            <w:pPr>
              <w:spacing w:line="269" w:lineRule="auto"/>
              <w:rPr>
                <w:rFonts w:ascii="Arial"/>
                <w:sz w:val="21"/>
              </w:rPr>
            </w:pPr>
          </w:p>
          <w:p w14:paraId="39DC8C21">
            <w:pPr>
              <w:pStyle w:val="6"/>
              <w:spacing w:before="68" w:line="221" w:lineRule="auto"/>
              <w:ind w:left="193"/>
            </w:pPr>
            <w:r>
              <w:rPr>
                <w:spacing w:val="-2"/>
              </w:rPr>
              <w:t>云南松、珍珠花</w:t>
            </w:r>
          </w:p>
        </w:tc>
        <w:tc>
          <w:tcPr>
            <w:tcW w:w="4534" w:type="dxa"/>
            <w:vAlign w:val="top"/>
          </w:tcPr>
          <w:p w14:paraId="56A5124A">
            <w:pPr>
              <w:spacing w:before="61" w:line="2380" w:lineRule="exact"/>
              <w:ind w:firstLine="277"/>
            </w:pPr>
            <w:r>
              <w:rPr>
                <w:position w:val="-47"/>
              </w:rPr>
              <w:drawing>
                <wp:inline distT="0" distB="0" distL="0" distR="0">
                  <wp:extent cx="2519045" cy="1511300"/>
                  <wp:effectExtent l="0" t="0" r="0" b="0"/>
                  <wp:docPr id="192" name="IM 192"/>
                  <wp:cNvGraphicFramePr/>
                  <a:graphic xmlns:a="http://schemas.openxmlformats.org/drawingml/2006/main">
                    <a:graphicData uri="http://schemas.openxmlformats.org/drawingml/2006/picture">
                      <pic:pic xmlns:pic="http://schemas.openxmlformats.org/drawingml/2006/picture">
                        <pic:nvPicPr>
                          <pic:cNvPr id="192" name="IM 192"/>
                          <pic:cNvPicPr/>
                        </pic:nvPicPr>
                        <pic:blipFill>
                          <a:blip r:embed="rId280"/>
                          <a:stretch>
                            <a:fillRect/>
                          </a:stretch>
                        </pic:blipFill>
                        <pic:spPr>
                          <a:xfrm>
                            <a:off x="0" y="0"/>
                            <a:ext cx="2519679" cy="1511808"/>
                          </a:xfrm>
                          <a:prstGeom prst="rect">
                            <a:avLst/>
                          </a:prstGeom>
                        </pic:spPr>
                      </pic:pic>
                    </a:graphicData>
                  </a:graphic>
                </wp:inline>
              </w:drawing>
            </w:r>
          </w:p>
        </w:tc>
      </w:tr>
    </w:tbl>
    <w:p w14:paraId="1904A7E3">
      <w:pPr>
        <w:rPr>
          <w:rFonts w:ascii="Arial"/>
          <w:sz w:val="21"/>
        </w:rPr>
      </w:pPr>
    </w:p>
    <w:p w14:paraId="5FC5CC1C">
      <w:pPr>
        <w:rPr>
          <w:rFonts w:ascii="Arial" w:hAnsi="Arial" w:eastAsia="Arial" w:cs="Arial"/>
          <w:sz w:val="21"/>
          <w:szCs w:val="21"/>
        </w:rPr>
        <w:sectPr>
          <w:footerReference r:id="rId177" w:type="default"/>
          <w:pgSz w:w="11907" w:h="16841"/>
          <w:pgMar w:top="400" w:right="1413" w:bottom="1126" w:left="1418" w:header="0" w:footer="925" w:gutter="0"/>
          <w:cols w:space="720" w:num="1"/>
        </w:sectPr>
      </w:pPr>
    </w:p>
    <w:p w14:paraId="72D77538">
      <w:pPr>
        <w:spacing w:before="2"/>
      </w:pPr>
    </w:p>
    <w:p w14:paraId="16B963BA">
      <w:pPr>
        <w:spacing w:before="2"/>
      </w:pPr>
    </w:p>
    <w:p w14:paraId="0EEAC82C">
      <w:pPr>
        <w:spacing w:before="1"/>
      </w:pPr>
    </w:p>
    <w:p w14:paraId="27B2CF33">
      <w:pPr>
        <w:spacing w:before="1"/>
      </w:pPr>
    </w:p>
    <w:p w14:paraId="42548EE8">
      <w:pPr>
        <w:spacing w:before="1"/>
      </w:pP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3"/>
        <w:gridCol w:w="1701"/>
        <w:gridCol w:w="1840"/>
        <w:gridCol w:w="4534"/>
      </w:tblGrid>
      <w:tr w14:paraId="3A0DC9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5" w:hRule="atLeast"/>
        </w:trPr>
        <w:tc>
          <w:tcPr>
            <w:tcW w:w="993" w:type="dxa"/>
            <w:vAlign w:val="top"/>
          </w:tcPr>
          <w:p w14:paraId="17B0BD5C">
            <w:pPr>
              <w:spacing w:line="279" w:lineRule="auto"/>
              <w:rPr>
                <w:rFonts w:ascii="Arial"/>
                <w:sz w:val="21"/>
              </w:rPr>
            </w:pPr>
          </w:p>
          <w:p w14:paraId="7727D0E6">
            <w:pPr>
              <w:spacing w:line="279" w:lineRule="auto"/>
              <w:rPr>
                <w:rFonts w:ascii="Arial"/>
                <w:sz w:val="21"/>
              </w:rPr>
            </w:pPr>
          </w:p>
          <w:p w14:paraId="13FBD3C5">
            <w:pPr>
              <w:spacing w:line="279" w:lineRule="auto"/>
              <w:rPr>
                <w:rFonts w:ascii="Arial"/>
                <w:sz w:val="21"/>
              </w:rPr>
            </w:pPr>
          </w:p>
          <w:p w14:paraId="29FCF004">
            <w:pPr>
              <w:spacing w:line="280" w:lineRule="auto"/>
              <w:rPr>
                <w:rFonts w:ascii="Arial"/>
                <w:sz w:val="21"/>
              </w:rPr>
            </w:pPr>
          </w:p>
          <w:p w14:paraId="04420431">
            <w:pPr>
              <w:spacing w:before="61" w:line="189" w:lineRule="auto"/>
              <w:ind w:left="32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D11</w:t>
            </w:r>
          </w:p>
        </w:tc>
        <w:tc>
          <w:tcPr>
            <w:tcW w:w="1701" w:type="dxa"/>
            <w:vAlign w:val="top"/>
          </w:tcPr>
          <w:p w14:paraId="3851F08C">
            <w:pPr>
              <w:spacing w:line="268" w:lineRule="auto"/>
              <w:rPr>
                <w:rFonts w:ascii="Arial"/>
                <w:sz w:val="21"/>
              </w:rPr>
            </w:pPr>
          </w:p>
          <w:p w14:paraId="52050822">
            <w:pPr>
              <w:spacing w:line="268" w:lineRule="auto"/>
              <w:rPr>
                <w:rFonts w:ascii="Arial"/>
                <w:sz w:val="21"/>
              </w:rPr>
            </w:pPr>
          </w:p>
          <w:p w14:paraId="0478CDE0">
            <w:pPr>
              <w:spacing w:line="268" w:lineRule="auto"/>
              <w:rPr>
                <w:rFonts w:ascii="Arial"/>
                <w:sz w:val="21"/>
              </w:rPr>
            </w:pPr>
          </w:p>
          <w:p w14:paraId="6DB746CC">
            <w:pPr>
              <w:spacing w:line="269" w:lineRule="auto"/>
              <w:rPr>
                <w:rFonts w:ascii="Arial"/>
                <w:sz w:val="21"/>
              </w:rPr>
            </w:pPr>
          </w:p>
          <w:p w14:paraId="5EF58DF1">
            <w:pPr>
              <w:pStyle w:val="6"/>
              <w:spacing w:before="68" w:line="221" w:lineRule="auto"/>
              <w:ind w:left="232"/>
            </w:pPr>
            <w:r>
              <w:rPr>
                <w:spacing w:val="-3"/>
              </w:rPr>
              <w:t>暖温性针叶林</w:t>
            </w:r>
          </w:p>
        </w:tc>
        <w:tc>
          <w:tcPr>
            <w:tcW w:w="1840" w:type="dxa"/>
            <w:vAlign w:val="top"/>
          </w:tcPr>
          <w:p w14:paraId="3F03BD59">
            <w:pPr>
              <w:spacing w:line="268" w:lineRule="auto"/>
              <w:rPr>
                <w:rFonts w:ascii="Arial"/>
                <w:sz w:val="21"/>
              </w:rPr>
            </w:pPr>
          </w:p>
          <w:p w14:paraId="7E9E41B1">
            <w:pPr>
              <w:spacing w:line="268" w:lineRule="auto"/>
              <w:rPr>
                <w:rFonts w:ascii="Arial"/>
                <w:sz w:val="21"/>
              </w:rPr>
            </w:pPr>
          </w:p>
          <w:p w14:paraId="26EBDA81">
            <w:pPr>
              <w:spacing w:line="268" w:lineRule="auto"/>
              <w:rPr>
                <w:rFonts w:ascii="Arial"/>
                <w:sz w:val="21"/>
              </w:rPr>
            </w:pPr>
          </w:p>
          <w:p w14:paraId="7C57019A">
            <w:pPr>
              <w:spacing w:line="269" w:lineRule="auto"/>
              <w:rPr>
                <w:rFonts w:ascii="Arial"/>
                <w:sz w:val="21"/>
              </w:rPr>
            </w:pPr>
          </w:p>
          <w:p w14:paraId="48E9EA4D">
            <w:pPr>
              <w:pStyle w:val="6"/>
              <w:spacing w:before="68" w:line="221" w:lineRule="auto"/>
              <w:ind w:left="613"/>
            </w:pPr>
            <w:r>
              <w:rPr>
                <w:spacing w:val="-3"/>
              </w:rPr>
              <w:t>云南松</w:t>
            </w:r>
          </w:p>
        </w:tc>
        <w:tc>
          <w:tcPr>
            <w:tcW w:w="4534" w:type="dxa"/>
            <w:vAlign w:val="top"/>
          </w:tcPr>
          <w:p w14:paraId="21CBFC85">
            <w:pPr>
              <w:spacing w:before="63" w:line="2380" w:lineRule="exact"/>
              <w:ind w:firstLine="277"/>
            </w:pPr>
            <w:r>
              <w:rPr>
                <w:position w:val="-47"/>
              </w:rPr>
              <w:drawing>
                <wp:inline distT="0" distB="0" distL="0" distR="0">
                  <wp:extent cx="2519045" cy="1511300"/>
                  <wp:effectExtent l="0" t="0" r="0" b="0"/>
                  <wp:docPr id="194" name="IM 194"/>
                  <wp:cNvGraphicFramePr/>
                  <a:graphic xmlns:a="http://schemas.openxmlformats.org/drawingml/2006/main">
                    <a:graphicData uri="http://schemas.openxmlformats.org/drawingml/2006/picture">
                      <pic:pic xmlns:pic="http://schemas.openxmlformats.org/drawingml/2006/picture">
                        <pic:nvPicPr>
                          <pic:cNvPr id="194" name="IM 194"/>
                          <pic:cNvPicPr/>
                        </pic:nvPicPr>
                        <pic:blipFill>
                          <a:blip r:embed="rId281"/>
                          <a:stretch>
                            <a:fillRect/>
                          </a:stretch>
                        </pic:blipFill>
                        <pic:spPr>
                          <a:xfrm>
                            <a:off x="0" y="0"/>
                            <a:ext cx="2519679" cy="1511807"/>
                          </a:xfrm>
                          <a:prstGeom prst="rect">
                            <a:avLst/>
                          </a:prstGeom>
                        </pic:spPr>
                      </pic:pic>
                    </a:graphicData>
                  </a:graphic>
                </wp:inline>
              </w:drawing>
            </w:r>
          </w:p>
        </w:tc>
      </w:tr>
      <w:tr w14:paraId="6740C0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2" w:hRule="atLeast"/>
        </w:trPr>
        <w:tc>
          <w:tcPr>
            <w:tcW w:w="993" w:type="dxa"/>
            <w:vAlign w:val="top"/>
          </w:tcPr>
          <w:p w14:paraId="14B37F05">
            <w:pPr>
              <w:spacing w:line="278" w:lineRule="auto"/>
              <w:rPr>
                <w:rFonts w:ascii="Arial"/>
                <w:sz w:val="21"/>
              </w:rPr>
            </w:pPr>
          </w:p>
          <w:p w14:paraId="16E76D8D">
            <w:pPr>
              <w:spacing w:line="278" w:lineRule="auto"/>
              <w:rPr>
                <w:rFonts w:ascii="Arial"/>
                <w:sz w:val="21"/>
              </w:rPr>
            </w:pPr>
          </w:p>
          <w:p w14:paraId="1A654AA6">
            <w:pPr>
              <w:spacing w:line="279" w:lineRule="auto"/>
              <w:rPr>
                <w:rFonts w:ascii="Arial"/>
                <w:sz w:val="21"/>
              </w:rPr>
            </w:pPr>
          </w:p>
          <w:p w14:paraId="3B62D50E">
            <w:pPr>
              <w:spacing w:line="279" w:lineRule="auto"/>
              <w:rPr>
                <w:rFonts w:ascii="Arial"/>
                <w:sz w:val="21"/>
              </w:rPr>
            </w:pPr>
          </w:p>
          <w:p w14:paraId="6A95922F">
            <w:pPr>
              <w:spacing w:before="60" w:line="234" w:lineRule="auto"/>
              <w:ind w:left="31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D13</w:t>
            </w:r>
          </w:p>
        </w:tc>
        <w:tc>
          <w:tcPr>
            <w:tcW w:w="1701" w:type="dxa"/>
            <w:vAlign w:val="top"/>
          </w:tcPr>
          <w:p w14:paraId="39E55589">
            <w:pPr>
              <w:spacing w:line="267" w:lineRule="auto"/>
              <w:rPr>
                <w:rFonts w:ascii="Arial"/>
                <w:sz w:val="21"/>
              </w:rPr>
            </w:pPr>
          </w:p>
          <w:p w14:paraId="07C03B50">
            <w:pPr>
              <w:spacing w:line="268" w:lineRule="auto"/>
              <w:rPr>
                <w:rFonts w:ascii="Arial"/>
                <w:sz w:val="21"/>
              </w:rPr>
            </w:pPr>
          </w:p>
          <w:p w14:paraId="0F98035B">
            <w:pPr>
              <w:spacing w:line="268" w:lineRule="auto"/>
              <w:rPr>
                <w:rFonts w:ascii="Arial"/>
                <w:sz w:val="21"/>
              </w:rPr>
            </w:pPr>
          </w:p>
          <w:p w14:paraId="70EC6518">
            <w:pPr>
              <w:spacing w:line="268" w:lineRule="auto"/>
              <w:rPr>
                <w:rFonts w:ascii="Arial"/>
                <w:sz w:val="21"/>
              </w:rPr>
            </w:pPr>
          </w:p>
          <w:p w14:paraId="6330E90B">
            <w:pPr>
              <w:pStyle w:val="6"/>
              <w:spacing w:before="68" w:line="221" w:lineRule="auto"/>
              <w:ind w:left="232"/>
            </w:pPr>
            <w:r>
              <w:rPr>
                <w:spacing w:val="-3"/>
              </w:rPr>
              <w:t>暖温性针叶林</w:t>
            </w:r>
          </w:p>
        </w:tc>
        <w:tc>
          <w:tcPr>
            <w:tcW w:w="1840" w:type="dxa"/>
            <w:vAlign w:val="top"/>
          </w:tcPr>
          <w:p w14:paraId="6DD7F406">
            <w:pPr>
              <w:spacing w:line="267" w:lineRule="auto"/>
              <w:rPr>
                <w:rFonts w:ascii="Arial"/>
                <w:sz w:val="21"/>
              </w:rPr>
            </w:pPr>
          </w:p>
          <w:p w14:paraId="74706BA8">
            <w:pPr>
              <w:spacing w:line="268" w:lineRule="auto"/>
              <w:rPr>
                <w:rFonts w:ascii="Arial"/>
                <w:sz w:val="21"/>
              </w:rPr>
            </w:pPr>
          </w:p>
          <w:p w14:paraId="2E70A65C">
            <w:pPr>
              <w:spacing w:line="268" w:lineRule="auto"/>
              <w:rPr>
                <w:rFonts w:ascii="Arial"/>
                <w:sz w:val="21"/>
              </w:rPr>
            </w:pPr>
          </w:p>
          <w:p w14:paraId="7545EDEB">
            <w:pPr>
              <w:spacing w:line="268" w:lineRule="auto"/>
              <w:rPr>
                <w:rFonts w:ascii="Arial"/>
                <w:sz w:val="21"/>
              </w:rPr>
            </w:pPr>
          </w:p>
          <w:p w14:paraId="4F35ABE9">
            <w:pPr>
              <w:pStyle w:val="6"/>
              <w:spacing w:before="68" w:line="221" w:lineRule="auto"/>
              <w:ind w:left="193"/>
            </w:pPr>
            <w:r>
              <w:rPr>
                <w:spacing w:val="-2"/>
              </w:rPr>
              <w:t>云南松、清香木</w:t>
            </w:r>
          </w:p>
        </w:tc>
        <w:tc>
          <w:tcPr>
            <w:tcW w:w="4534" w:type="dxa"/>
            <w:vAlign w:val="top"/>
          </w:tcPr>
          <w:p w14:paraId="59367525">
            <w:pPr>
              <w:spacing w:before="59" w:line="2380" w:lineRule="exact"/>
              <w:ind w:firstLine="277"/>
            </w:pPr>
            <w:r>
              <w:rPr>
                <w:position w:val="-47"/>
              </w:rPr>
              <w:drawing>
                <wp:inline distT="0" distB="0" distL="0" distR="0">
                  <wp:extent cx="2519045" cy="1511300"/>
                  <wp:effectExtent l="0" t="0" r="0" b="0"/>
                  <wp:docPr id="196" name="IM 196"/>
                  <wp:cNvGraphicFramePr/>
                  <a:graphic xmlns:a="http://schemas.openxmlformats.org/drawingml/2006/main">
                    <a:graphicData uri="http://schemas.openxmlformats.org/drawingml/2006/picture">
                      <pic:pic xmlns:pic="http://schemas.openxmlformats.org/drawingml/2006/picture">
                        <pic:nvPicPr>
                          <pic:cNvPr id="196" name="IM 196"/>
                          <pic:cNvPicPr/>
                        </pic:nvPicPr>
                        <pic:blipFill>
                          <a:blip r:embed="rId282"/>
                          <a:stretch>
                            <a:fillRect/>
                          </a:stretch>
                        </pic:blipFill>
                        <pic:spPr>
                          <a:xfrm>
                            <a:off x="0" y="0"/>
                            <a:ext cx="2519679" cy="1511807"/>
                          </a:xfrm>
                          <a:prstGeom prst="rect">
                            <a:avLst/>
                          </a:prstGeom>
                        </pic:spPr>
                      </pic:pic>
                    </a:graphicData>
                  </a:graphic>
                </wp:inline>
              </w:drawing>
            </w:r>
          </w:p>
        </w:tc>
      </w:tr>
      <w:tr w14:paraId="70CDDF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2" w:hRule="atLeast"/>
        </w:trPr>
        <w:tc>
          <w:tcPr>
            <w:tcW w:w="993" w:type="dxa"/>
            <w:vAlign w:val="top"/>
          </w:tcPr>
          <w:p w14:paraId="2BBB116C">
            <w:pPr>
              <w:spacing w:line="253" w:lineRule="auto"/>
              <w:rPr>
                <w:rFonts w:ascii="Arial"/>
                <w:sz w:val="21"/>
              </w:rPr>
            </w:pPr>
          </w:p>
          <w:p w14:paraId="712A3BD6">
            <w:pPr>
              <w:spacing w:line="254" w:lineRule="auto"/>
              <w:rPr>
                <w:rFonts w:ascii="Arial"/>
                <w:sz w:val="21"/>
              </w:rPr>
            </w:pPr>
          </w:p>
          <w:p w14:paraId="1CD94B8E">
            <w:pPr>
              <w:spacing w:line="254" w:lineRule="auto"/>
              <w:rPr>
                <w:rFonts w:ascii="Arial"/>
                <w:sz w:val="21"/>
              </w:rPr>
            </w:pPr>
          </w:p>
          <w:p w14:paraId="2C5A50D4">
            <w:pPr>
              <w:spacing w:line="254" w:lineRule="auto"/>
              <w:rPr>
                <w:rFonts w:ascii="Arial"/>
                <w:sz w:val="21"/>
              </w:rPr>
            </w:pPr>
          </w:p>
          <w:p w14:paraId="10E344C8">
            <w:pPr>
              <w:spacing w:line="254" w:lineRule="auto"/>
              <w:rPr>
                <w:rFonts w:ascii="Arial"/>
                <w:sz w:val="21"/>
              </w:rPr>
            </w:pPr>
          </w:p>
          <w:p w14:paraId="79934187">
            <w:pPr>
              <w:spacing w:before="61" w:line="189" w:lineRule="auto"/>
              <w:ind w:left="37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C2</w:t>
            </w:r>
          </w:p>
        </w:tc>
        <w:tc>
          <w:tcPr>
            <w:tcW w:w="1701" w:type="dxa"/>
            <w:vAlign w:val="top"/>
          </w:tcPr>
          <w:p w14:paraId="3D5573AE">
            <w:pPr>
              <w:spacing w:line="245" w:lineRule="auto"/>
              <w:rPr>
                <w:rFonts w:ascii="Arial"/>
                <w:sz w:val="21"/>
              </w:rPr>
            </w:pPr>
          </w:p>
          <w:p w14:paraId="7FC9666C">
            <w:pPr>
              <w:spacing w:line="245" w:lineRule="auto"/>
              <w:rPr>
                <w:rFonts w:ascii="Arial"/>
                <w:sz w:val="21"/>
              </w:rPr>
            </w:pPr>
          </w:p>
          <w:p w14:paraId="6EB51F37">
            <w:pPr>
              <w:spacing w:line="245" w:lineRule="auto"/>
              <w:rPr>
                <w:rFonts w:ascii="Arial"/>
                <w:sz w:val="21"/>
              </w:rPr>
            </w:pPr>
          </w:p>
          <w:p w14:paraId="2BD5BFAD">
            <w:pPr>
              <w:spacing w:line="245" w:lineRule="auto"/>
              <w:rPr>
                <w:rFonts w:ascii="Arial"/>
                <w:sz w:val="21"/>
              </w:rPr>
            </w:pPr>
          </w:p>
          <w:p w14:paraId="7B5F3C6D">
            <w:pPr>
              <w:spacing w:line="245" w:lineRule="auto"/>
              <w:rPr>
                <w:rFonts w:ascii="Arial"/>
                <w:sz w:val="21"/>
              </w:rPr>
            </w:pPr>
          </w:p>
          <w:p w14:paraId="31009E4C">
            <w:pPr>
              <w:pStyle w:val="6"/>
              <w:spacing w:before="68" w:line="220" w:lineRule="auto"/>
              <w:ind w:left="432"/>
            </w:pPr>
            <w:r>
              <w:rPr>
                <w:spacing w:val="-1"/>
              </w:rPr>
              <w:t>干热灌丛</w:t>
            </w:r>
          </w:p>
        </w:tc>
        <w:tc>
          <w:tcPr>
            <w:tcW w:w="1840" w:type="dxa"/>
            <w:vAlign w:val="top"/>
          </w:tcPr>
          <w:p w14:paraId="3F7099DA">
            <w:pPr>
              <w:spacing w:line="304" w:lineRule="auto"/>
              <w:rPr>
                <w:rFonts w:ascii="Arial"/>
                <w:sz w:val="21"/>
              </w:rPr>
            </w:pPr>
          </w:p>
          <w:p w14:paraId="70591584">
            <w:pPr>
              <w:spacing w:line="305" w:lineRule="auto"/>
              <w:rPr>
                <w:rFonts w:ascii="Arial"/>
                <w:sz w:val="21"/>
              </w:rPr>
            </w:pPr>
          </w:p>
          <w:p w14:paraId="262E4372">
            <w:pPr>
              <w:spacing w:line="305" w:lineRule="auto"/>
              <w:rPr>
                <w:rFonts w:ascii="Arial"/>
                <w:sz w:val="21"/>
              </w:rPr>
            </w:pPr>
          </w:p>
          <w:p w14:paraId="45083E82">
            <w:pPr>
              <w:pStyle w:val="6"/>
              <w:spacing w:before="68" w:line="276" w:lineRule="auto"/>
              <w:ind w:left="192" w:right="190" w:hanging="3"/>
            </w:pPr>
            <w:r>
              <w:rPr>
                <w:spacing w:val="-6"/>
              </w:rPr>
              <w:t>火棘、密毛蕨、</w:t>
            </w:r>
            <w:r>
              <w:rPr>
                <w:spacing w:val="-3"/>
              </w:rPr>
              <w:t>西南野古草、矮</w:t>
            </w:r>
            <w:r>
              <w:rPr>
                <w:spacing w:val="15"/>
              </w:rPr>
              <w:t>杨梅、云南松</w:t>
            </w:r>
          </w:p>
        </w:tc>
        <w:tc>
          <w:tcPr>
            <w:tcW w:w="4534" w:type="dxa"/>
            <w:vAlign w:val="top"/>
          </w:tcPr>
          <w:p w14:paraId="40364DFF">
            <w:pPr>
              <w:spacing w:before="39" w:line="2725" w:lineRule="exact"/>
              <w:ind w:firstLine="277"/>
            </w:pPr>
            <w:r>
              <w:rPr>
                <w:position w:val="-54"/>
              </w:rPr>
              <w:drawing>
                <wp:inline distT="0" distB="0" distL="0" distR="0">
                  <wp:extent cx="2519045" cy="1729740"/>
                  <wp:effectExtent l="0" t="0" r="0" b="0"/>
                  <wp:docPr id="198" name="IM 198"/>
                  <wp:cNvGraphicFramePr/>
                  <a:graphic xmlns:a="http://schemas.openxmlformats.org/drawingml/2006/main">
                    <a:graphicData uri="http://schemas.openxmlformats.org/drawingml/2006/picture">
                      <pic:pic xmlns:pic="http://schemas.openxmlformats.org/drawingml/2006/picture">
                        <pic:nvPicPr>
                          <pic:cNvPr id="198" name="IM 198"/>
                          <pic:cNvPicPr/>
                        </pic:nvPicPr>
                        <pic:blipFill>
                          <a:blip r:embed="rId283"/>
                          <a:stretch>
                            <a:fillRect/>
                          </a:stretch>
                        </pic:blipFill>
                        <pic:spPr>
                          <a:xfrm>
                            <a:off x="0" y="0"/>
                            <a:ext cx="2519679" cy="1730247"/>
                          </a:xfrm>
                          <a:prstGeom prst="rect">
                            <a:avLst/>
                          </a:prstGeom>
                        </pic:spPr>
                      </pic:pic>
                    </a:graphicData>
                  </a:graphic>
                </wp:inline>
              </w:drawing>
            </w:r>
          </w:p>
        </w:tc>
      </w:tr>
      <w:tr w14:paraId="75A8D1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99" w:hRule="atLeast"/>
        </w:trPr>
        <w:tc>
          <w:tcPr>
            <w:tcW w:w="993" w:type="dxa"/>
            <w:vAlign w:val="top"/>
          </w:tcPr>
          <w:p w14:paraId="148304A3">
            <w:pPr>
              <w:spacing w:line="278" w:lineRule="auto"/>
              <w:rPr>
                <w:rFonts w:ascii="Arial"/>
                <w:sz w:val="21"/>
              </w:rPr>
            </w:pPr>
          </w:p>
          <w:p w14:paraId="698195C8">
            <w:pPr>
              <w:spacing w:line="279" w:lineRule="auto"/>
              <w:rPr>
                <w:rFonts w:ascii="Arial"/>
                <w:sz w:val="21"/>
              </w:rPr>
            </w:pPr>
          </w:p>
          <w:p w14:paraId="59D11268">
            <w:pPr>
              <w:spacing w:line="279" w:lineRule="auto"/>
              <w:rPr>
                <w:rFonts w:ascii="Arial"/>
                <w:sz w:val="21"/>
              </w:rPr>
            </w:pPr>
          </w:p>
          <w:p w14:paraId="691F5D78">
            <w:pPr>
              <w:spacing w:line="279" w:lineRule="auto"/>
              <w:rPr>
                <w:rFonts w:ascii="Arial"/>
                <w:sz w:val="21"/>
              </w:rPr>
            </w:pPr>
          </w:p>
          <w:p w14:paraId="07C85F51">
            <w:pPr>
              <w:spacing w:before="61" w:line="189" w:lineRule="auto"/>
              <w:ind w:left="37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C5</w:t>
            </w:r>
          </w:p>
        </w:tc>
        <w:tc>
          <w:tcPr>
            <w:tcW w:w="1701" w:type="dxa"/>
            <w:vAlign w:val="top"/>
          </w:tcPr>
          <w:p w14:paraId="63ECE885">
            <w:pPr>
              <w:spacing w:line="267" w:lineRule="auto"/>
              <w:rPr>
                <w:rFonts w:ascii="Arial"/>
                <w:sz w:val="21"/>
              </w:rPr>
            </w:pPr>
          </w:p>
          <w:p w14:paraId="40639E67">
            <w:pPr>
              <w:spacing w:line="268" w:lineRule="auto"/>
              <w:rPr>
                <w:rFonts w:ascii="Arial"/>
                <w:sz w:val="21"/>
              </w:rPr>
            </w:pPr>
          </w:p>
          <w:p w14:paraId="2666737E">
            <w:pPr>
              <w:spacing w:line="268" w:lineRule="auto"/>
              <w:rPr>
                <w:rFonts w:ascii="Arial"/>
                <w:sz w:val="21"/>
              </w:rPr>
            </w:pPr>
          </w:p>
          <w:p w14:paraId="62D9BCAF">
            <w:pPr>
              <w:spacing w:line="268" w:lineRule="auto"/>
              <w:rPr>
                <w:rFonts w:ascii="Arial"/>
                <w:sz w:val="21"/>
              </w:rPr>
            </w:pPr>
          </w:p>
          <w:p w14:paraId="6E2A17AA">
            <w:pPr>
              <w:pStyle w:val="6"/>
              <w:spacing w:before="68" w:line="221" w:lineRule="auto"/>
              <w:ind w:left="232"/>
            </w:pPr>
            <w:r>
              <w:rPr>
                <w:spacing w:val="-3"/>
              </w:rPr>
              <w:t>暖温性针叶林</w:t>
            </w:r>
          </w:p>
        </w:tc>
        <w:tc>
          <w:tcPr>
            <w:tcW w:w="1840" w:type="dxa"/>
            <w:vAlign w:val="top"/>
          </w:tcPr>
          <w:p w14:paraId="14802BB0">
            <w:pPr>
              <w:spacing w:line="267" w:lineRule="auto"/>
              <w:rPr>
                <w:rFonts w:ascii="Arial"/>
                <w:sz w:val="21"/>
              </w:rPr>
            </w:pPr>
          </w:p>
          <w:p w14:paraId="068F0773">
            <w:pPr>
              <w:spacing w:line="268" w:lineRule="auto"/>
              <w:rPr>
                <w:rFonts w:ascii="Arial"/>
                <w:sz w:val="21"/>
              </w:rPr>
            </w:pPr>
          </w:p>
          <w:p w14:paraId="6D15A511">
            <w:pPr>
              <w:spacing w:line="268" w:lineRule="auto"/>
              <w:rPr>
                <w:rFonts w:ascii="Arial"/>
                <w:sz w:val="21"/>
              </w:rPr>
            </w:pPr>
          </w:p>
          <w:p w14:paraId="4D470E74">
            <w:pPr>
              <w:spacing w:line="268" w:lineRule="auto"/>
              <w:rPr>
                <w:rFonts w:ascii="Arial"/>
                <w:sz w:val="21"/>
              </w:rPr>
            </w:pPr>
          </w:p>
          <w:p w14:paraId="109D2518">
            <w:pPr>
              <w:pStyle w:val="6"/>
              <w:spacing w:before="68" w:line="221" w:lineRule="auto"/>
              <w:ind w:left="613"/>
            </w:pPr>
            <w:r>
              <w:rPr>
                <w:spacing w:val="-3"/>
              </w:rPr>
              <w:t>云南松</w:t>
            </w:r>
          </w:p>
        </w:tc>
        <w:tc>
          <w:tcPr>
            <w:tcW w:w="4534" w:type="dxa"/>
            <w:vAlign w:val="top"/>
          </w:tcPr>
          <w:p w14:paraId="3B9D2EE7">
            <w:pPr>
              <w:spacing w:before="59" w:line="2380" w:lineRule="exact"/>
              <w:ind w:firstLine="277"/>
            </w:pPr>
            <w:r>
              <w:rPr>
                <w:position w:val="-47"/>
              </w:rPr>
              <w:drawing>
                <wp:inline distT="0" distB="0" distL="0" distR="0">
                  <wp:extent cx="2519045" cy="1511300"/>
                  <wp:effectExtent l="0" t="0" r="0" b="0"/>
                  <wp:docPr id="200" name="IM 200"/>
                  <wp:cNvGraphicFramePr/>
                  <a:graphic xmlns:a="http://schemas.openxmlformats.org/drawingml/2006/main">
                    <a:graphicData uri="http://schemas.openxmlformats.org/drawingml/2006/picture">
                      <pic:pic xmlns:pic="http://schemas.openxmlformats.org/drawingml/2006/picture">
                        <pic:nvPicPr>
                          <pic:cNvPr id="200" name="IM 200"/>
                          <pic:cNvPicPr/>
                        </pic:nvPicPr>
                        <pic:blipFill>
                          <a:blip r:embed="rId284"/>
                          <a:stretch>
                            <a:fillRect/>
                          </a:stretch>
                        </pic:blipFill>
                        <pic:spPr>
                          <a:xfrm>
                            <a:off x="0" y="0"/>
                            <a:ext cx="2519679" cy="1511807"/>
                          </a:xfrm>
                          <a:prstGeom prst="rect">
                            <a:avLst/>
                          </a:prstGeom>
                        </pic:spPr>
                      </pic:pic>
                    </a:graphicData>
                  </a:graphic>
                </wp:inline>
              </w:drawing>
            </w:r>
          </w:p>
        </w:tc>
      </w:tr>
      <w:tr w14:paraId="5651D2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5" w:hRule="atLeast"/>
        </w:trPr>
        <w:tc>
          <w:tcPr>
            <w:tcW w:w="993" w:type="dxa"/>
            <w:vAlign w:val="top"/>
          </w:tcPr>
          <w:p w14:paraId="7AE7C5C4">
            <w:pPr>
              <w:spacing w:line="279" w:lineRule="auto"/>
              <w:rPr>
                <w:rFonts w:ascii="Arial"/>
                <w:sz w:val="21"/>
              </w:rPr>
            </w:pPr>
          </w:p>
          <w:p w14:paraId="365D1E06">
            <w:pPr>
              <w:spacing w:line="279" w:lineRule="auto"/>
              <w:rPr>
                <w:rFonts w:ascii="Arial"/>
                <w:sz w:val="21"/>
              </w:rPr>
            </w:pPr>
          </w:p>
          <w:p w14:paraId="185233EF">
            <w:pPr>
              <w:spacing w:line="279" w:lineRule="auto"/>
              <w:rPr>
                <w:rFonts w:ascii="Arial"/>
                <w:sz w:val="21"/>
              </w:rPr>
            </w:pPr>
          </w:p>
          <w:p w14:paraId="78BD3A70">
            <w:pPr>
              <w:spacing w:line="280" w:lineRule="auto"/>
              <w:rPr>
                <w:rFonts w:ascii="Arial"/>
                <w:sz w:val="21"/>
              </w:rPr>
            </w:pPr>
          </w:p>
          <w:p w14:paraId="6AC0B6D9">
            <w:pPr>
              <w:spacing w:before="61" w:line="189" w:lineRule="auto"/>
              <w:ind w:left="37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C6</w:t>
            </w:r>
          </w:p>
        </w:tc>
        <w:tc>
          <w:tcPr>
            <w:tcW w:w="1701" w:type="dxa"/>
            <w:vAlign w:val="top"/>
          </w:tcPr>
          <w:p w14:paraId="6035F138">
            <w:pPr>
              <w:spacing w:line="306" w:lineRule="auto"/>
              <w:rPr>
                <w:rFonts w:ascii="Arial"/>
                <w:sz w:val="21"/>
              </w:rPr>
            </w:pPr>
          </w:p>
          <w:p w14:paraId="681A78B7">
            <w:pPr>
              <w:spacing w:line="306" w:lineRule="auto"/>
              <w:rPr>
                <w:rFonts w:ascii="Arial"/>
                <w:sz w:val="21"/>
              </w:rPr>
            </w:pPr>
          </w:p>
          <w:p w14:paraId="42B528B6">
            <w:pPr>
              <w:spacing w:line="306" w:lineRule="auto"/>
              <w:rPr>
                <w:rFonts w:ascii="Arial"/>
                <w:sz w:val="21"/>
              </w:rPr>
            </w:pPr>
          </w:p>
          <w:p w14:paraId="199D2EFE">
            <w:pPr>
              <w:pStyle w:val="6"/>
              <w:spacing w:before="68" w:line="283" w:lineRule="auto"/>
              <w:ind w:left="748" w:right="111" w:hanging="621"/>
            </w:pPr>
            <w:r>
              <w:rPr>
                <w:spacing w:val="-2"/>
              </w:rPr>
              <w:t>暖温性稀树灌草</w:t>
            </w:r>
            <w:r>
              <w:t>丛</w:t>
            </w:r>
          </w:p>
        </w:tc>
        <w:tc>
          <w:tcPr>
            <w:tcW w:w="1840" w:type="dxa"/>
            <w:vAlign w:val="top"/>
          </w:tcPr>
          <w:p w14:paraId="270346B4">
            <w:pPr>
              <w:spacing w:line="306" w:lineRule="auto"/>
              <w:rPr>
                <w:rFonts w:ascii="Arial"/>
                <w:sz w:val="21"/>
              </w:rPr>
            </w:pPr>
          </w:p>
          <w:p w14:paraId="62075BA3">
            <w:pPr>
              <w:spacing w:line="306" w:lineRule="auto"/>
              <w:rPr>
                <w:rFonts w:ascii="Arial"/>
                <w:sz w:val="21"/>
              </w:rPr>
            </w:pPr>
          </w:p>
          <w:p w14:paraId="6F83ECDD">
            <w:pPr>
              <w:spacing w:line="307" w:lineRule="auto"/>
              <w:rPr>
                <w:rFonts w:ascii="Arial"/>
                <w:sz w:val="21"/>
              </w:rPr>
            </w:pPr>
          </w:p>
          <w:p w14:paraId="1A50A48C">
            <w:pPr>
              <w:pStyle w:val="6"/>
              <w:spacing w:before="68" w:line="276" w:lineRule="auto"/>
              <w:ind w:left="189" w:right="182" w:firstLine="104"/>
            </w:pPr>
            <w:r>
              <w:rPr>
                <w:spacing w:val="-2"/>
              </w:rPr>
              <w:t>密毛蕨、白健</w:t>
            </w:r>
            <w:r>
              <w:rPr>
                <w:spacing w:val="-1"/>
              </w:rPr>
              <w:t>秆、刺芒野古草</w:t>
            </w:r>
          </w:p>
        </w:tc>
        <w:tc>
          <w:tcPr>
            <w:tcW w:w="4534" w:type="dxa"/>
            <w:vAlign w:val="top"/>
          </w:tcPr>
          <w:p w14:paraId="5D386090">
            <w:pPr>
              <w:spacing w:before="61" w:line="2380" w:lineRule="exact"/>
              <w:ind w:firstLine="277"/>
            </w:pPr>
            <w:r>
              <w:rPr>
                <w:position w:val="-47"/>
              </w:rPr>
              <w:drawing>
                <wp:inline distT="0" distB="0" distL="0" distR="0">
                  <wp:extent cx="2519045" cy="1511300"/>
                  <wp:effectExtent l="0" t="0" r="0" b="0"/>
                  <wp:docPr id="202" name="IM 202"/>
                  <wp:cNvGraphicFramePr/>
                  <a:graphic xmlns:a="http://schemas.openxmlformats.org/drawingml/2006/main">
                    <a:graphicData uri="http://schemas.openxmlformats.org/drawingml/2006/picture">
                      <pic:pic xmlns:pic="http://schemas.openxmlformats.org/drawingml/2006/picture">
                        <pic:nvPicPr>
                          <pic:cNvPr id="202" name="IM 202"/>
                          <pic:cNvPicPr/>
                        </pic:nvPicPr>
                        <pic:blipFill>
                          <a:blip r:embed="rId285"/>
                          <a:stretch>
                            <a:fillRect/>
                          </a:stretch>
                        </pic:blipFill>
                        <pic:spPr>
                          <a:xfrm>
                            <a:off x="0" y="0"/>
                            <a:ext cx="2519679" cy="1511808"/>
                          </a:xfrm>
                          <a:prstGeom prst="rect">
                            <a:avLst/>
                          </a:prstGeom>
                        </pic:spPr>
                      </pic:pic>
                    </a:graphicData>
                  </a:graphic>
                </wp:inline>
              </w:drawing>
            </w:r>
          </w:p>
        </w:tc>
      </w:tr>
    </w:tbl>
    <w:p w14:paraId="0F0CFC04">
      <w:pPr>
        <w:rPr>
          <w:rFonts w:ascii="Arial"/>
          <w:sz w:val="21"/>
        </w:rPr>
      </w:pPr>
    </w:p>
    <w:p w14:paraId="1F12909F">
      <w:pPr>
        <w:rPr>
          <w:rFonts w:ascii="Arial" w:hAnsi="Arial" w:eastAsia="Arial" w:cs="Arial"/>
          <w:sz w:val="21"/>
          <w:szCs w:val="21"/>
        </w:rPr>
        <w:sectPr>
          <w:footerReference r:id="rId178" w:type="default"/>
          <w:pgSz w:w="11907" w:h="16841"/>
          <w:pgMar w:top="400" w:right="1413" w:bottom="1126" w:left="1418" w:header="0" w:footer="925" w:gutter="0"/>
          <w:cols w:space="720" w:num="1"/>
        </w:sectPr>
      </w:pPr>
    </w:p>
    <w:p w14:paraId="3047C9E7">
      <w:pPr>
        <w:spacing w:before="2"/>
      </w:pPr>
    </w:p>
    <w:p w14:paraId="66FA1DA6">
      <w:pPr>
        <w:spacing w:before="2"/>
      </w:pPr>
    </w:p>
    <w:p w14:paraId="05465456">
      <w:pPr>
        <w:spacing w:before="1"/>
      </w:pPr>
    </w:p>
    <w:p w14:paraId="330C828B">
      <w:pPr>
        <w:spacing w:before="1"/>
      </w:pPr>
    </w:p>
    <w:p w14:paraId="343B8922">
      <w:pPr>
        <w:spacing w:before="1"/>
      </w:pPr>
    </w:p>
    <w:tbl>
      <w:tblPr>
        <w:tblStyle w:val="5"/>
        <w:tblW w:w="9068"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93"/>
        <w:gridCol w:w="1701"/>
        <w:gridCol w:w="1840"/>
        <w:gridCol w:w="4534"/>
      </w:tblGrid>
      <w:tr w14:paraId="171F91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3" w:hRule="atLeast"/>
        </w:trPr>
        <w:tc>
          <w:tcPr>
            <w:tcW w:w="993" w:type="dxa"/>
            <w:vAlign w:val="top"/>
          </w:tcPr>
          <w:p w14:paraId="1C8861F3">
            <w:pPr>
              <w:spacing w:line="279" w:lineRule="auto"/>
              <w:rPr>
                <w:rFonts w:ascii="Arial"/>
                <w:sz w:val="21"/>
              </w:rPr>
            </w:pPr>
          </w:p>
          <w:p w14:paraId="2636662B">
            <w:pPr>
              <w:spacing w:line="279" w:lineRule="auto"/>
              <w:rPr>
                <w:rFonts w:ascii="Arial"/>
                <w:sz w:val="21"/>
              </w:rPr>
            </w:pPr>
          </w:p>
          <w:p w14:paraId="39705EAF">
            <w:pPr>
              <w:spacing w:line="279" w:lineRule="auto"/>
              <w:rPr>
                <w:rFonts w:ascii="Arial"/>
                <w:sz w:val="21"/>
              </w:rPr>
            </w:pPr>
          </w:p>
          <w:p w14:paraId="59FA95E5">
            <w:pPr>
              <w:spacing w:line="280" w:lineRule="auto"/>
              <w:rPr>
                <w:rFonts w:ascii="Arial"/>
                <w:sz w:val="21"/>
              </w:rPr>
            </w:pPr>
          </w:p>
          <w:p w14:paraId="01FD8F28">
            <w:pPr>
              <w:spacing w:before="60" w:line="189" w:lineRule="auto"/>
              <w:ind w:left="37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C7</w:t>
            </w:r>
          </w:p>
        </w:tc>
        <w:tc>
          <w:tcPr>
            <w:tcW w:w="1701" w:type="dxa"/>
            <w:vAlign w:val="top"/>
          </w:tcPr>
          <w:p w14:paraId="0018076E">
            <w:pPr>
              <w:spacing w:line="268" w:lineRule="auto"/>
              <w:rPr>
                <w:rFonts w:ascii="Arial"/>
                <w:sz w:val="21"/>
              </w:rPr>
            </w:pPr>
          </w:p>
          <w:p w14:paraId="006980E7">
            <w:pPr>
              <w:spacing w:line="268" w:lineRule="auto"/>
              <w:rPr>
                <w:rFonts w:ascii="Arial"/>
                <w:sz w:val="21"/>
              </w:rPr>
            </w:pPr>
          </w:p>
          <w:p w14:paraId="40BFC9E6">
            <w:pPr>
              <w:spacing w:line="268" w:lineRule="auto"/>
              <w:rPr>
                <w:rFonts w:ascii="Arial"/>
                <w:sz w:val="21"/>
              </w:rPr>
            </w:pPr>
          </w:p>
          <w:p w14:paraId="2DC39380">
            <w:pPr>
              <w:spacing w:line="269" w:lineRule="auto"/>
              <w:rPr>
                <w:rFonts w:ascii="Arial"/>
                <w:sz w:val="21"/>
              </w:rPr>
            </w:pPr>
          </w:p>
          <w:p w14:paraId="651EFDB2">
            <w:pPr>
              <w:pStyle w:val="6"/>
              <w:spacing w:before="68" w:line="221" w:lineRule="auto"/>
              <w:ind w:left="232"/>
            </w:pPr>
            <w:r>
              <w:rPr>
                <w:spacing w:val="-3"/>
              </w:rPr>
              <w:t>暖温性针叶林</w:t>
            </w:r>
          </w:p>
        </w:tc>
        <w:tc>
          <w:tcPr>
            <w:tcW w:w="1840" w:type="dxa"/>
            <w:vAlign w:val="top"/>
          </w:tcPr>
          <w:p w14:paraId="2B08AE85">
            <w:pPr>
              <w:spacing w:line="268" w:lineRule="auto"/>
              <w:rPr>
                <w:rFonts w:ascii="Arial"/>
                <w:sz w:val="21"/>
              </w:rPr>
            </w:pPr>
          </w:p>
          <w:p w14:paraId="0053D1D2">
            <w:pPr>
              <w:spacing w:line="268" w:lineRule="auto"/>
              <w:rPr>
                <w:rFonts w:ascii="Arial"/>
                <w:sz w:val="21"/>
              </w:rPr>
            </w:pPr>
          </w:p>
          <w:p w14:paraId="45AB26E8">
            <w:pPr>
              <w:spacing w:line="268" w:lineRule="auto"/>
              <w:rPr>
                <w:rFonts w:ascii="Arial"/>
                <w:sz w:val="21"/>
              </w:rPr>
            </w:pPr>
          </w:p>
          <w:p w14:paraId="6CB1A865">
            <w:pPr>
              <w:spacing w:line="269" w:lineRule="auto"/>
              <w:rPr>
                <w:rFonts w:ascii="Arial"/>
                <w:sz w:val="21"/>
              </w:rPr>
            </w:pPr>
          </w:p>
          <w:p w14:paraId="610E5FF4">
            <w:pPr>
              <w:pStyle w:val="6"/>
              <w:spacing w:before="68" w:line="221" w:lineRule="auto"/>
              <w:ind w:left="298"/>
            </w:pPr>
            <w:r>
              <w:rPr>
                <w:spacing w:val="-2"/>
              </w:rPr>
              <w:t>云南松、马桑</w:t>
            </w:r>
          </w:p>
        </w:tc>
        <w:tc>
          <w:tcPr>
            <w:tcW w:w="4534" w:type="dxa"/>
            <w:vAlign w:val="top"/>
          </w:tcPr>
          <w:p w14:paraId="61518F53">
            <w:pPr>
              <w:spacing w:before="63" w:line="2380" w:lineRule="exact"/>
              <w:ind w:firstLine="277"/>
            </w:pPr>
            <w:r>
              <w:rPr>
                <w:position w:val="-47"/>
              </w:rPr>
              <w:drawing>
                <wp:inline distT="0" distB="0" distL="0" distR="0">
                  <wp:extent cx="2519045" cy="1511300"/>
                  <wp:effectExtent l="0" t="0" r="0" b="0"/>
                  <wp:docPr id="204" name="IM 204"/>
                  <wp:cNvGraphicFramePr/>
                  <a:graphic xmlns:a="http://schemas.openxmlformats.org/drawingml/2006/main">
                    <a:graphicData uri="http://schemas.openxmlformats.org/drawingml/2006/picture">
                      <pic:pic xmlns:pic="http://schemas.openxmlformats.org/drawingml/2006/picture">
                        <pic:nvPicPr>
                          <pic:cNvPr id="204" name="IM 204"/>
                          <pic:cNvPicPr/>
                        </pic:nvPicPr>
                        <pic:blipFill>
                          <a:blip r:embed="rId286"/>
                          <a:stretch>
                            <a:fillRect/>
                          </a:stretch>
                        </pic:blipFill>
                        <pic:spPr>
                          <a:xfrm>
                            <a:off x="0" y="0"/>
                            <a:ext cx="2519679" cy="1511807"/>
                          </a:xfrm>
                          <a:prstGeom prst="rect">
                            <a:avLst/>
                          </a:prstGeom>
                        </pic:spPr>
                      </pic:pic>
                    </a:graphicData>
                  </a:graphic>
                </wp:inline>
              </w:drawing>
            </w:r>
          </w:p>
        </w:tc>
      </w:tr>
      <w:tr w14:paraId="62B46B8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8" w:hRule="atLeast"/>
        </w:trPr>
        <w:tc>
          <w:tcPr>
            <w:tcW w:w="993" w:type="dxa"/>
            <w:vAlign w:val="top"/>
          </w:tcPr>
          <w:p w14:paraId="5FFC662D">
            <w:pPr>
              <w:spacing w:line="254" w:lineRule="auto"/>
              <w:rPr>
                <w:rFonts w:ascii="Arial"/>
                <w:sz w:val="21"/>
              </w:rPr>
            </w:pPr>
          </w:p>
          <w:p w14:paraId="3071641E">
            <w:pPr>
              <w:spacing w:line="254" w:lineRule="auto"/>
              <w:rPr>
                <w:rFonts w:ascii="Arial"/>
                <w:sz w:val="21"/>
              </w:rPr>
            </w:pPr>
          </w:p>
          <w:p w14:paraId="2135F7BA">
            <w:pPr>
              <w:spacing w:line="255" w:lineRule="auto"/>
              <w:rPr>
                <w:rFonts w:ascii="Arial"/>
                <w:sz w:val="21"/>
              </w:rPr>
            </w:pPr>
          </w:p>
          <w:p w14:paraId="6351ED4B">
            <w:pPr>
              <w:spacing w:line="255" w:lineRule="auto"/>
              <w:rPr>
                <w:rFonts w:ascii="Arial"/>
                <w:sz w:val="21"/>
              </w:rPr>
            </w:pPr>
          </w:p>
          <w:p w14:paraId="6D9B9257">
            <w:pPr>
              <w:spacing w:line="255" w:lineRule="auto"/>
              <w:rPr>
                <w:rFonts w:ascii="Arial"/>
                <w:sz w:val="21"/>
              </w:rPr>
            </w:pPr>
          </w:p>
          <w:p w14:paraId="2FCE0DBE">
            <w:pPr>
              <w:spacing w:before="60" w:line="189" w:lineRule="auto"/>
              <w:ind w:left="37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C8</w:t>
            </w:r>
          </w:p>
        </w:tc>
        <w:tc>
          <w:tcPr>
            <w:tcW w:w="1701" w:type="dxa"/>
            <w:vAlign w:val="top"/>
          </w:tcPr>
          <w:p w14:paraId="3C78B260">
            <w:pPr>
              <w:spacing w:line="245" w:lineRule="auto"/>
              <w:rPr>
                <w:rFonts w:ascii="Arial"/>
                <w:sz w:val="21"/>
              </w:rPr>
            </w:pPr>
          </w:p>
          <w:p w14:paraId="5CC3A550">
            <w:pPr>
              <w:spacing w:line="245" w:lineRule="auto"/>
              <w:rPr>
                <w:rFonts w:ascii="Arial"/>
                <w:sz w:val="21"/>
              </w:rPr>
            </w:pPr>
          </w:p>
          <w:p w14:paraId="43D0536B">
            <w:pPr>
              <w:spacing w:line="246" w:lineRule="auto"/>
              <w:rPr>
                <w:rFonts w:ascii="Arial"/>
                <w:sz w:val="21"/>
              </w:rPr>
            </w:pPr>
          </w:p>
          <w:p w14:paraId="02872EA8">
            <w:pPr>
              <w:spacing w:line="246" w:lineRule="auto"/>
              <w:rPr>
                <w:rFonts w:ascii="Arial"/>
                <w:sz w:val="21"/>
              </w:rPr>
            </w:pPr>
          </w:p>
          <w:p w14:paraId="119E6158">
            <w:pPr>
              <w:spacing w:line="246" w:lineRule="auto"/>
              <w:rPr>
                <w:rFonts w:ascii="Arial"/>
                <w:sz w:val="21"/>
              </w:rPr>
            </w:pPr>
          </w:p>
          <w:p w14:paraId="2FB78FFC">
            <w:pPr>
              <w:pStyle w:val="6"/>
              <w:spacing w:before="69" w:line="220" w:lineRule="auto"/>
              <w:ind w:left="432"/>
            </w:pPr>
            <w:r>
              <w:rPr>
                <w:spacing w:val="-1"/>
              </w:rPr>
              <w:t>干热灌丛</w:t>
            </w:r>
          </w:p>
        </w:tc>
        <w:tc>
          <w:tcPr>
            <w:tcW w:w="1840" w:type="dxa"/>
            <w:vAlign w:val="top"/>
          </w:tcPr>
          <w:p w14:paraId="45073411">
            <w:pPr>
              <w:spacing w:line="268" w:lineRule="auto"/>
              <w:rPr>
                <w:rFonts w:ascii="Arial"/>
                <w:sz w:val="21"/>
              </w:rPr>
            </w:pPr>
          </w:p>
          <w:p w14:paraId="3E3CB44F">
            <w:pPr>
              <w:spacing w:line="268" w:lineRule="auto"/>
              <w:rPr>
                <w:rFonts w:ascii="Arial"/>
                <w:sz w:val="21"/>
              </w:rPr>
            </w:pPr>
          </w:p>
          <w:p w14:paraId="098EADCF">
            <w:pPr>
              <w:spacing w:line="269" w:lineRule="auto"/>
              <w:rPr>
                <w:rFonts w:ascii="Arial"/>
                <w:sz w:val="21"/>
              </w:rPr>
            </w:pPr>
          </w:p>
          <w:p w14:paraId="27394971">
            <w:pPr>
              <w:spacing w:line="269" w:lineRule="auto"/>
              <w:rPr>
                <w:rFonts w:ascii="Arial"/>
                <w:sz w:val="21"/>
              </w:rPr>
            </w:pPr>
          </w:p>
          <w:p w14:paraId="5CC1FC7C">
            <w:pPr>
              <w:pStyle w:val="6"/>
              <w:spacing w:before="68" w:line="276" w:lineRule="auto"/>
              <w:ind w:left="400" w:right="182" w:hanging="211"/>
            </w:pPr>
            <w:r>
              <w:rPr>
                <w:spacing w:val="-1"/>
              </w:rPr>
              <w:t>火棘、西南野古</w:t>
            </w:r>
            <w:r>
              <w:rPr>
                <w:spacing w:val="-2"/>
              </w:rPr>
              <w:t>草、云南松</w:t>
            </w:r>
          </w:p>
        </w:tc>
        <w:tc>
          <w:tcPr>
            <w:tcW w:w="4534" w:type="dxa"/>
            <w:vAlign w:val="top"/>
          </w:tcPr>
          <w:p w14:paraId="18FD5401">
            <w:pPr>
              <w:spacing w:before="72" w:line="2663" w:lineRule="exact"/>
              <w:ind w:firstLine="277"/>
            </w:pPr>
            <w:r>
              <w:rPr>
                <w:position w:val="-53"/>
              </w:rPr>
              <w:drawing>
                <wp:inline distT="0" distB="0" distL="0" distR="0">
                  <wp:extent cx="2519045" cy="1690370"/>
                  <wp:effectExtent l="0" t="0" r="0" b="0"/>
                  <wp:docPr id="206" name="IM 206"/>
                  <wp:cNvGraphicFramePr/>
                  <a:graphic xmlns:a="http://schemas.openxmlformats.org/drawingml/2006/main">
                    <a:graphicData uri="http://schemas.openxmlformats.org/drawingml/2006/picture">
                      <pic:pic xmlns:pic="http://schemas.openxmlformats.org/drawingml/2006/picture">
                        <pic:nvPicPr>
                          <pic:cNvPr id="206" name="IM 206"/>
                          <pic:cNvPicPr/>
                        </pic:nvPicPr>
                        <pic:blipFill>
                          <a:blip r:embed="rId287"/>
                          <a:stretch>
                            <a:fillRect/>
                          </a:stretch>
                        </pic:blipFill>
                        <pic:spPr>
                          <a:xfrm>
                            <a:off x="0" y="0"/>
                            <a:ext cx="2519679" cy="1690878"/>
                          </a:xfrm>
                          <a:prstGeom prst="rect">
                            <a:avLst/>
                          </a:prstGeom>
                        </pic:spPr>
                      </pic:pic>
                    </a:graphicData>
                  </a:graphic>
                </wp:inline>
              </w:drawing>
            </w:r>
          </w:p>
        </w:tc>
      </w:tr>
    </w:tbl>
    <w:p w14:paraId="281DB1C2">
      <w:pPr>
        <w:spacing w:before="115" w:line="233" w:lineRule="auto"/>
        <w:ind w:left="485"/>
        <w:rPr>
          <w:rFonts w:ascii="宋体" w:hAnsi="宋体" w:eastAsia="宋体" w:cs="宋体"/>
          <w:sz w:val="24"/>
          <w:szCs w:val="24"/>
        </w:rPr>
      </w:pPr>
      <w:r>
        <w:rPr>
          <w:rFonts w:ascii="Times New Roman" w:hAnsi="Times New Roman" w:eastAsia="Times New Roman" w:cs="Times New Roman"/>
          <w:spacing w:val="-2"/>
          <w:sz w:val="24"/>
          <w:szCs w:val="24"/>
        </w:rPr>
        <w:t>2</w:t>
      </w:r>
      <w:r>
        <w:rPr>
          <w:rFonts w:ascii="宋体" w:hAnsi="宋体" w:eastAsia="宋体" w:cs="宋体"/>
          <w:spacing w:val="-2"/>
          <w:sz w:val="24"/>
          <w:szCs w:val="24"/>
        </w:rPr>
        <w:t>）生态保护红线保护现状</w:t>
      </w:r>
    </w:p>
    <w:p w14:paraId="7BC2C102">
      <w:pPr>
        <w:spacing w:before="165" w:line="360" w:lineRule="auto"/>
        <w:ind w:left="9" w:right="83" w:firstLine="480"/>
        <w:rPr>
          <w:rFonts w:ascii="宋体" w:hAnsi="宋体" w:eastAsia="宋体" w:cs="宋体"/>
          <w:sz w:val="24"/>
          <w:szCs w:val="24"/>
        </w:rPr>
      </w:pPr>
      <w:r>
        <w:rPr>
          <w:rFonts w:ascii="宋体" w:hAnsi="宋体" w:eastAsia="宋体" w:cs="宋体"/>
          <w:spacing w:val="-4"/>
          <w:sz w:val="24"/>
          <w:szCs w:val="24"/>
        </w:rPr>
        <w:t>根据野外实地考察，涉及的生态红线点位调查未记录到“金沙江下游</w:t>
      </w:r>
      <w:r>
        <w:rPr>
          <w:rFonts w:ascii="Times New Roman" w:hAnsi="Times New Roman" w:eastAsia="Times New Roman" w:cs="Times New Roman"/>
          <w:spacing w:val="-4"/>
          <w:sz w:val="24"/>
          <w:szCs w:val="24"/>
        </w:rPr>
        <w:t>-</w:t>
      </w:r>
      <w:r>
        <w:rPr>
          <w:rFonts w:ascii="宋体" w:hAnsi="宋体" w:eastAsia="宋体" w:cs="宋体"/>
          <w:spacing w:val="-4"/>
          <w:sz w:val="24"/>
          <w:szCs w:val="24"/>
        </w:rPr>
        <w:t>小江流域水土</w:t>
      </w:r>
      <w:r>
        <w:rPr>
          <w:rFonts w:ascii="宋体" w:hAnsi="宋体" w:eastAsia="宋体" w:cs="宋体"/>
          <w:spacing w:val="-2"/>
          <w:sz w:val="24"/>
          <w:szCs w:val="24"/>
        </w:rPr>
        <w:t>流失控制生态保护红线”中重点保护物种，未发现金钱豹、云豹、小熊猫、大灵猫、大</w:t>
      </w:r>
      <w:r>
        <w:rPr>
          <w:rFonts w:ascii="宋体" w:hAnsi="宋体" w:eastAsia="宋体" w:cs="宋体"/>
          <w:spacing w:val="-6"/>
          <w:sz w:val="24"/>
          <w:szCs w:val="24"/>
        </w:rPr>
        <w:t>鲵、南方红豆杉、珙桐、连香树、异颖草等珍稀动植物，</w:t>
      </w:r>
      <w:r>
        <w:rPr>
          <w:rFonts w:ascii="宋体" w:hAnsi="宋体" w:eastAsia="宋体" w:cs="宋体"/>
          <w:spacing w:val="58"/>
          <w:sz w:val="24"/>
          <w:szCs w:val="24"/>
        </w:rPr>
        <w:t xml:space="preserve"> </w:t>
      </w:r>
      <w:r>
        <w:rPr>
          <w:rFonts w:ascii="宋体" w:hAnsi="宋体" w:eastAsia="宋体" w:cs="宋体"/>
          <w:spacing w:val="-6"/>
          <w:sz w:val="24"/>
          <w:szCs w:val="24"/>
        </w:rPr>
        <w:t>也不涉及</w:t>
      </w:r>
      <w:r>
        <w:rPr>
          <w:rFonts w:ascii="宋体" w:hAnsi="宋体" w:eastAsia="宋体" w:cs="宋体"/>
          <w:spacing w:val="-7"/>
          <w:sz w:val="24"/>
          <w:szCs w:val="24"/>
        </w:rPr>
        <w:t>云南大山包黑颈鹤国</w:t>
      </w:r>
      <w:r>
        <w:rPr>
          <w:rFonts w:ascii="宋体" w:hAnsi="宋体" w:eastAsia="宋体" w:cs="宋体"/>
          <w:spacing w:val="-2"/>
          <w:sz w:val="24"/>
          <w:szCs w:val="24"/>
        </w:rPr>
        <w:t>家级自然保护区、云南药山国家级自然保护区、云南乌蒙山国家级自然保护区、云南会</w:t>
      </w:r>
      <w:r>
        <w:rPr>
          <w:rFonts w:ascii="宋体" w:hAnsi="宋体" w:eastAsia="宋体" w:cs="宋体"/>
          <w:spacing w:val="-5"/>
          <w:sz w:val="24"/>
          <w:szCs w:val="24"/>
        </w:rPr>
        <w:t>泽黑颈鹤国家级自然保护区等保护地。涉及占用的植被植物类型不敏感， 不会破坏该区</w:t>
      </w:r>
      <w:r>
        <w:rPr>
          <w:rFonts w:ascii="宋体" w:hAnsi="宋体" w:eastAsia="宋体" w:cs="宋体"/>
          <w:spacing w:val="-7"/>
          <w:sz w:val="24"/>
          <w:szCs w:val="24"/>
        </w:rPr>
        <w:t>域生态功能。</w:t>
      </w:r>
    </w:p>
    <w:p w14:paraId="738A4859">
      <w:pPr>
        <w:spacing w:line="217" w:lineRule="auto"/>
        <w:ind w:left="488"/>
        <w:rPr>
          <w:rFonts w:ascii="宋体" w:hAnsi="宋体" w:eastAsia="宋体" w:cs="宋体"/>
          <w:sz w:val="24"/>
          <w:szCs w:val="24"/>
        </w:rPr>
      </w:pPr>
      <w:r>
        <w:rPr>
          <w:rFonts w:ascii="宋体" w:hAnsi="宋体" w:eastAsia="宋体" w:cs="宋体"/>
          <w:spacing w:val="-2"/>
          <w:sz w:val="24"/>
          <w:szCs w:val="24"/>
        </w:rPr>
        <w:t>①植被现状</w:t>
      </w:r>
    </w:p>
    <w:p w14:paraId="61330658">
      <w:pPr>
        <w:spacing w:before="186" w:line="360" w:lineRule="auto"/>
        <w:ind w:left="9" w:right="85" w:firstLine="482"/>
        <w:rPr>
          <w:rFonts w:ascii="宋体" w:hAnsi="宋体" w:eastAsia="宋体" w:cs="宋体"/>
          <w:sz w:val="24"/>
          <w:szCs w:val="24"/>
        </w:rPr>
      </w:pPr>
      <w:r>
        <w:rPr>
          <w:rFonts w:ascii="宋体" w:hAnsi="宋体" w:eastAsia="宋体" w:cs="宋体"/>
          <w:spacing w:val="-2"/>
          <w:sz w:val="24"/>
          <w:szCs w:val="24"/>
        </w:rPr>
        <w:t>从实地调查的情况看，由于受到人为活动的长期影响，主要是农业生产及生活的影响，生态保护红线评价区目前的植被类型已经发生了许多变化，原生植被大量消失或改</w:t>
      </w:r>
      <w:r>
        <w:rPr>
          <w:rFonts w:ascii="宋体" w:hAnsi="宋体" w:eastAsia="宋体" w:cs="宋体"/>
          <w:spacing w:val="-6"/>
          <w:sz w:val="24"/>
          <w:szCs w:val="24"/>
        </w:rPr>
        <w:t>变，次生植被及人工植被大量增加。根据生态调查，</w:t>
      </w:r>
      <w:r>
        <w:rPr>
          <w:rFonts w:ascii="宋体" w:hAnsi="宋体" w:eastAsia="宋体" w:cs="宋体"/>
          <w:spacing w:val="48"/>
          <w:sz w:val="24"/>
          <w:szCs w:val="24"/>
        </w:rPr>
        <w:t xml:space="preserve"> </w:t>
      </w:r>
      <w:r>
        <w:rPr>
          <w:rFonts w:ascii="宋体" w:hAnsi="宋体" w:eastAsia="宋体" w:cs="宋体"/>
          <w:spacing w:val="-6"/>
          <w:sz w:val="24"/>
          <w:szCs w:val="24"/>
        </w:rPr>
        <w:t>架空线路穿越生态保护红线段植被</w:t>
      </w:r>
      <w:r>
        <w:rPr>
          <w:rFonts w:ascii="宋体" w:hAnsi="宋体" w:eastAsia="宋体" w:cs="宋体"/>
          <w:spacing w:val="-3"/>
          <w:sz w:val="24"/>
          <w:szCs w:val="24"/>
        </w:rPr>
        <w:t>类型主要是云南松林、灌丛及稀树灌草丛。</w:t>
      </w:r>
    </w:p>
    <w:p w14:paraId="075F025A">
      <w:pPr>
        <w:spacing w:line="360" w:lineRule="auto"/>
        <w:ind w:left="21" w:firstLine="473"/>
        <w:rPr>
          <w:rFonts w:ascii="宋体" w:hAnsi="宋体" w:eastAsia="宋体" w:cs="宋体"/>
          <w:sz w:val="24"/>
          <w:szCs w:val="24"/>
        </w:rPr>
      </w:pPr>
      <w:r>
        <w:rPr>
          <w:rFonts w:ascii="宋体" w:hAnsi="宋体" w:eastAsia="宋体" w:cs="宋体"/>
          <w:spacing w:val="-7"/>
          <w:sz w:val="24"/>
          <w:szCs w:val="24"/>
        </w:rPr>
        <w:t>结合现场调查、项目沿线植被类型分布图可知，</w:t>
      </w:r>
      <w:r>
        <w:rPr>
          <w:rFonts w:ascii="宋体" w:hAnsi="宋体" w:eastAsia="宋体" w:cs="宋体"/>
          <w:spacing w:val="65"/>
          <w:sz w:val="24"/>
          <w:szCs w:val="24"/>
        </w:rPr>
        <w:t xml:space="preserve"> </w:t>
      </w:r>
      <w:r>
        <w:rPr>
          <w:rFonts w:ascii="宋体" w:hAnsi="宋体" w:eastAsia="宋体" w:cs="宋体"/>
          <w:spacing w:val="-7"/>
          <w:sz w:val="24"/>
          <w:szCs w:val="24"/>
        </w:rPr>
        <w:t>周边有较多村庄和耕地，受人为影</w:t>
      </w:r>
      <w:r>
        <w:rPr>
          <w:rFonts w:ascii="宋体" w:hAnsi="宋体" w:eastAsia="宋体" w:cs="宋体"/>
          <w:spacing w:val="-6"/>
          <w:sz w:val="24"/>
          <w:szCs w:val="24"/>
        </w:rPr>
        <w:t>响村庄旁和道路边已开垦为耕地。灌丛中植物植被呈现次生性，主要是受人为干扰影响。</w:t>
      </w:r>
    </w:p>
    <w:p w14:paraId="09D75E89">
      <w:pPr>
        <w:spacing w:before="2" w:line="351" w:lineRule="auto"/>
        <w:ind w:left="9" w:right="83" w:firstLine="480"/>
        <w:rPr>
          <w:rFonts w:ascii="宋体" w:hAnsi="宋体" w:eastAsia="宋体" w:cs="宋体"/>
          <w:sz w:val="24"/>
          <w:szCs w:val="24"/>
        </w:rPr>
      </w:pPr>
      <w:r>
        <w:rPr>
          <w:rFonts w:ascii="宋体" w:hAnsi="宋体" w:eastAsia="宋体" w:cs="宋体"/>
          <w:spacing w:val="-2"/>
          <w:sz w:val="24"/>
          <w:szCs w:val="24"/>
        </w:rPr>
        <w:t>拟建线路无法完全避让生态保护红线，穿越长度约</w:t>
      </w:r>
      <w:r>
        <w:rPr>
          <w:rFonts w:ascii="宋体" w:hAnsi="宋体" w:eastAsia="宋体" w:cs="宋体"/>
          <w:spacing w:val="-17"/>
          <w:sz w:val="24"/>
          <w:szCs w:val="24"/>
        </w:rPr>
        <w:t xml:space="preserve"> </w:t>
      </w:r>
      <w:r>
        <w:rPr>
          <w:rFonts w:ascii="Times New Roman" w:hAnsi="Times New Roman" w:eastAsia="Times New Roman" w:cs="Times New Roman"/>
          <w:spacing w:val="-2"/>
          <w:sz w:val="24"/>
          <w:szCs w:val="24"/>
        </w:rPr>
        <w:t>4257m</w:t>
      </w:r>
      <w:r>
        <w:rPr>
          <w:rFonts w:ascii="宋体" w:hAnsi="宋体" w:eastAsia="宋体" w:cs="宋体"/>
          <w:spacing w:val="-2"/>
          <w:sz w:val="24"/>
          <w:szCs w:val="24"/>
        </w:rPr>
        <w:t xml:space="preserve">，共计 </w:t>
      </w:r>
      <w:r>
        <w:rPr>
          <w:rFonts w:ascii="Times New Roman" w:hAnsi="Times New Roman" w:eastAsia="Times New Roman" w:cs="Times New Roman"/>
          <w:spacing w:val="-2"/>
          <w:sz w:val="24"/>
          <w:szCs w:val="24"/>
        </w:rPr>
        <w:t>13</w:t>
      </w:r>
      <w:r>
        <w:rPr>
          <w:rFonts w:ascii="Times New Roman" w:hAnsi="Times New Roman" w:eastAsia="Times New Roman" w:cs="Times New Roman"/>
          <w:spacing w:val="31"/>
          <w:sz w:val="24"/>
          <w:szCs w:val="24"/>
        </w:rPr>
        <w:t xml:space="preserve"> </w:t>
      </w:r>
      <w:r>
        <w:rPr>
          <w:rFonts w:ascii="宋体" w:hAnsi="宋体" w:eastAsia="宋体" w:cs="宋体"/>
          <w:spacing w:val="-2"/>
          <w:sz w:val="24"/>
          <w:szCs w:val="24"/>
        </w:rPr>
        <w:t>个塔基位于生</w:t>
      </w:r>
      <w:r>
        <w:rPr>
          <w:rFonts w:ascii="宋体" w:hAnsi="宋体" w:eastAsia="宋体" w:cs="宋体"/>
          <w:spacing w:val="-6"/>
          <w:sz w:val="24"/>
          <w:szCs w:val="24"/>
        </w:rPr>
        <w:t>态保护红线内。</w:t>
      </w:r>
    </w:p>
    <w:p w14:paraId="252585EE">
      <w:pPr>
        <w:spacing w:before="22" w:line="217" w:lineRule="auto"/>
        <w:ind w:left="487"/>
        <w:rPr>
          <w:rFonts w:ascii="宋体" w:hAnsi="宋体" w:eastAsia="宋体" w:cs="宋体"/>
          <w:sz w:val="24"/>
          <w:szCs w:val="24"/>
        </w:rPr>
      </w:pPr>
      <w:r>
        <w:rPr>
          <w:rFonts w:ascii="宋体" w:hAnsi="宋体" w:eastAsia="宋体" w:cs="宋体"/>
          <w:spacing w:val="-1"/>
          <w:sz w:val="24"/>
          <w:szCs w:val="24"/>
        </w:rPr>
        <w:t>②重点保护植物</w:t>
      </w:r>
    </w:p>
    <w:p w14:paraId="54EE6BA9">
      <w:pPr>
        <w:spacing w:line="217" w:lineRule="auto"/>
        <w:rPr>
          <w:rFonts w:ascii="宋体" w:hAnsi="宋体" w:eastAsia="宋体" w:cs="宋体"/>
          <w:sz w:val="24"/>
          <w:szCs w:val="24"/>
        </w:rPr>
        <w:sectPr>
          <w:footerReference r:id="rId179" w:type="default"/>
          <w:pgSz w:w="11907" w:h="16841"/>
          <w:pgMar w:top="400" w:right="1330" w:bottom="1126" w:left="1418" w:header="0" w:footer="925" w:gutter="0"/>
          <w:cols w:space="720" w:num="1"/>
        </w:sectPr>
      </w:pPr>
    </w:p>
    <w:p w14:paraId="303F9003">
      <w:pPr>
        <w:spacing w:line="249" w:lineRule="auto"/>
        <w:rPr>
          <w:rFonts w:ascii="Arial"/>
          <w:sz w:val="21"/>
        </w:rPr>
      </w:pPr>
    </w:p>
    <w:p w14:paraId="6C8EB795">
      <w:pPr>
        <w:spacing w:line="249" w:lineRule="auto"/>
        <w:rPr>
          <w:rFonts w:ascii="Arial"/>
          <w:sz w:val="21"/>
        </w:rPr>
      </w:pPr>
    </w:p>
    <w:p w14:paraId="1AB12B31">
      <w:pPr>
        <w:spacing w:line="249" w:lineRule="auto"/>
        <w:rPr>
          <w:rFonts w:ascii="Arial"/>
          <w:sz w:val="21"/>
        </w:rPr>
      </w:pPr>
    </w:p>
    <w:p w14:paraId="37284635">
      <w:pPr>
        <w:spacing w:line="249" w:lineRule="auto"/>
        <w:rPr>
          <w:rFonts w:ascii="Arial"/>
          <w:sz w:val="21"/>
        </w:rPr>
      </w:pPr>
    </w:p>
    <w:p w14:paraId="72F0A401">
      <w:pPr>
        <w:spacing w:line="249" w:lineRule="auto"/>
        <w:rPr>
          <w:rFonts w:ascii="Arial"/>
          <w:sz w:val="21"/>
        </w:rPr>
      </w:pPr>
    </w:p>
    <w:p w14:paraId="62EF9426">
      <w:pPr>
        <w:spacing w:before="78" w:line="360" w:lineRule="auto"/>
        <w:ind w:left="11" w:firstLine="467"/>
        <w:rPr>
          <w:rFonts w:ascii="宋体" w:hAnsi="宋体" w:eastAsia="宋体" w:cs="宋体"/>
          <w:sz w:val="24"/>
          <w:szCs w:val="24"/>
        </w:rPr>
      </w:pPr>
      <w:r>
        <w:rPr>
          <w:rFonts w:ascii="宋体" w:hAnsi="宋体" w:eastAsia="宋体" w:cs="宋体"/>
          <w:spacing w:val="-2"/>
          <w:sz w:val="24"/>
          <w:szCs w:val="24"/>
        </w:rPr>
        <w:t>根据生态调查，生态保护红线段评价区内，未发现重点保护野生植物，因此，对重</w:t>
      </w:r>
      <w:r>
        <w:rPr>
          <w:rFonts w:ascii="宋体" w:hAnsi="宋体" w:eastAsia="宋体" w:cs="宋体"/>
          <w:spacing w:val="-6"/>
          <w:sz w:val="24"/>
          <w:szCs w:val="24"/>
        </w:rPr>
        <w:t>点保护植物无影响。</w:t>
      </w:r>
    </w:p>
    <w:p w14:paraId="18ECB29C">
      <w:pPr>
        <w:spacing w:line="217" w:lineRule="auto"/>
        <w:ind w:left="477"/>
        <w:rPr>
          <w:rFonts w:ascii="宋体" w:hAnsi="宋体" w:eastAsia="宋体" w:cs="宋体"/>
          <w:sz w:val="24"/>
          <w:szCs w:val="24"/>
        </w:rPr>
      </w:pPr>
      <w:r>
        <w:rPr>
          <w:rFonts w:ascii="宋体" w:hAnsi="宋体" w:eastAsia="宋体" w:cs="宋体"/>
          <w:spacing w:val="-1"/>
          <w:sz w:val="24"/>
          <w:szCs w:val="24"/>
        </w:rPr>
        <w:t>③重点保护动物</w:t>
      </w:r>
    </w:p>
    <w:p w14:paraId="15878070">
      <w:pPr>
        <w:spacing w:before="185" w:line="218" w:lineRule="auto"/>
        <w:ind w:left="479"/>
        <w:rPr>
          <w:rFonts w:ascii="宋体" w:hAnsi="宋体" w:eastAsia="宋体" w:cs="宋体"/>
          <w:sz w:val="24"/>
          <w:szCs w:val="24"/>
        </w:rPr>
      </w:pPr>
      <w:r>
        <w:rPr>
          <w:rFonts w:ascii="宋体" w:hAnsi="宋体" w:eastAsia="宋体" w:cs="宋体"/>
          <w:spacing w:val="-1"/>
          <w:sz w:val="24"/>
          <w:szCs w:val="24"/>
        </w:rPr>
        <w:t>根据生态调查，生态保护红线段评价区范围未涉及</w:t>
      </w:r>
      <w:r>
        <w:rPr>
          <w:rFonts w:ascii="宋体" w:hAnsi="宋体" w:eastAsia="宋体" w:cs="宋体"/>
          <w:spacing w:val="-2"/>
          <w:sz w:val="24"/>
          <w:szCs w:val="24"/>
        </w:rPr>
        <w:t>国家重点保护野生动物。</w:t>
      </w:r>
    </w:p>
    <w:p w14:paraId="23945650">
      <w:pPr>
        <w:spacing w:before="184" w:line="232" w:lineRule="auto"/>
        <w:ind w:left="487"/>
        <w:rPr>
          <w:rFonts w:ascii="宋体" w:hAnsi="宋体" w:eastAsia="宋体" w:cs="宋体"/>
          <w:sz w:val="24"/>
          <w:szCs w:val="24"/>
        </w:rPr>
      </w:pPr>
      <w:r>
        <w:rPr>
          <w:rFonts w:ascii="宋体" w:hAnsi="宋体" w:eastAsia="宋体" w:cs="宋体"/>
          <w:b/>
          <w:bCs/>
          <w:spacing w:val="-3"/>
          <w:sz w:val="24"/>
          <w:szCs w:val="24"/>
        </w:rPr>
        <w:t>（</w:t>
      </w:r>
      <w:r>
        <w:rPr>
          <w:rFonts w:ascii="Times New Roman" w:hAnsi="Times New Roman" w:eastAsia="Times New Roman" w:cs="Times New Roman"/>
          <w:b/>
          <w:bCs/>
          <w:spacing w:val="-3"/>
          <w:sz w:val="24"/>
          <w:szCs w:val="24"/>
        </w:rPr>
        <w:t>8</w:t>
      </w:r>
      <w:r>
        <w:rPr>
          <w:rFonts w:ascii="宋体" w:hAnsi="宋体" w:eastAsia="宋体" w:cs="宋体"/>
          <w:b/>
          <w:bCs/>
          <w:spacing w:val="-3"/>
          <w:sz w:val="24"/>
          <w:szCs w:val="24"/>
        </w:rPr>
        <w:t>）评价区主要生态问题</w:t>
      </w:r>
    </w:p>
    <w:p w14:paraId="0E2D47CC">
      <w:pPr>
        <w:spacing w:before="167" w:line="361" w:lineRule="auto"/>
        <w:ind w:firstLine="478"/>
        <w:jc w:val="both"/>
        <w:rPr>
          <w:rFonts w:ascii="宋体" w:hAnsi="宋体" w:eastAsia="宋体" w:cs="宋体"/>
          <w:sz w:val="24"/>
          <w:szCs w:val="24"/>
        </w:rPr>
      </w:pPr>
      <w:r>
        <w:rPr>
          <w:rFonts w:ascii="宋体" w:hAnsi="宋体" w:eastAsia="宋体" w:cs="宋体"/>
          <w:spacing w:val="-2"/>
          <w:sz w:val="24"/>
          <w:szCs w:val="24"/>
        </w:rPr>
        <w:t>评价区自然植被遭到较为严重的破坏，而且由于人口不断增加，加上林权改革后的</w:t>
      </w:r>
      <w:r>
        <w:rPr>
          <w:rFonts w:ascii="宋体" w:hAnsi="宋体" w:eastAsia="宋体" w:cs="宋体"/>
          <w:spacing w:val="-8"/>
          <w:sz w:val="24"/>
          <w:szCs w:val="24"/>
        </w:rPr>
        <w:t>林地私有化，其天然植被减少的趋势并未停止。而林地，尤其是天然林地的减少或退化，</w:t>
      </w:r>
      <w:r>
        <w:rPr>
          <w:rFonts w:ascii="宋体" w:hAnsi="宋体" w:eastAsia="宋体" w:cs="宋体"/>
          <w:spacing w:val="-1"/>
          <w:sz w:val="24"/>
          <w:szCs w:val="24"/>
        </w:rPr>
        <w:t>必然导致区域生态系统的恶化。同时本区域有紫茎泽兰、</w:t>
      </w:r>
      <w:r>
        <w:rPr>
          <w:rFonts w:ascii="宋体" w:hAnsi="宋体" w:eastAsia="宋体" w:cs="宋体"/>
          <w:spacing w:val="-2"/>
          <w:sz w:val="24"/>
          <w:szCs w:val="24"/>
        </w:rPr>
        <w:t>鬼针草等外来入侵种。</w:t>
      </w:r>
    </w:p>
    <w:p w14:paraId="51E9D0A4">
      <w:pPr>
        <w:spacing w:line="361" w:lineRule="auto"/>
        <w:rPr>
          <w:rFonts w:ascii="宋体" w:hAnsi="宋体" w:eastAsia="宋体" w:cs="宋体"/>
          <w:sz w:val="24"/>
          <w:szCs w:val="24"/>
        </w:rPr>
        <w:sectPr>
          <w:footerReference r:id="rId180" w:type="default"/>
          <w:pgSz w:w="11907" w:h="16841"/>
          <w:pgMar w:top="400" w:right="1415" w:bottom="1126" w:left="1429" w:header="0" w:footer="925" w:gutter="0"/>
          <w:cols w:space="720" w:num="1"/>
        </w:sectPr>
      </w:pPr>
    </w:p>
    <w:p w14:paraId="04106B32">
      <w:pPr>
        <w:spacing w:line="251" w:lineRule="auto"/>
        <w:rPr>
          <w:rFonts w:ascii="Arial"/>
          <w:sz w:val="21"/>
        </w:rPr>
      </w:pPr>
    </w:p>
    <w:p w14:paraId="43C807C3">
      <w:pPr>
        <w:spacing w:line="252" w:lineRule="auto"/>
        <w:rPr>
          <w:rFonts w:ascii="Arial"/>
          <w:sz w:val="21"/>
        </w:rPr>
      </w:pPr>
    </w:p>
    <w:p w14:paraId="3DE5CB8C">
      <w:pPr>
        <w:spacing w:line="252" w:lineRule="auto"/>
        <w:rPr>
          <w:rFonts w:ascii="Arial"/>
          <w:sz w:val="21"/>
        </w:rPr>
      </w:pPr>
    </w:p>
    <w:p w14:paraId="1B105A4F">
      <w:pPr>
        <w:spacing w:line="252" w:lineRule="auto"/>
        <w:rPr>
          <w:rFonts w:ascii="Arial"/>
          <w:sz w:val="21"/>
        </w:rPr>
      </w:pPr>
    </w:p>
    <w:p w14:paraId="005D24A5">
      <w:pPr>
        <w:spacing w:line="252" w:lineRule="auto"/>
        <w:rPr>
          <w:rFonts w:ascii="Arial"/>
          <w:sz w:val="21"/>
        </w:rPr>
      </w:pPr>
    </w:p>
    <w:p w14:paraId="263C86F2">
      <w:pPr>
        <w:spacing w:before="101" w:line="238" w:lineRule="auto"/>
        <w:ind w:left="5"/>
        <w:rPr>
          <w:rFonts w:ascii="宋体" w:hAnsi="宋体" w:eastAsia="宋体" w:cs="宋体"/>
          <w:sz w:val="31"/>
          <w:szCs w:val="31"/>
        </w:rPr>
      </w:pPr>
      <w:bookmarkStart w:id="42" w:name="bookmark48"/>
      <w:bookmarkEnd w:id="42"/>
      <w:r>
        <w:rPr>
          <w:rFonts w:ascii="Times New Roman" w:hAnsi="Times New Roman" w:eastAsia="Times New Roman" w:cs="Times New Roman"/>
          <w:b/>
          <w:bCs/>
          <w:spacing w:val="3"/>
          <w:sz w:val="31"/>
          <w:szCs w:val="31"/>
        </w:rPr>
        <w:t>3</w:t>
      </w:r>
      <w:r>
        <w:rPr>
          <w:rFonts w:ascii="Times New Roman" w:hAnsi="Times New Roman" w:eastAsia="Times New Roman" w:cs="Times New Roman"/>
          <w:b/>
          <w:bCs/>
          <w:spacing w:val="-34"/>
          <w:sz w:val="31"/>
          <w:szCs w:val="31"/>
        </w:rPr>
        <w:t xml:space="preserve"> </w:t>
      </w:r>
      <w:r>
        <w:rPr>
          <w:rFonts w:ascii="宋体" w:hAnsi="宋体" w:eastAsia="宋体" w:cs="宋体"/>
          <w:b/>
          <w:bCs/>
          <w:spacing w:val="3"/>
          <w:sz w:val="31"/>
          <w:szCs w:val="31"/>
        </w:rPr>
        <w:t>、生态影响预测与评价</w:t>
      </w:r>
    </w:p>
    <w:p w14:paraId="1CFB0A5C">
      <w:pPr>
        <w:spacing w:before="187" w:line="360" w:lineRule="auto"/>
        <w:ind w:left="9" w:firstLine="479"/>
        <w:jc w:val="both"/>
        <w:rPr>
          <w:rFonts w:ascii="宋体" w:hAnsi="宋体" w:eastAsia="宋体" w:cs="宋体"/>
          <w:sz w:val="24"/>
          <w:szCs w:val="24"/>
        </w:rPr>
      </w:pPr>
      <w:r>
        <w:rPr>
          <w:rFonts w:ascii="宋体" w:hAnsi="宋体" w:eastAsia="宋体" w:cs="宋体"/>
          <w:spacing w:val="-2"/>
          <w:sz w:val="24"/>
          <w:szCs w:val="24"/>
        </w:rPr>
        <w:t>输变电工程建设对生态环境的影响主要集中在施工阶段，但总体而言，施工阶段的</w:t>
      </w:r>
      <w:r>
        <w:rPr>
          <w:rFonts w:ascii="宋体" w:hAnsi="宋体" w:eastAsia="宋体" w:cs="宋体"/>
          <w:spacing w:val="-5"/>
          <w:sz w:val="24"/>
          <w:szCs w:val="24"/>
        </w:rPr>
        <w:t>影响程度相对有限。项目投入运营后， 由于工程占地可能引发的水土流失问题仍会在一</w:t>
      </w:r>
      <w:r>
        <w:rPr>
          <w:rFonts w:ascii="宋体" w:hAnsi="宋体" w:eastAsia="宋体" w:cs="宋体"/>
          <w:spacing w:val="-2"/>
          <w:sz w:val="24"/>
          <w:szCs w:val="24"/>
        </w:rPr>
        <w:t>定时期内存在，不过随着覆土植被工作的推进和水土保持措施的完善，生态环境的负面</w:t>
      </w:r>
      <w:r>
        <w:rPr>
          <w:rFonts w:ascii="宋体" w:hAnsi="宋体" w:eastAsia="宋体" w:cs="宋体"/>
          <w:spacing w:val="-3"/>
          <w:sz w:val="24"/>
          <w:szCs w:val="24"/>
        </w:rPr>
        <w:t>影响将逐渐减弱，最终趋于稳定。</w:t>
      </w:r>
    </w:p>
    <w:p w14:paraId="52D1351C">
      <w:pPr>
        <w:spacing w:line="361" w:lineRule="auto"/>
        <w:ind w:left="10" w:firstLine="478"/>
        <w:jc w:val="both"/>
        <w:rPr>
          <w:rFonts w:ascii="宋体" w:hAnsi="宋体" w:eastAsia="宋体" w:cs="宋体"/>
          <w:sz w:val="24"/>
          <w:szCs w:val="24"/>
        </w:rPr>
      </w:pPr>
      <w:r>
        <w:rPr>
          <w:rFonts w:ascii="宋体" w:hAnsi="宋体" w:eastAsia="宋体" w:cs="宋体"/>
          <w:spacing w:val="-2"/>
          <w:sz w:val="24"/>
          <w:szCs w:val="24"/>
        </w:rPr>
        <w:t>施工期间，对生态环境的影响主要通过以下几种方式体现：一是工程占地会改变局部土地的利用现状；二是施工活动可能会对地形地貌和植被造成一定影响；三是地表扰动可能导致局部区域出现水土流失现象。但这些影响随着施工结束和后续生态修复措施</w:t>
      </w:r>
      <w:r>
        <w:rPr>
          <w:rFonts w:ascii="宋体" w:hAnsi="宋体" w:eastAsia="宋体" w:cs="宋体"/>
          <w:spacing w:val="-4"/>
          <w:sz w:val="24"/>
          <w:szCs w:val="24"/>
        </w:rPr>
        <w:t>的落实，会逐步得到改善。</w:t>
      </w:r>
    </w:p>
    <w:p w14:paraId="29FA2539">
      <w:pPr>
        <w:spacing w:before="52" w:line="232" w:lineRule="auto"/>
        <w:ind w:left="4"/>
        <w:rPr>
          <w:rFonts w:ascii="宋体" w:hAnsi="宋体" w:eastAsia="宋体" w:cs="宋体"/>
          <w:sz w:val="28"/>
          <w:szCs w:val="28"/>
        </w:rPr>
      </w:pPr>
      <w:bookmarkStart w:id="43" w:name="bookmark49"/>
      <w:bookmarkEnd w:id="43"/>
      <w:r>
        <w:rPr>
          <w:rFonts w:ascii="Times New Roman" w:hAnsi="Times New Roman" w:eastAsia="Times New Roman" w:cs="Times New Roman"/>
          <w:b/>
          <w:bCs/>
          <w:spacing w:val="-2"/>
          <w:sz w:val="28"/>
          <w:szCs w:val="28"/>
        </w:rPr>
        <w:t xml:space="preserve">3.1 </w:t>
      </w:r>
      <w:r>
        <w:rPr>
          <w:rFonts w:ascii="宋体" w:hAnsi="宋体" w:eastAsia="宋体" w:cs="宋体"/>
          <w:b/>
          <w:bCs/>
          <w:spacing w:val="-2"/>
          <w:sz w:val="28"/>
          <w:szCs w:val="28"/>
        </w:rPr>
        <w:t>项目占地影响评价</w:t>
      </w:r>
    </w:p>
    <w:p w14:paraId="46087EDE">
      <w:pPr>
        <w:spacing w:before="213" w:line="344" w:lineRule="auto"/>
        <w:ind w:left="9" w:right="13" w:firstLine="480"/>
        <w:jc w:val="both"/>
        <w:rPr>
          <w:rFonts w:ascii="宋体" w:hAnsi="宋体" w:eastAsia="宋体" w:cs="宋体"/>
          <w:sz w:val="24"/>
          <w:szCs w:val="24"/>
        </w:rPr>
      </w:pPr>
      <w:r>
        <w:rPr>
          <w:rFonts w:ascii="宋体" w:hAnsi="宋体" w:eastAsia="宋体" w:cs="宋体"/>
          <w:spacing w:val="-4"/>
          <w:sz w:val="24"/>
          <w:szCs w:val="24"/>
        </w:rPr>
        <w:t>根据工程设计资料，本项目工程共占地</w:t>
      </w:r>
      <w:r>
        <w:rPr>
          <w:rFonts w:ascii="宋体" w:hAnsi="宋体" w:eastAsia="宋体" w:cs="宋体"/>
          <w:spacing w:val="-31"/>
          <w:sz w:val="24"/>
          <w:szCs w:val="24"/>
        </w:rPr>
        <w:t xml:space="preserve"> </w:t>
      </w:r>
      <w:r>
        <w:rPr>
          <w:rFonts w:ascii="Times New Roman" w:hAnsi="Times New Roman" w:eastAsia="Times New Roman" w:cs="Times New Roman"/>
          <w:spacing w:val="-4"/>
          <w:sz w:val="24"/>
          <w:szCs w:val="24"/>
        </w:rPr>
        <w:t>1.9426hm</w:t>
      </w:r>
      <w:r>
        <w:rPr>
          <w:rFonts w:ascii="Times New Roman" w:hAnsi="Times New Roman" w:eastAsia="Times New Roman" w:cs="Times New Roman"/>
          <w:spacing w:val="-4"/>
          <w:position w:val="8"/>
          <w:sz w:val="16"/>
          <w:szCs w:val="16"/>
        </w:rPr>
        <w:t>2</w:t>
      </w:r>
      <w:r>
        <w:rPr>
          <w:rFonts w:ascii="宋体" w:hAnsi="宋体" w:eastAsia="宋体" w:cs="宋体"/>
          <w:spacing w:val="-4"/>
          <w:sz w:val="24"/>
          <w:szCs w:val="24"/>
        </w:rPr>
        <w:t>，其中永久占地</w:t>
      </w:r>
      <w:r>
        <w:rPr>
          <w:rFonts w:ascii="宋体" w:hAnsi="宋体" w:eastAsia="宋体" w:cs="宋体"/>
          <w:spacing w:val="-51"/>
          <w:sz w:val="24"/>
          <w:szCs w:val="24"/>
        </w:rPr>
        <w:t xml:space="preserve"> </w:t>
      </w:r>
      <w:r>
        <w:rPr>
          <w:rFonts w:ascii="Times New Roman" w:hAnsi="Times New Roman" w:eastAsia="Times New Roman" w:cs="Times New Roman"/>
          <w:spacing w:val="-5"/>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5"/>
          <w:sz w:val="24"/>
          <w:szCs w:val="24"/>
        </w:rPr>
        <w:t>1226hm</w:t>
      </w:r>
      <w:r>
        <w:rPr>
          <w:rFonts w:ascii="Times New Roman" w:hAnsi="Times New Roman" w:eastAsia="Times New Roman" w:cs="Times New Roman"/>
          <w:spacing w:val="-5"/>
          <w:position w:val="8"/>
          <w:sz w:val="16"/>
          <w:szCs w:val="16"/>
        </w:rPr>
        <w:t>2</w:t>
      </w:r>
      <w:r>
        <w:rPr>
          <w:rFonts w:ascii="宋体" w:hAnsi="宋体" w:eastAsia="宋体" w:cs="宋体"/>
          <w:spacing w:val="-5"/>
          <w:sz w:val="24"/>
          <w:szCs w:val="24"/>
        </w:rPr>
        <w:t>，含间</w:t>
      </w:r>
      <w:r>
        <w:rPr>
          <w:rFonts w:ascii="宋体" w:hAnsi="宋体" w:eastAsia="宋体" w:cs="宋体"/>
          <w:spacing w:val="-1"/>
          <w:sz w:val="24"/>
          <w:szCs w:val="24"/>
        </w:rPr>
        <w:t xml:space="preserve">隔扩建和塔基，占用的类型为林地、耕地；临时占地 </w:t>
      </w:r>
      <w:r>
        <w:rPr>
          <w:rFonts w:ascii="Times New Roman" w:hAnsi="Times New Roman" w:eastAsia="Times New Roman" w:cs="Times New Roman"/>
          <w:spacing w:val="-1"/>
          <w:sz w:val="24"/>
          <w:szCs w:val="24"/>
        </w:rPr>
        <w:t>1.82hm</w:t>
      </w:r>
      <w:r>
        <w:rPr>
          <w:rFonts w:ascii="Times New Roman" w:hAnsi="Times New Roman" w:eastAsia="Times New Roman" w:cs="Times New Roman"/>
          <w:spacing w:val="-1"/>
          <w:position w:val="9"/>
          <w:sz w:val="16"/>
          <w:szCs w:val="16"/>
        </w:rPr>
        <w:t>2</w:t>
      </w:r>
      <w:r>
        <w:rPr>
          <w:rFonts w:ascii="宋体" w:hAnsi="宋体" w:eastAsia="宋体" w:cs="宋体"/>
          <w:spacing w:val="-1"/>
          <w:sz w:val="24"/>
          <w:szCs w:val="24"/>
        </w:rPr>
        <w:t>，含塔基施工区、牵张场</w:t>
      </w:r>
      <w:r>
        <w:rPr>
          <w:rFonts w:ascii="宋体" w:hAnsi="宋体" w:eastAsia="宋体" w:cs="宋体"/>
          <w:spacing w:val="-2"/>
          <w:sz w:val="24"/>
          <w:szCs w:val="24"/>
        </w:rPr>
        <w:t>地、跨越场地和施工便道，占用的类型为林地、耕地和草地。</w:t>
      </w:r>
    </w:p>
    <w:p w14:paraId="633DEED2">
      <w:pPr>
        <w:spacing w:line="229" w:lineRule="auto"/>
        <w:ind w:left="1742"/>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0"/>
          <w:sz w:val="21"/>
          <w:szCs w:val="21"/>
        </w:rPr>
        <w:t xml:space="preserve"> </w:t>
      </w:r>
      <w:r>
        <w:rPr>
          <w:rFonts w:ascii="Times New Roman" w:hAnsi="Times New Roman" w:eastAsia="Times New Roman" w:cs="Times New Roman"/>
          <w:b/>
          <w:bCs/>
          <w:spacing w:val="-2"/>
          <w:sz w:val="21"/>
          <w:szCs w:val="21"/>
        </w:rPr>
        <w:t xml:space="preserve">3-1    </w:t>
      </w:r>
      <w:r>
        <w:rPr>
          <w:rFonts w:ascii="宋体" w:hAnsi="宋体" w:eastAsia="宋体" w:cs="宋体"/>
          <w:b/>
          <w:bCs/>
          <w:spacing w:val="-2"/>
          <w:sz w:val="21"/>
          <w:szCs w:val="21"/>
        </w:rPr>
        <w:t>项目区土地利用现状、工程占用土地类型情况分析表</w:t>
      </w:r>
    </w:p>
    <w:tbl>
      <w:tblPr>
        <w:tblStyle w:val="5"/>
        <w:tblW w:w="9056" w:type="dxa"/>
        <w:tblInd w:w="7"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436"/>
        <w:gridCol w:w="838"/>
        <w:gridCol w:w="1275"/>
        <w:gridCol w:w="1272"/>
        <w:gridCol w:w="1134"/>
        <w:gridCol w:w="1131"/>
        <w:gridCol w:w="2970"/>
      </w:tblGrid>
      <w:tr w14:paraId="221FA5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6" w:hRule="atLeast"/>
        </w:trPr>
        <w:tc>
          <w:tcPr>
            <w:tcW w:w="436" w:type="dxa"/>
            <w:vMerge w:val="restart"/>
            <w:tcBorders>
              <w:bottom w:val="nil"/>
            </w:tcBorders>
            <w:textDirection w:val="tbRlV"/>
            <w:vAlign w:val="top"/>
          </w:tcPr>
          <w:p w14:paraId="144C7DEC">
            <w:pPr>
              <w:pStyle w:val="6"/>
              <w:spacing w:before="107" w:line="211" w:lineRule="auto"/>
              <w:ind w:left="213"/>
            </w:pPr>
            <w:r>
              <w:rPr>
                <w:b/>
                <w:bCs/>
                <w:spacing w:val="-2"/>
              </w:rPr>
              <w:t>序</w:t>
            </w:r>
            <w:r>
              <w:rPr>
                <w:spacing w:val="-4"/>
              </w:rPr>
              <w:t xml:space="preserve"> </w:t>
            </w:r>
            <w:r>
              <w:rPr>
                <w:b/>
                <w:bCs/>
                <w:spacing w:val="-2"/>
              </w:rPr>
              <w:t>号</w:t>
            </w:r>
          </w:p>
        </w:tc>
        <w:tc>
          <w:tcPr>
            <w:tcW w:w="838" w:type="dxa"/>
            <w:vMerge w:val="restart"/>
            <w:tcBorders>
              <w:bottom w:val="nil"/>
            </w:tcBorders>
            <w:vAlign w:val="top"/>
          </w:tcPr>
          <w:p w14:paraId="0FDD6101">
            <w:pPr>
              <w:pStyle w:val="6"/>
              <w:spacing w:before="57" w:line="222" w:lineRule="auto"/>
              <w:ind w:left="237"/>
            </w:pPr>
            <w:r>
              <w:rPr>
                <w:b/>
                <w:bCs/>
                <w:spacing w:val="-13"/>
              </w:rPr>
              <w:t>占用</w:t>
            </w:r>
          </w:p>
          <w:p w14:paraId="1FB4A5F6">
            <w:pPr>
              <w:pStyle w:val="6"/>
              <w:spacing w:before="59" w:line="230" w:lineRule="auto"/>
              <w:ind w:left="203"/>
            </w:pPr>
            <w:r>
              <w:rPr>
                <w:b/>
                <w:bCs/>
                <w:spacing w:val="-4"/>
              </w:rPr>
              <w:t>土地</w:t>
            </w:r>
          </w:p>
          <w:p w14:paraId="43A6E0AB">
            <w:pPr>
              <w:pStyle w:val="6"/>
              <w:spacing w:before="50" w:line="221" w:lineRule="auto"/>
              <w:ind w:left="202"/>
            </w:pPr>
            <w:r>
              <w:rPr>
                <w:b/>
                <w:bCs/>
                <w:spacing w:val="-4"/>
              </w:rPr>
              <w:t>类型</w:t>
            </w:r>
          </w:p>
        </w:tc>
        <w:tc>
          <w:tcPr>
            <w:tcW w:w="2547" w:type="dxa"/>
            <w:gridSpan w:val="2"/>
            <w:vAlign w:val="top"/>
          </w:tcPr>
          <w:p w14:paraId="1CE8FA79">
            <w:pPr>
              <w:pStyle w:val="6"/>
              <w:spacing w:before="58" w:line="219" w:lineRule="auto"/>
              <w:ind w:left="114"/>
            </w:pPr>
            <w:r>
              <w:rPr>
                <w:b/>
                <w:bCs/>
                <w:spacing w:val="-3"/>
              </w:rPr>
              <w:t>项目评价区土地利用现状</w:t>
            </w:r>
          </w:p>
        </w:tc>
        <w:tc>
          <w:tcPr>
            <w:tcW w:w="2265" w:type="dxa"/>
            <w:gridSpan w:val="2"/>
            <w:vAlign w:val="top"/>
          </w:tcPr>
          <w:p w14:paraId="1FE961CF">
            <w:pPr>
              <w:pStyle w:val="6"/>
              <w:spacing w:before="57" w:line="220" w:lineRule="auto"/>
              <w:ind w:left="186"/>
            </w:pPr>
            <w:r>
              <w:rPr>
                <w:b/>
                <w:bCs/>
                <w:spacing w:val="-3"/>
              </w:rPr>
              <w:t>本工程占用土地类型</w:t>
            </w:r>
          </w:p>
        </w:tc>
        <w:tc>
          <w:tcPr>
            <w:tcW w:w="2970" w:type="dxa"/>
            <w:vMerge w:val="restart"/>
            <w:tcBorders>
              <w:bottom w:val="nil"/>
            </w:tcBorders>
            <w:vAlign w:val="top"/>
          </w:tcPr>
          <w:p w14:paraId="308D6144">
            <w:pPr>
              <w:pStyle w:val="6"/>
              <w:spacing w:before="213" w:line="283" w:lineRule="auto"/>
              <w:ind w:left="326" w:right="107" w:hanging="177"/>
              <w:rPr>
                <w:rFonts w:ascii="Times New Roman" w:hAnsi="Times New Roman" w:eastAsia="Times New Roman" w:cs="Times New Roman"/>
              </w:rPr>
            </w:pPr>
            <w:r>
              <w:rPr>
                <w:b/>
                <w:bCs/>
                <w:spacing w:val="-5"/>
              </w:rPr>
              <w:t>占用土地类型面积占评价区该</w:t>
            </w:r>
            <w:r>
              <w:rPr>
                <w:b/>
                <w:bCs/>
                <w:spacing w:val="-2"/>
              </w:rPr>
              <w:t>类土地类型面积的比例</w:t>
            </w:r>
            <w:r>
              <w:rPr>
                <w:rFonts w:ascii="Times New Roman" w:hAnsi="Times New Roman" w:eastAsia="Times New Roman" w:cs="Times New Roman"/>
                <w:b/>
                <w:bCs/>
                <w:spacing w:val="-2"/>
              </w:rPr>
              <w:t>%</w:t>
            </w:r>
          </w:p>
        </w:tc>
      </w:tr>
      <w:tr w14:paraId="171033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06" w:hRule="atLeast"/>
        </w:trPr>
        <w:tc>
          <w:tcPr>
            <w:tcW w:w="436" w:type="dxa"/>
            <w:vMerge w:val="continue"/>
            <w:tcBorders>
              <w:top w:val="nil"/>
            </w:tcBorders>
            <w:textDirection w:val="tbRlV"/>
            <w:vAlign w:val="top"/>
          </w:tcPr>
          <w:p w14:paraId="2FAD733D">
            <w:pPr>
              <w:rPr>
                <w:rFonts w:ascii="Arial"/>
                <w:sz w:val="21"/>
              </w:rPr>
            </w:pPr>
          </w:p>
        </w:tc>
        <w:tc>
          <w:tcPr>
            <w:tcW w:w="838" w:type="dxa"/>
            <w:vMerge w:val="continue"/>
            <w:tcBorders>
              <w:top w:val="nil"/>
            </w:tcBorders>
            <w:vAlign w:val="top"/>
          </w:tcPr>
          <w:p w14:paraId="40BDF143">
            <w:pPr>
              <w:rPr>
                <w:rFonts w:ascii="Arial"/>
                <w:sz w:val="21"/>
              </w:rPr>
            </w:pPr>
          </w:p>
        </w:tc>
        <w:tc>
          <w:tcPr>
            <w:tcW w:w="1275" w:type="dxa"/>
            <w:vAlign w:val="top"/>
          </w:tcPr>
          <w:p w14:paraId="26508528">
            <w:pPr>
              <w:pStyle w:val="6"/>
              <w:spacing w:before="194" w:line="235" w:lineRule="auto"/>
              <w:ind w:left="212"/>
              <w:rPr>
                <w:rFonts w:ascii="Times New Roman" w:hAnsi="Times New Roman" w:eastAsia="Times New Roman" w:cs="Times New Roman"/>
                <w:sz w:val="13"/>
                <w:szCs w:val="13"/>
              </w:rPr>
            </w:pPr>
            <w:r>
              <w:rPr>
                <w:b/>
                <w:bCs/>
                <w:spacing w:val="-1"/>
              </w:rPr>
              <w:t>面积</w:t>
            </w:r>
            <w:r>
              <w:rPr>
                <w:rFonts w:ascii="Times New Roman" w:hAnsi="Times New Roman" w:eastAsia="Times New Roman" w:cs="Times New Roman"/>
                <w:b/>
                <w:bCs/>
                <w:spacing w:val="-1"/>
              </w:rPr>
              <w:t>/hm</w:t>
            </w:r>
            <w:r>
              <w:rPr>
                <w:rFonts w:ascii="Times New Roman" w:hAnsi="Times New Roman" w:eastAsia="Times New Roman" w:cs="Times New Roman"/>
                <w:b/>
                <w:bCs/>
                <w:spacing w:val="-1"/>
                <w:position w:val="6"/>
                <w:sz w:val="13"/>
                <w:szCs w:val="13"/>
              </w:rPr>
              <w:t>2</w:t>
            </w:r>
          </w:p>
        </w:tc>
        <w:tc>
          <w:tcPr>
            <w:tcW w:w="1272" w:type="dxa"/>
            <w:vAlign w:val="top"/>
          </w:tcPr>
          <w:p w14:paraId="505D7D22">
            <w:pPr>
              <w:pStyle w:val="6"/>
              <w:spacing w:before="194" w:line="236" w:lineRule="auto"/>
              <w:ind w:left="342"/>
              <w:rPr>
                <w:rFonts w:ascii="Times New Roman" w:hAnsi="Times New Roman" w:eastAsia="Times New Roman" w:cs="Times New Roman"/>
              </w:rPr>
            </w:pPr>
            <w:r>
              <w:rPr>
                <w:b/>
                <w:bCs/>
                <w:spacing w:val="-11"/>
              </w:rPr>
              <w:t>比例</w:t>
            </w:r>
            <w:r>
              <w:rPr>
                <w:rFonts w:ascii="Times New Roman" w:hAnsi="Times New Roman" w:eastAsia="Times New Roman" w:cs="Times New Roman"/>
                <w:b/>
                <w:bCs/>
                <w:spacing w:val="-11"/>
              </w:rPr>
              <w:t>%</w:t>
            </w:r>
          </w:p>
        </w:tc>
        <w:tc>
          <w:tcPr>
            <w:tcW w:w="1134" w:type="dxa"/>
            <w:vAlign w:val="top"/>
          </w:tcPr>
          <w:p w14:paraId="2600C808">
            <w:pPr>
              <w:pStyle w:val="6"/>
              <w:spacing w:before="194" w:line="235" w:lineRule="auto"/>
              <w:ind w:left="145"/>
              <w:rPr>
                <w:rFonts w:ascii="Times New Roman" w:hAnsi="Times New Roman" w:eastAsia="Times New Roman" w:cs="Times New Roman"/>
                <w:sz w:val="13"/>
                <w:szCs w:val="13"/>
              </w:rPr>
            </w:pPr>
            <w:r>
              <w:rPr>
                <w:b/>
                <w:bCs/>
                <w:spacing w:val="-1"/>
              </w:rPr>
              <w:t>面积</w:t>
            </w:r>
            <w:r>
              <w:rPr>
                <w:rFonts w:ascii="Times New Roman" w:hAnsi="Times New Roman" w:eastAsia="Times New Roman" w:cs="Times New Roman"/>
                <w:b/>
                <w:bCs/>
                <w:spacing w:val="-1"/>
              </w:rPr>
              <w:t>/hm</w:t>
            </w:r>
            <w:r>
              <w:rPr>
                <w:rFonts w:ascii="Times New Roman" w:hAnsi="Times New Roman" w:eastAsia="Times New Roman" w:cs="Times New Roman"/>
                <w:b/>
                <w:bCs/>
                <w:spacing w:val="-1"/>
                <w:position w:val="6"/>
                <w:sz w:val="13"/>
                <w:szCs w:val="13"/>
              </w:rPr>
              <w:t>2</w:t>
            </w:r>
          </w:p>
        </w:tc>
        <w:tc>
          <w:tcPr>
            <w:tcW w:w="1131" w:type="dxa"/>
            <w:vAlign w:val="top"/>
          </w:tcPr>
          <w:p w14:paraId="0A56D461">
            <w:pPr>
              <w:pStyle w:val="6"/>
              <w:spacing w:before="194" w:line="236" w:lineRule="auto"/>
              <w:ind w:left="274"/>
              <w:rPr>
                <w:rFonts w:ascii="Times New Roman" w:hAnsi="Times New Roman" w:eastAsia="Times New Roman" w:cs="Times New Roman"/>
              </w:rPr>
            </w:pPr>
            <w:r>
              <w:rPr>
                <w:b/>
                <w:bCs/>
                <w:spacing w:val="-11"/>
              </w:rPr>
              <w:t>比例</w:t>
            </w:r>
            <w:r>
              <w:rPr>
                <w:rFonts w:ascii="Times New Roman" w:hAnsi="Times New Roman" w:eastAsia="Times New Roman" w:cs="Times New Roman"/>
                <w:b/>
                <w:bCs/>
                <w:spacing w:val="-11"/>
              </w:rPr>
              <w:t>%</w:t>
            </w:r>
          </w:p>
        </w:tc>
        <w:tc>
          <w:tcPr>
            <w:tcW w:w="2970" w:type="dxa"/>
            <w:vMerge w:val="continue"/>
            <w:tcBorders>
              <w:top w:val="nil"/>
            </w:tcBorders>
            <w:vAlign w:val="top"/>
          </w:tcPr>
          <w:p w14:paraId="0CECEDA7">
            <w:pPr>
              <w:rPr>
                <w:rFonts w:ascii="Arial"/>
                <w:sz w:val="21"/>
              </w:rPr>
            </w:pPr>
          </w:p>
        </w:tc>
      </w:tr>
      <w:tr w14:paraId="5ED28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4" w:hRule="atLeast"/>
        </w:trPr>
        <w:tc>
          <w:tcPr>
            <w:tcW w:w="436" w:type="dxa"/>
            <w:vAlign w:val="top"/>
          </w:tcPr>
          <w:p w14:paraId="766D34B2">
            <w:pPr>
              <w:spacing w:before="86" w:line="216" w:lineRule="auto"/>
              <w:ind w:left="180"/>
              <w:rPr>
                <w:rFonts w:ascii="Times New Roman" w:hAnsi="Times New Roman" w:eastAsia="Times New Roman" w:cs="Times New Roman"/>
                <w:sz w:val="21"/>
                <w:szCs w:val="21"/>
              </w:rPr>
            </w:pPr>
            <w:r>
              <w:rPr>
                <w:rFonts w:ascii="Times New Roman" w:hAnsi="Times New Roman" w:eastAsia="Times New Roman" w:cs="Times New Roman"/>
                <w:sz w:val="21"/>
                <w:szCs w:val="21"/>
              </w:rPr>
              <w:t>1</w:t>
            </w:r>
          </w:p>
        </w:tc>
        <w:tc>
          <w:tcPr>
            <w:tcW w:w="838" w:type="dxa"/>
            <w:vAlign w:val="top"/>
          </w:tcPr>
          <w:p w14:paraId="5D5962EB">
            <w:pPr>
              <w:pStyle w:val="6"/>
              <w:spacing w:before="51" w:line="220" w:lineRule="auto"/>
              <w:ind w:left="202"/>
            </w:pPr>
            <w:r>
              <w:rPr>
                <w:spacing w:val="-2"/>
              </w:rPr>
              <w:t>耕地</w:t>
            </w:r>
          </w:p>
        </w:tc>
        <w:tc>
          <w:tcPr>
            <w:tcW w:w="1275" w:type="dxa"/>
            <w:vAlign w:val="top"/>
          </w:tcPr>
          <w:p w14:paraId="5E278666">
            <w:pPr>
              <w:spacing w:before="86" w:line="216" w:lineRule="auto"/>
              <w:ind w:left="344"/>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309.06</w:t>
            </w:r>
          </w:p>
        </w:tc>
        <w:tc>
          <w:tcPr>
            <w:tcW w:w="1272" w:type="dxa"/>
            <w:vAlign w:val="top"/>
          </w:tcPr>
          <w:p w14:paraId="05D67E88">
            <w:pPr>
              <w:spacing w:before="86" w:line="216" w:lineRule="auto"/>
              <w:ind w:left="415"/>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14.29</w:t>
            </w:r>
          </w:p>
        </w:tc>
        <w:tc>
          <w:tcPr>
            <w:tcW w:w="1134" w:type="dxa"/>
            <w:vAlign w:val="top"/>
          </w:tcPr>
          <w:p w14:paraId="7054B4DA">
            <w:pPr>
              <w:spacing w:before="86" w:line="216" w:lineRule="auto"/>
              <w:ind w:left="2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0.1040</w:t>
            </w:r>
          </w:p>
        </w:tc>
        <w:tc>
          <w:tcPr>
            <w:tcW w:w="1131" w:type="dxa"/>
            <w:vAlign w:val="top"/>
          </w:tcPr>
          <w:p w14:paraId="1849D48B">
            <w:pPr>
              <w:spacing w:before="86" w:line="216" w:lineRule="auto"/>
              <w:ind w:left="385"/>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5.35</w:t>
            </w:r>
          </w:p>
        </w:tc>
        <w:tc>
          <w:tcPr>
            <w:tcW w:w="2970" w:type="dxa"/>
            <w:vAlign w:val="top"/>
          </w:tcPr>
          <w:p w14:paraId="38707A17">
            <w:pPr>
              <w:spacing w:before="86" w:line="216" w:lineRule="auto"/>
              <w:ind w:left="130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0.03</w:t>
            </w:r>
          </w:p>
        </w:tc>
      </w:tr>
      <w:tr w14:paraId="7B192D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5" w:hRule="atLeast"/>
        </w:trPr>
        <w:tc>
          <w:tcPr>
            <w:tcW w:w="436" w:type="dxa"/>
            <w:vAlign w:val="top"/>
          </w:tcPr>
          <w:p w14:paraId="224DEF94">
            <w:pPr>
              <w:spacing w:before="88" w:line="215" w:lineRule="auto"/>
              <w:ind w:left="159"/>
              <w:rPr>
                <w:rFonts w:ascii="Times New Roman" w:hAnsi="Times New Roman" w:eastAsia="Times New Roman" w:cs="Times New Roman"/>
                <w:sz w:val="21"/>
                <w:szCs w:val="21"/>
              </w:rPr>
            </w:pPr>
            <w:r>
              <w:rPr>
                <w:rFonts w:ascii="Times New Roman" w:hAnsi="Times New Roman" w:eastAsia="Times New Roman" w:cs="Times New Roman"/>
                <w:sz w:val="21"/>
                <w:szCs w:val="21"/>
              </w:rPr>
              <w:t>2</w:t>
            </w:r>
          </w:p>
        </w:tc>
        <w:tc>
          <w:tcPr>
            <w:tcW w:w="838" w:type="dxa"/>
            <w:vAlign w:val="top"/>
          </w:tcPr>
          <w:p w14:paraId="57D18831">
            <w:pPr>
              <w:pStyle w:val="6"/>
              <w:spacing w:before="53" w:line="221" w:lineRule="auto"/>
              <w:ind w:left="203"/>
            </w:pPr>
            <w:r>
              <w:rPr>
                <w:spacing w:val="-2"/>
              </w:rPr>
              <w:t>林地</w:t>
            </w:r>
          </w:p>
        </w:tc>
        <w:tc>
          <w:tcPr>
            <w:tcW w:w="1275" w:type="dxa"/>
            <w:vAlign w:val="top"/>
          </w:tcPr>
          <w:p w14:paraId="6F10397D">
            <w:pPr>
              <w:spacing w:before="88" w:line="215" w:lineRule="auto"/>
              <w:ind w:left="34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571.86</w:t>
            </w:r>
          </w:p>
        </w:tc>
        <w:tc>
          <w:tcPr>
            <w:tcW w:w="1272" w:type="dxa"/>
            <w:vAlign w:val="top"/>
          </w:tcPr>
          <w:p w14:paraId="2E92A2C3">
            <w:pPr>
              <w:spacing w:before="88" w:line="215" w:lineRule="auto"/>
              <w:ind w:left="39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26.45</w:t>
            </w:r>
          </w:p>
        </w:tc>
        <w:tc>
          <w:tcPr>
            <w:tcW w:w="1134" w:type="dxa"/>
            <w:vAlign w:val="top"/>
          </w:tcPr>
          <w:p w14:paraId="16E33B5B">
            <w:pPr>
              <w:spacing w:before="88" w:line="215" w:lineRule="auto"/>
              <w:ind w:left="2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0.4136</w:t>
            </w:r>
          </w:p>
        </w:tc>
        <w:tc>
          <w:tcPr>
            <w:tcW w:w="1131" w:type="dxa"/>
            <w:vAlign w:val="top"/>
          </w:tcPr>
          <w:p w14:paraId="14F982C0">
            <w:pPr>
              <w:spacing w:before="88" w:line="215" w:lineRule="auto"/>
              <w:ind w:left="32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21.29</w:t>
            </w:r>
          </w:p>
        </w:tc>
        <w:tc>
          <w:tcPr>
            <w:tcW w:w="2970" w:type="dxa"/>
            <w:vAlign w:val="top"/>
          </w:tcPr>
          <w:p w14:paraId="7F9B8993">
            <w:pPr>
              <w:spacing w:before="88" w:line="215" w:lineRule="auto"/>
              <w:ind w:left="130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0.07</w:t>
            </w:r>
          </w:p>
        </w:tc>
      </w:tr>
      <w:tr w14:paraId="5CFF45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17" w:hRule="atLeast"/>
        </w:trPr>
        <w:tc>
          <w:tcPr>
            <w:tcW w:w="436" w:type="dxa"/>
            <w:vAlign w:val="top"/>
          </w:tcPr>
          <w:p w14:paraId="368D07CE">
            <w:pPr>
              <w:spacing w:before="92" w:line="213" w:lineRule="auto"/>
              <w:ind w:left="164"/>
              <w:rPr>
                <w:rFonts w:ascii="Times New Roman" w:hAnsi="Times New Roman" w:eastAsia="Times New Roman" w:cs="Times New Roman"/>
                <w:sz w:val="21"/>
                <w:szCs w:val="21"/>
              </w:rPr>
            </w:pPr>
            <w:r>
              <w:rPr>
                <w:rFonts w:ascii="Times New Roman" w:hAnsi="Times New Roman" w:eastAsia="Times New Roman" w:cs="Times New Roman"/>
                <w:sz w:val="21"/>
                <w:szCs w:val="21"/>
              </w:rPr>
              <w:t>3</w:t>
            </w:r>
          </w:p>
        </w:tc>
        <w:tc>
          <w:tcPr>
            <w:tcW w:w="838" w:type="dxa"/>
            <w:vAlign w:val="top"/>
          </w:tcPr>
          <w:p w14:paraId="688177E5">
            <w:pPr>
              <w:pStyle w:val="6"/>
              <w:spacing w:before="57" w:line="219" w:lineRule="auto"/>
              <w:ind w:left="204"/>
            </w:pPr>
            <w:r>
              <w:rPr>
                <w:spacing w:val="-2"/>
              </w:rPr>
              <w:t>草地</w:t>
            </w:r>
          </w:p>
        </w:tc>
        <w:tc>
          <w:tcPr>
            <w:tcW w:w="1275" w:type="dxa"/>
            <w:vAlign w:val="top"/>
          </w:tcPr>
          <w:p w14:paraId="402FED42">
            <w:pPr>
              <w:spacing w:before="92" w:line="213" w:lineRule="auto"/>
              <w:ind w:left="31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1278.81</w:t>
            </w:r>
          </w:p>
        </w:tc>
        <w:tc>
          <w:tcPr>
            <w:tcW w:w="1272" w:type="dxa"/>
            <w:vAlign w:val="top"/>
          </w:tcPr>
          <w:p w14:paraId="17E44792">
            <w:pPr>
              <w:spacing w:before="92" w:line="213" w:lineRule="auto"/>
              <w:ind w:left="40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59.14</w:t>
            </w:r>
          </w:p>
        </w:tc>
        <w:tc>
          <w:tcPr>
            <w:tcW w:w="1134" w:type="dxa"/>
            <w:vAlign w:val="top"/>
          </w:tcPr>
          <w:p w14:paraId="652B7D1D">
            <w:pPr>
              <w:spacing w:before="92" w:line="213" w:lineRule="auto"/>
              <w:ind w:left="29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1.4250</w:t>
            </w:r>
          </w:p>
        </w:tc>
        <w:tc>
          <w:tcPr>
            <w:tcW w:w="1131" w:type="dxa"/>
            <w:vAlign w:val="top"/>
          </w:tcPr>
          <w:p w14:paraId="5D1072A0">
            <w:pPr>
              <w:spacing w:before="92" w:line="213"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73.36</w:t>
            </w:r>
          </w:p>
        </w:tc>
        <w:tc>
          <w:tcPr>
            <w:tcW w:w="2970" w:type="dxa"/>
            <w:vAlign w:val="top"/>
          </w:tcPr>
          <w:p w14:paraId="5745EB35">
            <w:pPr>
              <w:spacing w:before="92" w:line="213" w:lineRule="auto"/>
              <w:ind w:left="130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w:t>
            </w:r>
          </w:p>
        </w:tc>
      </w:tr>
      <w:tr w14:paraId="760EF7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625" w:hRule="atLeast"/>
        </w:trPr>
        <w:tc>
          <w:tcPr>
            <w:tcW w:w="436" w:type="dxa"/>
            <w:vAlign w:val="top"/>
          </w:tcPr>
          <w:p w14:paraId="6D73BB87">
            <w:pPr>
              <w:spacing w:before="247" w:line="236" w:lineRule="auto"/>
              <w:ind w:left="158"/>
              <w:rPr>
                <w:rFonts w:ascii="Times New Roman" w:hAnsi="Times New Roman" w:eastAsia="Times New Roman" w:cs="Times New Roman"/>
                <w:sz w:val="21"/>
                <w:szCs w:val="21"/>
              </w:rPr>
            </w:pPr>
            <w:r>
              <w:rPr>
                <w:rFonts w:ascii="Times New Roman" w:hAnsi="Times New Roman" w:eastAsia="Times New Roman" w:cs="Times New Roman"/>
                <w:sz w:val="21"/>
                <w:szCs w:val="21"/>
              </w:rPr>
              <w:t>4</w:t>
            </w:r>
          </w:p>
        </w:tc>
        <w:tc>
          <w:tcPr>
            <w:tcW w:w="838" w:type="dxa"/>
            <w:vAlign w:val="top"/>
          </w:tcPr>
          <w:p w14:paraId="6A439865">
            <w:pPr>
              <w:pStyle w:val="6"/>
              <w:spacing w:before="56" w:line="221" w:lineRule="auto"/>
              <w:ind w:left="205"/>
            </w:pPr>
            <w:r>
              <w:rPr>
                <w:spacing w:val="-3"/>
              </w:rPr>
              <w:t>建筑</w:t>
            </w:r>
          </w:p>
          <w:p w14:paraId="012958A6">
            <w:pPr>
              <w:pStyle w:val="6"/>
              <w:spacing w:before="59" w:line="217" w:lineRule="auto"/>
              <w:ind w:left="204"/>
            </w:pPr>
            <w:r>
              <w:rPr>
                <w:spacing w:val="-2"/>
              </w:rPr>
              <w:t>用地</w:t>
            </w:r>
          </w:p>
        </w:tc>
        <w:tc>
          <w:tcPr>
            <w:tcW w:w="1275" w:type="dxa"/>
            <w:vAlign w:val="top"/>
          </w:tcPr>
          <w:p w14:paraId="56D2C8D2">
            <w:pPr>
              <w:spacing w:before="247" w:line="233" w:lineRule="auto"/>
              <w:ind w:left="44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2.52</w:t>
            </w:r>
          </w:p>
        </w:tc>
        <w:tc>
          <w:tcPr>
            <w:tcW w:w="1272" w:type="dxa"/>
            <w:vAlign w:val="top"/>
          </w:tcPr>
          <w:p w14:paraId="56EFAD22">
            <w:pPr>
              <w:spacing w:before="247" w:line="233" w:lineRule="auto"/>
              <w:ind w:left="45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w:t>
            </w:r>
          </w:p>
        </w:tc>
        <w:tc>
          <w:tcPr>
            <w:tcW w:w="1134" w:type="dxa"/>
            <w:vAlign w:val="top"/>
          </w:tcPr>
          <w:p w14:paraId="22D41A70">
            <w:pPr>
              <w:spacing w:before="247" w:line="234" w:lineRule="auto"/>
              <w:ind w:left="514"/>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c>
          <w:tcPr>
            <w:tcW w:w="1131" w:type="dxa"/>
            <w:vAlign w:val="top"/>
          </w:tcPr>
          <w:p w14:paraId="52E0EFAA">
            <w:pPr>
              <w:spacing w:before="247" w:line="233" w:lineRule="auto"/>
              <w:ind w:left="38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0.00</w:t>
            </w:r>
          </w:p>
        </w:tc>
        <w:tc>
          <w:tcPr>
            <w:tcW w:w="2970" w:type="dxa"/>
            <w:vAlign w:val="top"/>
          </w:tcPr>
          <w:p w14:paraId="552AB06F">
            <w:pPr>
              <w:spacing w:before="247" w:line="233" w:lineRule="auto"/>
              <w:ind w:left="130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0.00</w:t>
            </w:r>
          </w:p>
        </w:tc>
      </w:tr>
      <w:tr w14:paraId="7A20FE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6" w:hRule="atLeast"/>
        </w:trPr>
        <w:tc>
          <w:tcPr>
            <w:tcW w:w="436" w:type="dxa"/>
            <w:vAlign w:val="top"/>
          </w:tcPr>
          <w:p w14:paraId="37F40951">
            <w:pPr>
              <w:spacing w:before="94" w:line="220" w:lineRule="auto"/>
              <w:ind w:left="164"/>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838" w:type="dxa"/>
            <w:vAlign w:val="top"/>
          </w:tcPr>
          <w:p w14:paraId="772752FD">
            <w:pPr>
              <w:pStyle w:val="6"/>
              <w:spacing w:before="59" w:line="222" w:lineRule="auto"/>
              <w:ind w:left="203"/>
            </w:pPr>
            <w:r>
              <w:rPr>
                <w:spacing w:val="-2"/>
              </w:rPr>
              <w:t>合计</w:t>
            </w:r>
          </w:p>
        </w:tc>
        <w:tc>
          <w:tcPr>
            <w:tcW w:w="1275" w:type="dxa"/>
            <w:vAlign w:val="top"/>
          </w:tcPr>
          <w:p w14:paraId="451E198C">
            <w:pPr>
              <w:spacing w:before="94" w:line="220" w:lineRule="auto"/>
              <w:ind w:left="2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2162.25</w:t>
            </w:r>
          </w:p>
        </w:tc>
        <w:tc>
          <w:tcPr>
            <w:tcW w:w="1272" w:type="dxa"/>
            <w:vAlign w:val="top"/>
          </w:tcPr>
          <w:p w14:paraId="215FD235">
            <w:pPr>
              <w:spacing w:before="94" w:line="220" w:lineRule="auto"/>
              <w:ind w:left="494"/>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100</w:t>
            </w:r>
          </w:p>
        </w:tc>
        <w:tc>
          <w:tcPr>
            <w:tcW w:w="1134" w:type="dxa"/>
            <w:vAlign w:val="top"/>
          </w:tcPr>
          <w:p w14:paraId="298DDBCE">
            <w:pPr>
              <w:spacing w:before="94" w:line="220" w:lineRule="auto"/>
              <w:ind w:left="293"/>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1.9426</w:t>
            </w:r>
          </w:p>
        </w:tc>
        <w:tc>
          <w:tcPr>
            <w:tcW w:w="1131" w:type="dxa"/>
            <w:vAlign w:val="top"/>
          </w:tcPr>
          <w:p w14:paraId="0548759F">
            <w:pPr>
              <w:spacing w:before="94" w:line="220" w:lineRule="auto"/>
              <w:ind w:left="426"/>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100</w:t>
            </w:r>
          </w:p>
        </w:tc>
        <w:tc>
          <w:tcPr>
            <w:tcW w:w="2970" w:type="dxa"/>
            <w:vAlign w:val="top"/>
          </w:tcPr>
          <w:p w14:paraId="0F3F3E92">
            <w:pPr>
              <w:spacing w:before="94" w:line="220" w:lineRule="auto"/>
              <w:ind w:left="1448"/>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bl>
    <w:p w14:paraId="49161A85">
      <w:pPr>
        <w:spacing w:before="116" w:line="360" w:lineRule="auto"/>
        <w:ind w:left="9" w:firstLine="483"/>
        <w:jc w:val="both"/>
        <w:rPr>
          <w:rFonts w:ascii="宋体" w:hAnsi="宋体" w:eastAsia="宋体" w:cs="宋体"/>
          <w:sz w:val="24"/>
          <w:szCs w:val="24"/>
        </w:rPr>
      </w:pPr>
      <w:r>
        <w:rPr>
          <w:rFonts w:ascii="宋体" w:hAnsi="宋体" w:eastAsia="宋体" w:cs="宋体"/>
          <w:spacing w:val="-2"/>
          <w:sz w:val="24"/>
          <w:szCs w:val="24"/>
        </w:rPr>
        <w:t>该项目在工程建设方案选择和优化方面，非常重视环境保护和土地资源的节约，在满足塔基工程技术标准的条件下，应高度重视工程占地问题，优化路线方案，合理布设</w:t>
      </w:r>
      <w:r>
        <w:rPr>
          <w:rFonts w:ascii="宋体" w:hAnsi="宋体" w:eastAsia="宋体" w:cs="宋体"/>
          <w:spacing w:val="-6"/>
          <w:sz w:val="24"/>
          <w:szCs w:val="24"/>
        </w:rPr>
        <w:t>附属设施，从而尽可能地节约对土地资源的占用。项目用地应尽量利用荒地、劣地，</w:t>
      </w:r>
      <w:r>
        <w:rPr>
          <w:rFonts w:ascii="宋体" w:hAnsi="宋体" w:eastAsia="宋体" w:cs="宋体"/>
          <w:spacing w:val="49"/>
          <w:sz w:val="24"/>
          <w:szCs w:val="24"/>
        </w:rPr>
        <w:t xml:space="preserve"> </w:t>
      </w:r>
      <w:r>
        <w:rPr>
          <w:rFonts w:ascii="宋体" w:hAnsi="宋体" w:eastAsia="宋体" w:cs="宋体"/>
          <w:spacing w:val="-6"/>
          <w:sz w:val="24"/>
          <w:szCs w:val="24"/>
        </w:rPr>
        <w:t>避</w:t>
      </w:r>
      <w:r>
        <w:rPr>
          <w:rFonts w:ascii="宋体" w:hAnsi="宋体" w:eastAsia="宋体" w:cs="宋体"/>
          <w:spacing w:val="-2"/>
          <w:sz w:val="24"/>
          <w:szCs w:val="24"/>
        </w:rPr>
        <w:t>免占用耕地及经济作物区，应在技术经济比较的基础上，尽量考虑设置防护设施等，节</w:t>
      </w:r>
      <w:r>
        <w:rPr>
          <w:rFonts w:ascii="宋体" w:hAnsi="宋体" w:eastAsia="宋体" w:cs="宋体"/>
          <w:spacing w:val="-9"/>
          <w:sz w:val="24"/>
          <w:szCs w:val="24"/>
        </w:rPr>
        <w:t>约用地。</w:t>
      </w:r>
    </w:p>
    <w:p w14:paraId="7CA02221">
      <w:pPr>
        <w:spacing w:line="357" w:lineRule="auto"/>
        <w:ind w:left="9" w:firstLine="482"/>
        <w:jc w:val="both"/>
        <w:rPr>
          <w:rFonts w:ascii="宋体" w:hAnsi="宋体" w:eastAsia="宋体" w:cs="宋体"/>
          <w:sz w:val="24"/>
          <w:szCs w:val="24"/>
        </w:rPr>
      </w:pPr>
      <w:r>
        <w:rPr>
          <w:rFonts w:ascii="宋体" w:hAnsi="宋体" w:eastAsia="宋体" w:cs="宋体"/>
          <w:spacing w:val="-2"/>
          <w:sz w:val="24"/>
          <w:szCs w:val="24"/>
        </w:rPr>
        <w:t>工程建设进行高空走线，在地面施工为点状工程，对土地资源的永久占用仅限于塔</w:t>
      </w:r>
      <w:r>
        <w:rPr>
          <w:rFonts w:ascii="宋体" w:hAnsi="宋体" w:eastAsia="宋体" w:cs="宋体"/>
          <w:spacing w:val="-3"/>
          <w:sz w:val="24"/>
          <w:szCs w:val="24"/>
        </w:rPr>
        <w:t xml:space="preserve">基；而工程涉及建设输电线塔基，永久占地仅 </w:t>
      </w:r>
      <w:r>
        <w:rPr>
          <w:rFonts w:ascii="Times New Roman" w:hAnsi="Times New Roman" w:eastAsia="Times New Roman" w:cs="Times New Roman"/>
          <w:spacing w:val="-3"/>
          <w:sz w:val="24"/>
          <w:szCs w:val="24"/>
        </w:rPr>
        <w:t>1.9426hm</w:t>
      </w:r>
      <w:r>
        <w:rPr>
          <w:rFonts w:ascii="Times New Roman" w:hAnsi="Times New Roman" w:eastAsia="Times New Roman" w:cs="Times New Roman"/>
          <w:spacing w:val="-3"/>
          <w:position w:val="8"/>
          <w:sz w:val="16"/>
          <w:szCs w:val="16"/>
        </w:rPr>
        <w:t>2</w:t>
      </w:r>
      <w:r>
        <w:rPr>
          <w:rFonts w:ascii="宋体" w:hAnsi="宋体" w:eastAsia="宋体" w:cs="宋体"/>
          <w:spacing w:val="-3"/>
          <w:sz w:val="24"/>
          <w:szCs w:val="24"/>
        </w:rPr>
        <w:t>，对耕地占用也仅</w:t>
      </w:r>
      <w:r>
        <w:rPr>
          <w:rFonts w:ascii="宋体" w:hAnsi="宋体" w:eastAsia="宋体" w:cs="宋体"/>
          <w:spacing w:val="-30"/>
          <w:sz w:val="24"/>
          <w:szCs w:val="24"/>
        </w:rPr>
        <w:t xml:space="preserve"> </w:t>
      </w:r>
      <w:r>
        <w:rPr>
          <w:rFonts w:ascii="Times New Roman" w:hAnsi="Times New Roman" w:eastAsia="Times New Roman" w:cs="Times New Roman"/>
          <w:spacing w:val="-3"/>
          <w:sz w:val="24"/>
          <w:szCs w:val="24"/>
        </w:rPr>
        <w:t>0.</w:t>
      </w:r>
      <w:r>
        <w:rPr>
          <w:rFonts w:ascii="Times New Roman" w:hAnsi="Times New Roman" w:eastAsia="Times New Roman" w:cs="Times New Roman"/>
          <w:spacing w:val="-31"/>
          <w:sz w:val="24"/>
          <w:szCs w:val="24"/>
        </w:rPr>
        <w:t xml:space="preserve"> </w:t>
      </w:r>
      <w:r>
        <w:rPr>
          <w:rFonts w:ascii="Times New Roman" w:hAnsi="Times New Roman" w:eastAsia="Times New Roman" w:cs="Times New Roman"/>
          <w:spacing w:val="-3"/>
          <w:sz w:val="24"/>
          <w:szCs w:val="24"/>
        </w:rPr>
        <w:t>104hm</w:t>
      </w:r>
      <w:r>
        <w:rPr>
          <w:rFonts w:ascii="Times New Roman" w:hAnsi="Times New Roman" w:eastAsia="Times New Roman" w:cs="Times New Roman"/>
          <w:spacing w:val="-3"/>
          <w:position w:val="8"/>
          <w:sz w:val="16"/>
          <w:szCs w:val="16"/>
        </w:rPr>
        <w:t>2</w:t>
      </w:r>
      <w:r>
        <w:rPr>
          <w:rFonts w:ascii="Times New Roman" w:hAnsi="Times New Roman" w:eastAsia="Times New Roman" w:cs="Times New Roman"/>
          <w:spacing w:val="-10"/>
          <w:position w:val="8"/>
          <w:sz w:val="16"/>
          <w:szCs w:val="16"/>
        </w:rPr>
        <w:t xml:space="preserve"> </w:t>
      </w:r>
      <w:r>
        <w:rPr>
          <w:rFonts w:ascii="宋体" w:hAnsi="宋体" w:eastAsia="宋体" w:cs="宋体"/>
          <w:spacing w:val="-3"/>
          <w:sz w:val="24"/>
          <w:szCs w:val="24"/>
        </w:rPr>
        <w:t>，</w:t>
      </w:r>
      <w:r>
        <w:rPr>
          <w:rFonts w:ascii="宋体" w:hAnsi="宋体" w:eastAsia="宋体" w:cs="宋体"/>
          <w:spacing w:val="-2"/>
          <w:sz w:val="24"/>
          <w:szCs w:val="24"/>
        </w:rPr>
        <w:t>因此对土地资源占用十分有限。临时性占地在工程竣工后可通过一定恢复手段使其保有</w:t>
      </w:r>
    </w:p>
    <w:p w14:paraId="4EB3B5CE">
      <w:pPr>
        <w:spacing w:line="357" w:lineRule="auto"/>
        <w:rPr>
          <w:rFonts w:ascii="宋体" w:hAnsi="宋体" w:eastAsia="宋体" w:cs="宋体"/>
          <w:sz w:val="24"/>
          <w:szCs w:val="24"/>
        </w:rPr>
        <w:sectPr>
          <w:footerReference r:id="rId181" w:type="default"/>
          <w:pgSz w:w="11907" w:h="16841"/>
          <w:pgMar w:top="400" w:right="1415" w:bottom="1126" w:left="1418" w:header="0" w:footer="925" w:gutter="0"/>
          <w:cols w:space="720" w:num="1"/>
        </w:sectPr>
      </w:pPr>
    </w:p>
    <w:p w14:paraId="18CED1BE">
      <w:pPr>
        <w:spacing w:line="249" w:lineRule="auto"/>
        <w:rPr>
          <w:rFonts w:ascii="Arial"/>
          <w:sz w:val="21"/>
        </w:rPr>
      </w:pPr>
    </w:p>
    <w:p w14:paraId="3AF6DABB">
      <w:pPr>
        <w:spacing w:line="249" w:lineRule="auto"/>
        <w:rPr>
          <w:rFonts w:ascii="Arial"/>
          <w:sz w:val="21"/>
        </w:rPr>
      </w:pPr>
    </w:p>
    <w:p w14:paraId="60049C32">
      <w:pPr>
        <w:spacing w:line="249" w:lineRule="auto"/>
        <w:rPr>
          <w:rFonts w:ascii="Arial"/>
          <w:sz w:val="21"/>
        </w:rPr>
      </w:pPr>
    </w:p>
    <w:p w14:paraId="6D2A78EC">
      <w:pPr>
        <w:spacing w:line="249" w:lineRule="auto"/>
        <w:rPr>
          <w:rFonts w:ascii="Arial"/>
          <w:sz w:val="21"/>
        </w:rPr>
      </w:pPr>
    </w:p>
    <w:p w14:paraId="4BE8F51E">
      <w:pPr>
        <w:spacing w:line="249" w:lineRule="auto"/>
        <w:rPr>
          <w:rFonts w:ascii="Arial"/>
          <w:sz w:val="21"/>
        </w:rPr>
      </w:pPr>
    </w:p>
    <w:p w14:paraId="1E8C5849">
      <w:pPr>
        <w:spacing w:before="78" w:line="360" w:lineRule="auto"/>
        <w:ind w:left="2" w:right="12" w:firstLine="6"/>
        <w:jc w:val="both"/>
        <w:rPr>
          <w:rFonts w:ascii="宋体" w:hAnsi="宋体" w:eastAsia="宋体" w:cs="宋体"/>
          <w:sz w:val="24"/>
          <w:szCs w:val="24"/>
        </w:rPr>
      </w:pPr>
      <w:r>
        <w:rPr>
          <w:rFonts w:ascii="宋体" w:hAnsi="宋体" w:eastAsia="宋体" w:cs="宋体"/>
          <w:spacing w:val="-2"/>
          <w:sz w:val="24"/>
          <w:szCs w:val="24"/>
        </w:rPr>
        <w:t>一定的植被覆盖率或恢复成耕地，但是，施工期临时用地由于施工机械的碾压、人员的</w:t>
      </w:r>
      <w:r>
        <w:rPr>
          <w:rFonts w:ascii="宋体" w:hAnsi="宋体" w:eastAsia="宋体" w:cs="宋体"/>
          <w:spacing w:val="-7"/>
          <w:sz w:val="24"/>
          <w:szCs w:val="24"/>
        </w:rPr>
        <w:t>踩踏，使土壤结构发生改变，旱地复耕后一定时期内肥沃</w:t>
      </w:r>
      <w:r>
        <w:rPr>
          <w:rFonts w:ascii="宋体" w:hAnsi="宋体" w:eastAsia="宋体" w:cs="宋体"/>
          <w:spacing w:val="-8"/>
          <w:sz w:val="24"/>
          <w:szCs w:val="24"/>
        </w:rPr>
        <w:t>度将难以恢复，影响作物生长，</w:t>
      </w:r>
      <w:r>
        <w:rPr>
          <w:rFonts w:ascii="宋体" w:hAnsi="宋体" w:eastAsia="宋体" w:cs="宋体"/>
          <w:spacing w:val="-4"/>
          <w:sz w:val="24"/>
          <w:szCs w:val="24"/>
        </w:rPr>
        <w:t>非耕地植被的自我恢复能力也将一定程度减</w:t>
      </w:r>
      <w:r>
        <w:rPr>
          <w:rFonts w:ascii="宋体" w:hAnsi="宋体" w:eastAsia="宋体" w:cs="宋体"/>
          <w:spacing w:val="-5"/>
          <w:sz w:val="24"/>
          <w:szCs w:val="24"/>
        </w:rPr>
        <w:t>弱。因此， 必须加强施工期生态恢复和保护</w:t>
      </w:r>
      <w:r>
        <w:rPr>
          <w:rFonts w:ascii="宋体" w:hAnsi="宋体" w:eastAsia="宋体" w:cs="宋体"/>
          <w:spacing w:val="-6"/>
          <w:sz w:val="24"/>
          <w:szCs w:val="24"/>
        </w:rPr>
        <w:t>措施。线路路径选择时已尽量避让林木密集区、原生性地带植被，</w:t>
      </w:r>
      <w:r>
        <w:rPr>
          <w:rFonts w:ascii="宋体" w:hAnsi="宋体" w:eastAsia="宋体" w:cs="宋体"/>
          <w:spacing w:val="50"/>
          <w:sz w:val="24"/>
          <w:szCs w:val="24"/>
        </w:rPr>
        <w:t xml:space="preserve"> </w:t>
      </w:r>
      <w:r>
        <w:rPr>
          <w:rFonts w:ascii="宋体" w:hAnsi="宋体" w:eastAsia="宋体" w:cs="宋体"/>
          <w:spacing w:val="-6"/>
          <w:sz w:val="24"/>
          <w:szCs w:val="24"/>
        </w:rPr>
        <w:t>塔基尽量选择在林木</w:t>
      </w:r>
      <w:r>
        <w:rPr>
          <w:rFonts w:ascii="宋体" w:hAnsi="宋体" w:eastAsia="宋体" w:cs="宋体"/>
          <w:spacing w:val="-1"/>
          <w:sz w:val="24"/>
          <w:szCs w:val="24"/>
        </w:rPr>
        <w:t>较稀疏地带，在设计时对必须经过的森林密集</w:t>
      </w:r>
      <w:r>
        <w:rPr>
          <w:rFonts w:ascii="宋体" w:hAnsi="宋体" w:eastAsia="宋体" w:cs="宋体"/>
          <w:spacing w:val="-2"/>
          <w:sz w:val="24"/>
          <w:szCs w:val="24"/>
        </w:rPr>
        <w:t>区将尽量考虑采用高塔进行跨越，禁止砍</w:t>
      </w:r>
      <w:r>
        <w:rPr>
          <w:rFonts w:ascii="宋体" w:hAnsi="宋体" w:eastAsia="宋体" w:cs="宋体"/>
          <w:spacing w:val="-1"/>
          <w:sz w:val="24"/>
          <w:szCs w:val="24"/>
        </w:rPr>
        <w:t>伐两塔间通道，以减少对森林的砍伐和削枝（跨越乔木林按自然生长高度</w:t>
      </w:r>
      <w:r>
        <w:rPr>
          <w:rFonts w:ascii="宋体" w:hAnsi="宋体" w:eastAsia="宋体" w:cs="宋体"/>
          <w:spacing w:val="-51"/>
          <w:sz w:val="24"/>
          <w:szCs w:val="24"/>
        </w:rPr>
        <w:t xml:space="preserve"> </w:t>
      </w:r>
      <w:r>
        <w:rPr>
          <w:rFonts w:ascii="Times New Roman" w:hAnsi="Times New Roman" w:eastAsia="Times New Roman" w:cs="Times New Roman"/>
          <w:spacing w:val="-1"/>
          <w:sz w:val="24"/>
          <w:szCs w:val="24"/>
        </w:rPr>
        <w:t xml:space="preserve">20m </w:t>
      </w:r>
      <w:r>
        <w:rPr>
          <w:rFonts w:ascii="宋体" w:hAnsi="宋体" w:eastAsia="宋体" w:cs="宋体"/>
          <w:spacing w:val="-1"/>
          <w:sz w:val="24"/>
          <w:szCs w:val="24"/>
        </w:rPr>
        <w:t>考虑</w:t>
      </w:r>
      <w:r>
        <w:rPr>
          <w:rFonts w:ascii="宋体" w:hAnsi="宋体" w:eastAsia="宋体" w:cs="宋体"/>
          <w:spacing w:val="-13"/>
          <w:sz w:val="24"/>
          <w:szCs w:val="24"/>
        </w:rPr>
        <w:t>），</w:t>
      </w:r>
      <w:r>
        <w:rPr>
          <w:rFonts w:ascii="宋体" w:hAnsi="宋体" w:eastAsia="宋体" w:cs="宋体"/>
          <w:spacing w:val="-3"/>
          <w:sz w:val="24"/>
          <w:szCs w:val="24"/>
        </w:rPr>
        <w:t>仅对无法避让位于塔基处的树木进行砍伐。</w:t>
      </w:r>
    </w:p>
    <w:p w14:paraId="3B20525B">
      <w:pPr>
        <w:spacing w:before="5" w:line="360" w:lineRule="auto"/>
        <w:ind w:left="5" w:right="78" w:firstLine="479"/>
        <w:jc w:val="both"/>
        <w:rPr>
          <w:rFonts w:ascii="宋体" w:hAnsi="宋体" w:eastAsia="宋体" w:cs="宋体"/>
          <w:sz w:val="24"/>
          <w:szCs w:val="24"/>
        </w:rPr>
      </w:pPr>
      <w:r>
        <w:rPr>
          <w:rFonts w:ascii="宋体" w:hAnsi="宋体" w:eastAsia="宋体" w:cs="宋体"/>
          <w:spacing w:val="-2"/>
          <w:sz w:val="24"/>
          <w:szCs w:val="24"/>
        </w:rPr>
        <w:t>输变电工程建设将使评价区内的土地利用功能和格局发生一定改变。工程建设占用</w:t>
      </w:r>
      <w:r>
        <w:rPr>
          <w:rFonts w:ascii="宋体" w:hAnsi="宋体" w:eastAsia="宋体" w:cs="宋体"/>
          <w:spacing w:val="-6"/>
          <w:sz w:val="24"/>
          <w:szCs w:val="24"/>
        </w:rPr>
        <w:t>耕地、林地、荒草地等，</w:t>
      </w:r>
      <w:r>
        <w:rPr>
          <w:rFonts w:ascii="宋体" w:hAnsi="宋体" w:eastAsia="宋体" w:cs="宋体"/>
          <w:spacing w:val="52"/>
          <w:sz w:val="24"/>
          <w:szCs w:val="24"/>
        </w:rPr>
        <w:t xml:space="preserve"> </w:t>
      </w:r>
      <w:r>
        <w:rPr>
          <w:rFonts w:ascii="宋体" w:hAnsi="宋体" w:eastAsia="宋体" w:cs="宋体"/>
          <w:spacing w:val="-6"/>
          <w:sz w:val="24"/>
          <w:szCs w:val="24"/>
        </w:rPr>
        <w:t>其土地利用价值和利用方向发生改变，使其沿线土地价</w:t>
      </w:r>
      <w:r>
        <w:rPr>
          <w:rFonts w:ascii="宋体" w:hAnsi="宋体" w:eastAsia="宋体" w:cs="宋体"/>
          <w:spacing w:val="-7"/>
          <w:sz w:val="24"/>
          <w:szCs w:val="24"/>
        </w:rPr>
        <w:t>值得以</w:t>
      </w:r>
      <w:r>
        <w:rPr>
          <w:rFonts w:ascii="宋体" w:hAnsi="宋体" w:eastAsia="宋体" w:cs="宋体"/>
          <w:spacing w:val="-2"/>
          <w:sz w:val="24"/>
          <w:szCs w:val="24"/>
        </w:rPr>
        <w:t>提升，但短期内对被占用土地农户的生产生活将造成一些不利影响。输变电工程在施工和使用过程中产生的噪声、振动及排放的废气、废水、废渣可能使沿线周边的耕地土壤质量下降，对当地农业生态环境造成一定的负面影响，但这些影响都是不可避免的。施工期与当地自然资源部门沟通，充分调查研究当地土地利用总体规划中农用地、建设用</w:t>
      </w:r>
      <w:r>
        <w:rPr>
          <w:rFonts w:ascii="宋体" w:hAnsi="宋体" w:eastAsia="宋体" w:cs="宋体"/>
          <w:spacing w:val="-1"/>
          <w:sz w:val="24"/>
          <w:szCs w:val="24"/>
        </w:rPr>
        <w:t>地和未利用地规划，使土地占用符合相关法</w:t>
      </w:r>
      <w:r>
        <w:rPr>
          <w:rFonts w:ascii="宋体" w:hAnsi="宋体" w:eastAsia="宋体" w:cs="宋体"/>
          <w:spacing w:val="-2"/>
          <w:sz w:val="24"/>
          <w:szCs w:val="24"/>
        </w:rPr>
        <w:t>律法规的要求，符合国家严格土地管理和基</w:t>
      </w:r>
      <w:r>
        <w:rPr>
          <w:rFonts w:ascii="宋体" w:hAnsi="宋体" w:eastAsia="宋体" w:cs="宋体"/>
          <w:spacing w:val="-4"/>
          <w:sz w:val="24"/>
          <w:szCs w:val="24"/>
        </w:rPr>
        <w:t>本农田保护条例的要求。</w:t>
      </w:r>
    </w:p>
    <w:p w14:paraId="45CEA1FD">
      <w:pPr>
        <w:spacing w:before="51" w:line="235" w:lineRule="auto"/>
        <w:rPr>
          <w:rFonts w:ascii="宋体" w:hAnsi="宋体" w:eastAsia="宋体" w:cs="宋体"/>
          <w:sz w:val="28"/>
          <w:szCs w:val="28"/>
        </w:rPr>
      </w:pPr>
      <w:bookmarkStart w:id="44" w:name="bookmark50"/>
      <w:bookmarkEnd w:id="44"/>
      <w:r>
        <w:rPr>
          <w:rFonts w:ascii="Times New Roman" w:hAnsi="Times New Roman" w:eastAsia="Times New Roman" w:cs="Times New Roman"/>
          <w:b/>
          <w:bCs/>
          <w:spacing w:val="-2"/>
          <w:sz w:val="28"/>
          <w:szCs w:val="28"/>
        </w:rPr>
        <w:t xml:space="preserve">3.2 </w:t>
      </w:r>
      <w:r>
        <w:rPr>
          <w:rFonts w:ascii="宋体" w:hAnsi="宋体" w:eastAsia="宋体" w:cs="宋体"/>
          <w:b/>
          <w:bCs/>
          <w:spacing w:val="-2"/>
          <w:sz w:val="28"/>
          <w:szCs w:val="28"/>
        </w:rPr>
        <w:t>生态系统的影响分析</w:t>
      </w:r>
    </w:p>
    <w:p w14:paraId="215D2134">
      <w:pPr>
        <w:spacing w:before="212" w:line="233"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3.2.1 </w:t>
      </w:r>
      <w:r>
        <w:rPr>
          <w:rFonts w:ascii="宋体" w:hAnsi="宋体" w:eastAsia="宋体" w:cs="宋体"/>
          <w:b/>
          <w:bCs/>
          <w:spacing w:val="-2"/>
          <w:sz w:val="24"/>
          <w:szCs w:val="24"/>
        </w:rPr>
        <w:t>对森林生态系统和灌丛生态系统的影响分析</w:t>
      </w:r>
    </w:p>
    <w:p w14:paraId="5484EE9F">
      <w:pPr>
        <w:spacing w:before="164" w:line="360" w:lineRule="auto"/>
        <w:ind w:left="5" w:right="80" w:firstLine="483"/>
        <w:jc w:val="both"/>
        <w:rPr>
          <w:rFonts w:ascii="宋体" w:hAnsi="宋体" w:eastAsia="宋体" w:cs="宋体"/>
          <w:sz w:val="24"/>
          <w:szCs w:val="24"/>
        </w:rPr>
      </w:pPr>
      <w:r>
        <w:rPr>
          <w:rFonts w:ascii="宋体" w:hAnsi="宋体" w:eastAsia="宋体" w:cs="宋体"/>
          <w:spacing w:val="-2"/>
          <w:sz w:val="24"/>
          <w:szCs w:val="24"/>
        </w:rPr>
        <w:t>项目区域由于环境及人为活动的影响，森林植被较为缺乏，森林覆盖率较低，林中</w:t>
      </w:r>
      <w:r>
        <w:rPr>
          <w:rFonts w:ascii="宋体" w:hAnsi="宋体" w:eastAsia="宋体" w:cs="宋体"/>
          <w:spacing w:val="-6"/>
          <w:sz w:val="24"/>
          <w:szCs w:val="24"/>
        </w:rPr>
        <w:t>多为中幼龄林，森林群落结构简单，郁闭度低。根据现场调查，</w:t>
      </w:r>
      <w:r>
        <w:rPr>
          <w:rFonts w:ascii="宋体" w:hAnsi="宋体" w:eastAsia="宋体" w:cs="宋体"/>
          <w:spacing w:val="55"/>
          <w:sz w:val="24"/>
          <w:szCs w:val="24"/>
        </w:rPr>
        <w:t xml:space="preserve"> </w:t>
      </w:r>
      <w:r>
        <w:rPr>
          <w:rFonts w:ascii="宋体" w:hAnsi="宋体" w:eastAsia="宋体" w:cs="宋体"/>
          <w:spacing w:val="-6"/>
          <w:sz w:val="24"/>
          <w:szCs w:val="24"/>
        </w:rPr>
        <w:t>项目建设</w:t>
      </w:r>
      <w:r>
        <w:rPr>
          <w:rFonts w:ascii="宋体" w:hAnsi="宋体" w:eastAsia="宋体" w:cs="宋体"/>
          <w:spacing w:val="-7"/>
          <w:sz w:val="24"/>
          <w:szCs w:val="24"/>
        </w:rPr>
        <w:t>对森林和灌丛</w:t>
      </w:r>
      <w:r>
        <w:rPr>
          <w:rFonts w:ascii="宋体" w:hAnsi="宋体" w:eastAsia="宋体" w:cs="宋体"/>
          <w:spacing w:val="-6"/>
          <w:sz w:val="24"/>
          <w:szCs w:val="24"/>
        </w:rPr>
        <w:t>生态系统的影响，主要在于施工期输电线路架设塔基、空</w:t>
      </w:r>
      <w:r>
        <w:rPr>
          <w:rFonts w:ascii="宋体" w:hAnsi="宋体" w:eastAsia="宋体" w:cs="宋体"/>
          <w:spacing w:val="-7"/>
          <w:sz w:val="24"/>
          <w:szCs w:val="24"/>
        </w:rPr>
        <w:t>中架线时植被破坏，</w:t>
      </w:r>
      <w:r>
        <w:rPr>
          <w:rFonts w:ascii="宋体" w:hAnsi="宋体" w:eastAsia="宋体" w:cs="宋体"/>
          <w:spacing w:val="60"/>
          <w:sz w:val="24"/>
          <w:szCs w:val="24"/>
        </w:rPr>
        <w:t xml:space="preserve"> </w:t>
      </w:r>
      <w:r>
        <w:rPr>
          <w:rFonts w:ascii="宋体" w:hAnsi="宋体" w:eastAsia="宋体" w:cs="宋体"/>
          <w:spacing w:val="-7"/>
          <w:sz w:val="24"/>
          <w:szCs w:val="24"/>
        </w:rPr>
        <w:t>需千方百</w:t>
      </w:r>
      <w:r>
        <w:rPr>
          <w:rFonts w:ascii="宋体" w:hAnsi="宋体" w:eastAsia="宋体" w:cs="宋体"/>
          <w:spacing w:val="-2"/>
          <w:sz w:val="24"/>
          <w:szCs w:val="24"/>
        </w:rPr>
        <w:t>计注意保护现有森林植被，采取有效措施促进森林植被的恢复。拟建线路对森林和灌丛</w:t>
      </w:r>
      <w:r>
        <w:rPr>
          <w:rFonts w:ascii="宋体" w:hAnsi="宋体" w:eastAsia="宋体" w:cs="宋体"/>
          <w:spacing w:val="-7"/>
          <w:sz w:val="24"/>
          <w:szCs w:val="24"/>
        </w:rPr>
        <w:t>生态系统产生影响：</w:t>
      </w:r>
    </w:p>
    <w:p w14:paraId="07C82B0A">
      <w:pPr>
        <w:spacing w:line="352" w:lineRule="auto"/>
        <w:ind w:left="44" w:right="92" w:firstLine="447"/>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1</w:t>
      </w:r>
      <w:r>
        <w:rPr>
          <w:rFonts w:ascii="宋体" w:hAnsi="宋体" w:eastAsia="宋体" w:cs="宋体"/>
          <w:spacing w:val="-5"/>
          <w:sz w:val="24"/>
          <w:szCs w:val="24"/>
        </w:rPr>
        <w:t>）占地影响：项目建设将占用乔木林地及灌草丛，导</w:t>
      </w:r>
      <w:r>
        <w:rPr>
          <w:rFonts w:ascii="宋体" w:hAnsi="宋体" w:eastAsia="宋体" w:cs="宋体"/>
          <w:spacing w:val="-6"/>
          <w:sz w:val="24"/>
          <w:szCs w:val="24"/>
        </w:rPr>
        <w:t>致植被面积的减少，间接地</w:t>
      </w:r>
      <w:r>
        <w:rPr>
          <w:rFonts w:ascii="宋体" w:hAnsi="宋体" w:eastAsia="宋体" w:cs="宋体"/>
          <w:spacing w:val="-5"/>
          <w:sz w:val="24"/>
          <w:szCs w:val="24"/>
        </w:rPr>
        <w:t>占用动物的生境，使其远离施工区域。</w:t>
      </w:r>
    </w:p>
    <w:p w14:paraId="3496B19F">
      <w:pPr>
        <w:spacing w:before="19" w:line="360" w:lineRule="auto"/>
        <w:ind w:left="4" w:firstLine="487"/>
        <w:rPr>
          <w:rFonts w:ascii="宋体" w:hAnsi="宋体" w:eastAsia="宋体" w:cs="宋体"/>
          <w:sz w:val="24"/>
          <w:szCs w:val="24"/>
        </w:rPr>
      </w:pPr>
      <w:r>
        <w:rPr>
          <w:rFonts w:ascii="宋体" w:hAnsi="宋体" w:eastAsia="宋体" w:cs="宋体"/>
          <w:spacing w:val="-7"/>
          <w:sz w:val="24"/>
          <w:szCs w:val="24"/>
        </w:rPr>
        <w:t>（</w:t>
      </w:r>
      <w:r>
        <w:rPr>
          <w:rFonts w:ascii="Times New Roman" w:hAnsi="Times New Roman" w:eastAsia="Times New Roman" w:cs="Times New Roman"/>
          <w:spacing w:val="-7"/>
          <w:sz w:val="24"/>
          <w:szCs w:val="24"/>
        </w:rPr>
        <w:t>2</w:t>
      </w:r>
      <w:r>
        <w:rPr>
          <w:rFonts w:ascii="宋体" w:hAnsi="宋体" w:eastAsia="宋体" w:cs="宋体"/>
          <w:spacing w:val="-7"/>
          <w:sz w:val="24"/>
          <w:szCs w:val="24"/>
        </w:rPr>
        <w:t>）在施工期间，工作人员、工程建筑材料及其车辆的进入，</w:t>
      </w:r>
      <w:r>
        <w:rPr>
          <w:rFonts w:ascii="宋体" w:hAnsi="宋体" w:eastAsia="宋体" w:cs="宋体"/>
          <w:spacing w:val="-40"/>
          <w:sz w:val="24"/>
          <w:szCs w:val="24"/>
        </w:rPr>
        <w:t xml:space="preserve"> </w:t>
      </w:r>
      <w:r>
        <w:rPr>
          <w:rFonts w:ascii="宋体" w:hAnsi="宋体" w:eastAsia="宋体" w:cs="宋体"/>
          <w:spacing w:val="-8"/>
          <w:sz w:val="24"/>
          <w:szCs w:val="24"/>
        </w:rPr>
        <w:t>可能将外来物种带入</w:t>
      </w:r>
      <w:r>
        <w:rPr>
          <w:rFonts w:ascii="宋体" w:hAnsi="宋体" w:eastAsia="宋体" w:cs="宋体"/>
          <w:spacing w:val="-2"/>
          <w:sz w:val="24"/>
          <w:szCs w:val="24"/>
        </w:rPr>
        <w:t>施工区域，外来物种比当地物种能更好地适应和利用被干扰的环境，可能会导致森林生</w:t>
      </w:r>
      <w:r>
        <w:rPr>
          <w:rFonts w:ascii="宋体" w:hAnsi="宋体" w:eastAsia="宋体" w:cs="宋体"/>
          <w:spacing w:val="1"/>
          <w:sz w:val="24"/>
          <w:szCs w:val="24"/>
        </w:rPr>
        <w:t>态系统内原有物种的衰退。与此同时，施工活动等</w:t>
      </w:r>
      <w:r>
        <w:rPr>
          <w:rFonts w:ascii="宋体" w:hAnsi="宋体" w:eastAsia="宋体" w:cs="宋体"/>
          <w:sz w:val="24"/>
          <w:szCs w:val="24"/>
        </w:rPr>
        <w:t>也会影响系统中动物的栖息、觅食、</w:t>
      </w:r>
      <w:r>
        <w:rPr>
          <w:rFonts w:ascii="宋体" w:hAnsi="宋体" w:eastAsia="宋体" w:cs="宋体"/>
          <w:spacing w:val="-9"/>
          <w:sz w:val="24"/>
          <w:szCs w:val="24"/>
        </w:rPr>
        <w:t>繁殖等。</w:t>
      </w:r>
    </w:p>
    <w:p w14:paraId="78C41E83">
      <w:pPr>
        <w:spacing w:line="360" w:lineRule="auto"/>
        <w:rPr>
          <w:rFonts w:ascii="宋体" w:hAnsi="宋体" w:eastAsia="宋体" w:cs="宋体"/>
          <w:sz w:val="24"/>
          <w:szCs w:val="24"/>
        </w:rPr>
        <w:sectPr>
          <w:footerReference r:id="rId182" w:type="default"/>
          <w:pgSz w:w="11907" w:h="16841"/>
          <w:pgMar w:top="400" w:right="1335" w:bottom="1126" w:left="1422" w:header="0" w:footer="925" w:gutter="0"/>
          <w:cols w:space="720" w:num="1"/>
        </w:sectPr>
      </w:pPr>
    </w:p>
    <w:p w14:paraId="1241A275">
      <w:pPr>
        <w:spacing w:line="248" w:lineRule="auto"/>
        <w:rPr>
          <w:rFonts w:ascii="Arial"/>
          <w:sz w:val="21"/>
        </w:rPr>
      </w:pPr>
    </w:p>
    <w:p w14:paraId="34263814">
      <w:pPr>
        <w:spacing w:line="249" w:lineRule="auto"/>
        <w:rPr>
          <w:rFonts w:ascii="Arial"/>
          <w:sz w:val="21"/>
        </w:rPr>
      </w:pPr>
    </w:p>
    <w:p w14:paraId="75F95096">
      <w:pPr>
        <w:spacing w:line="249" w:lineRule="auto"/>
        <w:rPr>
          <w:rFonts w:ascii="Arial"/>
          <w:sz w:val="21"/>
        </w:rPr>
      </w:pPr>
    </w:p>
    <w:p w14:paraId="32665A37">
      <w:pPr>
        <w:spacing w:line="249" w:lineRule="auto"/>
        <w:rPr>
          <w:rFonts w:ascii="Arial"/>
          <w:sz w:val="21"/>
        </w:rPr>
      </w:pPr>
    </w:p>
    <w:p w14:paraId="553E2D5F">
      <w:pPr>
        <w:spacing w:line="249" w:lineRule="auto"/>
        <w:rPr>
          <w:rFonts w:ascii="Arial"/>
          <w:sz w:val="21"/>
        </w:rPr>
      </w:pPr>
    </w:p>
    <w:p w14:paraId="1887F3DE">
      <w:pPr>
        <w:spacing w:before="78" w:line="352" w:lineRule="auto"/>
        <w:ind w:left="7" w:right="90" w:firstLine="484"/>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3</w:t>
      </w:r>
      <w:r>
        <w:rPr>
          <w:rFonts w:ascii="宋体" w:hAnsi="宋体" w:eastAsia="宋体" w:cs="宋体"/>
          <w:spacing w:val="-5"/>
          <w:sz w:val="24"/>
          <w:szCs w:val="24"/>
        </w:rPr>
        <w:t>）施工产生的扬尘和噪声：机械排放的有害气体等会使森</w:t>
      </w:r>
      <w:r>
        <w:rPr>
          <w:rFonts w:ascii="宋体" w:hAnsi="宋体" w:eastAsia="宋体" w:cs="宋体"/>
          <w:spacing w:val="-6"/>
          <w:sz w:val="24"/>
          <w:szCs w:val="24"/>
        </w:rPr>
        <w:t>林环境变差，影响植物</w:t>
      </w:r>
      <w:r>
        <w:rPr>
          <w:rFonts w:ascii="宋体" w:hAnsi="宋体" w:eastAsia="宋体" w:cs="宋体"/>
          <w:spacing w:val="-1"/>
          <w:sz w:val="24"/>
          <w:szCs w:val="24"/>
        </w:rPr>
        <w:t>光合作用和呼吸作用；施工噪声将对森林鸟类以及兽类</w:t>
      </w:r>
      <w:r>
        <w:rPr>
          <w:rFonts w:ascii="宋体" w:hAnsi="宋体" w:eastAsia="宋体" w:cs="宋体"/>
          <w:spacing w:val="-2"/>
          <w:sz w:val="24"/>
          <w:szCs w:val="24"/>
        </w:rPr>
        <w:t>产生一定驱赶作用。</w:t>
      </w:r>
    </w:p>
    <w:p w14:paraId="3862325E">
      <w:pPr>
        <w:spacing w:before="21" w:line="358" w:lineRule="auto"/>
        <w:ind w:left="6" w:right="88" w:firstLine="485"/>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4</w:t>
      </w:r>
      <w:r>
        <w:rPr>
          <w:rFonts w:ascii="宋体" w:hAnsi="宋体" w:eastAsia="宋体" w:cs="宋体"/>
          <w:spacing w:val="1"/>
          <w:sz w:val="24"/>
          <w:szCs w:val="24"/>
        </w:rPr>
        <w:t>）施工人员的活动等也会破坏周边生态环境，如对沿线植被乱砍滥伐，随意践</w:t>
      </w:r>
      <w:r>
        <w:rPr>
          <w:rFonts w:ascii="宋体" w:hAnsi="宋体" w:eastAsia="宋体" w:cs="宋体"/>
          <w:spacing w:val="-8"/>
          <w:sz w:val="24"/>
          <w:szCs w:val="24"/>
        </w:rPr>
        <w:t>踏；开挖土方乱堆乱放、生活垃圾随意堆放等占压林地，毁坏植被；野外用火管理不善、</w:t>
      </w:r>
      <w:r>
        <w:rPr>
          <w:rFonts w:ascii="宋体" w:hAnsi="宋体" w:eastAsia="宋体" w:cs="宋体"/>
          <w:spacing w:val="-2"/>
          <w:sz w:val="24"/>
          <w:szCs w:val="24"/>
        </w:rPr>
        <w:t>防火意识淡薄等也会对森林资源造成很大的危害。</w:t>
      </w:r>
    </w:p>
    <w:p w14:paraId="68002B49">
      <w:pPr>
        <w:spacing w:before="7" w:line="218" w:lineRule="auto"/>
        <w:ind w:right="7"/>
        <w:jc w:val="right"/>
        <w:rPr>
          <w:rFonts w:ascii="宋体" w:hAnsi="宋体" w:eastAsia="宋体" w:cs="宋体"/>
          <w:sz w:val="24"/>
          <w:szCs w:val="24"/>
        </w:rPr>
      </w:pPr>
      <w:r>
        <w:rPr>
          <w:rFonts w:ascii="宋体" w:hAnsi="宋体" w:eastAsia="宋体" w:cs="宋体"/>
          <w:spacing w:val="-6"/>
          <w:sz w:val="24"/>
          <w:szCs w:val="24"/>
        </w:rPr>
        <w:t>工程在可研阶段，为将对评价区内森林生态系统的影响降到最低，拟</w:t>
      </w:r>
      <w:r>
        <w:rPr>
          <w:rFonts w:ascii="宋体" w:hAnsi="宋体" w:eastAsia="宋体" w:cs="宋体"/>
          <w:spacing w:val="-7"/>
          <w:sz w:val="24"/>
          <w:szCs w:val="24"/>
        </w:rPr>
        <w:t>采取以下措施：</w:t>
      </w:r>
    </w:p>
    <w:p w14:paraId="1F45DBF6">
      <w:pPr>
        <w:spacing w:before="185" w:line="360" w:lineRule="auto"/>
        <w:ind w:left="5" w:right="80" w:hanging="1"/>
        <w:jc w:val="both"/>
        <w:rPr>
          <w:rFonts w:ascii="宋体" w:hAnsi="宋体" w:eastAsia="宋体" w:cs="宋体"/>
          <w:sz w:val="24"/>
          <w:szCs w:val="24"/>
        </w:rPr>
      </w:pPr>
      <w:r>
        <w:rPr>
          <w:rFonts w:ascii="宋体" w:hAnsi="宋体" w:eastAsia="宋体" w:cs="宋体"/>
          <w:spacing w:val="-2"/>
          <w:sz w:val="24"/>
          <w:szCs w:val="24"/>
        </w:rPr>
        <w:t>①在路径选择时尽量避开林区，无法避让的林区，尽量采用线距较小的塔型穿越，在通过集中林区时，采用高跨设计，减少对林木的砍伐。②根据工程特点合理规划设计使用</w:t>
      </w:r>
      <w:r>
        <w:rPr>
          <w:rFonts w:ascii="宋体" w:hAnsi="宋体" w:eastAsia="宋体" w:cs="宋体"/>
          <w:spacing w:val="-6"/>
          <w:sz w:val="24"/>
          <w:szCs w:val="24"/>
        </w:rPr>
        <w:t>档距大、根开小的塔型，</w:t>
      </w:r>
      <w:r>
        <w:rPr>
          <w:rFonts w:ascii="宋体" w:hAnsi="宋体" w:eastAsia="宋体" w:cs="宋体"/>
          <w:spacing w:val="56"/>
          <w:sz w:val="24"/>
          <w:szCs w:val="24"/>
        </w:rPr>
        <w:t xml:space="preserve"> </w:t>
      </w:r>
      <w:r>
        <w:rPr>
          <w:rFonts w:ascii="宋体" w:hAnsi="宋体" w:eastAsia="宋体" w:cs="宋体"/>
          <w:spacing w:val="-6"/>
          <w:sz w:val="24"/>
          <w:szCs w:val="24"/>
        </w:rPr>
        <w:t>从而减小线路走廊，减少土地占用，减少对</w:t>
      </w:r>
      <w:r>
        <w:rPr>
          <w:rFonts w:ascii="宋体" w:hAnsi="宋体" w:eastAsia="宋体" w:cs="宋体"/>
          <w:spacing w:val="-7"/>
          <w:sz w:val="24"/>
          <w:szCs w:val="24"/>
        </w:rPr>
        <w:t>农业、林业生态环</w:t>
      </w:r>
      <w:r>
        <w:rPr>
          <w:rFonts w:ascii="宋体" w:hAnsi="宋体" w:eastAsia="宋体" w:cs="宋体"/>
          <w:spacing w:val="-5"/>
          <w:sz w:val="24"/>
          <w:szCs w:val="24"/>
        </w:rPr>
        <w:t>境的破坏。③施工道路原则上利用已有道路或在原有路基上拓宽， 拓宽道路要保持原有</w:t>
      </w:r>
      <w:r>
        <w:rPr>
          <w:rFonts w:ascii="宋体" w:hAnsi="宋体" w:eastAsia="宋体" w:cs="宋体"/>
          <w:spacing w:val="-2"/>
          <w:sz w:val="24"/>
          <w:szCs w:val="24"/>
        </w:rPr>
        <w:t>水土保持措施；对施工临时道路在施工结束后恢复原有植被；山地施工人抬便道在施工结束后尽快恢复自然植被，保持原有生态环</w:t>
      </w:r>
      <w:r>
        <w:rPr>
          <w:rFonts w:ascii="宋体" w:hAnsi="宋体" w:eastAsia="宋体" w:cs="宋体"/>
          <w:spacing w:val="-3"/>
          <w:sz w:val="24"/>
          <w:szCs w:val="24"/>
        </w:rPr>
        <w:t>境。</w:t>
      </w:r>
    </w:p>
    <w:p w14:paraId="312DB3C2">
      <w:pPr>
        <w:spacing w:line="360" w:lineRule="auto"/>
        <w:ind w:left="4" w:right="80" w:firstLine="481"/>
        <w:jc w:val="both"/>
        <w:rPr>
          <w:rFonts w:ascii="宋体" w:hAnsi="宋体" w:eastAsia="宋体" w:cs="宋体"/>
          <w:sz w:val="24"/>
          <w:szCs w:val="24"/>
        </w:rPr>
      </w:pPr>
      <w:r>
        <w:rPr>
          <w:rFonts w:ascii="宋体" w:hAnsi="宋体" w:eastAsia="宋体" w:cs="宋体"/>
          <w:spacing w:val="-2"/>
          <w:sz w:val="24"/>
          <w:szCs w:val="24"/>
        </w:rPr>
        <w:t>本环评要求在采取工程可研阶段环保措施的基础上，进一步采取以下措施：①在微观选址时，进一步优化杆塔定位，塔基应尽量落在植被稀疏并便于施工区域，减少塔基施工阶段造成的扰动和破坏；②禁止在生态保护红线林地区域设置牵张场和施工营地等临时占地；③临时施工道路及其他临时占地在施工结束后尽快恢复自然植被，保持原有</w:t>
      </w:r>
      <w:r>
        <w:rPr>
          <w:rFonts w:ascii="宋体" w:hAnsi="宋体" w:eastAsia="宋体" w:cs="宋体"/>
          <w:spacing w:val="-5"/>
          <w:sz w:val="24"/>
          <w:szCs w:val="24"/>
        </w:rPr>
        <w:t>生态环境。在采取以上措施的基础上， 本工程建设对森林生态系统的影响在可接受范围</w:t>
      </w:r>
      <w:r>
        <w:rPr>
          <w:rFonts w:ascii="宋体" w:hAnsi="宋体" w:eastAsia="宋体" w:cs="宋体"/>
          <w:spacing w:val="-11"/>
          <w:sz w:val="24"/>
          <w:szCs w:val="24"/>
        </w:rPr>
        <w:t>内。</w:t>
      </w:r>
    </w:p>
    <w:p w14:paraId="014A4690">
      <w:pPr>
        <w:spacing w:line="234"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3.2.2 </w:t>
      </w:r>
      <w:r>
        <w:rPr>
          <w:rFonts w:ascii="宋体" w:hAnsi="宋体" w:eastAsia="宋体" w:cs="宋体"/>
          <w:b/>
          <w:bCs/>
          <w:spacing w:val="-2"/>
          <w:sz w:val="24"/>
          <w:szCs w:val="24"/>
        </w:rPr>
        <w:t>对农田生态系统的影响分析</w:t>
      </w:r>
    </w:p>
    <w:p w14:paraId="2F683BDD">
      <w:pPr>
        <w:spacing w:before="164" w:line="360" w:lineRule="auto"/>
        <w:ind w:left="6" w:right="80" w:firstLine="482"/>
        <w:jc w:val="both"/>
        <w:rPr>
          <w:rFonts w:ascii="宋体" w:hAnsi="宋体" w:eastAsia="宋体" w:cs="宋体"/>
          <w:sz w:val="24"/>
          <w:szCs w:val="24"/>
        </w:rPr>
      </w:pPr>
      <w:r>
        <w:rPr>
          <w:rFonts w:ascii="宋体" w:hAnsi="宋体" w:eastAsia="宋体" w:cs="宋体"/>
          <w:spacing w:val="-6"/>
          <w:sz w:val="24"/>
          <w:szCs w:val="24"/>
        </w:rPr>
        <w:t>项目施工期对农业生产的影响主要来自塔基的占地。塔基基础的开挖，</w:t>
      </w:r>
      <w:r>
        <w:rPr>
          <w:rFonts w:ascii="宋体" w:hAnsi="宋体" w:eastAsia="宋体" w:cs="宋体"/>
          <w:spacing w:val="35"/>
          <w:sz w:val="24"/>
          <w:szCs w:val="24"/>
        </w:rPr>
        <w:t xml:space="preserve"> </w:t>
      </w:r>
      <w:r>
        <w:rPr>
          <w:rFonts w:ascii="宋体" w:hAnsi="宋体" w:eastAsia="宋体" w:cs="宋体"/>
          <w:spacing w:val="-6"/>
          <w:sz w:val="24"/>
          <w:szCs w:val="24"/>
        </w:rPr>
        <w:t>占地处</w:t>
      </w:r>
      <w:r>
        <w:rPr>
          <w:rFonts w:ascii="宋体" w:hAnsi="宋体" w:eastAsia="宋体" w:cs="宋体"/>
          <w:spacing w:val="-7"/>
          <w:sz w:val="24"/>
          <w:szCs w:val="24"/>
        </w:rPr>
        <w:t>的农</w:t>
      </w:r>
      <w:r>
        <w:rPr>
          <w:rFonts w:ascii="宋体" w:hAnsi="宋体" w:eastAsia="宋体" w:cs="宋体"/>
          <w:spacing w:val="-2"/>
          <w:sz w:val="24"/>
          <w:szCs w:val="24"/>
        </w:rPr>
        <w:t>作物将被清除，使农作物产量减少，农作物的损失以成熟期最大；另外基础挖掘、土石</w:t>
      </w:r>
      <w:r>
        <w:rPr>
          <w:rFonts w:ascii="宋体" w:hAnsi="宋体" w:eastAsia="宋体" w:cs="宋体"/>
          <w:spacing w:val="-6"/>
          <w:sz w:val="24"/>
          <w:szCs w:val="24"/>
        </w:rPr>
        <w:t>的堆放、人员的践踏、施工机具的碾压，</w:t>
      </w:r>
      <w:r>
        <w:rPr>
          <w:rFonts w:ascii="宋体" w:hAnsi="宋体" w:eastAsia="宋体" w:cs="宋体"/>
          <w:spacing w:val="56"/>
          <w:sz w:val="24"/>
          <w:szCs w:val="24"/>
        </w:rPr>
        <w:t xml:space="preserve"> </w:t>
      </w:r>
      <w:r>
        <w:rPr>
          <w:rFonts w:ascii="宋体" w:hAnsi="宋体" w:eastAsia="宋体" w:cs="宋体"/>
          <w:spacing w:val="-6"/>
          <w:sz w:val="24"/>
          <w:szCs w:val="24"/>
        </w:rPr>
        <w:t>亦会伤害部分农作物，同时</w:t>
      </w:r>
      <w:r>
        <w:rPr>
          <w:rFonts w:ascii="宋体" w:hAnsi="宋体" w:eastAsia="宋体" w:cs="宋体"/>
          <w:spacing w:val="-7"/>
          <w:sz w:val="24"/>
          <w:szCs w:val="24"/>
        </w:rPr>
        <w:t>还会伤及附近植物</w:t>
      </w:r>
      <w:r>
        <w:rPr>
          <w:rFonts w:ascii="宋体" w:hAnsi="宋体" w:eastAsia="宋体" w:cs="宋体"/>
          <w:spacing w:val="-3"/>
          <w:sz w:val="24"/>
          <w:szCs w:val="24"/>
        </w:rPr>
        <w:t>的根系，影响农作物的正常生长。</w:t>
      </w:r>
    </w:p>
    <w:p w14:paraId="04B2C943">
      <w:pPr>
        <w:spacing w:line="360" w:lineRule="auto"/>
        <w:ind w:left="4" w:firstLine="481"/>
        <w:jc w:val="both"/>
        <w:rPr>
          <w:rFonts w:ascii="宋体" w:hAnsi="宋体" w:eastAsia="宋体" w:cs="宋体"/>
          <w:sz w:val="24"/>
          <w:szCs w:val="24"/>
        </w:rPr>
      </w:pPr>
      <w:r>
        <w:rPr>
          <w:rFonts w:ascii="宋体" w:hAnsi="宋体" w:eastAsia="宋体" w:cs="宋体"/>
          <w:spacing w:val="-2"/>
          <w:sz w:val="24"/>
          <w:szCs w:val="24"/>
        </w:rPr>
        <w:t>本工程塔基占用农田面积小，且铁塔在农田处的实际占用地仅限于其个支撑脚，其</w:t>
      </w:r>
      <w:r>
        <w:rPr>
          <w:rFonts w:ascii="宋体" w:hAnsi="宋体" w:eastAsia="宋体" w:cs="宋体"/>
          <w:spacing w:val="1"/>
          <w:sz w:val="24"/>
          <w:szCs w:val="24"/>
        </w:rPr>
        <w:t>余区域均可正常种植农作物；输电线路下方的农作</w:t>
      </w:r>
      <w:r>
        <w:rPr>
          <w:rFonts w:ascii="宋体" w:hAnsi="宋体" w:eastAsia="宋体" w:cs="宋体"/>
          <w:sz w:val="24"/>
          <w:szCs w:val="24"/>
        </w:rPr>
        <w:t>物与周边区域相比，其株高、色泽、</w:t>
      </w:r>
      <w:r>
        <w:rPr>
          <w:rFonts w:ascii="宋体" w:hAnsi="宋体" w:eastAsia="宋体" w:cs="宋体"/>
          <w:spacing w:val="-6"/>
          <w:sz w:val="24"/>
          <w:szCs w:val="24"/>
        </w:rPr>
        <w:t>产量也并无差别，即输电线路工程并不能影响农作物的正常生长。由此可见，</w:t>
      </w:r>
      <w:r>
        <w:rPr>
          <w:rFonts w:ascii="宋体" w:hAnsi="宋体" w:eastAsia="宋体" w:cs="宋体"/>
          <w:spacing w:val="48"/>
          <w:sz w:val="24"/>
          <w:szCs w:val="24"/>
        </w:rPr>
        <w:t xml:space="preserve"> </w:t>
      </w:r>
      <w:r>
        <w:rPr>
          <w:rFonts w:ascii="宋体" w:hAnsi="宋体" w:eastAsia="宋体" w:cs="宋体"/>
          <w:spacing w:val="-6"/>
          <w:sz w:val="24"/>
          <w:szCs w:val="24"/>
        </w:rPr>
        <w:t>工程建设</w:t>
      </w:r>
      <w:r>
        <w:rPr>
          <w:rFonts w:ascii="宋体" w:hAnsi="宋体" w:eastAsia="宋体" w:cs="宋体"/>
          <w:spacing w:val="-3"/>
          <w:sz w:val="24"/>
          <w:szCs w:val="24"/>
        </w:rPr>
        <w:t>对农业生态系统的生态功能影响较小。</w:t>
      </w:r>
    </w:p>
    <w:p w14:paraId="1E9B5591">
      <w:pPr>
        <w:spacing w:before="1" w:line="232"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3.2.3 </w:t>
      </w:r>
      <w:r>
        <w:rPr>
          <w:rFonts w:ascii="宋体" w:hAnsi="宋体" w:eastAsia="宋体" w:cs="宋体"/>
          <w:b/>
          <w:bCs/>
          <w:spacing w:val="-2"/>
          <w:sz w:val="24"/>
          <w:szCs w:val="24"/>
        </w:rPr>
        <w:t>对城镇</w:t>
      </w:r>
      <w:r>
        <w:rPr>
          <w:rFonts w:ascii="Times New Roman" w:hAnsi="Times New Roman" w:eastAsia="Times New Roman" w:cs="Times New Roman"/>
          <w:b/>
          <w:bCs/>
          <w:spacing w:val="-2"/>
          <w:sz w:val="24"/>
          <w:szCs w:val="24"/>
        </w:rPr>
        <w:t>/</w:t>
      </w:r>
      <w:r>
        <w:rPr>
          <w:rFonts w:ascii="宋体" w:hAnsi="宋体" w:eastAsia="宋体" w:cs="宋体"/>
          <w:b/>
          <w:bCs/>
          <w:spacing w:val="-2"/>
          <w:sz w:val="24"/>
          <w:szCs w:val="24"/>
        </w:rPr>
        <w:t>村落生态系统的影响分析</w:t>
      </w:r>
    </w:p>
    <w:p w14:paraId="1E754729">
      <w:pPr>
        <w:spacing w:before="165" w:line="220" w:lineRule="auto"/>
        <w:ind w:left="484"/>
        <w:rPr>
          <w:rFonts w:ascii="宋体" w:hAnsi="宋体" w:eastAsia="宋体" w:cs="宋体"/>
          <w:sz w:val="24"/>
          <w:szCs w:val="24"/>
        </w:rPr>
      </w:pPr>
      <w:r>
        <w:rPr>
          <w:rFonts w:ascii="宋体" w:hAnsi="宋体" w:eastAsia="宋体" w:cs="宋体"/>
          <w:spacing w:val="-2"/>
          <w:sz w:val="24"/>
          <w:szCs w:val="24"/>
        </w:rPr>
        <w:t>施工期因为施工人员的进入，导致人口集中，噪声、废气、生活垃圾等污染物的排</w:t>
      </w:r>
    </w:p>
    <w:p w14:paraId="120E0938">
      <w:pPr>
        <w:spacing w:line="220" w:lineRule="auto"/>
        <w:rPr>
          <w:rFonts w:ascii="宋体" w:hAnsi="宋体" w:eastAsia="宋体" w:cs="宋体"/>
          <w:sz w:val="24"/>
          <w:szCs w:val="24"/>
        </w:rPr>
        <w:sectPr>
          <w:footerReference r:id="rId183" w:type="default"/>
          <w:pgSz w:w="11907" w:h="16841"/>
          <w:pgMar w:top="400" w:right="1335" w:bottom="1126" w:left="1422" w:header="0" w:footer="925" w:gutter="0"/>
          <w:cols w:space="720" w:num="1"/>
        </w:sectPr>
      </w:pPr>
    </w:p>
    <w:p w14:paraId="701AEF11">
      <w:pPr>
        <w:spacing w:line="249" w:lineRule="auto"/>
        <w:rPr>
          <w:rFonts w:ascii="Arial"/>
          <w:sz w:val="21"/>
        </w:rPr>
      </w:pPr>
    </w:p>
    <w:p w14:paraId="54B8D67B">
      <w:pPr>
        <w:spacing w:line="249" w:lineRule="auto"/>
        <w:rPr>
          <w:rFonts w:ascii="Arial"/>
          <w:sz w:val="21"/>
        </w:rPr>
      </w:pPr>
    </w:p>
    <w:p w14:paraId="5DB89B9F">
      <w:pPr>
        <w:spacing w:line="249" w:lineRule="auto"/>
        <w:rPr>
          <w:rFonts w:ascii="Arial"/>
          <w:sz w:val="21"/>
        </w:rPr>
      </w:pPr>
    </w:p>
    <w:p w14:paraId="7C04AB07">
      <w:pPr>
        <w:spacing w:line="249" w:lineRule="auto"/>
        <w:rPr>
          <w:rFonts w:ascii="Arial"/>
          <w:sz w:val="21"/>
        </w:rPr>
      </w:pPr>
    </w:p>
    <w:p w14:paraId="427E5961">
      <w:pPr>
        <w:spacing w:line="249" w:lineRule="auto"/>
        <w:rPr>
          <w:rFonts w:ascii="Arial"/>
          <w:sz w:val="21"/>
        </w:rPr>
      </w:pPr>
    </w:p>
    <w:p w14:paraId="51D61FFB">
      <w:pPr>
        <w:spacing w:before="78" w:line="218" w:lineRule="auto"/>
        <w:ind w:left="5"/>
        <w:rPr>
          <w:rFonts w:ascii="宋体" w:hAnsi="宋体" w:eastAsia="宋体" w:cs="宋体"/>
          <w:sz w:val="24"/>
          <w:szCs w:val="24"/>
        </w:rPr>
      </w:pPr>
      <w:r>
        <w:rPr>
          <w:rFonts w:ascii="宋体" w:hAnsi="宋体" w:eastAsia="宋体" w:cs="宋体"/>
          <w:spacing w:val="-8"/>
          <w:sz w:val="24"/>
          <w:szCs w:val="24"/>
        </w:rPr>
        <w:t>放，人类活动对植物、动物的干扰，均可能</w:t>
      </w:r>
      <w:r>
        <w:rPr>
          <w:rFonts w:ascii="宋体" w:hAnsi="宋体" w:eastAsia="宋体" w:cs="宋体"/>
          <w:spacing w:val="-9"/>
          <w:sz w:val="24"/>
          <w:szCs w:val="24"/>
        </w:rPr>
        <w:t>对评价范围内原有的生态环境造成负面影响。</w:t>
      </w:r>
    </w:p>
    <w:p w14:paraId="437418DA">
      <w:pPr>
        <w:spacing w:before="184" w:line="360" w:lineRule="auto"/>
        <w:ind w:left="5" w:hanging="1"/>
        <w:rPr>
          <w:rFonts w:ascii="宋体" w:hAnsi="宋体" w:eastAsia="宋体" w:cs="宋体"/>
          <w:sz w:val="24"/>
          <w:szCs w:val="24"/>
        </w:rPr>
      </w:pPr>
      <w:r>
        <w:rPr>
          <w:rFonts w:ascii="宋体" w:hAnsi="宋体" w:eastAsia="宋体" w:cs="宋体"/>
          <w:spacing w:val="-3"/>
          <w:sz w:val="24"/>
          <w:szCs w:val="24"/>
        </w:rPr>
        <w:t>施工前注意对施工人员进行环保意识的宣传教育，在施工期尽量减少垃圾和污水的排放，</w:t>
      </w:r>
      <w:r>
        <w:rPr>
          <w:rFonts w:ascii="宋体" w:hAnsi="宋体" w:eastAsia="宋体" w:cs="宋体"/>
          <w:spacing w:val="-5"/>
          <w:sz w:val="24"/>
          <w:szCs w:val="24"/>
        </w:rPr>
        <w:t>尽量利用系统内已有的污水、固废收集处理设施， 拟建项目对评价范围内的城镇生态系</w:t>
      </w:r>
      <w:r>
        <w:rPr>
          <w:rFonts w:ascii="宋体" w:hAnsi="宋体" w:eastAsia="宋体" w:cs="宋体"/>
          <w:spacing w:val="-7"/>
          <w:sz w:val="24"/>
          <w:szCs w:val="24"/>
        </w:rPr>
        <w:t>统影响较小。</w:t>
      </w:r>
    </w:p>
    <w:p w14:paraId="04D58ADE">
      <w:pPr>
        <w:spacing w:line="233"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3.2.4 </w:t>
      </w:r>
      <w:r>
        <w:rPr>
          <w:rFonts w:ascii="宋体" w:hAnsi="宋体" w:eastAsia="宋体" w:cs="宋体"/>
          <w:b/>
          <w:bCs/>
          <w:spacing w:val="-2"/>
          <w:sz w:val="24"/>
          <w:szCs w:val="24"/>
        </w:rPr>
        <w:t>对生态系统稳定性的影响</w:t>
      </w:r>
    </w:p>
    <w:p w14:paraId="7BF4CFDD">
      <w:pPr>
        <w:spacing w:before="165" w:line="360" w:lineRule="auto"/>
        <w:ind w:left="4" w:right="186" w:firstLine="480"/>
        <w:jc w:val="both"/>
        <w:rPr>
          <w:rFonts w:ascii="宋体" w:hAnsi="宋体" w:eastAsia="宋体" w:cs="宋体"/>
          <w:sz w:val="24"/>
          <w:szCs w:val="24"/>
        </w:rPr>
      </w:pPr>
      <w:r>
        <w:rPr>
          <w:rFonts w:ascii="宋体" w:hAnsi="宋体" w:eastAsia="宋体" w:cs="宋体"/>
          <w:spacing w:val="-6"/>
          <w:sz w:val="24"/>
          <w:szCs w:val="24"/>
        </w:rPr>
        <w:t>根据现场调查，工程区域主要为灌草丛、林地和</w:t>
      </w:r>
      <w:r>
        <w:rPr>
          <w:rFonts w:ascii="宋体" w:hAnsi="宋体" w:eastAsia="宋体" w:cs="宋体"/>
          <w:spacing w:val="-7"/>
          <w:sz w:val="24"/>
          <w:szCs w:val="24"/>
        </w:rPr>
        <w:t>农田，</w:t>
      </w:r>
      <w:r>
        <w:rPr>
          <w:rFonts w:ascii="宋体" w:hAnsi="宋体" w:eastAsia="宋体" w:cs="宋体"/>
          <w:spacing w:val="50"/>
          <w:sz w:val="24"/>
          <w:szCs w:val="24"/>
        </w:rPr>
        <w:t xml:space="preserve"> </w:t>
      </w:r>
      <w:r>
        <w:rPr>
          <w:rFonts w:ascii="宋体" w:hAnsi="宋体" w:eastAsia="宋体" w:cs="宋体"/>
          <w:spacing w:val="-7"/>
          <w:sz w:val="24"/>
          <w:szCs w:val="24"/>
        </w:rPr>
        <w:t>项目评价区生态系统主要以</w:t>
      </w:r>
      <w:r>
        <w:rPr>
          <w:rFonts w:ascii="宋体" w:hAnsi="宋体" w:eastAsia="宋体" w:cs="宋体"/>
          <w:spacing w:val="-6"/>
          <w:sz w:val="24"/>
          <w:szCs w:val="24"/>
        </w:rPr>
        <w:t>灌丛、农业和森林生态系统为主，</w:t>
      </w:r>
      <w:r>
        <w:rPr>
          <w:rFonts w:ascii="宋体" w:hAnsi="宋体" w:eastAsia="宋体" w:cs="宋体"/>
          <w:spacing w:val="48"/>
          <w:sz w:val="24"/>
          <w:szCs w:val="24"/>
        </w:rPr>
        <w:t xml:space="preserve"> </w:t>
      </w:r>
      <w:r>
        <w:rPr>
          <w:rFonts w:ascii="宋体" w:hAnsi="宋体" w:eastAsia="宋体" w:cs="宋体"/>
          <w:spacing w:val="-6"/>
          <w:sz w:val="24"/>
          <w:szCs w:val="24"/>
        </w:rPr>
        <w:t>农业生态系统主要为当地主要的农作物，如马铃薯和</w:t>
      </w:r>
      <w:r>
        <w:rPr>
          <w:rFonts w:ascii="宋体" w:hAnsi="宋体" w:eastAsia="宋体" w:cs="宋体"/>
          <w:spacing w:val="-2"/>
          <w:sz w:val="24"/>
          <w:szCs w:val="24"/>
        </w:rPr>
        <w:t>玉米等；工程施工期，塔基基础的开挖，塔基占地处的农作物将被清除，使农作物产量</w:t>
      </w:r>
      <w:r>
        <w:rPr>
          <w:rFonts w:ascii="宋体" w:hAnsi="宋体" w:eastAsia="宋体" w:cs="宋体"/>
          <w:spacing w:val="-6"/>
          <w:sz w:val="24"/>
          <w:szCs w:val="24"/>
        </w:rPr>
        <w:t>减少；另外塔基挖方的堆放、人员的践踏、施工机械的碾压，</w:t>
      </w:r>
      <w:r>
        <w:rPr>
          <w:rFonts w:ascii="宋体" w:hAnsi="宋体" w:eastAsia="宋体" w:cs="宋体"/>
          <w:spacing w:val="59"/>
          <w:sz w:val="24"/>
          <w:szCs w:val="24"/>
        </w:rPr>
        <w:t xml:space="preserve"> </w:t>
      </w:r>
      <w:r>
        <w:rPr>
          <w:rFonts w:ascii="宋体" w:hAnsi="宋体" w:eastAsia="宋体" w:cs="宋体"/>
          <w:spacing w:val="-6"/>
          <w:sz w:val="24"/>
          <w:szCs w:val="24"/>
        </w:rPr>
        <w:t>亦会</w:t>
      </w:r>
      <w:r>
        <w:rPr>
          <w:rFonts w:ascii="宋体" w:hAnsi="宋体" w:eastAsia="宋体" w:cs="宋体"/>
          <w:spacing w:val="-7"/>
          <w:sz w:val="24"/>
          <w:szCs w:val="24"/>
        </w:rPr>
        <w:t>伤害部分农作物。由</w:t>
      </w:r>
      <w:r>
        <w:rPr>
          <w:rFonts w:ascii="宋体" w:hAnsi="宋体" w:eastAsia="宋体" w:cs="宋体"/>
          <w:spacing w:val="-2"/>
          <w:sz w:val="24"/>
          <w:szCs w:val="24"/>
        </w:rPr>
        <w:t>于线路工程的塔基占地面积小且较为分散，不会改变当地总体的土地利用现状，因此工</w:t>
      </w:r>
      <w:r>
        <w:rPr>
          <w:rFonts w:ascii="宋体" w:hAnsi="宋体" w:eastAsia="宋体" w:cs="宋体"/>
          <w:spacing w:val="-3"/>
          <w:sz w:val="24"/>
          <w:szCs w:val="24"/>
        </w:rPr>
        <w:t>程对评价区农业生态系统的影响较小。</w:t>
      </w:r>
    </w:p>
    <w:p w14:paraId="58F37833">
      <w:pPr>
        <w:spacing w:line="360" w:lineRule="auto"/>
        <w:ind w:left="6" w:right="186" w:firstLine="480"/>
        <w:jc w:val="both"/>
        <w:rPr>
          <w:rFonts w:ascii="宋体" w:hAnsi="宋体" w:eastAsia="宋体" w:cs="宋体"/>
          <w:sz w:val="24"/>
          <w:szCs w:val="24"/>
        </w:rPr>
      </w:pPr>
      <w:r>
        <w:rPr>
          <w:rFonts w:ascii="宋体" w:hAnsi="宋体" w:eastAsia="宋体" w:cs="宋体"/>
          <w:spacing w:val="-2"/>
          <w:sz w:val="24"/>
          <w:szCs w:val="24"/>
        </w:rPr>
        <w:t>沿线森林生态系统植被主要为一些次生林和灌丛，主要植被类型为云南松、华山松</w:t>
      </w:r>
      <w:r>
        <w:rPr>
          <w:rFonts w:ascii="宋体" w:hAnsi="宋体" w:eastAsia="宋体" w:cs="宋体"/>
          <w:spacing w:val="-6"/>
          <w:sz w:val="24"/>
          <w:szCs w:val="24"/>
        </w:rPr>
        <w:t>等。工程施工期间，</w:t>
      </w:r>
      <w:r>
        <w:rPr>
          <w:rFonts w:ascii="宋体" w:hAnsi="宋体" w:eastAsia="宋体" w:cs="宋体"/>
          <w:spacing w:val="51"/>
          <w:sz w:val="24"/>
          <w:szCs w:val="24"/>
        </w:rPr>
        <w:t xml:space="preserve"> </w:t>
      </w:r>
      <w:r>
        <w:rPr>
          <w:rFonts w:ascii="宋体" w:hAnsi="宋体" w:eastAsia="宋体" w:cs="宋体"/>
          <w:spacing w:val="-6"/>
          <w:sz w:val="24"/>
          <w:szCs w:val="24"/>
        </w:rPr>
        <w:t>塔基建设将直接占用部分林地，在目前的工程设计中，山区</w:t>
      </w:r>
      <w:r>
        <w:rPr>
          <w:rFonts w:ascii="宋体" w:hAnsi="宋体" w:eastAsia="宋体" w:cs="宋体"/>
          <w:spacing w:val="-7"/>
          <w:sz w:val="24"/>
          <w:szCs w:val="24"/>
        </w:rPr>
        <w:t>线路全</w:t>
      </w:r>
      <w:r>
        <w:rPr>
          <w:rFonts w:ascii="宋体" w:hAnsi="宋体" w:eastAsia="宋体" w:cs="宋体"/>
          <w:spacing w:val="-2"/>
          <w:sz w:val="24"/>
          <w:szCs w:val="24"/>
        </w:rPr>
        <w:t>部采用铁塔全方位长短腿与不等高基础的配合使用，有效地利用原地形地貌，做到少开或不开基面，少量的林木砍伐但不会改变使森林生态系统的群落演替，因此项目建设对</w:t>
      </w:r>
      <w:r>
        <w:rPr>
          <w:rFonts w:ascii="宋体" w:hAnsi="宋体" w:eastAsia="宋体" w:cs="宋体"/>
          <w:spacing w:val="-3"/>
          <w:sz w:val="24"/>
          <w:szCs w:val="24"/>
        </w:rPr>
        <w:t>沿线森林生态系统稳定性的影响较小。</w:t>
      </w:r>
    </w:p>
    <w:p w14:paraId="0180C413">
      <w:pPr>
        <w:spacing w:line="234"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3.2.5 </w:t>
      </w:r>
      <w:r>
        <w:rPr>
          <w:rFonts w:ascii="宋体" w:hAnsi="宋体" w:eastAsia="宋体" w:cs="宋体"/>
          <w:b/>
          <w:bCs/>
          <w:spacing w:val="-2"/>
          <w:sz w:val="24"/>
          <w:szCs w:val="24"/>
        </w:rPr>
        <w:t>项目对生态系统的影响小结</w:t>
      </w:r>
    </w:p>
    <w:p w14:paraId="6E34CCF5">
      <w:pPr>
        <w:spacing w:before="163" w:line="360" w:lineRule="auto"/>
        <w:ind w:left="10" w:right="186" w:firstLine="476"/>
        <w:jc w:val="both"/>
        <w:rPr>
          <w:rFonts w:ascii="宋体" w:hAnsi="宋体" w:eastAsia="宋体" w:cs="宋体"/>
          <w:sz w:val="24"/>
          <w:szCs w:val="24"/>
        </w:rPr>
      </w:pPr>
      <w:r>
        <w:rPr>
          <w:rFonts w:ascii="宋体" w:hAnsi="宋体" w:eastAsia="宋体" w:cs="宋体"/>
          <w:spacing w:val="-2"/>
          <w:sz w:val="24"/>
          <w:szCs w:val="24"/>
        </w:rPr>
        <w:t>本项目输电项目在山区架设塔基较分散，塔基占地以及施工占地面积较小，其中临时占地在施工结束后会及时进行植被恢复，少量的林木砍伐、修剪不会改变使森林生态</w:t>
      </w:r>
      <w:r>
        <w:rPr>
          <w:rFonts w:ascii="宋体" w:hAnsi="宋体" w:eastAsia="宋体" w:cs="宋体"/>
          <w:spacing w:val="-1"/>
          <w:sz w:val="24"/>
          <w:szCs w:val="24"/>
        </w:rPr>
        <w:t>系统的群落演替，也不会对沿线森林和灌丛</w:t>
      </w:r>
      <w:r>
        <w:rPr>
          <w:rFonts w:ascii="宋体" w:hAnsi="宋体" w:eastAsia="宋体" w:cs="宋体"/>
          <w:spacing w:val="-2"/>
          <w:sz w:val="24"/>
          <w:szCs w:val="24"/>
        </w:rPr>
        <w:t>生态系统环境造成系统性的破坏。</w:t>
      </w:r>
    </w:p>
    <w:p w14:paraId="205C6762">
      <w:pPr>
        <w:spacing w:line="360" w:lineRule="auto"/>
        <w:ind w:left="7" w:right="221" w:firstLine="478"/>
        <w:rPr>
          <w:rFonts w:ascii="宋体" w:hAnsi="宋体" w:eastAsia="宋体" w:cs="宋体"/>
          <w:sz w:val="24"/>
          <w:szCs w:val="24"/>
        </w:rPr>
      </w:pPr>
      <w:r>
        <w:rPr>
          <w:rFonts w:ascii="宋体" w:hAnsi="宋体" w:eastAsia="宋体" w:cs="宋体"/>
          <w:spacing w:val="-9"/>
          <w:sz w:val="24"/>
          <w:szCs w:val="24"/>
        </w:rPr>
        <w:t>塔基基础的开挖，占地处的农作物将被清除，使农作物产量减少；塔基挖方的堆放、</w:t>
      </w:r>
      <w:r>
        <w:rPr>
          <w:rFonts w:ascii="宋体" w:hAnsi="宋体" w:eastAsia="宋体" w:cs="宋体"/>
          <w:spacing w:val="-2"/>
          <w:sz w:val="24"/>
          <w:szCs w:val="24"/>
        </w:rPr>
        <w:t>人员的践踏、施工机械的碾压，亦会伤害部分农作物。</w:t>
      </w:r>
    </w:p>
    <w:p w14:paraId="182194FD">
      <w:pPr>
        <w:spacing w:before="2" w:line="361" w:lineRule="auto"/>
        <w:ind w:left="5" w:right="186" w:firstLine="479"/>
        <w:jc w:val="both"/>
        <w:rPr>
          <w:rFonts w:ascii="宋体" w:hAnsi="宋体" w:eastAsia="宋体" w:cs="宋体"/>
          <w:sz w:val="24"/>
          <w:szCs w:val="24"/>
        </w:rPr>
      </w:pPr>
      <w:r>
        <w:rPr>
          <w:rFonts w:ascii="宋体" w:hAnsi="宋体" w:eastAsia="宋体" w:cs="宋体"/>
          <w:spacing w:val="-2"/>
          <w:sz w:val="24"/>
          <w:szCs w:val="24"/>
        </w:rPr>
        <w:t>施工期因为施工人员的进入，导致人口集中，噪声、废气、生活垃圾等污染物的排</w:t>
      </w:r>
      <w:r>
        <w:rPr>
          <w:rFonts w:ascii="宋体" w:hAnsi="宋体" w:eastAsia="宋体" w:cs="宋体"/>
          <w:spacing w:val="-6"/>
          <w:sz w:val="24"/>
          <w:szCs w:val="24"/>
        </w:rPr>
        <w:t>放，都会对城镇生态系统造成较大的影响。考虑到线路施工人员就近租用民房，</w:t>
      </w:r>
      <w:r>
        <w:rPr>
          <w:rFonts w:ascii="宋体" w:hAnsi="宋体" w:eastAsia="宋体" w:cs="宋体"/>
          <w:spacing w:val="47"/>
          <w:sz w:val="24"/>
          <w:szCs w:val="24"/>
        </w:rPr>
        <w:t xml:space="preserve"> </w:t>
      </w:r>
      <w:r>
        <w:rPr>
          <w:rFonts w:ascii="宋体" w:hAnsi="宋体" w:eastAsia="宋体" w:cs="宋体"/>
          <w:spacing w:val="-6"/>
          <w:sz w:val="24"/>
          <w:szCs w:val="24"/>
        </w:rPr>
        <w:t>其产生</w:t>
      </w:r>
      <w:r>
        <w:rPr>
          <w:rFonts w:ascii="宋体" w:hAnsi="宋体" w:eastAsia="宋体" w:cs="宋体"/>
          <w:spacing w:val="-2"/>
          <w:sz w:val="24"/>
          <w:szCs w:val="24"/>
        </w:rPr>
        <w:t>的影响不会大幅恶化现有的主要环境问题，因此，项目建设对于城镇生态系统的影响不</w:t>
      </w:r>
      <w:r>
        <w:rPr>
          <w:rFonts w:ascii="宋体" w:hAnsi="宋体" w:eastAsia="宋体" w:cs="宋体"/>
          <w:spacing w:val="-12"/>
          <w:sz w:val="24"/>
          <w:szCs w:val="24"/>
        </w:rPr>
        <w:t>大。</w:t>
      </w:r>
    </w:p>
    <w:p w14:paraId="14612D6D">
      <w:pPr>
        <w:spacing w:before="50" w:line="234" w:lineRule="auto"/>
        <w:rPr>
          <w:rFonts w:ascii="宋体" w:hAnsi="宋体" w:eastAsia="宋体" w:cs="宋体"/>
          <w:sz w:val="28"/>
          <w:szCs w:val="28"/>
        </w:rPr>
      </w:pPr>
      <w:bookmarkStart w:id="45" w:name="bookmark51"/>
      <w:bookmarkEnd w:id="45"/>
      <w:r>
        <w:rPr>
          <w:rFonts w:ascii="Times New Roman" w:hAnsi="Times New Roman" w:eastAsia="Times New Roman" w:cs="Times New Roman"/>
          <w:b/>
          <w:bCs/>
          <w:spacing w:val="-2"/>
          <w:sz w:val="28"/>
          <w:szCs w:val="28"/>
        </w:rPr>
        <w:t xml:space="preserve">3.3 </w:t>
      </w:r>
      <w:r>
        <w:rPr>
          <w:rFonts w:ascii="宋体" w:hAnsi="宋体" w:eastAsia="宋体" w:cs="宋体"/>
          <w:b/>
          <w:bCs/>
          <w:spacing w:val="-2"/>
          <w:sz w:val="28"/>
          <w:szCs w:val="28"/>
        </w:rPr>
        <w:t>项目对植被的影响</w:t>
      </w:r>
    </w:p>
    <w:p w14:paraId="7F9C989C">
      <w:pPr>
        <w:spacing w:before="212" w:line="220" w:lineRule="auto"/>
        <w:ind w:left="484"/>
        <w:rPr>
          <w:rFonts w:ascii="宋体" w:hAnsi="宋体" w:eastAsia="宋体" w:cs="宋体"/>
          <w:sz w:val="24"/>
          <w:szCs w:val="24"/>
        </w:rPr>
      </w:pPr>
      <w:r>
        <w:rPr>
          <w:rFonts w:ascii="宋体" w:hAnsi="宋体" w:eastAsia="宋体" w:cs="宋体"/>
          <w:spacing w:val="5"/>
          <w:sz w:val="24"/>
          <w:szCs w:val="24"/>
        </w:rPr>
        <w:t>施工期对项目区植被的影响主要为占地减少了站址及线路沿线的植</w:t>
      </w:r>
      <w:r>
        <w:rPr>
          <w:rFonts w:ascii="宋体" w:hAnsi="宋体" w:eastAsia="宋体" w:cs="宋体"/>
          <w:spacing w:val="4"/>
          <w:sz w:val="24"/>
          <w:szCs w:val="24"/>
        </w:rPr>
        <w:t>被面积与生物</w:t>
      </w:r>
    </w:p>
    <w:p w14:paraId="2A82B0DD">
      <w:pPr>
        <w:spacing w:line="220" w:lineRule="auto"/>
        <w:rPr>
          <w:rFonts w:ascii="宋体" w:hAnsi="宋体" w:eastAsia="宋体" w:cs="宋体"/>
          <w:sz w:val="24"/>
          <w:szCs w:val="24"/>
        </w:rPr>
        <w:sectPr>
          <w:footerReference r:id="rId184" w:type="default"/>
          <w:pgSz w:w="11907" w:h="16841"/>
          <w:pgMar w:top="400" w:right="1229" w:bottom="1126" w:left="1422" w:header="0" w:footer="925" w:gutter="0"/>
          <w:cols w:space="720" w:num="1"/>
        </w:sectPr>
      </w:pPr>
    </w:p>
    <w:p w14:paraId="6E358E80">
      <w:pPr>
        <w:spacing w:line="249" w:lineRule="auto"/>
        <w:rPr>
          <w:rFonts w:ascii="Arial"/>
          <w:sz w:val="21"/>
        </w:rPr>
      </w:pPr>
    </w:p>
    <w:p w14:paraId="0BCBAA2E">
      <w:pPr>
        <w:spacing w:line="249" w:lineRule="auto"/>
        <w:rPr>
          <w:rFonts w:ascii="Arial"/>
          <w:sz w:val="21"/>
        </w:rPr>
      </w:pPr>
    </w:p>
    <w:p w14:paraId="54DBFDD4">
      <w:pPr>
        <w:spacing w:line="249" w:lineRule="auto"/>
        <w:rPr>
          <w:rFonts w:ascii="Arial"/>
          <w:sz w:val="21"/>
        </w:rPr>
      </w:pPr>
    </w:p>
    <w:p w14:paraId="7FD434A3">
      <w:pPr>
        <w:spacing w:line="249" w:lineRule="auto"/>
        <w:rPr>
          <w:rFonts w:ascii="Arial"/>
          <w:sz w:val="21"/>
        </w:rPr>
      </w:pPr>
    </w:p>
    <w:p w14:paraId="1EF9A6A1">
      <w:pPr>
        <w:spacing w:line="249" w:lineRule="auto"/>
        <w:rPr>
          <w:rFonts w:ascii="Arial"/>
          <w:sz w:val="21"/>
        </w:rPr>
      </w:pPr>
    </w:p>
    <w:p w14:paraId="6F009456">
      <w:pPr>
        <w:spacing w:before="78" w:line="219" w:lineRule="auto"/>
        <w:ind w:left="5"/>
        <w:rPr>
          <w:rFonts w:ascii="宋体" w:hAnsi="宋体" w:eastAsia="宋体" w:cs="宋体"/>
          <w:sz w:val="24"/>
          <w:szCs w:val="24"/>
        </w:rPr>
      </w:pPr>
      <w:r>
        <w:rPr>
          <w:rFonts w:ascii="宋体" w:hAnsi="宋体" w:eastAsia="宋体" w:cs="宋体"/>
          <w:spacing w:val="-1"/>
          <w:sz w:val="24"/>
          <w:szCs w:val="24"/>
        </w:rPr>
        <w:t>量，施工机械碾压、施工人员践踏等对周围地表植被的生长也会带来一定的</w:t>
      </w:r>
      <w:r>
        <w:rPr>
          <w:rFonts w:ascii="宋体" w:hAnsi="宋体" w:eastAsia="宋体" w:cs="宋体"/>
          <w:spacing w:val="-2"/>
          <w:sz w:val="24"/>
          <w:szCs w:val="24"/>
        </w:rPr>
        <w:t>影响。</w:t>
      </w:r>
    </w:p>
    <w:p w14:paraId="43C5FD02">
      <w:pPr>
        <w:spacing w:before="183" w:line="234"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3.3.1 </w:t>
      </w:r>
      <w:r>
        <w:rPr>
          <w:rFonts w:ascii="宋体" w:hAnsi="宋体" w:eastAsia="宋体" w:cs="宋体"/>
          <w:b/>
          <w:bCs/>
          <w:spacing w:val="-2"/>
          <w:sz w:val="24"/>
          <w:szCs w:val="24"/>
        </w:rPr>
        <w:t>施工期影响分析</w:t>
      </w:r>
    </w:p>
    <w:p w14:paraId="04577537">
      <w:pPr>
        <w:spacing w:before="163" w:line="360" w:lineRule="auto"/>
        <w:ind w:left="5" w:right="61" w:firstLine="480"/>
        <w:rPr>
          <w:rFonts w:ascii="宋体" w:hAnsi="宋体" w:eastAsia="宋体" w:cs="宋体"/>
          <w:sz w:val="24"/>
          <w:szCs w:val="24"/>
        </w:rPr>
      </w:pPr>
      <w:r>
        <w:rPr>
          <w:rFonts w:ascii="宋体" w:hAnsi="宋体" w:eastAsia="宋体" w:cs="宋体"/>
          <w:spacing w:val="-2"/>
          <w:sz w:val="24"/>
          <w:szCs w:val="24"/>
        </w:rPr>
        <w:t>本项目施工期对陆生植物的影响主要体现在工程占地、植被和植物资源、植被生物</w:t>
      </w:r>
      <w:r>
        <w:rPr>
          <w:rFonts w:ascii="宋体" w:hAnsi="宋体" w:eastAsia="宋体" w:cs="宋体"/>
          <w:spacing w:val="-5"/>
          <w:sz w:val="24"/>
          <w:szCs w:val="24"/>
        </w:rPr>
        <w:t>量三个方面，具体影响分析如下：</w:t>
      </w:r>
    </w:p>
    <w:p w14:paraId="1F637F62">
      <w:pPr>
        <w:spacing w:line="234" w:lineRule="auto"/>
        <w:ind w:left="494"/>
        <w:rPr>
          <w:rFonts w:ascii="宋体" w:hAnsi="宋体" w:eastAsia="宋体" w:cs="宋体"/>
          <w:sz w:val="24"/>
          <w:szCs w:val="24"/>
        </w:rPr>
      </w:pPr>
      <w:r>
        <w:rPr>
          <w:rFonts w:ascii="宋体" w:hAnsi="宋体" w:eastAsia="宋体" w:cs="宋体"/>
          <w:b/>
          <w:bCs/>
          <w:spacing w:val="-3"/>
          <w:sz w:val="24"/>
          <w:szCs w:val="24"/>
        </w:rPr>
        <w:t>（</w:t>
      </w:r>
      <w:r>
        <w:rPr>
          <w:rFonts w:ascii="Times New Roman" w:hAnsi="Times New Roman" w:eastAsia="Times New Roman" w:cs="Times New Roman"/>
          <w:b/>
          <w:bCs/>
          <w:spacing w:val="-3"/>
          <w:sz w:val="24"/>
          <w:szCs w:val="24"/>
        </w:rPr>
        <w:t>1</w:t>
      </w:r>
      <w:r>
        <w:rPr>
          <w:rFonts w:ascii="宋体" w:hAnsi="宋体" w:eastAsia="宋体" w:cs="宋体"/>
          <w:b/>
          <w:bCs/>
          <w:spacing w:val="-3"/>
          <w:sz w:val="24"/>
          <w:szCs w:val="24"/>
        </w:rPr>
        <w:t>）工程占地的影响分析</w:t>
      </w:r>
    </w:p>
    <w:p w14:paraId="7F7DCBB2">
      <w:pPr>
        <w:spacing w:before="163" w:line="219" w:lineRule="auto"/>
        <w:ind w:left="488"/>
        <w:rPr>
          <w:rFonts w:ascii="宋体" w:hAnsi="宋体" w:eastAsia="宋体" w:cs="宋体"/>
          <w:sz w:val="24"/>
          <w:szCs w:val="24"/>
        </w:rPr>
      </w:pPr>
      <w:r>
        <w:rPr>
          <w:rFonts w:ascii="宋体" w:hAnsi="宋体" w:eastAsia="宋体" w:cs="宋体"/>
          <w:spacing w:val="-3"/>
          <w:sz w:val="24"/>
          <w:szCs w:val="24"/>
        </w:rPr>
        <w:t>工程占地将导致陆生植物分布面积的减少。</w:t>
      </w:r>
    </w:p>
    <w:p w14:paraId="3F2D391B">
      <w:pPr>
        <w:spacing w:before="119" w:line="229" w:lineRule="auto"/>
        <w:ind w:left="3001"/>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8"/>
          <w:sz w:val="21"/>
          <w:szCs w:val="21"/>
        </w:rPr>
        <w:t xml:space="preserve"> </w:t>
      </w:r>
      <w:r>
        <w:rPr>
          <w:rFonts w:ascii="Times New Roman" w:hAnsi="Times New Roman" w:eastAsia="Times New Roman" w:cs="Times New Roman"/>
          <w:b/>
          <w:bCs/>
          <w:spacing w:val="-2"/>
          <w:sz w:val="21"/>
          <w:szCs w:val="21"/>
        </w:rPr>
        <w:t xml:space="preserve">3-2    </w:t>
      </w:r>
      <w:r>
        <w:rPr>
          <w:rFonts w:ascii="宋体" w:hAnsi="宋体" w:eastAsia="宋体" w:cs="宋体"/>
          <w:b/>
          <w:bCs/>
          <w:spacing w:val="-2"/>
          <w:sz w:val="21"/>
          <w:szCs w:val="21"/>
        </w:rPr>
        <w:t>工程占用植被情况一览表</w:t>
      </w:r>
    </w:p>
    <w:tbl>
      <w:tblPr>
        <w:tblStyle w:val="5"/>
        <w:tblW w:w="8908" w:type="dxa"/>
        <w:tblInd w:w="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66"/>
        <w:gridCol w:w="1134"/>
        <w:gridCol w:w="1560"/>
        <w:gridCol w:w="1133"/>
        <w:gridCol w:w="1134"/>
        <w:gridCol w:w="850"/>
        <w:gridCol w:w="991"/>
        <w:gridCol w:w="1540"/>
      </w:tblGrid>
      <w:tr w14:paraId="2F739F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1" w:hRule="atLeast"/>
        </w:trPr>
        <w:tc>
          <w:tcPr>
            <w:tcW w:w="566" w:type="dxa"/>
            <w:vMerge w:val="restart"/>
            <w:tcBorders>
              <w:bottom w:val="nil"/>
            </w:tcBorders>
            <w:vAlign w:val="top"/>
          </w:tcPr>
          <w:p w14:paraId="5432E112">
            <w:pPr>
              <w:pStyle w:val="6"/>
              <w:spacing w:before="218" w:line="281" w:lineRule="auto"/>
              <w:ind w:left="83" w:right="69" w:hanging="5"/>
            </w:pPr>
            <w:r>
              <w:rPr>
                <w:b/>
                <w:bCs/>
                <w:spacing w:val="-6"/>
              </w:rPr>
              <w:t>植被</w:t>
            </w:r>
            <w:r>
              <w:rPr>
                <w:b/>
                <w:bCs/>
                <w:spacing w:val="-9"/>
              </w:rPr>
              <w:t>型组</w:t>
            </w:r>
          </w:p>
        </w:tc>
        <w:tc>
          <w:tcPr>
            <w:tcW w:w="1134" w:type="dxa"/>
            <w:vMerge w:val="restart"/>
            <w:tcBorders>
              <w:bottom w:val="nil"/>
            </w:tcBorders>
            <w:vAlign w:val="top"/>
          </w:tcPr>
          <w:p w14:paraId="7E76345C">
            <w:pPr>
              <w:spacing w:line="304" w:lineRule="auto"/>
              <w:rPr>
                <w:rFonts w:ascii="Arial"/>
                <w:sz w:val="21"/>
              </w:rPr>
            </w:pPr>
          </w:p>
          <w:p w14:paraId="16C239E2">
            <w:pPr>
              <w:pStyle w:val="6"/>
              <w:spacing w:before="68" w:line="221" w:lineRule="auto"/>
              <w:ind w:left="254"/>
            </w:pPr>
            <w:r>
              <w:rPr>
                <w:b/>
                <w:bCs/>
                <w:spacing w:val="-4"/>
              </w:rPr>
              <w:t>植被型</w:t>
            </w:r>
          </w:p>
        </w:tc>
        <w:tc>
          <w:tcPr>
            <w:tcW w:w="1560" w:type="dxa"/>
            <w:vMerge w:val="restart"/>
            <w:tcBorders>
              <w:bottom w:val="nil"/>
            </w:tcBorders>
            <w:vAlign w:val="top"/>
          </w:tcPr>
          <w:p w14:paraId="46F588EB">
            <w:pPr>
              <w:spacing w:line="304" w:lineRule="auto"/>
              <w:rPr>
                <w:rFonts w:ascii="Arial"/>
                <w:sz w:val="21"/>
              </w:rPr>
            </w:pPr>
          </w:p>
          <w:p w14:paraId="76C70A33">
            <w:pPr>
              <w:pStyle w:val="6"/>
              <w:spacing w:before="68" w:line="221" w:lineRule="auto"/>
              <w:ind w:left="363"/>
            </w:pPr>
            <w:r>
              <w:rPr>
                <w:b/>
                <w:bCs/>
                <w:spacing w:val="-4"/>
              </w:rPr>
              <w:t>植被亚型</w:t>
            </w:r>
          </w:p>
        </w:tc>
        <w:tc>
          <w:tcPr>
            <w:tcW w:w="2267" w:type="dxa"/>
            <w:gridSpan w:val="2"/>
            <w:vAlign w:val="top"/>
          </w:tcPr>
          <w:p w14:paraId="57A0B4FA">
            <w:pPr>
              <w:pStyle w:val="6"/>
              <w:spacing w:before="56" w:line="219" w:lineRule="auto"/>
              <w:ind w:left="400"/>
            </w:pPr>
            <w:r>
              <w:rPr>
                <w:b/>
                <w:bCs/>
                <w:spacing w:val="-3"/>
              </w:rPr>
              <w:t>评价区植被现状</w:t>
            </w:r>
          </w:p>
        </w:tc>
        <w:tc>
          <w:tcPr>
            <w:tcW w:w="1841" w:type="dxa"/>
            <w:gridSpan w:val="2"/>
            <w:vAlign w:val="top"/>
          </w:tcPr>
          <w:p w14:paraId="461D70BA">
            <w:pPr>
              <w:pStyle w:val="6"/>
              <w:spacing w:before="56" w:line="221" w:lineRule="auto"/>
              <w:ind w:left="297"/>
            </w:pPr>
            <w:r>
              <w:rPr>
                <w:b/>
                <w:bCs/>
                <w:spacing w:val="-3"/>
              </w:rPr>
              <w:t>工程占用情况</w:t>
            </w:r>
          </w:p>
        </w:tc>
        <w:tc>
          <w:tcPr>
            <w:tcW w:w="1540" w:type="dxa"/>
            <w:vMerge w:val="restart"/>
            <w:tcBorders>
              <w:bottom w:val="nil"/>
            </w:tcBorders>
            <w:vAlign w:val="top"/>
          </w:tcPr>
          <w:p w14:paraId="7DBEA878">
            <w:pPr>
              <w:pStyle w:val="6"/>
              <w:spacing w:before="218" w:line="284" w:lineRule="auto"/>
              <w:ind w:left="352" w:right="28" w:hanging="282"/>
              <w:rPr>
                <w:rFonts w:ascii="Times New Roman" w:hAnsi="Times New Roman" w:eastAsia="Times New Roman" w:cs="Times New Roman"/>
              </w:rPr>
            </w:pPr>
            <w:r>
              <w:rPr>
                <w:b/>
                <w:bCs/>
                <w:spacing w:val="-8"/>
              </w:rPr>
              <w:t>占评价区该类植</w:t>
            </w:r>
            <w:r>
              <w:rPr>
                <w:b/>
                <w:bCs/>
                <w:spacing w:val="-3"/>
              </w:rPr>
              <w:t>被比例</w:t>
            </w:r>
            <w:r>
              <w:rPr>
                <w:rFonts w:ascii="Times New Roman" w:hAnsi="Times New Roman" w:eastAsia="Times New Roman" w:cs="Times New Roman"/>
                <w:b/>
                <w:bCs/>
                <w:spacing w:val="-3"/>
              </w:rPr>
              <w:t>%</w:t>
            </w:r>
          </w:p>
        </w:tc>
      </w:tr>
      <w:tr w14:paraId="4175F64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trPr>
        <w:tc>
          <w:tcPr>
            <w:tcW w:w="566" w:type="dxa"/>
            <w:vMerge w:val="continue"/>
            <w:tcBorders>
              <w:top w:val="nil"/>
            </w:tcBorders>
            <w:vAlign w:val="top"/>
          </w:tcPr>
          <w:p w14:paraId="1567B5FD">
            <w:pPr>
              <w:rPr>
                <w:rFonts w:ascii="Arial"/>
                <w:sz w:val="21"/>
              </w:rPr>
            </w:pPr>
          </w:p>
        </w:tc>
        <w:tc>
          <w:tcPr>
            <w:tcW w:w="1134" w:type="dxa"/>
            <w:vMerge w:val="continue"/>
            <w:tcBorders>
              <w:top w:val="nil"/>
            </w:tcBorders>
            <w:vAlign w:val="top"/>
          </w:tcPr>
          <w:p w14:paraId="0DF8893C">
            <w:pPr>
              <w:rPr>
                <w:rFonts w:ascii="Arial"/>
                <w:sz w:val="21"/>
              </w:rPr>
            </w:pPr>
          </w:p>
        </w:tc>
        <w:tc>
          <w:tcPr>
            <w:tcW w:w="1560" w:type="dxa"/>
            <w:vMerge w:val="continue"/>
            <w:tcBorders>
              <w:top w:val="nil"/>
            </w:tcBorders>
            <w:vAlign w:val="top"/>
          </w:tcPr>
          <w:p w14:paraId="6852937E">
            <w:pPr>
              <w:rPr>
                <w:rFonts w:ascii="Arial"/>
                <w:sz w:val="21"/>
              </w:rPr>
            </w:pPr>
          </w:p>
        </w:tc>
        <w:tc>
          <w:tcPr>
            <w:tcW w:w="1133" w:type="dxa"/>
            <w:vAlign w:val="top"/>
          </w:tcPr>
          <w:p w14:paraId="04143E87">
            <w:pPr>
              <w:pStyle w:val="6"/>
              <w:spacing w:before="53" w:line="249" w:lineRule="auto"/>
              <w:ind w:left="49" w:right="36" w:hanging="7"/>
              <w:rPr>
                <w:rFonts w:ascii="Times New Roman" w:hAnsi="Times New Roman" w:eastAsia="Times New Roman" w:cs="Times New Roman"/>
                <w:sz w:val="13"/>
                <w:szCs w:val="13"/>
              </w:rPr>
            </w:pPr>
            <w:r>
              <w:rPr>
                <w:b/>
                <w:bCs/>
                <w:spacing w:val="-3"/>
              </w:rPr>
              <w:t>评价区植被</w:t>
            </w:r>
            <w:r>
              <w:rPr>
                <w:b/>
                <w:bCs/>
                <w:spacing w:val="-2"/>
              </w:rPr>
              <w:t>型面积</w:t>
            </w:r>
            <w:r>
              <w:rPr>
                <w:rFonts w:ascii="Times New Roman" w:hAnsi="Times New Roman" w:eastAsia="Times New Roman" w:cs="Times New Roman"/>
                <w:b/>
                <w:bCs/>
                <w:spacing w:val="-2"/>
              </w:rPr>
              <w:t>/hm</w:t>
            </w:r>
            <w:r>
              <w:rPr>
                <w:rFonts w:ascii="Times New Roman" w:hAnsi="Times New Roman" w:eastAsia="Times New Roman" w:cs="Times New Roman"/>
                <w:b/>
                <w:bCs/>
                <w:spacing w:val="-2"/>
                <w:position w:val="6"/>
                <w:sz w:val="13"/>
                <w:szCs w:val="13"/>
              </w:rPr>
              <w:t>2</w:t>
            </w:r>
          </w:p>
        </w:tc>
        <w:tc>
          <w:tcPr>
            <w:tcW w:w="1134" w:type="dxa"/>
            <w:vAlign w:val="top"/>
          </w:tcPr>
          <w:p w14:paraId="1BD3419F">
            <w:pPr>
              <w:pStyle w:val="6"/>
              <w:spacing w:before="53" w:line="249" w:lineRule="auto"/>
              <w:ind w:left="164" w:right="37" w:hanging="86"/>
              <w:rPr>
                <w:rFonts w:ascii="Times New Roman" w:hAnsi="Times New Roman" w:eastAsia="Times New Roman" w:cs="Times New Roman"/>
              </w:rPr>
            </w:pPr>
            <w:r>
              <w:rPr>
                <w:b/>
                <w:bCs/>
                <w:spacing w:val="-10"/>
              </w:rPr>
              <w:t>占整个评价</w:t>
            </w:r>
            <w:r>
              <w:rPr>
                <w:b/>
                <w:bCs/>
                <w:spacing w:val="-7"/>
              </w:rPr>
              <w:t>区比例</w:t>
            </w:r>
            <w:r>
              <w:rPr>
                <w:rFonts w:ascii="Times New Roman" w:hAnsi="Times New Roman" w:eastAsia="Times New Roman" w:cs="Times New Roman"/>
                <w:b/>
                <w:bCs/>
                <w:spacing w:val="-7"/>
              </w:rPr>
              <w:t>%</w:t>
            </w:r>
          </w:p>
        </w:tc>
        <w:tc>
          <w:tcPr>
            <w:tcW w:w="850" w:type="dxa"/>
            <w:vAlign w:val="top"/>
          </w:tcPr>
          <w:p w14:paraId="1A734C12">
            <w:pPr>
              <w:pStyle w:val="6"/>
              <w:spacing w:before="53" w:line="249" w:lineRule="auto"/>
              <w:ind w:left="114" w:right="104" w:firstLine="34"/>
              <w:rPr>
                <w:rFonts w:ascii="Times New Roman" w:hAnsi="Times New Roman" w:eastAsia="Times New Roman" w:cs="Times New Roman"/>
                <w:sz w:val="13"/>
                <w:szCs w:val="13"/>
              </w:rPr>
            </w:pPr>
            <w:r>
              <w:rPr>
                <w:b/>
                <w:bCs/>
                <w:spacing w:val="-16"/>
              </w:rPr>
              <w:t>占用面</w:t>
            </w:r>
            <w:r>
              <w:rPr>
                <w:b/>
                <w:bCs/>
                <w:spacing w:val="-1"/>
              </w:rPr>
              <w:t>积</w:t>
            </w:r>
            <w:r>
              <w:rPr>
                <w:rFonts w:ascii="Times New Roman" w:hAnsi="Times New Roman" w:eastAsia="Times New Roman" w:cs="Times New Roman"/>
                <w:b/>
                <w:bCs/>
                <w:spacing w:val="-1"/>
              </w:rPr>
              <w:t>/hm</w:t>
            </w:r>
            <w:r>
              <w:rPr>
                <w:rFonts w:ascii="Times New Roman" w:hAnsi="Times New Roman" w:eastAsia="Times New Roman" w:cs="Times New Roman"/>
                <w:b/>
                <w:bCs/>
                <w:spacing w:val="-1"/>
                <w:position w:val="6"/>
                <w:sz w:val="13"/>
                <w:szCs w:val="13"/>
              </w:rPr>
              <w:t>2</w:t>
            </w:r>
          </w:p>
        </w:tc>
        <w:tc>
          <w:tcPr>
            <w:tcW w:w="991" w:type="dxa"/>
            <w:vAlign w:val="top"/>
          </w:tcPr>
          <w:p w14:paraId="62F522BA">
            <w:pPr>
              <w:pStyle w:val="6"/>
              <w:spacing w:before="53" w:line="249" w:lineRule="auto"/>
              <w:ind w:left="208" w:right="68" w:hanging="93"/>
              <w:rPr>
                <w:rFonts w:ascii="Times New Roman" w:hAnsi="Times New Roman" w:eastAsia="Times New Roman" w:cs="Times New Roman"/>
              </w:rPr>
            </w:pPr>
            <w:r>
              <w:rPr>
                <w:b/>
                <w:bCs/>
                <w:spacing w:val="-12"/>
              </w:rPr>
              <w:t>占地面积</w:t>
            </w:r>
            <w:r>
              <w:rPr>
                <w:b/>
                <w:bCs/>
                <w:spacing w:val="-11"/>
              </w:rPr>
              <w:t>比例</w:t>
            </w:r>
            <w:r>
              <w:rPr>
                <w:rFonts w:ascii="Times New Roman" w:hAnsi="Times New Roman" w:eastAsia="Times New Roman" w:cs="Times New Roman"/>
                <w:b/>
                <w:bCs/>
                <w:spacing w:val="-11"/>
              </w:rPr>
              <w:t>%</w:t>
            </w:r>
          </w:p>
        </w:tc>
        <w:tc>
          <w:tcPr>
            <w:tcW w:w="1540" w:type="dxa"/>
            <w:vMerge w:val="continue"/>
            <w:tcBorders>
              <w:top w:val="nil"/>
            </w:tcBorders>
            <w:vAlign w:val="top"/>
          </w:tcPr>
          <w:p w14:paraId="34CFB782">
            <w:pPr>
              <w:rPr>
                <w:rFonts w:ascii="Arial"/>
                <w:sz w:val="21"/>
              </w:rPr>
            </w:pPr>
          </w:p>
        </w:tc>
      </w:tr>
      <w:tr w14:paraId="7C9B8E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66" w:type="dxa"/>
            <w:vMerge w:val="restart"/>
            <w:tcBorders>
              <w:bottom w:val="nil"/>
            </w:tcBorders>
            <w:vAlign w:val="top"/>
          </w:tcPr>
          <w:p w14:paraId="20C512BD">
            <w:pPr>
              <w:spacing w:line="305" w:lineRule="auto"/>
              <w:rPr>
                <w:rFonts w:ascii="Arial"/>
                <w:sz w:val="21"/>
              </w:rPr>
            </w:pPr>
          </w:p>
          <w:p w14:paraId="5B4417F7">
            <w:pPr>
              <w:pStyle w:val="6"/>
              <w:spacing w:before="68" w:line="276" w:lineRule="auto"/>
              <w:ind w:left="78" w:right="69" w:firstLine="33"/>
            </w:pPr>
            <w:r>
              <w:rPr>
                <w:spacing w:val="-21"/>
              </w:rPr>
              <w:t>自然</w:t>
            </w:r>
            <w:r>
              <w:rPr>
                <w:spacing w:val="-4"/>
              </w:rPr>
              <w:t>植被</w:t>
            </w:r>
          </w:p>
        </w:tc>
        <w:tc>
          <w:tcPr>
            <w:tcW w:w="1134" w:type="dxa"/>
            <w:vAlign w:val="top"/>
          </w:tcPr>
          <w:p w14:paraId="0CC44416">
            <w:pPr>
              <w:pStyle w:val="6"/>
              <w:spacing w:before="53" w:line="222" w:lineRule="auto"/>
              <w:ind w:left="190"/>
            </w:pPr>
            <w:r>
              <w:rPr>
                <w:rFonts w:ascii="Times New Roman" w:hAnsi="Times New Roman" w:eastAsia="Times New Roman" w:cs="Times New Roman"/>
                <w:spacing w:val="-1"/>
              </w:rPr>
              <w:t>I.</w:t>
            </w:r>
            <w:r>
              <w:rPr>
                <w:spacing w:val="-1"/>
              </w:rPr>
              <w:t>针叶林</w:t>
            </w:r>
          </w:p>
        </w:tc>
        <w:tc>
          <w:tcPr>
            <w:tcW w:w="1560" w:type="dxa"/>
            <w:vAlign w:val="top"/>
          </w:tcPr>
          <w:p w14:paraId="126818C5">
            <w:pPr>
              <w:pStyle w:val="6"/>
              <w:spacing w:before="53" w:line="222" w:lineRule="auto"/>
              <w:ind w:left="91"/>
            </w:pPr>
            <w:r>
              <w:rPr>
                <w:rFonts w:ascii="Times New Roman" w:hAnsi="Times New Roman" w:eastAsia="Times New Roman" w:cs="Times New Roman"/>
                <w:spacing w:val="-3"/>
              </w:rPr>
              <w:t>1.</w:t>
            </w:r>
            <w:r>
              <w:rPr>
                <w:spacing w:val="-3"/>
              </w:rPr>
              <w:t>暖温性针叶林</w:t>
            </w:r>
          </w:p>
        </w:tc>
        <w:tc>
          <w:tcPr>
            <w:tcW w:w="1133" w:type="dxa"/>
            <w:vAlign w:val="top"/>
          </w:tcPr>
          <w:p w14:paraId="1D3FD05F">
            <w:pPr>
              <w:spacing w:before="88" w:line="216" w:lineRule="auto"/>
              <w:ind w:left="29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126.99</w:t>
            </w:r>
          </w:p>
        </w:tc>
        <w:tc>
          <w:tcPr>
            <w:tcW w:w="1134" w:type="dxa"/>
            <w:vAlign w:val="top"/>
          </w:tcPr>
          <w:p w14:paraId="013A10B9">
            <w:pPr>
              <w:spacing w:before="88" w:line="216" w:lineRule="auto"/>
              <w:ind w:left="389"/>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5.88</w:t>
            </w:r>
          </w:p>
        </w:tc>
        <w:tc>
          <w:tcPr>
            <w:tcW w:w="850" w:type="dxa"/>
            <w:vAlign w:val="top"/>
          </w:tcPr>
          <w:p w14:paraId="1E040E00">
            <w:pPr>
              <w:spacing w:before="88" w:line="216" w:lineRule="auto"/>
              <w:ind w:left="14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0.4106</w:t>
            </w:r>
          </w:p>
        </w:tc>
        <w:tc>
          <w:tcPr>
            <w:tcW w:w="991" w:type="dxa"/>
            <w:vAlign w:val="top"/>
          </w:tcPr>
          <w:p w14:paraId="65AAD973">
            <w:pPr>
              <w:spacing w:before="88" w:line="216" w:lineRule="auto"/>
              <w:ind w:left="262"/>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21.14</w:t>
            </w:r>
          </w:p>
        </w:tc>
        <w:tc>
          <w:tcPr>
            <w:tcW w:w="1540" w:type="dxa"/>
            <w:vAlign w:val="top"/>
          </w:tcPr>
          <w:p w14:paraId="169030F9">
            <w:pPr>
              <w:spacing w:before="88" w:line="216" w:lineRule="auto"/>
              <w:ind w:left="5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w:t>
            </w:r>
          </w:p>
        </w:tc>
      </w:tr>
      <w:tr w14:paraId="77E148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trPr>
        <w:tc>
          <w:tcPr>
            <w:tcW w:w="566" w:type="dxa"/>
            <w:vMerge w:val="continue"/>
            <w:tcBorders>
              <w:top w:val="nil"/>
              <w:bottom w:val="nil"/>
            </w:tcBorders>
            <w:vAlign w:val="top"/>
          </w:tcPr>
          <w:p w14:paraId="3AC9BED0">
            <w:pPr>
              <w:rPr>
                <w:rFonts w:ascii="Arial"/>
                <w:sz w:val="21"/>
              </w:rPr>
            </w:pPr>
          </w:p>
        </w:tc>
        <w:tc>
          <w:tcPr>
            <w:tcW w:w="1134" w:type="dxa"/>
            <w:vAlign w:val="top"/>
          </w:tcPr>
          <w:p w14:paraId="1946AED3">
            <w:pPr>
              <w:pStyle w:val="6"/>
              <w:spacing w:before="53" w:line="222" w:lineRule="auto"/>
              <w:ind w:left="259"/>
            </w:pPr>
            <w:r>
              <w:rPr>
                <w:rFonts w:ascii="Times New Roman" w:hAnsi="Times New Roman" w:eastAsia="Times New Roman" w:cs="Times New Roman"/>
              </w:rPr>
              <w:t>II.</w:t>
            </w:r>
            <w:r>
              <w:t>灌丛</w:t>
            </w:r>
          </w:p>
        </w:tc>
        <w:tc>
          <w:tcPr>
            <w:tcW w:w="1560" w:type="dxa"/>
            <w:vAlign w:val="top"/>
          </w:tcPr>
          <w:p w14:paraId="611D523F">
            <w:pPr>
              <w:pStyle w:val="6"/>
              <w:spacing w:before="53" w:line="222" w:lineRule="auto"/>
              <w:ind w:left="282"/>
            </w:pPr>
            <w:r>
              <w:rPr>
                <w:rFonts w:ascii="Times New Roman" w:hAnsi="Times New Roman" w:eastAsia="Times New Roman" w:cs="Times New Roman"/>
                <w:spacing w:val="-1"/>
              </w:rPr>
              <w:t>2.</w:t>
            </w:r>
            <w:r>
              <w:rPr>
                <w:spacing w:val="-1"/>
              </w:rPr>
              <w:t>干热灌丛</w:t>
            </w:r>
          </w:p>
        </w:tc>
        <w:tc>
          <w:tcPr>
            <w:tcW w:w="1133" w:type="dxa"/>
            <w:vAlign w:val="top"/>
          </w:tcPr>
          <w:p w14:paraId="3E672950">
            <w:pPr>
              <w:spacing w:before="88" w:line="216" w:lineRule="auto"/>
              <w:ind w:left="27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444.87</w:t>
            </w:r>
          </w:p>
        </w:tc>
        <w:tc>
          <w:tcPr>
            <w:tcW w:w="1134" w:type="dxa"/>
            <w:vAlign w:val="top"/>
          </w:tcPr>
          <w:p w14:paraId="45BE9C5D">
            <w:pPr>
              <w:spacing w:before="88" w:line="216" w:lineRule="auto"/>
              <w:ind w:left="33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20.60</w:t>
            </w:r>
          </w:p>
        </w:tc>
        <w:tc>
          <w:tcPr>
            <w:tcW w:w="850" w:type="dxa"/>
            <w:vAlign w:val="top"/>
          </w:tcPr>
          <w:p w14:paraId="27C5CF0C">
            <w:pPr>
              <w:spacing w:before="88" w:line="216" w:lineRule="auto"/>
              <w:ind w:left="14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0.0030</w:t>
            </w:r>
          </w:p>
        </w:tc>
        <w:tc>
          <w:tcPr>
            <w:tcW w:w="991" w:type="dxa"/>
            <w:vAlign w:val="top"/>
          </w:tcPr>
          <w:p w14:paraId="6F789D73">
            <w:pPr>
              <w:spacing w:before="88" w:line="216" w:lineRule="auto"/>
              <w:ind w:left="31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0.15</w:t>
            </w:r>
          </w:p>
        </w:tc>
        <w:tc>
          <w:tcPr>
            <w:tcW w:w="1540" w:type="dxa"/>
            <w:vAlign w:val="top"/>
          </w:tcPr>
          <w:p w14:paraId="533921A3">
            <w:pPr>
              <w:spacing w:before="88" w:line="216" w:lineRule="auto"/>
              <w:ind w:left="721"/>
              <w:rPr>
                <w:rFonts w:ascii="Times New Roman" w:hAnsi="Times New Roman" w:eastAsia="Times New Roman" w:cs="Times New Roman"/>
                <w:sz w:val="21"/>
                <w:szCs w:val="21"/>
              </w:rPr>
            </w:pPr>
            <w:r>
              <w:rPr>
                <w:rFonts w:ascii="Times New Roman" w:hAnsi="Times New Roman" w:eastAsia="Times New Roman" w:cs="Times New Roman"/>
                <w:sz w:val="21"/>
                <w:szCs w:val="21"/>
              </w:rPr>
              <w:t>0</w:t>
            </w:r>
          </w:p>
        </w:tc>
      </w:tr>
      <w:tr w14:paraId="7A04A4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566" w:type="dxa"/>
            <w:vMerge w:val="continue"/>
            <w:tcBorders>
              <w:top w:val="nil"/>
            </w:tcBorders>
            <w:vAlign w:val="top"/>
          </w:tcPr>
          <w:p w14:paraId="73079F8A">
            <w:pPr>
              <w:rPr>
                <w:rFonts w:ascii="Arial"/>
                <w:sz w:val="21"/>
              </w:rPr>
            </w:pPr>
          </w:p>
        </w:tc>
        <w:tc>
          <w:tcPr>
            <w:tcW w:w="1134" w:type="dxa"/>
            <w:vAlign w:val="top"/>
          </w:tcPr>
          <w:p w14:paraId="6AEB1875">
            <w:pPr>
              <w:pStyle w:val="6"/>
              <w:spacing w:before="53" w:line="248" w:lineRule="auto"/>
              <w:ind w:left="465" w:right="15" w:hanging="450"/>
            </w:pPr>
            <w:r>
              <w:rPr>
                <w:rFonts w:ascii="Times New Roman" w:hAnsi="Times New Roman" w:eastAsia="Times New Roman" w:cs="Times New Roman"/>
                <w:spacing w:val="-1"/>
              </w:rPr>
              <w:t>III.</w:t>
            </w:r>
            <w:r>
              <w:rPr>
                <w:spacing w:val="-1"/>
              </w:rPr>
              <w:t>稀树灌草</w:t>
            </w:r>
            <w:r>
              <w:t>丛</w:t>
            </w:r>
          </w:p>
        </w:tc>
        <w:tc>
          <w:tcPr>
            <w:tcW w:w="1560" w:type="dxa"/>
            <w:vAlign w:val="top"/>
          </w:tcPr>
          <w:p w14:paraId="50F1351D">
            <w:pPr>
              <w:pStyle w:val="6"/>
              <w:spacing w:before="53" w:line="248" w:lineRule="auto"/>
              <w:ind w:left="575" w:right="67" w:hanging="500"/>
            </w:pPr>
            <w:r>
              <w:rPr>
                <w:rFonts w:ascii="Times New Roman" w:hAnsi="Times New Roman" w:eastAsia="Times New Roman" w:cs="Times New Roman"/>
                <w:spacing w:val="-1"/>
              </w:rPr>
              <w:t>3.</w:t>
            </w:r>
            <w:r>
              <w:rPr>
                <w:spacing w:val="-1"/>
              </w:rPr>
              <w:t>暖温性稀树灌</w:t>
            </w:r>
            <w:r>
              <w:rPr>
                <w:spacing w:val="-2"/>
              </w:rPr>
              <w:t>草丛</w:t>
            </w:r>
          </w:p>
        </w:tc>
        <w:tc>
          <w:tcPr>
            <w:tcW w:w="1133" w:type="dxa"/>
            <w:vAlign w:val="top"/>
          </w:tcPr>
          <w:p w14:paraId="03BFF571">
            <w:pPr>
              <w:spacing w:before="245" w:line="233" w:lineRule="auto"/>
              <w:ind w:left="247"/>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1278.81</w:t>
            </w:r>
          </w:p>
        </w:tc>
        <w:tc>
          <w:tcPr>
            <w:tcW w:w="1134" w:type="dxa"/>
            <w:vAlign w:val="top"/>
          </w:tcPr>
          <w:p w14:paraId="14DB8227">
            <w:pPr>
              <w:spacing w:before="245" w:line="233" w:lineRule="auto"/>
              <w:ind w:left="336"/>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59.21</w:t>
            </w:r>
          </w:p>
        </w:tc>
        <w:tc>
          <w:tcPr>
            <w:tcW w:w="850" w:type="dxa"/>
            <w:vAlign w:val="top"/>
          </w:tcPr>
          <w:p w14:paraId="7D7D81C4">
            <w:pPr>
              <w:spacing w:before="245" w:line="233" w:lineRule="auto"/>
              <w:ind w:left="1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1.4250</w:t>
            </w:r>
          </w:p>
        </w:tc>
        <w:tc>
          <w:tcPr>
            <w:tcW w:w="991" w:type="dxa"/>
            <w:vAlign w:val="top"/>
          </w:tcPr>
          <w:p w14:paraId="06907653">
            <w:pPr>
              <w:spacing w:before="245" w:line="233" w:lineRule="auto"/>
              <w:ind w:left="265"/>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73.36</w:t>
            </w:r>
          </w:p>
        </w:tc>
        <w:tc>
          <w:tcPr>
            <w:tcW w:w="1540" w:type="dxa"/>
            <w:vAlign w:val="top"/>
          </w:tcPr>
          <w:p w14:paraId="460269AE">
            <w:pPr>
              <w:spacing w:before="245" w:line="233" w:lineRule="auto"/>
              <w:ind w:left="594"/>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0.11</w:t>
            </w:r>
          </w:p>
        </w:tc>
      </w:tr>
      <w:tr w14:paraId="334380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7" w:hRule="atLeast"/>
        </w:trPr>
        <w:tc>
          <w:tcPr>
            <w:tcW w:w="566" w:type="dxa"/>
            <w:vAlign w:val="top"/>
          </w:tcPr>
          <w:p w14:paraId="1CA31EAE">
            <w:pPr>
              <w:pStyle w:val="6"/>
              <w:spacing w:before="60" w:line="223" w:lineRule="auto"/>
              <w:ind w:left="79"/>
            </w:pPr>
            <w:r>
              <w:rPr>
                <w:spacing w:val="-2"/>
              </w:rPr>
              <w:t>人工</w:t>
            </w:r>
          </w:p>
          <w:p w14:paraId="63D74218">
            <w:pPr>
              <w:pStyle w:val="6"/>
              <w:spacing w:before="57" w:line="221" w:lineRule="auto"/>
              <w:ind w:left="78"/>
            </w:pPr>
            <w:r>
              <w:rPr>
                <w:spacing w:val="-2"/>
              </w:rPr>
              <w:t>植被</w:t>
            </w:r>
          </w:p>
        </w:tc>
        <w:tc>
          <w:tcPr>
            <w:tcW w:w="2694" w:type="dxa"/>
            <w:gridSpan w:val="2"/>
            <w:vAlign w:val="top"/>
          </w:tcPr>
          <w:p w14:paraId="0FD5B6ED">
            <w:pPr>
              <w:pStyle w:val="6"/>
              <w:spacing w:before="215" w:line="223" w:lineRule="auto"/>
              <w:ind w:left="1017"/>
            </w:pPr>
            <w:r>
              <w:rPr>
                <w:spacing w:val="-3"/>
              </w:rPr>
              <w:t>Ⅳ</w:t>
            </w:r>
            <w:r>
              <w:rPr>
                <w:rFonts w:ascii="Times New Roman" w:hAnsi="Times New Roman" w:eastAsia="Times New Roman" w:cs="Times New Roman"/>
                <w:spacing w:val="-3"/>
              </w:rPr>
              <w:t>.</w:t>
            </w:r>
            <w:r>
              <w:rPr>
                <w:spacing w:val="-3"/>
              </w:rPr>
              <w:t>农田</w:t>
            </w:r>
          </w:p>
        </w:tc>
        <w:tc>
          <w:tcPr>
            <w:tcW w:w="1133" w:type="dxa"/>
            <w:vAlign w:val="top"/>
          </w:tcPr>
          <w:p w14:paraId="6F43419F">
            <w:pPr>
              <w:spacing w:before="250" w:line="233" w:lineRule="auto"/>
              <w:ind w:left="28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309.06</w:t>
            </w:r>
          </w:p>
        </w:tc>
        <w:tc>
          <w:tcPr>
            <w:tcW w:w="1134" w:type="dxa"/>
            <w:vAlign w:val="top"/>
          </w:tcPr>
          <w:p w14:paraId="42B76210">
            <w:pPr>
              <w:spacing w:before="250" w:line="233" w:lineRule="auto"/>
              <w:ind w:left="350"/>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14.31</w:t>
            </w:r>
          </w:p>
        </w:tc>
        <w:tc>
          <w:tcPr>
            <w:tcW w:w="850" w:type="dxa"/>
            <w:vAlign w:val="top"/>
          </w:tcPr>
          <w:p w14:paraId="2093EAA9">
            <w:pPr>
              <w:spacing w:before="250" w:line="233" w:lineRule="auto"/>
              <w:ind w:left="14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0.1040</w:t>
            </w:r>
          </w:p>
        </w:tc>
        <w:tc>
          <w:tcPr>
            <w:tcW w:w="991" w:type="dxa"/>
            <w:vAlign w:val="top"/>
          </w:tcPr>
          <w:p w14:paraId="59ECED3C">
            <w:pPr>
              <w:spacing w:before="250" w:line="233" w:lineRule="auto"/>
              <w:ind w:left="320"/>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5.35</w:t>
            </w:r>
          </w:p>
        </w:tc>
        <w:tc>
          <w:tcPr>
            <w:tcW w:w="1540" w:type="dxa"/>
            <w:vAlign w:val="top"/>
          </w:tcPr>
          <w:p w14:paraId="55BBBCCF">
            <w:pPr>
              <w:spacing w:before="250" w:line="233" w:lineRule="auto"/>
              <w:ind w:left="589"/>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0.03</w:t>
            </w:r>
          </w:p>
        </w:tc>
      </w:tr>
      <w:tr w14:paraId="3C82D9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3" w:hRule="atLeast"/>
        </w:trPr>
        <w:tc>
          <w:tcPr>
            <w:tcW w:w="3260" w:type="dxa"/>
            <w:gridSpan w:val="3"/>
            <w:vAlign w:val="top"/>
          </w:tcPr>
          <w:p w14:paraId="3D12AB79">
            <w:pPr>
              <w:pStyle w:val="6"/>
              <w:spacing w:before="58" w:line="222" w:lineRule="auto"/>
              <w:ind w:left="1427"/>
            </w:pPr>
            <w:r>
              <w:rPr>
                <w:spacing w:val="-2"/>
              </w:rPr>
              <w:t>合计</w:t>
            </w:r>
          </w:p>
        </w:tc>
        <w:tc>
          <w:tcPr>
            <w:tcW w:w="1133" w:type="dxa"/>
            <w:vAlign w:val="top"/>
          </w:tcPr>
          <w:p w14:paraId="27EB3B11">
            <w:pPr>
              <w:spacing w:before="93" w:line="218" w:lineRule="auto"/>
              <w:ind w:left="22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2159.73</w:t>
            </w:r>
          </w:p>
        </w:tc>
        <w:tc>
          <w:tcPr>
            <w:tcW w:w="1134" w:type="dxa"/>
            <w:vAlign w:val="top"/>
          </w:tcPr>
          <w:p w14:paraId="1D83D63E">
            <w:pPr>
              <w:spacing w:before="93" w:line="218" w:lineRule="auto"/>
              <w:ind w:left="430"/>
              <w:rPr>
                <w:rFonts w:ascii="Times New Roman" w:hAnsi="Times New Roman" w:eastAsia="Times New Roman" w:cs="Times New Roman"/>
                <w:sz w:val="21"/>
                <w:szCs w:val="21"/>
              </w:rPr>
            </w:pPr>
            <w:r>
              <w:rPr>
                <w:rFonts w:ascii="Times New Roman" w:hAnsi="Times New Roman" w:eastAsia="Times New Roman" w:cs="Times New Roman"/>
                <w:spacing w:val="-6"/>
                <w:sz w:val="21"/>
                <w:szCs w:val="21"/>
              </w:rPr>
              <w:t>100</w:t>
            </w:r>
          </w:p>
        </w:tc>
        <w:tc>
          <w:tcPr>
            <w:tcW w:w="850" w:type="dxa"/>
            <w:vAlign w:val="top"/>
          </w:tcPr>
          <w:p w14:paraId="33CCE4E4">
            <w:pPr>
              <w:spacing w:before="93" w:line="218" w:lineRule="auto"/>
              <w:ind w:left="157"/>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1.9426</w:t>
            </w:r>
          </w:p>
        </w:tc>
        <w:tc>
          <w:tcPr>
            <w:tcW w:w="991" w:type="dxa"/>
            <w:vAlign w:val="top"/>
          </w:tcPr>
          <w:p w14:paraId="1C9AB4EE">
            <w:pPr>
              <w:spacing w:before="93" w:line="218" w:lineRule="auto"/>
              <w:ind w:left="464"/>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540" w:type="dxa"/>
            <w:vAlign w:val="top"/>
          </w:tcPr>
          <w:p w14:paraId="50C47553">
            <w:pPr>
              <w:spacing w:before="93" w:line="218" w:lineRule="auto"/>
              <w:ind w:left="738"/>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r>
    </w:tbl>
    <w:p w14:paraId="08E862A6">
      <w:pPr>
        <w:spacing w:before="116" w:line="217" w:lineRule="auto"/>
        <w:ind w:left="484"/>
        <w:rPr>
          <w:rFonts w:ascii="宋体" w:hAnsi="宋体" w:eastAsia="宋体" w:cs="宋体"/>
          <w:sz w:val="24"/>
          <w:szCs w:val="24"/>
        </w:rPr>
      </w:pPr>
      <w:r>
        <w:rPr>
          <w:rFonts w:ascii="宋体" w:hAnsi="宋体" w:eastAsia="宋体" w:cs="宋体"/>
          <w:spacing w:val="-1"/>
          <w:sz w:val="24"/>
          <w:szCs w:val="24"/>
        </w:rPr>
        <w:t>①永久占地的影响</w:t>
      </w:r>
    </w:p>
    <w:p w14:paraId="4F8D0534">
      <w:pPr>
        <w:spacing w:before="186" w:line="360" w:lineRule="auto"/>
        <w:ind w:left="4" w:firstLine="481"/>
        <w:rPr>
          <w:rFonts w:ascii="宋体" w:hAnsi="宋体" w:eastAsia="宋体" w:cs="宋体"/>
          <w:sz w:val="24"/>
          <w:szCs w:val="24"/>
        </w:rPr>
      </w:pPr>
      <w:r>
        <w:rPr>
          <w:rFonts w:ascii="宋体" w:hAnsi="宋体" w:eastAsia="宋体" w:cs="宋体"/>
          <w:spacing w:val="-5"/>
          <w:sz w:val="24"/>
          <w:szCs w:val="24"/>
        </w:rPr>
        <w:t>本项目永久占地主要是塔基占地。线路塔基占地分散， 且实际占地仅限于其</w:t>
      </w:r>
      <w:r>
        <w:rPr>
          <w:rFonts w:ascii="宋体" w:hAnsi="宋体" w:eastAsia="宋体" w:cs="宋体"/>
          <w:spacing w:val="-48"/>
          <w:sz w:val="24"/>
          <w:szCs w:val="24"/>
        </w:rPr>
        <w:t xml:space="preserve"> </w:t>
      </w:r>
      <w:r>
        <w:rPr>
          <w:rFonts w:ascii="Times New Roman" w:hAnsi="Times New Roman" w:eastAsia="Times New Roman" w:cs="Times New Roman"/>
          <w:spacing w:val="-5"/>
          <w:sz w:val="24"/>
          <w:szCs w:val="24"/>
        </w:rPr>
        <w:t xml:space="preserve">4 </w:t>
      </w:r>
      <w:r>
        <w:rPr>
          <w:rFonts w:ascii="宋体" w:hAnsi="宋体" w:eastAsia="宋体" w:cs="宋体"/>
          <w:spacing w:val="-5"/>
          <w:sz w:val="24"/>
          <w:szCs w:val="24"/>
        </w:rPr>
        <w:t>个支</w:t>
      </w:r>
      <w:r>
        <w:rPr>
          <w:rFonts w:ascii="宋体" w:hAnsi="宋体" w:eastAsia="宋体" w:cs="宋体"/>
          <w:sz w:val="24"/>
          <w:szCs w:val="24"/>
        </w:rPr>
        <w:t>撑脚，只砍伐少量的塔基范围内植被，砍伐量相对较少，故施工期损害植株数量较少，</w:t>
      </w:r>
      <w:r>
        <w:rPr>
          <w:rFonts w:ascii="宋体" w:hAnsi="宋体" w:eastAsia="宋体" w:cs="宋体"/>
          <w:spacing w:val="-2"/>
          <w:sz w:val="24"/>
          <w:szCs w:val="24"/>
        </w:rPr>
        <w:t>且这些植物均为评价区常见种类，因而不会导致评价区内林木群落发生地带性植被的改变，也不会对评价区生态环境造成系统性的破坏；施工结束后塔基中间部分可进行植被</w:t>
      </w:r>
      <w:r>
        <w:rPr>
          <w:rFonts w:ascii="宋体" w:hAnsi="宋体" w:eastAsia="宋体" w:cs="宋体"/>
          <w:spacing w:val="-10"/>
          <w:sz w:val="24"/>
          <w:szCs w:val="24"/>
        </w:rPr>
        <w:t>恢复。</w:t>
      </w:r>
    </w:p>
    <w:p w14:paraId="20BE32B0">
      <w:pPr>
        <w:spacing w:line="217" w:lineRule="auto"/>
        <w:ind w:left="483"/>
        <w:rPr>
          <w:rFonts w:ascii="宋体" w:hAnsi="宋体" w:eastAsia="宋体" w:cs="宋体"/>
          <w:sz w:val="24"/>
          <w:szCs w:val="24"/>
        </w:rPr>
      </w:pPr>
      <w:r>
        <w:rPr>
          <w:rFonts w:ascii="宋体" w:hAnsi="宋体" w:eastAsia="宋体" w:cs="宋体"/>
          <w:spacing w:val="-1"/>
          <w:sz w:val="24"/>
          <w:szCs w:val="24"/>
        </w:rPr>
        <w:t>②临时占地的影响</w:t>
      </w:r>
    </w:p>
    <w:p w14:paraId="62BE8ACB">
      <w:pPr>
        <w:spacing w:before="184" w:line="360" w:lineRule="auto"/>
        <w:ind w:left="7" w:right="60" w:firstLine="491"/>
        <w:rPr>
          <w:rFonts w:ascii="宋体" w:hAnsi="宋体" w:eastAsia="宋体" w:cs="宋体"/>
          <w:sz w:val="24"/>
          <w:szCs w:val="24"/>
        </w:rPr>
      </w:pPr>
      <w:r>
        <w:rPr>
          <w:rFonts w:ascii="宋体" w:hAnsi="宋体" w:eastAsia="宋体" w:cs="宋体"/>
          <w:spacing w:val="-5"/>
          <w:sz w:val="24"/>
          <w:szCs w:val="24"/>
        </w:rPr>
        <w:t>临时占地对植被的破坏主要为建筑材料堆放、施工便道等对植被的压</w:t>
      </w:r>
      <w:r>
        <w:rPr>
          <w:rFonts w:ascii="宋体" w:hAnsi="宋体" w:eastAsia="宋体" w:cs="宋体"/>
          <w:spacing w:val="-6"/>
          <w:sz w:val="24"/>
          <w:szCs w:val="24"/>
        </w:rPr>
        <w:t>占， 牵张场对</w:t>
      </w:r>
      <w:r>
        <w:rPr>
          <w:rFonts w:ascii="宋体" w:hAnsi="宋体" w:eastAsia="宋体" w:cs="宋体"/>
          <w:spacing w:val="-5"/>
          <w:sz w:val="24"/>
          <w:szCs w:val="24"/>
        </w:rPr>
        <w:t>灌草地和耕地的占用以及施工人员对植被的践踏。输电线路杆塔为点状作业， 单塔施工</w:t>
      </w:r>
      <w:r>
        <w:rPr>
          <w:rFonts w:ascii="宋体" w:hAnsi="宋体" w:eastAsia="宋体" w:cs="宋体"/>
          <w:spacing w:val="-2"/>
          <w:sz w:val="24"/>
          <w:szCs w:val="24"/>
        </w:rPr>
        <w:t>时间短，建筑材料尽量堆放在塔基征地范围内，施工便道尽量利用已有道路或原有路基</w:t>
      </w:r>
      <w:r>
        <w:rPr>
          <w:rFonts w:ascii="宋体" w:hAnsi="宋体" w:eastAsia="宋体" w:cs="宋体"/>
          <w:spacing w:val="-5"/>
          <w:sz w:val="24"/>
          <w:szCs w:val="24"/>
        </w:rPr>
        <w:t>上拓宽，牵张场地每</w:t>
      </w:r>
      <w:r>
        <w:rPr>
          <w:rFonts w:ascii="宋体" w:hAnsi="宋体" w:eastAsia="宋体" w:cs="宋体"/>
          <w:spacing w:val="-47"/>
          <w:sz w:val="24"/>
          <w:szCs w:val="24"/>
        </w:rPr>
        <w:t xml:space="preserve"> </w:t>
      </w:r>
      <w:r>
        <w:rPr>
          <w:rFonts w:ascii="Times New Roman" w:hAnsi="Times New Roman" w:eastAsia="Times New Roman" w:cs="Times New Roman"/>
          <w:spacing w:val="-5"/>
          <w:sz w:val="24"/>
          <w:szCs w:val="24"/>
        </w:rPr>
        <w:t>5~7km</w:t>
      </w:r>
      <w:r>
        <w:rPr>
          <w:rFonts w:ascii="Times New Roman" w:hAnsi="Times New Roman" w:eastAsia="Times New Roman" w:cs="Times New Roman"/>
          <w:spacing w:val="13"/>
          <w:sz w:val="24"/>
          <w:szCs w:val="24"/>
        </w:rPr>
        <w:t xml:space="preserve"> </w:t>
      </w:r>
      <w:r>
        <w:rPr>
          <w:rFonts w:ascii="宋体" w:hAnsi="宋体" w:eastAsia="宋体" w:cs="宋体"/>
          <w:spacing w:val="-5"/>
          <w:sz w:val="24"/>
          <w:szCs w:val="24"/>
        </w:rPr>
        <w:t>设置</w:t>
      </w:r>
      <w:r>
        <w:rPr>
          <w:rFonts w:ascii="宋体" w:hAnsi="宋体" w:eastAsia="宋体" w:cs="宋体"/>
          <w:spacing w:val="-32"/>
          <w:sz w:val="24"/>
          <w:szCs w:val="24"/>
        </w:rPr>
        <w:t xml:space="preserve"> </w:t>
      </w:r>
      <w:r>
        <w:rPr>
          <w:rFonts w:ascii="Times New Roman" w:hAnsi="Times New Roman" w:eastAsia="Times New Roman" w:cs="Times New Roman"/>
          <w:spacing w:val="-5"/>
          <w:sz w:val="24"/>
          <w:szCs w:val="24"/>
        </w:rPr>
        <w:t>1</w:t>
      </w:r>
      <w:r>
        <w:rPr>
          <w:rFonts w:ascii="Times New Roman" w:hAnsi="Times New Roman" w:eastAsia="Times New Roman" w:cs="Times New Roman"/>
          <w:spacing w:val="14"/>
          <w:sz w:val="24"/>
          <w:szCs w:val="24"/>
        </w:rPr>
        <w:t xml:space="preserve"> </w:t>
      </w:r>
      <w:r>
        <w:rPr>
          <w:rFonts w:ascii="宋体" w:hAnsi="宋体" w:eastAsia="宋体" w:cs="宋体"/>
          <w:spacing w:val="-5"/>
          <w:sz w:val="24"/>
          <w:szCs w:val="24"/>
        </w:rPr>
        <w:t>处，故临时占地对植被的破坏是短暂的，</w:t>
      </w:r>
      <w:r>
        <w:rPr>
          <w:rFonts w:ascii="宋体" w:hAnsi="宋体" w:eastAsia="宋体" w:cs="宋体"/>
          <w:spacing w:val="-6"/>
          <w:sz w:val="24"/>
          <w:szCs w:val="24"/>
        </w:rPr>
        <w:t>并随施工期</w:t>
      </w:r>
      <w:r>
        <w:rPr>
          <w:rFonts w:ascii="宋体" w:hAnsi="宋体" w:eastAsia="宋体" w:cs="宋体"/>
          <w:spacing w:val="-5"/>
          <w:sz w:val="24"/>
          <w:szCs w:val="24"/>
        </w:rPr>
        <w:t>的结束而逐步恢复。</w:t>
      </w:r>
    </w:p>
    <w:p w14:paraId="3651D74A">
      <w:pPr>
        <w:spacing w:before="2" w:line="360" w:lineRule="auto"/>
        <w:ind w:left="6" w:right="61" w:firstLine="480"/>
        <w:rPr>
          <w:rFonts w:ascii="宋体" w:hAnsi="宋体" w:eastAsia="宋体" w:cs="宋体"/>
          <w:sz w:val="24"/>
          <w:szCs w:val="24"/>
        </w:rPr>
      </w:pPr>
      <w:r>
        <w:rPr>
          <w:rFonts w:ascii="宋体" w:hAnsi="宋体" w:eastAsia="宋体" w:cs="宋体"/>
          <w:spacing w:val="-2"/>
          <w:sz w:val="24"/>
          <w:szCs w:val="24"/>
        </w:rPr>
        <w:t>本工程占用最多的植被型为暖温性针叶林和暖温性稀树灌木草丛，占用的植被在评</w:t>
      </w:r>
      <w:r>
        <w:rPr>
          <w:rFonts w:ascii="宋体" w:hAnsi="宋体" w:eastAsia="宋体" w:cs="宋体"/>
          <w:spacing w:val="-1"/>
          <w:sz w:val="24"/>
          <w:szCs w:val="24"/>
        </w:rPr>
        <w:t>价区分布广泛，因此，本工程建设后，不会对评价区的植</w:t>
      </w:r>
      <w:r>
        <w:rPr>
          <w:rFonts w:ascii="宋体" w:hAnsi="宋体" w:eastAsia="宋体" w:cs="宋体"/>
          <w:spacing w:val="-2"/>
          <w:sz w:val="24"/>
          <w:szCs w:val="24"/>
        </w:rPr>
        <w:t>被结构造成显著影响。</w:t>
      </w:r>
    </w:p>
    <w:p w14:paraId="20DD588E">
      <w:pPr>
        <w:spacing w:before="1" w:line="233" w:lineRule="auto"/>
        <w:ind w:left="494"/>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2</w:t>
      </w:r>
      <w:r>
        <w:rPr>
          <w:rFonts w:ascii="宋体" w:hAnsi="宋体" w:eastAsia="宋体" w:cs="宋体"/>
          <w:b/>
          <w:bCs/>
          <w:spacing w:val="-4"/>
          <w:sz w:val="24"/>
          <w:szCs w:val="24"/>
        </w:rPr>
        <w:t>）对植物资源的影响分析</w:t>
      </w:r>
    </w:p>
    <w:p w14:paraId="772F9D30">
      <w:pPr>
        <w:spacing w:line="233" w:lineRule="auto"/>
        <w:rPr>
          <w:rFonts w:ascii="宋体" w:hAnsi="宋体" w:eastAsia="宋体" w:cs="宋体"/>
          <w:sz w:val="24"/>
          <w:szCs w:val="24"/>
        </w:rPr>
        <w:sectPr>
          <w:footerReference r:id="rId185" w:type="default"/>
          <w:pgSz w:w="11907" w:h="16841"/>
          <w:pgMar w:top="400" w:right="1354" w:bottom="1126" w:left="1422" w:header="0" w:footer="925" w:gutter="0"/>
          <w:cols w:space="720" w:num="1"/>
        </w:sectPr>
      </w:pPr>
    </w:p>
    <w:p w14:paraId="53CB8AB8">
      <w:pPr>
        <w:spacing w:line="249" w:lineRule="auto"/>
        <w:rPr>
          <w:rFonts w:ascii="Arial"/>
          <w:sz w:val="21"/>
        </w:rPr>
      </w:pPr>
    </w:p>
    <w:p w14:paraId="3CACCB83">
      <w:pPr>
        <w:spacing w:line="249" w:lineRule="auto"/>
        <w:rPr>
          <w:rFonts w:ascii="Arial"/>
          <w:sz w:val="21"/>
        </w:rPr>
      </w:pPr>
    </w:p>
    <w:p w14:paraId="7D9D3E54">
      <w:pPr>
        <w:spacing w:line="249" w:lineRule="auto"/>
        <w:rPr>
          <w:rFonts w:ascii="Arial"/>
          <w:sz w:val="21"/>
        </w:rPr>
      </w:pPr>
    </w:p>
    <w:p w14:paraId="6E30DA20">
      <w:pPr>
        <w:spacing w:line="249" w:lineRule="auto"/>
        <w:rPr>
          <w:rFonts w:ascii="Arial"/>
          <w:sz w:val="21"/>
        </w:rPr>
      </w:pPr>
    </w:p>
    <w:p w14:paraId="7DED7C05">
      <w:pPr>
        <w:spacing w:line="249" w:lineRule="auto"/>
        <w:rPr>
          <w:rFonts w:ascii="Arial"/>
          <w:sz w:val="21"/>
        </w:rPr>
      </w:pPr>
    </w:p>
    <w:p w14:paraId="5C50B5E9">
      <w:pPr>
        <w:spacing w:before="78" w:line="360" w:lineRule="auto"/>
        <w:ind w:left="10" w:right="209" w:firstLine="478"/>
        <w:jc w:val="both"/>
        <w:rPr>
          <w:rFonts w:ascii="宋体" w:hAnsi="宋体" w:eastAsia="宋体" w:cs="宋体"/>
          <w:sz w:val="24"/>
          <w:szCs w:val="24"/>
        </w:rPr>
      </w:pPr>
      <w:r>
        <w:rPr>
          <w:rFonts w:ascii="宋体" w:hAnsi="宋体" w:eastAsia="宋体" w:cs="宋体"/>
          <w:spacing w:val="-2"/>
          <w:sz w:val="24"/>
          <w:szCs w:val="24"/>
        </w:rPr>
        <w:t>输电线路施工过程中如铁塔基础开挖、建筑材料堆放、铁塔组立、架线、施工人员</w:t>
      </w:r>
      <w:r>
        <w:rPr>
          <w:rFonts w:ascii="宋体" w:hAnsi="宋体" w:eastAsia="宋体" w:cs="宋体"/>
          <w:spacing w:val="-6"/>
          <w:sz w:val="24"/>
          <w:szCs w:val="24"/>
        </w:rPr>
        <w:t>践踏等将对评价区内的植物资源产生影响。本工程不涉及重点保护植物及古树名木，</w:t>
      </w:r>
      <w:r>
        <w:rPr>
          <w:rFonts w:ascii="宋体" w:hAnsi="宋体" w:eastAsia="宋体" w:cs="宋体"/>
          <w:spacing w:val="48"/>
          <w:sz w:val="24"/>
          <w:szCs w:val="24"/>
        </w:rPr>
        <w:t xml:space="preserve"> </w:t>
      </w:r>
      <w:r>
        <w:rPr>
          <w:rFonts w:ascii="宋体" w:hAnsi="宋体" w:eastAsia="宋体" w:cs="宋体"/>
          <w:spacing w:val="-6"/>
          <w:sz w:val="24"/>
          <w:szCs w:val="24"/>
        </w:rPr>
        <w:t>占用的植被均为区域植被中常见的种类和优势种，它们在评价区分布广、资源丰富，</w:t>
      </w:r>
      <w:r>
        <w:rPr>
          <w:rFonts w:ascii="宋体" w:hAnsi="宋体" w:eastAsia="宋体" w:cs="宋体"/>
          <w:spacing w:val="46"/>
          <w:sz w:val="24"/>
          <w:szCs w:val="24"/>
        </w:rPr>
        <w:t xml:space="preserve"> </w:t>
      </w:r>
      <w:r>
        <w:rPr>
          <w:rFonts w:ascii="宋体" w:hAnsi="宋体" w:eastAsia="宋体" w:cs="宋体"/>
          <w:spacing w:val="-6"/>
          <w:sz w:val="24"/>
          <w:szCs w:val="24"/>
        </w:rPr>
        <w:t>且本</w:t>
      </w:r>
      <w:r>
        <w:rPr>
          <w:rFonts w:ascii="宋体" w:hAnsi="宋体" w:eastAsia="宋体" w:cs="宋体"/>
          <w:spacing w:val="-2"/>
          <w:sz w:val="24"/>
          <w:szCs w:val="24"/>
        </w:rPr>
        <w:t>工程砍伐量相对较少，故对植物资源的影响只是一些数量上的减少，不会对它们的生存和繁衍造成威胁，也不会降低区域植物物种的多样性。</w:t>
      </w:r>
    </w:p>
    <w:p w14:paraId="24246DAD">
      <w:pPr>
        <w:spacing w:line="360" w:lineRule="auto"/>
        <w:ind w:left="8" w:right="124" w:firstLine="481"/>
        <w:jc w:val="both"/>
        <w:rPr>
          <w:rFonts w:ascii="宋体" w:hAnsi="宋体" w:eastAsia="宋体" w:cs="宋体"/>
          <w:sz w:val="24"/>
          <w:szCs w:val="24"/>
        </w:rPr>
      </w:pPr>
      <w:r>
        <w:rPr>
          <w:rFonts w:ascii="宋体" w:hAnsi="宋体" w:eastAsia="宋体" w:cs="宋体"/>
          <w:spacing w:val="-6"/>
          <w:sz w:val="24"/>
          <w:szCs w:val="24"/>
        </w:rPr>
        <w:t>本工程设计对避不开的片林，采用高跨方式通过，最大程度地减少了对植被的影响。铁塔一般是立在山腰、山脊或山顶，</w:t>
      </w:r>
      <w:r>
        <w:rPr>
          <w:rFonts w:ascii="宋体" w:hAnsi="宋体" w:eastAsia="宋体" w:cs="宋体"/>
          <w:spacing w:val="-60"/>
          <w:sz w:val="24"/>
          <w:szCs w:val="24"/>
        </w:rPr>
        <w:t xml:space="preserve"> </w:t>
      </w:r>
      <w:r>
        <w:rPr>
          <w:rFonts w:ascii="宋体" w:hAnsi="宋体" w:eastAsia="宋体" w:cs="宋体"/>
          <w:spacing w:val="-6"/>
          <w:sz w:val="24"/>
          <w:szCs w:val="24"/>
        </w:rPr>
        <w:t>两塔之间的树木顶端距离输电导线 相对高差大，一</w:t>
      </w:r>
      <w:r>
        <w:rPr>
          <w:rFonts w:ascii="宋体" w:hAnsi="宋体" w:eastAsia="宋体" w:cs="宋体"/>
          <w:spacing w:val="-2"/>
          <w:sz w:val="24"/>
          <w:szCs w:val="24"/>
        </w:rPr>
        <w:t>般不需砍伐通道，需砍伐的仅是林区塔基及塔基施工临时占地处的乔灌木，不会造成大</w:t>
      </w:r>
      <w:r>
        <w:rPr>
          <w:rFonts w:ascii="宋体" w:hAnsi="宋体" w:eastAsia="宋体" w:cs="宋体"/>
          <w:spacing w:val="-1"/>
          <w:sz w:val="24"/>
          <w:szCs w:val="24"/>
        </w:rPr>
        <w:t>幅度的森林面积、森林蓄积量和生物量的减少，也不会使地带</w:t>
      </w:r>
      <w:r>
        <w:rPr>
          <w:rFonts w:ascii="宋体" w:hAnsi="宋体" w:eastAsia="宋体" w:cs="宋体"/>
          <w:spacing w:val="-2"/>
          <w:sz w:val="24"/>
          <w:szCs w:val="24"/>
        </w:rPr>
        <w:t>性植被发生改变。</w:t>
      </w:r>
    </w:p>
    <w:p w14:paraId="5CC9EC17">
      <w:pPr>
        <w:spacing w:line="234" w:lineRule="auto"/>
        <w:ind w:left="3"/>
        <w:rPr>
          <w:rFonts w:ascii="宋体" w:hAnsi="宋体" w:eastAsia="宋体" w:cs="宋体"/>
          <w:sz w:val="24"/>
          <w:szCs w:val="24"/>
        </w:rPr>
      </w:pPr>
      <w:r>
        <w:rPr>
          <w:rFonts w:ascii="Times New Roman" w:hAnsi="Times New Roman" w:eastAsia="Times New Roman" w:cs="Times New Roman"/>
          <w:b/>
          <w:bCs/>
          <w:spacing w:val="-2"/>
          <w:sz w:val="24"/>
          <w:szCs w:val="24"/>
        </w:rPr>
        <w:t xml:space="preserve">3.3.2 </w:t>
      </w:r>
      <w:r>
        <w:rPr>
          <w:rFonts w:ascii="宋体" w:hAnsi="宋体" w:eastAsia="宋体" w:cs="宋体"/>
          <w:b/>
          <w:bCs/>
          <w:spacing w:val="-2"/>
          <w:sz w:val="24"/>
          <w:szCs w:val="24"/>
        </w:rPr>
        <w:t>运行期影响分析</w:t>
      </w:r>
    </w:p>
    <w:p w14:paraId="013F469B">
      <w:pPr>
        <w:spacing w:before="161" w:line="360" w:lineRule="auto"/>
        <w:ind w:left="8" w:right="209" w:firstLine="480"/>
        <w:jc w:val="both"/>
        <w:rPr>
          <w:rFonts w:ascii="宋体" w:hAnsi="宋体" w:eastAsia="宋体" w:cs="宋体"/>
          <w:sz w:val="24"/>
          <w:szCs w:val="24"/>
        </w:rPr>
      </w:pPr>
      <w:r>
        <w:rPr>
          <w:rFonts w:ascii="宋体" w:hAnsi="宋体" w:eastAsia="宋体" w:cs="宋体"/>
          <w:spacing w:val="-2"/>
          <w:sz w:val="24"/>
          <w:szCs w:val="24"/>
        </w:rPr>
        <w:t>输变电工程在运行期内，对森林、灌丛、草地植被及植物资源没有影响。工程运行</w:t>
      </w:r>
      <w:r>
        <w:rPr>
          <w:rFonts w:ascii="宋体" w:hAnsi="宋体" w:eastAsia="宋体" w:cs="宋体"/>
          <w:spacing w:val="-6"/>
          <w:sz w:val="24"/>
          <w:szCs w:val="24"/>
        </w:rPr>
        <w:t>期间，根据相关规定，要对导线下方与树木垂直距离小于</w:t>
      </w:r>
      <w:r>
        <w:rPr>
          <w:rFonts w:ascii="宋体" w:hAnsi="宋体" w:eastAsia="宋体" w:cs="宋体"/>
          <w:spacing w:val="-55"/>
          <w:sz w:val="24"/>
          <w:szCs w:val="24"/>
        </w:rPr>
        <w:t xml:space="preserve"> </w:t>
      </w:r>
      <w:r>
        <w:rPr>
          <w:rFonts w:ascii="Times New Roman" w:hAnsi="Times New Roman" w:eastAsia="Times New Roman" w:cs="Times New Roman"/>
          <w:spacing w:val="-6"/>
          <w:sz w:val="24"/>
          <w:szCs w:val="24"/>
        </w:rPr>
        <w:t xml:space="preserve">4m </w:t>
      </w:r>
      <w:r>
        <w:rPr>
          <w:rFonts w:ascii="宋体" w:hAnsi="宋体" w:eastAsia="宋体" w:cs="宋体"/>
          <w:spacing w:val="-6"/>
          <w:sz w:val="24"/>
          <w:szCs w:val="24"/>
        </w:rPr>
        <w:t>树木的</w:t>
      </w:r>
      <w:r>
        <w:rPr>
          <w:rFonts w:ascii="宋体" w:hAnsi="宋体" w:eastAsia="宋体" w:cs="宋体"/>
          <w:spacing w:val="-7"/>
          <w:sz w:val="24"/>
          <w:szCs w:val="24"/>
        </w:rPr>
        <w:t>树冠进行定期修剪，</w:t>
      </w:r>
      <w:r>
        <w:rPr>
          <w:rFonts w:ascii="宋体" w:hAnsi="宋体" w:eastAsia="宋体" w:cs="宋体"/>
          <w:spacing w:val="-2"/>
          <w:sz w:val="24"/>
          <w:szCs w:val="24"/>
        </w:rPr>
        <w:t>保证输电导线与林区树木之间一定的垂直距离，以满足输电线路正常运行的需要。本工程线路可研设计中已考虑了沿线主要乔木的自然生长高度，并对经过的林区采取高跨方式通过，同时由于本工程线路大部分位于山地区，铁塔塔位一般选择在山腰、山脊或山顶，利用有利地形形成的高差原因，导线最大弧垂对主要乔木的自然生长高度的垂直距</w:t>
      </w:r>
      <w:r>
        <w:rPr>
          <w:rFonts w:ascii="宋体" w:hAnsi="宋体" w:eastAsia="宋体" w:cs="宋体"/>
          <w:spacing w:val="-1"/>
          <w:sz w:val="24"/>
          <w:szCs w:val="24"/>
        </w:rPr>
        <w:t>离一般可超过</w:t>
      </w:r>
      <w:r>
        <w:rPr>
          <w:rFonts w:ascii="宋体" w:hAnsi="宋体" w:eastAsia="宋体" w:cs="宋体"/>
          <w:spacing w:val="-54"/>
          <w:sz w:val="24"/>
          <w:szCs w:val="24"/>
        </w:rPr>
        <w:t xml:space="preserve"> </w:t>
      </w:r>
      <w:r>
        <w:rPr>
          <w:rFonts w:ascii="Times New Roman" w:hAnsi="Times New Roman" w:eastAsia="Times New Roman" w:cs="Times New Roman"/>
          <w:spacing w:val="-1"/>
          <w:sz w:val="24"/>
          <w:szCs w:val="24"/>
        </w:rPr>
        <w:t>4m</w:t>
      </w:r>
      <w:r>
        <w:rPr>
          <w:rFonts w:ascii="Times New Roman" w:hAnsi="Times New Roman" w:eastAsia="Times New Roman" w:cs="Times New Roman"/>
          <w:spacing w:val="33"/>
          <w:sz w:val="24"/>
          <w:szCs w:val="24"/>
        </w:rPr>
        <w:t xml:space="preserve"> </w:t>
      </w:r>
      <w:r>
        <w:rPr>
          <w:rFonts w:ascii="宋体" w:hAnsi="宋体" w:eastAsia="宋体" w:cs="宋体"/>
          <w:spacing w:val="-1"/>
          <w:sz w:val="24"/>
          <w:szCs w:val="24"/>
        </w:rPr>
        <w:t>的安全要求，运行期不需要大量砍伐线路走廊下方的乔木</w:t>
      </w:r>
      <w:r>
        <w:rPr>
          <w:rFonts w:ascii="宋体" w:hAnsi="宋体" w:eastAsia="宋体" w:cs="宋体"/>
          <w:spacing w:val="-2"/>
          <w:sz w:val="24"/>
          <w:szCs w:val="24"/>
        </w:rPr>
        <w:t>，仅需对少</w:t>
      </w:r>
      <w:r>
        <w:rPr>
          <w:rFonts w:ascii="宋体" w:hAnsi="宋体" w:eastAsia="宋体" w:cs="宋体"/>
          <w:spacing w:val="-6"/>
          <w:sz w:val="24"/>
          <w:szCs w:val="24"/>
        </w:rPr>
        <w:t>数特别高大的乔木的树冠顶端进行修剪，定期修剪乔木的量很少。因此可以预测，</w:t>
      </w:r>
      <w:r>
        <w:rPr>
          <w:rFonts w:ascii="宋体" w:hAnsi="宋体" w:eastAsia="宋体" w:cs="宋体"/>
          <w:spacing w:val="48"/>
          <w:sz w:val="24"/>
          <w:szCs w:val="24"/>
        </w:rPr>
        <w:t xml:space="preserve"> </w:t>
      </w:r>
      <w:r>
        <w:rPr>
          <w:rFonts w:ascii="宋体" w:hAnsi="宋体" w:eastAsia="宋体" w:cs="宋体"/>
          <w:spacing w:val="-6"/>
          <w:sz w:val="24"/>
          <w:szCs w:val="24"/>
        </w:rPr>
        <w:t>运行</w:t>
      </w:r>
      <w:r>
        <w:rPr>
          <w:rFonts w:ascii="宋体" w:hAnsi="宋体" w:eastAsia="宋体" w:cs="宋体"/>
          <w:spacing w:val="-2"/>
          <w:sz w:val="24"/>
          <w:szCs w:val="24"/>
        </w:rPr>
        <w:t>期需砍伐树木的量很少，主要为定期的少量修剪，故对森林植物群落组成和结构影响微</w:t>
      </w:r>
      <w:r>
        <w:rPr>
          <w:rFonts w:ascii="宋体" w:hAnsi="宋体" w:eastAsia="宋体" w:cs="宋体"/>
          <w:spacing w:val="-3"/>
          <w:sz w:val="24"/>
          <w:szCs w:val="24"/>
        </w:rPr>
        <w:t>弱，不会促使植物群落的演替发生改变。</w:t>
      </w:r>
    </w:p>
    <w:p w14:paraId="0F053099">
      <w:pPr>
        <w:spacing w:before="2" w:line="232" w:lineRule="auto"/>
        <w:ind w:left="3"/>
        <w:rPr>
          <w:rFonts w:ascii="宋体" w:hAnsi="宋体" w:eastAsia="宋体" w:cs="宋体"/>
          <w:sz w:val="24"/>
          <w:szCs w:val="24"/>
        </w:rPr>
      </w:pPr>
      <w:r>
        <w:rPr>
          <w:rFonts w:ascii="Times New Roman" w:hAnsi="Times New Roman" w:eastAsia="Times New Roman" w:cs="Times New Roman"/>
          <w:b/>
          <w:bCs/>
          <w:spacing w:val="-2"/>
          <w:sz w:val="24"/>
          <w:szCs w:val="24"/>
        </w:rPr>
        <w:t xml:space="preserve">3.3.3 </w:t>
      </w:r>
      <w:r>
        <w:rPr>
          <w:rFonts w:ascii="宋体" w:hAnsi="宋体" w:eastAsia="宋体" w:cs="宋体"/>
          <w:b/>
          <w:bCs/>
          <w:spacing w:val="-2"/>
          <w:sz w:val="24"/>
          <w:szCs w:val="24"/>
        </w:rPr>
        <w:t>对评价区植被生物量的损失影响</w:t>
      </w:r>
    </w:p>
    <w:p w14:paraId="3E60C027">
      <w:pPr>
        <w:tabs>
          <w:tab w:val="left" w:pos="9280"/>
        </w:tabs>
        <w:spacing w:before="165" w:line="348" w:lineRule="auto"/>
        <w:ind w:left="9" w:firstLine="480"/>
        <w:jc w:val="both"/>
        <w:rPr>
          <w:rFonts w:ascii="宋体" w:hAnsi="宋体" w:eastAsia="宋体" w:cs="宋体"/>
          <w:sz w:val="24"/>
          <w:szCs w:val="24"/>
        </w:rPr>
      </w:pPr>
      <w:r>
        <w:rPr>
          <w:rFonts w:ascii="宋体" w:hAnsi="宋体" w:eastAsia="宋体" w:cs="宋体"/>
          <w:spacing w:val="-7"/>
          <w:sz w:val="24"/>
          <w:szCs w:val="24"/>
        </w:rPr>
        <w:t>本工程总占地面积</w:t>
      </w:r>
      <w:r>
        <w:rPr>
          <w:rFonts w:ascii="宋体" w:hAnsi="宋体" w:eastAsia="宋体" w:cs="宋体"/>
          <w:spacing w:val="-34"/>
          <w:sz w:val="24"/>
          <w:szCs w:val="24"/>
        </w:rPr>
        <w:t xml:space="preserve"> </w:t>
      </w:r>
      <w:r>
        <w:rPr>
          <w:rFonts w:ascii="Times New Roman" w:hAnsi="Times New Roman" w:eastAsia="Times New Roman" w:cs="Times New Roman"/>
          <w:spacing w:val="-7"/>
          <w:sz w:val="24"/>
          <w:szCs w:val="24"/>
        </w:rPr>
        <w:t>1.9426hm</w:t>
      </w:r>
      <w:r>
        <w:rPr>
          <w:rFonts w:ascii="Times New Roman" w:hAnsi="Times New Roman" w:eastAsia="Times New Roman" w:cs="Times New Roman"/>
          <w:spacing w:val="-7"/>
          <w:position w:val="8"/>
          <w:sz w:val="16"/>
          <w:szCs w:val="16"/>
        </w:rPr>
        <w:t>2</w:t>
      </w:r>
      <w:r>
        <w:rPr>
          <w:rFonts w:ascii="宋体" w:hAnsi="宋体" w:eastAsia="宋体" w:cs="宋体"/>
          <w:spacing w:val="-7"/>
          <w:sz w:val="24"/>
          <w:szCs w:val="24"/>
        </w:rPr>
        <w:t>，其中永久占</w:t>
      </w:r>
      <w:r>
        <w:rPr>
          <w:rFonts w:ascii="宋体" w:hAnsi="宋体" w:eastAsia="宋体" w:cs="宋体"/>
          <w:spacing w:val="-8"/>
          <w:sz w:val="24"/>
          <w:szCs w:val="24"/>
        </w:rPr>
        <w:t>地面积</w:t>
      </w:r>
      <w:r>
        <w:rPr>
          <w:rFonts w:ascii="宋体" w:hAnsi="宋体" w:eastAsia="宋体" w:cs="宋体"/>
          <w:spacing w:val="-53"/>
          <w:sz w:val="24"/>
          <w:szCs w:val="24"/>
        </w:rPr>
        <w:t xml:space="preserve"> </w:t>
      </w:r>
      <w:r>
        <w:rPr>
          <w:rFonts w:ascii="Times New Roman" w:hAnsi="Times New Roman" w:eastAsia="Times New Roman" w:cs="Times New Roman"/>
          <w:spacing w:val="-8"/>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8"/>
          <w:sz w:val="24"/>
          <w:szCs w:val="24"/>
        </w:rPr>
        <w:t>1226hm</w:t>
      </w:r>
      <w:r>
        <w:rPr>
          <w:rFonts w:ascii="Times New Roman" w:hAnsi="Times New Roman" w:eastAsia="Times New Roman" w:cs="Times New Roman"/>
          <w:spacing w:val="-8"/>
          <w:position w:val="8"/>
          <w:sz w:val="16"/>
          <w:szCs w:val="16"/>
        </w:rPr>
        <w:t>2</w:t>
      </w:r>
      <w:r>
        <w:rPr>
          <w:rFonts w:ascii="宋体" w:hAnsi="宋体" w:eastAsia="宋体" w:cs="宋体"/>
          <w:spacing w:val="-8"/>
          <w:sz w:val="24"/>
          <w:szCs w:val="24"/>
        </w:rPr>
        <w:t>，临时占地面积</w:t>
      </w:r>
      <w:r>
        <w:rPr>
          <w:rFonts w:ascii="宋体" w:hAnsi="宋体" w:eastAsia="宋体" w:cs="宋体"/>
          <w:spacing w:val="-34"/>
          <w:sz w:val="24"/>
          <w:szCs w:val="24"/>
        </w:rPr>
        <w:t xml:space="preserve"> </w:t>
      </w:r>
      <w:r>
        <w:rPr>
          <w:rFonts w:ascii="Times New Roman" w:hAnsi="Times New Roman" w:eastAsia="Times New Roman" w:cs="Times New Roman"/>
          <w:spacing w:val="-8"/>
          <w:sz w:val="24"/>
          <w:szCs w:val="24"/>
        </w:rPr>
        <w:t>1.82hm</w:t>
      </w:r>
      <w:r>
        <w:rPr>
          <w:rFonts w:ascii="Times New Roman" w:hAnsi="Times New Roman" w:eastAsia="Times New Roman" w:cs="Times New Roman"/>
          <w:spacing w:val="-8"/>
          <w:position w:val="8"/>
          <w:sz w:val="16"/>
          <w:szCs w:val="16"/>
        </w:rPr>
        <w:t>2</w:t>
      </w:r>
      <w:r>
        <w:rPr>
          <w:rFonts w:ascii="宋体" w:hAnsi="宋体" w:eastAsia="宋体" w:cs="宋体"/>
          <w:spacing w:val="-8"/>
          <w:sz w:val="24"/>
          <w:szCs w:val="24"/>
        </w:rPr>
        <w:t>。</w:t>
      </w:r>
      <w:r>
        <w:rPr>
          <w:rFonts w:ascii="宋体" w:hAnsi="宋体" w:eastAsia="宋体" w:cs="宋体"/>
          <w:spacing w:val="-5"/>
          <w:sz w:val="24"/>
          <w:szCs w:val="24"/>
        </w:rPr>
        <w:t>项目评价区面积</w:t>
      </w:r>
      <w:r>
        <w:rPr>
          <w:rFonts w:ascii="宋体" w:hAnsi="宋体" w:eastAsia="宋体" w:cs="宋体"/>
          <w:spacing w:val="-45"/>
          <w:sz w:val="24"/>
          <w:szCs w:val="24"/>
        </w:rPr>
        <w:t xml:space="preserve"> </w:t>
      </w:r>
      <w:r>
        <w:rPr>
          <w:rFonts w:ascii="Times New Roman" w:hAnsi="Times New Roman" w:eastAsia="Times New Roman" w:cs="Times New Roman"/>
          <w:spacing w:val="-5"/>
          <w:sz w:val="24"/>
          <w:szCs w:val="24"/>
        </w:rPr>
        <w:t>2162.25hm</w:t>
      </w:r>
      <w:r>
        <w:rPr>
          <w:rFonts w:ascii="Times New Roman" w:hAnsi="Times New Roman" w:eastAsia="Times New Roman" w:cs="Times New Roman"/>
          <w:spacing w:val="-5"/>
          <w:position w:val="9"/>
          <w:sz w:val="16"/>
          <w:szCs w:val="16"/>
        </w:rPr>
        <w:t>2</w:t>
      </w:r>
      <w:r>
        <w:rPr>
          <w:rFonts w:ascii="宋体" w:hAnsi="宋体" w:eastAsia="宋体" w:cs="宋体"/>
          <w:spacing w:val="-5"/>
          <w:sz w:val="24"/>
          <w:szCs w:val="24"/>
        </w:rPr>
        <w:t>，其累积的生物量大约</w:t>
      </w:r>
      <w:r>
        <w:rPr>
          <w:rFonts w:ascii="宋体" w:hAnsi="宋体" w:eastAsia="宋体" w:cs="宋体"/>
          <w:spacing w:val="-54"/>
          <w:sz w:val="24"/>
          <w:szCs w:val="24"/>
        </w:rPr>
        <w:t xml:space="preserve"> </w:t>
      </w:r>
      <w:r>
        <w:rPr>
          <w:rFonts w:ascii="Times New Roman" w:hAnsi="Times New Roman" w:eastAsia="Times New Roman" w:cs="Times New Roman"/>
          <w:spacing w:val="-5"/>
          <w:sz w:val="24"/>
          <w:szCs w:val="24"/>
        </w:rPr>
        <w:t>22424.21t</w:t>
      </w:r>
      <w:r>
        <w:rPr>
          <w:rFonts w:ascii="宋体" w:hAnsi="宋体" w:eastAsia="宋体" w:cs="宋体"/>
          <w:spacing w:val="-5"/>
          <w:sz w:val="24"/>
          <w:szCs w:val="24"/>
        </w:rPr>
        <w:t>。由于项目占用植被，</w:t>
      </w:r>
      <w:r>
        <w:rPr>
          <w:rFonts w:ascii="宋体" w:hAnsi="宋体" w:eastAsia="宋体" w:cs="宋体"/>
          <w:spacing w:val="-54"/>
          <w:sz w:val="24"/>
          <w:szCs w:val="24"/>
        </w:rPr>
        <w:t xml:space="preserve"> </w:t>
      </w:r>
      <w:r>
        <w:rPr>
          <w:rFonts w:ascii="宋体" w:hAnsi="宋体" w:eastAsia="宋体" w:cs="宋体"/>
          <w:spacing w:val="-5"/>
          <w:sz w:val="24"/>
          <w:szCs w:val="24"/>
        </w:rPr>
        <w:t>将减</w:t>
      </w:r>
      <w:r>
        <w:rPr>
          <w:rFonts w:ascii="宋体" w:hAnsi="宋体" w:eastAsia="宋体" w:cs="宋体"/>
          <w:spacing w:val="-3"/>
          <w:sz w:val="24"/>
          <w:szCs w:val="24"/>
        </w:rPr>
        <w:t>少评价区生态系统的生物量，最终减少评价区的生物量大约是</w:t>
      </w:r>
      <w:r>
        <w:rPr>
          <w:rFonts w:ascii="宋体" w:hAnsi="宋体" w:eastAsia="宋体" w:cs="宋体"/>
          <w:spacing w:val="-53"/>
          <w:sz w:val="24"/>
          <w:szCs w:val="24"/>
        </w:rPr>
        <w:t xml:space="preserve"> </w:t>
      </w:r>
      <w:r>
        <w:rPr>
          <w:rFonts w:ascii="Times New Roman" w:hAnsi="Times New Roman" w:eastAsia="Times New Roman" w:cs="Times New Roman"/>
          <w:spacing w:val="-3"/>
          <w:sz w:val="24"/>
          <w:szCs w:val="24"/>
        </w:rPr>
        <w:t>27.155t</w:t>
      </w:r>
      <w:r>
        <w:rPr>
          <w:rFonts w:ascii="宋体" w:hAnsi="宋体" w:eastAsia="宋体" w:cs="宋体"/>
          <w:spacing w:val="-3"/>
          <w:sz w:val="24"/>
          <w:szCs w:val="24"/>
        </w:rPr>
        <w:t>，约占</w:t>
      </w:r>
      <w:r>
        <w:rPr>
          <w:rFonts w:ascii="宋体" w:hAnsi="宋体" w:eastAsia="宋体" w:cs="宋体"/>
          <w:spacing w:val="-4"/>
          <w:sz w:val="24"/>
          <w:szCs w:val="24"/>
        </w:rPr>
        <w:t>评价区生物</w:t>
      </w:r>
      <w:r>
        <w:rPr>
          <w:rFonts w:ascii="宋体" w:hAnsi="宋体" w:eastAsia="宋体" w:cs="宋体"/>
          <w:spacing w:val="-2"/>
          <w:sz w:val="24"/>
          <w:szCs w:val="24"/>
        </w:rPr>
        <w:t>量的</w:t>
      </w:r>
      <w:r>
        <w:rPr>
          <w:rFonts w:ascii="宋体" w:hAnsi="宋体" w:eastAsia="宋体" w:cs="宋体"/>
          <w:spacing w:val="-51"/>
          <w:sz w:val="24"/>
          <w:szCs w:val="24"/>
        </w:rPr>
        <w:t xml:space="preserve"> </w:t>
      </w:r>
      <w:r>
        <w:rPr>
          <w:rFonts w:ascii="Times New Roman" w:hAnsi="Times New Roman" w:eastAsia="Times New Roman" w:cs="Times New Roman"/>
          <w:spacing w:val="-2"/>
          <w:sz w:val="24"/>
          <w:szCs w:val="24"/>
        </w:rPr>
        <w:t>0.</w:t>
      </w:r>
      <w:r>
        <w:rPr>
          <w:rFonts w:ascii="Times New Roman" w:hAnsi="Times New Roman" w:eastAsia="Times New Roman" w:cs="Times New Roman"/>
          <w:spacing w:val="-32"/>
          <w:sz w:val="24"/>
          <w:szCs w:val="24"/>
        </w:rPr>
        <w:t xml:space="preserve"> </w:t>
      </w:r>
      <w:r>
        <w:rPr>
          <w:rFonts w:ascii="Times New Roman" w:hAnsi="Times New Roman" w:eastAsia="Times New Roman" w:cs="Times New Roman"/>
          <w:spacing w:val="-2"/>
          <w:sz w:val="24"/>
          <w:szCs w:val="24"/>
        </w:rPr>
        <w:t>121%</w:t>
      </w:r>
      <w:r>
        <w:rPr>
          <w:rFonts w:ascii="宋体" w:hAnsi="宋体" w:eastAsia="宋体" w:cs="宋体"/>
          <w:spacing w:val="-2"/>
          <w:sz w:val="24"/>
          <w:szCs w:val="24"/>
        </w:rPr>
        <w:t>，占有一定的比例但比例极小，对</w:t>
      </w:r>
      <w:r>
        <w:rPr>
          <w:rFonts w:ascii="宋体" w:hAnsi="宋体" w:eastAsia="宋体" w:cs="宋体"/>
          <w:spacing w:val="-3"/>
          <w:sz w:val="24"/>
          <w:szCs w:val="24"/>
        </w:rPr>
        <w:t>评价区生态系统影响不大。</w:t>
      </w:r>
    </w:p>
    <w:p w14:paraId="505205DD">
      <w:pPr>
        <w:spacing w:line="229" w:lineRule="auto"/>
        <w:ind w:left="3111"/>
        <w:rPr>
          <w:rFonts w:ascii="宋体" w:hAnsi="宋体" w:eastAsia="宋体" w:cs="宋体"/>
          <w:sz w:val="21"/>
          <w:szCs w:val="21"/>
        </w:rPr>
      </w:pPr>
      <w:r>
        <w:rPr>
          <w:rFonts w:ascii="宋体" w:hAnsi="宋体" w:eastAsia="宋体" w:cs="宋体"/>
          <w:b/>
          <w:bCs/>
          <w:spacing w:val="-2"/>
          <w:sz w:val="21"/>
          <w:szCs w:val="21"/>
        </w:rPr>
        <w:t>表</w:t>
      </w:r>
      <w:r>
        <w:rPr>
          <w:rFonts w:ascii="宋体" w:hAnsi="宋体" w:eastAsia="宋体" w:cs="宋体"/>
          <w:spacing w:val="-39"/>
          <w:sz w:val="21"/>
          <w:szCs w:val="21"/>
        </w:rPr>
        <w:t xml:space="preserve"> </w:t>
      </w:r>
      <w:r>
        <w:rPr>
          <w:rFonts w:ascii="Times New Roman" w:hAnsi="Times New Roman" w:eastAsia="Times New Roman" w:cs="Times New Roman"/>
          <w:b/>
          <w:bCs/>
          <w:spacing w:val="-2"/>
          <w:sz w:val="21"/>
          <w:szCs w:val="21"/>
        </w:rPr>
        <w:t xml:space="preserve">3-3    </w:t>
      </w:r>
      <w:r>
        <w:rPr>
          <w:rFonts w:ascii="宋体" w:hAnsi="宋体" w:eastAsia="宋体" w:cs="宋体"/>
          <w:b/>
          <w:bCs/>
          <w:spacing w:val="-2"/>
          <w:sz w:val="21"/>
          <w:szCs w:val="21"/>
        </w:rPr>
        <w:t>项目生物量变化一览表</w:t>
      </w:r>
    </w:p>
    <w:tbl>
      <w:tblPr>
        <w:tblStyle w:val="5"/>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00"/>
        <w:gridCol w:w="1109"/>
        <w:gridCol w:w="1077"/>
        <w:gridCol w:w="1300"/>
        <w:gridCol w:w="1317"/>
        <w:gridCol w:w="1257"/>
        <w:gridCol w:w="1404"/>
      </w:tblGrid>
      <w:tr w14:paraId="69A72C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2" w:hRule="atLeast"/>
        </w:trPr>
        <w:tc>
          <w:tcPr>
            <w:tcW w:w="1600" w:type="dxa"/>
            <w:vAlign w:val="top"/>
          </w:tcPr>
          <w:p w14:paraId="12632CE8">
            <w:pPr>
              <w:spacing w:line="297" w:lineRule="auto"/>
              <w:rPr>
                <w:rFonts w:ascii="Arial"/>
                <w:sz w:val="21"/>
              </w:rPr>
            </w:pPr>
          </w:p>
          <w:p w14:paraId="5B9F1FF6">
            <w:pPr>
              <w:pStyle w:val="6"/>
              <w:spacing w:before="68" w:line="221" w:lineRule="auto"/>
              <w:ind w:left="385"/>
            </w:pPr>
            <w:r>
              <w:rPr>
                <w:b/>
                <w:bCs/>
                <w:spacing w:val="-4"/>
              </w:rPr>
              <w:t>植被类型</w:t>
            </w:r>
          </w:p>
        </w:tc>
        <w:tc>
          <w:tcPr>
            <w:tcW w:w="1109" w:type="dxa"/>
            <w:vAlign w:val="top"/>
          </w:tcPr>
          <w:p w14:paraId="15A74E2C">
            <w:pPr>
              <w:pStyle w:val="6"/>
              <w:spacing w:before="56" w:line="274" w:lineRule="auto"/>
              <w:ind w:left="450" w:right="133" w:hanging="318"/>
            </w:pPr>
            <w:r>
              <w:rPr>
                <w:b/>
                <w:bCs/>
                <w:spacing w:val="-3"/>
              </w:rPr>
              <w:t>评价区面积</w:t>
            </w:r>
          </w:p>
          <w:p w14:paraId="587DB57F">
            <w:pPr>
              <w:pStyle w:val="6"/>
              <w:spacing w:line="212" w:lineRule="auto"/>
              <w:ind w:left="171"/>
            </w:pPr>
            <w:r>
              <w:rPr>
                <w:b/>
                <w:bCs/>
                <w:spacing w:val="-3"/>
              </w:rPr>
              <w:t>（</w:t>
            </w:r>
            <w:r>
              <w:rPr>
                <w:rFonts w:ascii="Times New Roman" w:hAnsi="Times New Roman" w:eastAsia="Times New Roman" w:cs="Times New Roman"/>
                <w:b/>
                <w:bCs/>
                <w:spacing w:val="-3"/>
              </w:rPr>
              <w:t>hm</w:t>
            </w:r>
            <w:r>
              <w:rPr>
                <w:rFonts w:ascii="Times New Roman" w:hAnsi="Times New Roman" w:eastAsia="Times New Roman" w:cs="Times New Roman"/>
                <w:b/>
                <w:bCs/>
                <w:spacing w:val="-3"/>
                <w:position w:val="1"/>
                <w:sz w:val="13"/>
                <w:szCs w:val="13"/>
              </w:rPr>
              <w:t>2</w:t>
            </w:r>
            <w:r>
              <w:rPr>
                <w:b/>
                <w:bCs/>
                <w:spacing w:val="-3"/>
                <w:position w:val="1"/>
              </w:rPr>
              <w:t>）</w:t>
            </w:r>
          </w:p>
        </w:tc>
        <w:tc>
          <w:tcPr>
            <w:tcW w:w="1077" w:type="dxa"/>
            <w:vAlign w:val="top"/>
          </w:tcPr>
          <w:p w14:paraId="12298EB9">
            <w:pPr>
              <w:pStyle w:val="6"/>
              <w:spacing w:before="212" w:line="285" w:lineRule="auto"/>
              <w:ind w:left="156" w:right="115" w:hanging="37"/>
            </w:pPr>
            <w:r>
              <w:rPr>
                <w:b/>
                <w:bCs/>
                <w:spacing w:val="-4"/>
              </w:rPr>
              <w:t>变化面积</w:t>
            </w:r>
            <w:r>
              <w:rPr>
                <w:b/>
                <w:bCs/>
                <w:spacing w:val="-3"/>
              </w:rPr>
              <w:t>（</w:t>
            </w:r>
            <w:r>
              <w:rPr>
                <w:rFonts w:ascii="Times New Roman" w:hAnsi="Times New Roman" w:eastAsia="Times New Roman" w:cs="Times New Roman"/>
                <w:b/>
                <w:bCs/>
                <w:spacing w:val="-3"/>
              </w:rPr>
              <w:t>hm</w:t>
            </w:r>
            <w:r>
              <w:rPr>
                <w:rFonts w:ascii="Times New Roman" w:hAnsi="Times New Roman" w:eastAsia="Times New Roman" w:cs="Times New Roman"/>
                <w:b/>
                <w:bCs/>
                <w:spacing w:val="-3"/>
                <w:position w:val="1"/>
                <w:sz w:val="13"/>
                <w:szCs w:val="13"/>
              </w:rPr>
              <w:t>2</w:t>
            </w:r>
            <w:r>
              <w:rPr>
                <w:b/>
                <w:bCs/>
                <w:spacing w:val="-3"/>
                <w:position w:val="1"/>
              </w:rPr>
              <w:t>）</w:t>
            </w:r>
          </w:p>
        </w:tc>
        <w:tc>
          <w:tcPr>
            <w:tcW w:w="1300" w:type="dxa"/>
            <w:vAlign w:val="top"/>
          </w:tcPr>
          <w:p w14:paraId="1F8BA715">
            <w:pPr>
              <w:pStyle w:val="6"/>
              <w:spacing w:before="212" w:line="285" w:lineRule="auto"/>
              <w:ind w:left="202" w:right="119" w:hanging="76"/>
            </w:pPr>
            <w:r>
              <w:rPr>
                <w:b/>
                <w:bCs/>
                <w:spacing w:val="-3"/>
              </w:rPr>
              <w:t>平均生物量</w:t>
            </w:r>
            <w:r>
              <w:rPr>
                <w:b/>
                <w:bCs/>
                <w:spacing w:val="-2"/>
              </w:rPr>
              <w:t>（</w:t>
            </w:r>
            <w:r>
              <w:rPr>
                <w:rFonts w:ascii="Times New Roman" w:hAnsi="Times New Roman" w:eastAsia="Times New Roman" w:cs="Times New Roman"/>
                <w:b/>
                <w:bCs/>
                <w:spacing w:val="-2"/>
              </w:rPr>
              <w:t>t/hm</w:t>
            </w:r>
            <w:r>
              <w:rPr>
                <w:rFonts w:ascii="Times New Roman" w:hAnsi="Times New Roman" w:eastAsia="Times New Roman" w:cs="Times New Roman"/>
                <w:b/>
                <w:bCs/>
                <w:spacing w:val="-2"/>
                <w:position w:val="1"/>
                <w:sz w:val="13"/>
                <w:szCs w:val="13"/>
              </w:rPr>
              <w:t>2</w:t>
            </w:r>
            <w:r>
              <w:rPr>
                <w:b/>
                <w:bCs/>
                <w:spacing w:val="-2"/>
                <w:position w:val="1"/>
              </w:rPr>
              <w:t>）</w:t>
            </w:r>
          </w:p>
        </w:tc>
        <w:tc>
          <w:tcPr>
            <w:tcW w:w="1317" w:type="dxa"/>
            <w:vAlign w:val="top"/>
          </w:tcPr>
          <w:p w14:paraId="5105E3B6">
            <w:pPr>
              <w:pStyle w:val="6"/>
              <w:spacing w:before="211" w:line="286" w:lineRule="auto"/>
              <w:ind w:left="313" w:right="126" w:hanging="176"/>
            </w:pPr>
            <w:r>
              <w:rPr>
                <w:b/>
                <w:bCs/>
                <w:spacing w:val="-3"/>
              </w:rPr>
              <w:t>评价区生物量（</w:t>
            </w:r>
            <w:r>
              <w:rPr>
                <w:rFonts w:ascii="Times New Roman" w:hAnsi="Times New Roman" w:eastAsia="Times New Roman" w:cs="Times New Roman"/>
                <w:b/>
                <w:bCs/>
                <w:spacing w:val="-3"/>
              </w:rPr>
              <w:t>t</w:t>
            </w:r>
            <w:r>
              <w:rPr>
                <w:b/>
                <w:bCs/>
                <w:spacing w:val="-3"/>
              </w:rPr>
              <w:t>）</w:t>
            </w:r>
          </w:p>
        </w:tc>
        <w:tc>
          <w:tcPr>
            <w:tcW w:w="1257" w:type="dxa"/>
            <w:vAlign w:val="top"/>
          </w:tcPr>
          <w:p w14:paraId="786F7870">
            <w:pPr>
              <w:pStyle w:val="6"/>
              <w:spacing w:before="211" w:line="284" w:lineRule="auto"/>
              <w:ind w:left="177" w:right="182" w:firstLine="36"/>
            </w:pPr>
            <w:r>
              <w:rPr>
                <w:b/>
                <w:bCs/>
                <w:spacing w:val="-4"/>
              </w:rPr>
              <w:t>变化的生</w:t>
            </w:r>
            <w:r>
              <w:rPr>
                <w:b/>
                <w:bCs/>
                <w:spacing w:val="-6"/>
              </w:rPr>
              <w:t>物量（</w:t>
            </w:r>
            <w:r>
              <w:rPr>
                <w:rFonts w:ascii="Times New Roman" w:hAnsi="Times New Roman" w:eastAsia="Times New Roman" w:cs="Times New Roman"/>
                <w:b/>
                <w:bCs/>
                <w:spacing w:val="-6"/>
              </w:rPr>
              <w:t>t</w:t>
            </w:r>
            <w:r>
              <w:rPr>
                <w:b/>
                <w:bCs/>
                <w:spacing w:val="-6"/>
              </w:rPr>
              <w:t>）</w:t>
            </w:r>
          </w:p>
        </w:tc>
        <w:tc>
          <w:tcPr>
            <w:tcW w:w="1404" w:type="dxa"/>
            <w:vAlign w:val="top"/>
          </w:tcPr>
          <w:p w14:paraId="7A4BDA35">
            <w:pPr>
              <w:pStyle w:val="6"/>
              <w:spacing w:before="56" w:line="274" w:lineRule="auto"/>
              <w:ind w:left="402" w:right="172" w:hanging="224"/>
            </w:pPr>
            <w:r>
              <w:rPr>
                <w:b/>
                <w:bCs/>
                <w:spacing w:val="-3"/>
              </w:rPr>
              <w:t>变化占评价</w:t>
            </w:r>
            <w:r>
              <w:rPr>
                <w:b/>
                <w:bCs/>
                <w:spacing w:val="-7"/>
              </w:rPr>
              <w:t>区同类</w:t>
            </w:r>
          </w:p>
          <w:p w14:paraId="2FA2B132">
            <w:pPr>
              <w:pStyle w:val="6"/>
              <w:spacing w:line="221" w:lineRule="auto"/>
              <w:ind w:left="395"/>
            </w:pPr>
            <w:r>
              <w:rPr>
                <w:b/>
                <w:bCs/>
                <w:spacing w:val="-6"/>
              </w:rPr>
              <w:t>（</w:t>
            </w:r>
            <w:r>
              <w:rPr>
                <w:rFonts w:ascii="Times New Roman" w:hAnsi="Times New Roman" w:eastAsia="Times New Roman" w:cs="Times New Roman"/>
                <w:b/>
                <w:bCs/>
                <w:spacing w:val="-6"/>
              </w:rPr>
              <w:t>%</w:t>
            </w:r>
            <w:r>
              <w:rPr>
                <w:b/>
                <w:bCs/>
                <w:spacing w:val="-6"/>
              </w:rPr>
              <w:t>）</w:t>
            </w:r>
          </w:p>
        </w:tc>
      </w:tr>
      <w:tr w14:paraId="3A464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2" w:hRule="atLeast"/>
        </w:trPr>
        <w:tc>
          <w:tcPr>
            <w:tcW w:w="1600" w:type="dxa"/>
            <w:vAlign w:val="top"/>
          </w:tcPr>
          <w:p w14:paraId="1E745862">
            <w:pPr>
              <w:pStyle w:val="6"/>
              <w:spacing w:before="56" w:line="221" w:lineRule="auto"/>
              <w:ind w:left="490"/>
            </w:pPr>
            <w:r>
              <w:rPr>
                <w:spacing w:val="-2"/>
              </w:rPr>
              <w:t>针叶林</w:t>
            </w:r>
          </w:p>
        </w:tc>
        <w:tc>
          <w:tcPr>
            <w:tcW w:w="1109" w:type="dxa"/>
            <w:vAlign w:val="top"/>
          </w:tcPr>
          <w:p w14:paraId="0DAF9CD6">
            <w:pPr>
              <w:spacing w:before="91" w:line="219" w:lineRule="auto"/>
              <w:ind w:left="28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126.99</w:t>
            </w:r>
          </w:p>
        </w:tc>
        <w:tc>
          <w:tcPr>
            <w:tcW w:w="1077" w:type="dxa"/>
            <w:vAlign w:val="top"/>
          </w:tcPr>
          <w:p w14:paraId="725326CA">
            <w:pPr>
              <w:spacing w:before="91" w:line="219" w:lineRule="auto"/>
              <w:ind w:left="25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0.4106</w:t>
            </w:r>
          </w:p>
        </w:tc>
        <w:tc>
          <w:tcPr>
            <w:tcW w:w="1300" w:type="dxa"/>
            <w:vAlign w:val="top"/>
          </w:tcPr>
          <w:p w14:paraId="44A8AACF">
            <w:pPr>
              <w:spacing w:before="91" w:line="219" w:lineRule="auto"/>
              <w:ind w:left="41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30.59</w:t>
            </w:r>
          </w:p>
        </w:tc>
        <w:tc>
          <w:tcPr>
            <w:tcW w:w="1317" w:type="dxa"/>
            <w:vAlign w:val="top"/>
          </w:tcPr>
          <w:p w14:paraId="0D88A525">
            <w:pPr>
              <w:spacing w:before="91" w:line="219" w:lineRule="auto"/>
              <w:ind w:left="323"/>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3884.63</w:t>
            </w:r>
          </w:p>
        </w:tc>
        <w:tc>
          <w:tcPr>
            <w:tcW w:w="1257" w:type="dxa"/>
            <w:vAlign w:val="top"/>
          </w:tcPr>
          <w:p w14:paraId="6603AE3E">
            <w:pPr>
              <w:spacing w:before="91" w:line="219" w:lineRule="auto"/>
              <w:ind w:left="362"/>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12.708</w:t>
            </w:r>
          </w:p>
        </w:tc>
        <w:tc>
          <w:tcPr>
            <w:tcW w:w="1404" w:type="dxa"/>
            <w:vAlign w:val="top"/>
          </w:tcPr>
          <w:p w14:paraId="4AFDCF6A">
            <w:pPr>
              <w:spacing w:before="91" w:line="219" w:lineRule="auto"/>
              <w:ind w:left="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0.327</w:t>
            </w:r>
          </w:p>
        </w:tc>
      </w:tr>
    </w:tbl>
    <w:p w14:paraId="709A53CE">
      <w:pPr>
        <w:rPr>
          <w:rFonts w:ascii="Arial"/>
          <w:sz w:val="21"/>
        </w:rPr>
      </w:pPr>
    </w:p>
    <w:p w14:paraId="74D6D6E2">
      <w:pPr>
        <w:rPr>
          <w:rFonts w:ascii="Arial" w:hAnsi="Arial" w:eastAsia="Arial" w:cs="Arial"/>
          <w:sz w:val="21"/>
          <w:szCs w:val="21"/>
        </w:rPr>
        <w:sectPr>
          <w:footerReference r:id="rId186" w:type="default"/>
          <w:pgSz w:w="11907" w:h="16841"/>
          <w:pgMar w:top="400" w:right="1205" w:bottom="1126" w:left="1418" w:header="0" w:footer="925" w:gutter="0"/>
          <w:cols w:space="720" w:num="1"/>
        </w:sectPr>
      </w:pPr>
    </w:p>
    <w:p w14:paraId="13725A20">
      <w:pPr>
        <w:spacing w:before="2"/>
      </w:pPr>
    </w:p>
    <w:p w14:paraId="50E16D5C">
      <w:pPr>
        <w:spacing w:before="2"/>
      </w:pPr>
    </w:p>
    <w:p w14:paraId="67393BD7">
      <w:pPr>
        <w:spacing w:before="1"/>
      </w:pPr>
    </w:p>
    <w:p w14:paraId="6BE66AFC">
      <w:pPr>
        <w:spacing w:before="1"/>
      </w:pPr>
    </w:p>
    <w:p w14:paraId="6A967533">
      <w:pPr>
        <w:spacing w:before="1"/>
      </w:pPr>
    </w:p>
    <w:tbl>
      <w:tblPr>
        <w:tblStyle w:val="5"/>
        <w:tblW w:w="90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00"/>
        <w:gridCol w:w="1109"/>
        <w:gridCol w:w="1077"/>
        <w:gridCol w:w="1300"/>
        <w:gridCol w:w="1317"/>
        <w:gridCol w:w="1257"/>
        <w:gridCol w:w="1404"/>
      </w:tblGrid>
      <w:tr w14:paraId="10C06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600" w:type="dxa"/>
            <w:vAlign w:val="top"/>
          </w:tcPr>
          <w:p w14:paraId="52110479">
            <w:pPr>
              <w:pStyle w:val="6"/>
              <w:spacing w:before="58" w:line="221" w:lineRule="auto"/>
              <w:ind w:left="492"/>
            </w:pPr>
            <w:r>
              <w:rPr>
                <w:spacing w:val="-2"/>
              </w:rPr>
              <w:t>灌草地</w:t>
            </w:r>
          </w:p>
        </w:tc>
        <w:tc>
          <w:tcPr>
            <w:tcW w:w="1109" w:type="dxa"/>
            <w:vAlign w:val="top"/>
          </w:tcPr>
          <w:p w14:paraId="5B35C9C7">
            <w:pPr>
              <w:spacing w:before="93" w:line="215" w:lineRule="auto"/>
              <w:ind w:left="231"/>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1723.68</w:t>
            </w:r>
          </w:p>
        </w:tc>
        <w:tc>
          <w:tcPr>
            <w:tcW w:w="1077" w:type="dxa"/>
            <w:vAlign w:val="top"/>
          </w:tcPr>
          <w:p w14:paraId="3588A45E">
            <w:pPr>
              <w:spacing w:before="93" w:line="215" w:lineRule="auto"/>
              <w:ind w:left="268"/>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1.4280</w:t>
            </w:r>
          </w:p>
        </w:tc>
        <w:tc>
          <w:tcPr>
            <w:tcW w:w="1300" w:type="dxa"/>
            <w:vAlign w:val="top"/>
          </w:tcPr>
          <w:p w14:paraId="7727A044">
            <w:pPr>
              <w:spacing w:before="93" w:line="215" w:lineRule="auto"/>
              <w:ind w:left="471"/>
              <w:rPr>
                <w:rFonts w:ascii="Times New Roman" w:hAnsi="Times New Roman" w:eastAsia="Times New Roman" w:cs="Times New Roman"/>
                <w:sz w:val="21"/>
                <w:szCs w:val="21"/>
              </w:rPr>
            </w:pPr>
            <w:r>
              <w:rPr>
                <w:rFonts w:ascii="Times New Roman" w:hAnsi="Times New Roman" w:eastAsia="Times New Roman" w:cs="Times New Roman"/>
                <w:spacing w:val="-2"/>
                <w:sz w:val="21"/>
                <w:szCs w:val="21"/>
              </w:rPr>
              <w:t>9.68</w:t>
            </w:r>
          </w:p>
        </w:tc>
        <w:tc>
          <w:tcPr>
            <w:tcW w:w="1317" w:type="dxa"/>
            <w:vAlign w:val="top"/>
          </w:tcPr>
          <w:p w14:paraId="095DEE0A">
            <w:pPr>
              <w:spacing w:before="93" w:line="215" w:lineRule="auto"/>
              <w:ind w:left="286"/>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16685.22</w:t>
            </w:r>
          </w:p>
        </w:tc>
        <w:tc>
          <w:tcPr>
            <w:tcW w:w="1257" w:type="dxa"/>
            <w:vAlign w:val="top"/>
          </w:tcPr>
          <w:p w14:paraId="1609DE6B">
            <w:pPr>
              <w:spacing w:before="93" w:line="215" w:lineRule="auto"/>
              <w:ind w:left="362"/>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13.823</w:t>
            </w:r>
          </w:p>
        </w:tc>
        <w:tc>
          <w:tcPr>
            <w:tcW w:w="1404" w:type="dxa"/>
            <w:vAlign w:val="top"/>
          </w:tcPr>
          <w:p w14:paraId="7B73260C">
            <w:pPr>
              <w:spacing w:before="93" w:line="215" w:lineRule="auto"/>
              <w:ind w:left="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0.083</w:t>
            </w:r>
          </w:p>
        </w:tc>
      </w:tr>
      <w:tr w14:paraId="62BD30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7" w:hRule="atLeast"/>
        </w:trPr>
        <w:tc>
          <w:tcPr>
            <w:tcW w:w="1600" w:type="dxa"/>
            <w:vAlign w:val="top"/>
          </w:tcPr>
          <w:p w14:paraId="034EF3A6">
            <w:pPr>
              <w:pStyle w:val="6"/>
              <w:spacing w:before="54" w:line="221" w:lineRule="auto"/>
              <w:ind w:left="384"/>
            </w:pPr>
            <w:r>
              <w:rPr>
                <w:spacing w:val="-2"/>
              </w:rPr>
              <w:t>农业植被</w:t>
            </w:r>
          </w:p>
        </w:tc>
        <w:tc>
          <w:tcPr>
            <w:tcW w:w="1109" w:type="dxa"/>
            <w:vAlign w:val="top"/>
          </w:tcPr>
          <w:p w14:paraId="0C214686">
            <w:pPr>
              <w:spacing w:before="90" w:line="215" w:lineRule="auto"/>
              <w:ind w:left="26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309.06</w:t>
            </w:r>
          </w:p>
        </w:tc>
        <w:tc>
          <w:tcPr>
            <w:tcW w:w="1077" w:type="dxa"/>
            <w:vAlign w:val="top"/>
          </w:tcPr>
          <w:p w14:paraId="467FD0B3">
            <w:pPr>
              <w:spacing w:before="90" w:line="215" w:lineRule="auto"/>
              <w:ind w:left="250"/>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0.1040</w:t>
            </w:r>
          </w:p>
        </w:tc>
        <w:tc>
          <w:tcPr>
            <w:tcW w:w="1300" w:type="dxa"/>
            <w:vAlign w:val="top"/>
          </w:tcPr>
          <w:p w14:paraId="71459DBC">
            <w:pPr>
              <w:spacing w:before="90" w:line="215" w:lineRule="auto"/>
              <w:ind w:left="601"/>
              <w:rPr>
                <w:rFonts w:ascii="Times New Roman" w:hAnsi="Times New Roman" w:eastAsia="Times New Roman" w:cs="Times New Roman"/>
                <w:sz w:val="21"/>
                <w:szCs w:val="21"/>
              </w:rPr>
            </w:pPr>
            <w:r>
              <w:rPr>
                <w:rFonts w:ascii="Times New Roman" w:hAnsi="Times New Roman" w:eastAsia="Times New Roman" w:cs="Times New Roman"/>
                <w:sz w:val="21"/>
                <w:szCs w:val="21"/>
              </w:rPr>
              <w:t>6</w:t>
            </w:r>
          </w:p>
        </w:tc>
        <w:tc>
          <w:tcPr>
            <w:tcW w:w="1317" w:type="dxa"/>
            <w:vAlign w:val="top"/>
          </w:tcPr>
          <w:p w14:paraId="08A4381B">
            <w:pPr>
              <w:spacing w:before="90" w:line="215" w:lineRule="auto"/>
              <w:ind w:left="339"/>
              <w:rPr>
                <w:rFonts w:ascii="Times New Roman" w:hAnsi="Times New Roman" w:eastAsia="Times New Roman" w:cs="Times New Roman"/>
                <w:sz w:val="21"/>
                <w:szCs w:val="21"/>
              </w:rPr>
            </w:pPr>
            <w:r>
              <w:rPr>
                <w:rFonts w:ascii="Times New Roman" w:hAnsi="Times New Roman" w:eastAsia="Times New Roman" w:cs="Times New Roman"/>
                <w:spacing w:val="-4"/>
                <w:sz w:val="21"/>
                <w:szCs w:val="21"/>
              </w:rPr>
              <w:t>1854.36</w:t>
            </w:r>
          </w:p>
        </w:tc>
        <w:tc>
          <w:tcPr>
            <w:tcW w:w="1257" w:type="dxa"/>
            <w:vAlign w:val="top"/>
          </w:tcPr>
          <w:p w14:paraId="38EE45D6">
            <w:pPr>
              <w:spacing w:before="90" w:line="215" w:lineRule="auto"/>
              <w:ind w:left="397"/>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0.624</w:t>
            </w:r>
          </w:p>
        </w:tc>
        <w:tc>
          <w:tcPr>
            <w:tcW w:w="1404" w:type="dxa"/>
            <w:vAlign w:val="top"/>
          </w:tcPr>
          <w:p w14:paraId="7C71A05E">
            <w:pPr>
              <w:spacing w:before="90" w:line="215" w:lineRule="auto"/>
              <w:ind w:left="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0.034</w:t>
            </w:r>
          </w:p>
        </w:tc>
      </w:tr>
      <w:tr w14:paraId="4FB626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20" w:hRule="atLeast"/>
        </w:trPr>
        <w:tc>
          <w:tcPr>
            <w:tcW w:w="1600" w:type="dxa"/>
            <w:vAlign w:val="top"/>
          </w:tcPr>
          <w:p w14:paraId="65F3D28B">
            <w:pPr>
              <w:pStyle w:val="6"/>
              <w:spacing w:before="54" w:line="222" w:lineRule="auto"/>
              <w:ind w:left="596"/>
            </w:pPr>
            <w:r>
              <w:rPr>
                <w:spacing w:val="-2"/>
              </w:rPr>
              <w:t>合计</w:t>
            </w:r>
          </w:p>
        </w:tc>
        <w:tc>
          <w:tcPr>
            <w:tcW w:w="1109" w:type="dxa"/>
            <w:vAlign w:val="top"/>
          </w:tcPr>
          <w:p w14:paraId="32935933">
            <w:pPr>
              <w:spacing w:before="89" w:line="219" w:lineRule="auto"/>
              <w:ind w:left="21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2159.73</w:t>
            </w:r>
          </w:p>
        </w:tc>
        <w:tc>
          <w:tcPr>
            <w:tcW w:w="1077" w:type="dxa"/>
            <w:vAlign w:val="top"/>
          </w:tcPr>
          <w:p w14:paraId="7BFDF9F9">
            <w:pPr>
              <w:spacing w:before="89" w:line="219" w:lineRule="auto"/>
              <w:ind w:left="268"/>
              <w:rPr>
                <w:rFonts w:ascii="Times New Roman" w:hAnsi="Times New Roman" w:eastAsia="Times New Roman" w:cs="Times New Roman"/>
                <w:sz w:val="21"/>
                <w:szCs w:val="21"/>
              </w:rPr>
            </w:pPr>
            <w:r>
              <w:rPr>
                <w:rFonts w:ascii="Times New Roman" w:hAnsi="Times New Roman" w:eastAsia="Times New Roman" w:cs="Times New Roman"/>
                <w:spacing w:val="-3"/>
                <w:sz w:val="21"/>
                <w:szCs w:val="21"/>
              </w:rPr>
              <w:t>1.9426</w:t>
            </w:r>
          </w:p>
        </w:tc>
        <w:tc>
          <w:tcPr>
            <w:tcW w:w="1300" w:type="dxa"/>
            <w:vAlign w:val="top"/>
          </w:tcPr>
          <w:p w14:paraId="4B97DE6A">
            <w:pPr>
              <w:spacing w:before="89" w:line="219" w:lineRule="auto"/>
              <w:ind w:left="616"/>
              <w:rPr>
                <w:rFonts w:ascii="Times New Roman" w:hAnsi="Times New Roman" w:eastAsia="Times New Roman" w:cs="Times New Roman"/>
                <w:sz w:val="21"/>
                <w:szCs w:val="21"/>
              </w:rPr>
            </w:pPr>
            <w:r>
              <w:rPr>
                <w:rFonts w:ascii="Times New Roman" w:hAnsi="Times New Roman" w:eastAsia="Times New Roman" w:cs="Times New Roman"/>
                <w:sz w:val="21"/>
                <w:szCs w:val="21"/>
              </w:rPr>
              <w:t>/</w:t>
            </w:r>
          </w:p>
        </w:tc>
        <w:tc>
          <w:tcPr>
            <w:tcW w:w="1317" w:type="dxa"/>
            <w:vAlign w:val="top"/>
          </w:tcPr>
          <w:p w14:paraId="7A5FD75B">
            <w:pPr>
              <w:spacing w:before="89" w:line="219" w:lineRule="auto"/>
              <w:ind w:left="266"/>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22424.21</w:t>
            </w:r>
          </w:p>
        </w:tc>
        <w:tc>
          <w:tcPr>
            <w:tcW w:w="1257" w:type="dxa"/>
            <w:vAlign w:val="top"/>
          </w:tcPr>
          <w:p w14:paraId="3F1DF4D2">
            <w:pPr>
              <w:spacing w:before="89" w:line="219" w:lineRule="auto"/>
              <w:ind w:left="341"/>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27.155</w:t>
            </w:r>
          </w:p>
        </w:tc>
        <w:tc>
          <w:tcPr>
            <w:tcW w:w="1404" w:type="dxa"/>
            <w:vAlign w:val="top"/>
          </w:tcPr>
          <w:p w14:paraId="1DBFFD8F">
            <w:pPr>
              <w:spacing w:before="89" w:line="219" w:lineRule="auto"/>
              <w:ind w:left="468"/>
              <w:rPr>
                <w:rFonts w:ascii="Times New Roman" w:hAnsi="Times New Roman" w:eastAsia="Times New Roman" w:cs="Times New Roman"/>
                <w:sz w:val="21"/>
                <w:szCs w:val="21"/>
              </w:rPr>
            </w:pPr>
            <w:r>
              <w:rPr>
                <w:rFonts w:ascii="Times New Roman" w:hAnsi="Times New Roman" w:eastAsia="Times New Roman" w:cs="Times New Roman"/>
                <w:spacing w:val="-1"/>
                <w:sz w:val="21"/>
                <w:szCs w:val="21"/>
              </w:rPr>
              <w:t>0.121</w:t>
            </w:r>
          </w:p>
        </w:tc>
      </w:tr>
    </w:tbl>
    <w:p w14:paraId="57BA32A3">
      <w:pPr>
        <w:spacing w:before="115" w:line="233" w:lineRule="auto"/>
        <w:ind w:left="3"/>
        <w:rPr>
          <w:rFonts w:ascii="宋体" w:hAnsi="宋体" w:eastAsia="宋体" w:cs="宋体"/>
          <w:sz w:val="24"/>
          <w:szCs w:val="24"/>
        </w:rPr>
      </w:pPr>
      <w:r>
        <w:rPr>
          <w:rFonts w:ascii="Times New Roman" w:hAnsi="Times New Roman" w:eastAsia="Times New Roman" w:cs="Times New Roman"/>
          <w:b/>
          <w:bCs/>
          <w:spacing w:val="-2"/>
          <w:sz w:val="24"/>
          <w:szCs w:val="24"/>
        </w:rPr>
        <w:t xml:space="preserve">3.3.4 </w:t>
      </w:r>
      <w:r>
        <w:rPr>
          <w:rFonts w:ascii="宋体" w:hAnsi="宋体" w:eastAsia="宋体" w:cs="宋体"/>
          <w:b/>
          <w:bCs/>
          <w:spacing w:val="-2"/>
          <w:sz w:val="24"/>
          <w:szCs w:val="24"/>
        </w:rPr>
        <w:t>对珍稀植物及古树名木的影响</w:t>
      </w:r>
    </w:p>
    <w:p w14:paraId="59F1E196">
      <w:pPr>
        <w:spacing w:before="164" w:line="360" w:lineRule="auto"/>
        <w:ind w:left="9" w:right="87" w:firstLine="480"/>
        <w:rPr>
          <w:rFonts w:ascii="宋体" w:hAnsi="宋体" w:eastAsia="宋体" w:cs="宋体"/>
          <w:sz w:val="24"/>
          <w:szCs w:val="24"/>
        </w:rPr>
      </w:pPr>
      <w:r>
        <w:rPr>
          <w:rFonts w:ascii="宋体" w:hAnsi="宋体" w:eastAsia="宋体" w:cs="宋体"/>
          <w:spacing w:val="-2"/>
          <w:sz w:val="24"/>
          <w:szCs w:val="24"/>
        </w:rPr>
        <w:t>通过向林业部门了解和现场调查，项目评价区域多为云南松、华山松、次生林地和农业植被，且未发现珍稀保护植物和古树名</w:t>
      </w:r>
      <w:r>
        <w:rPr>
          <w:rFonts w:ascii="宋体" w:hAnsi="宋体" w:eastAsia="宋体" w:cs="宋体"/>
          <w:spacing w:val="-3"/>
          <w:sz w:val="24"/>
          <w:szCs w:val="24"/>
        </w:rPr>
        <w:t>木。</w:t>
      </w:r>
    </w:p>
    <w:p w14:paraId="0CA9D320">
      <w:pPr>
        <w:spacing w:line="360" w:lineRule="auto"/>
        <w:ind w:left="12" w:right="85" w:firstLine="477"/>
        <w:jc w:val="both"/>
        <w:rPr>
          <w:rFonts w:ascii="宋体" w:hAnsi="宋体" w:eastAsia="宋体" w:cs="宋体"/>
          <w:sz w:val="24"/>
          <w:szCs w:val="24"/>
        </w:rPr>
      </w:pPr>
      <w:r>
        <w:rPr>
          <w:rFonts w:ascii="宋体" w:hAnsi="宋体" w:eastAsia="宋体" w:cs="宋体"/>
          <w:spacing w:val="-2"/>
          <w:sz w:val="24"/>
          <w:szCs w:val="24"/>
        </w:rPr>
        <w:t>针对本次调查未发现但评价区内可能有分布的重要野生植物资源，为减少对工程建设可能产生的影响，本环评建议在施工前对施工人员进行相关知识的培训，提高施工人员对其的保护意识及鉴别能力，一旦施工中发现这些植物，应立即上报，并优先考虑予以避让，对确实不能避让的，需请专业技术人员对其进行移植，并保证其成活率。在采取以上措施的情况下，工程建设对重点保护植物的影响较小。</w:t>
      </w:r>
    </w:p>
    <w:p w14:paraId="3B622D22">
      <w:pPr>
        <w:spacing w:before="1" w:line="233" w:lineRule="auto"/>
        <w:ind w:left="3"/>
        <w:rPr>
          <w:rFonts w:ascii="宋体" w:hAnsi="宋体" w:eastAsia="宋体" w:cs="宋体"/>
          <w:sz w:val="24"/>
          <w:szCs w:val="24"/>
        </w:rPr>
      </w:pPr>
      <w:r>
        <w:rPr>
          <w:rFonts w:ascii="Times New Roman" w:hAnsi="Times New Roman" w:eastAsia="Times New Roman" w:cs="Times New Roman"/>
          <w:b/>
          <w:bCs/>
          <w:spacing w:val="-2"/>
          <w:sz w:val="24"/>
          <w:szCs w:val="24"/>
        </w:rPr>
        <w:t xml:space="preserve">3.3.5 </w:t>
      </w:r>
      <w:r>
        <w:rPr>
          <w:rFonts w:ascii="宋体" w:hAnsi="宋体" w:eastAsia="宋体" w:cs="宋体"/>
          <w:b/>
          <w:bCs/>
          <w:spacing w:val="-2"/>
          <w:sz w:val="24"/>
          <w:szCs w:val="24"/>
        </w:rPr>
        <w:t>项目对植被的影响小结</w:t>
      </w:r>
    </w:p>
    <w:p w14:paraId="0CFDCD9B">
      <w:pPr>
        <w:spacing w:before="165" w:line="234" w:lineRule="auto"/>
        <w:ind w:left="498"/>
        <w:rPr>
          <w:rFonts w:ascii="宋体" w:hAnsi="宋体" w:eastAsia="宋体" w:cs="宋体"/>
          <w:sz w:val="24"/>
          <w:szCs w:val="24"/>
        </w:rPr>
      </w:pPr>
      <w:r>
        <w:rPr>
          <w:rFonts w:ascii="宋体" w:hAnsi="宋体" w:eastAsia="宋体" w:cs="宋体"/>
          <w:b/>
          <w:bCs/>
          <w:spacing w:val="-7"/>
          <w:sz w:val="24"/>
          <w:szCs w:val="24"/>
        </w:rPr>
        <w:t>（</w:t>
      </w:r>
      <w:r>
        <w:rPr>
          <w:rFonts w:ascii="Times New Roman" w:hAnsi="Times New Roman" w:eastAsia="Times New Roman" w:cs="Times New Roman"/>
          <w:b/>
          <w:bCs/>
          <w:spacing w:val="-7"/>
          <w:sz w:val="24"/>
          <w:szCs w:val="24"/>
        </w:rPr>
        <w:t>1</w:t>
      </w:r>
      <w:r>
        <w:rPr>
          <w:rFonts w:ascii="宋体" w:hAnsi="宋体" w:eastAsia="宋体" w:cs="宋体"/>
          <w:b/>
          <w:bCs/>
          <w:spacing w:val="-7"/>
          <w:sz w:val="24"/>
          <w:szCs w:val="24"/>
        </w:rPr>
        <w:t>）施工期</w:t>
      </w:r>
    </w:p>
    <w:p w14:paraId="789474DA">
      <w:pPr>
        <w:spacing w:before="163" w:line="360" w:lineRule="auto"/>
        <w:ind w:left="7" w:right="85" w:firstLine="485"/>
        <w:jc w:val="both"/>
        <w:rPr>
          <w:rFonts w:ascii="宋体" w:hAnsi="宋体" w:eastAsia="宋体" w:cs="宋体"/>
          <w:sz w:val="24"/>
          <w:szCs w:val="24"/>
        </w:rPr>
      </w:pPr>
      <w:r>
        <w:rPr>
          <w:rFonts w:ascii="宋体" w:hAnsi="宋体" w:eastAsia="宋体" w:cs="宋体"/>
          <w:spacing w:val="-2"/>
          <w:sz w:val="24"/>
          <w:szCs w:val="24"/>
        </w:rPr>
        <w:t>项目占地包括永久占地和临时占地，将导致陆生植物分布面积的减少，永久占地处</w:t>
      </w:r>
      <w:r>
        <w:rPr>
          <w:rFonts w:ascii="宋体" w:hAnsi="宋体" w:eastAsia="宋体" w:cs="宋体"/>
          <w:spacing w:val="-6"/>
          <w:sz w:val="24"/>
          <w:szCs w:val="24"/>
        </w:rPr>
        <w:t>植被主要为林地、灌草丛和耕地，</w:t>
      </w:r>
      <w:r>
        <w:rPr>
          <w:rFonts w:ascii="宋体" w:hAnsi="宋体" w:eastAsia="宋体" w:cs="宋体"/>
          <w:spacing w:val="51"/>
          <w:sz w:val="24"/>
          <w:szCs w:val="24"/>
        </w:rPr>
        <w:t xml:space="preserve"> </w:t>
      </w:r>
      <w:r>
        <w:rPr>
          <w:rFonts w:ascii="宋体" w:hAnsi="宋体" w:eastAsia="宋体" w:cs="宋体"/>
          <w:spacing w:val="-6"/>
          <w:sz w:val="24"/>
          <w:szCs w:val="24"/>
        </w:rPr>
        <w:t>林地较少，对植被的影响较小。临时占地施工结束后</w:t>
      </w:r>
      <w:r>
        <w:rPr>
          <w:rFonts w:ascii="宋体" w:hAnsi="宋体" w:eastAsia="宋体" w:cs="宋体"/>
          <w:spacing w:val="-1"/>
          <w:sz w:val="24"/>
          <w:szCs w:val="24"/>
        </w:rPr>
        <w:t>进行生态恢复，对植被的破坏是短暂的，并随施工</w:t>
      </w:r>
      <w:r>
        <w:rPr>
          <w:rFonts w:ascii="宋体" w:hAnsi="宋体" w:eastAsia="宋体" w:cs="宋体"/>
          <w:spacing w:val="-2"/>
          <w:sz w:val="24"/>
          <w:szCs w:val="24"/>
        </w:rPr>
        <w:t>期的结束而逐步恢复。</w:t>
      </w:r>
    </w:p>
    <w:p w14:paraId="09083829">
      <w:pPr>
        <w:spacing w:before="1" w:line="360" w:lineRule="auto"/>
        <w:ind w:left="8" w:firstLine="480"/>
        <w:jc w:val="both"/>
        <w:rPr>
          <w:rFonts w:ascii="宋体" w:hAnsi="宋体" w:eastAsia="宋体" w:cs="宋体"/>
          <w:sz w:val="24"/>
          <w:szCs w:val="24"/>
        </w:rPr>
      </w:pPr>
      <w:r>
        <w:rPr>
          <w:rFonts w:ascii="宋体" w:hAnsi="宋体" w:eastAsia="宋体" w:cs="宋体"/>
          <w:spacing w:val="-2"/>
          <w:sz w:val="24"/>
          <w:szCs w:val="24"/>
        </w:rPr>
        <w:t>输电线路施工过程中如铁塔基础开挖、建筑材料堆放等将对评价区内的植物资源产</w:t>
      </w:r>
      <w:r>
        <w:rPr>
          <w:rFonts w:ascii="宋体" w:hAnsi="宋体" w:eastAsia="宋体" w:cs="宋体"/>
          <w:spacing w:val="-5"/>
          <w:sz w:val="24"/>
          <w:szCs w:val="24"/>
        </w:rPr>
        <w:t>生影响。本工程占用的植被均为区域植被中常见</w:t>
      </w:r>
      <w:r>
        <w:rPr>
          <w:rFonts w:ascii="宋体" w:hAnsi="宋体" w:eastAsia="宋体" w:cs="宋体"/>
          <w:spacing w:val="-6"/>
          <w:sz w:val="24"/>
          <w:szCs w:val="24"/>
        </w:rPr>
        <w:t>的种类和优势种，它们在评价区分布广、</w:t>
      </w:r>
      <w:r>
        <w:rPr>
          <w:rFonts w:ascii="宋体" w:hAnsi="宋体" w:eastAsia="宋体" w:cs="宋体"/>
          <w:spacing w:val="-2"/>
          <w:sz w:val="24"/>
          <w:szCs w:val="24"/>
        </w:rPr>
        <w:t>资源丰富，且本工程砍伐量相对较少，故对植物资源的影响只是一些数量上的减少，不</w:t>
      </w:r>
      <w:r>
        <w:rPr>
          <w:rFonts w:ascii="宋体" w:hAnsi="宋体" w:eastAsia="宋体" w:cs="宋体"/>
          <w:spacing w:val="-1"/>
          <w:sz w:val="24"/>
          <w:szCs w:val="24"/>
        </w:rPr>
        <w:t>会对它们的生存和繁衍造成威胁，也不会降</w:t>
      </w:r>
      <w:r>
        <w:rPr>
          <w:rFonts w:ascii="宋体" w:hAnsi="宋体" w:eastAsia="宋体" w:cs="宋体"/>
          <w:spacing w:val="-2"/>
          <w:sz w:val="24"/>
          <w:szCs w:val="24"/>
        </w:rPr>
        <w:t>低区域植物物种的多样性。</w:t>
      </w:r>
    </w:p>
    <w:p w14:paraId="4A1DD4CC">
      <w:pPr>
        <w:spacing w:line="360" w:lineRule="auto"/>
        <w:ind w:left="8" w:firstLine="481"/>
        <w:jc w:val="both"/>
        <w:rPr>
          <w:rFonts w:ascii="宋体" w:hAnsi="宋体" w:eastAsia="宋体" w:cs="宋体"/>
          <w:sz w:val="24"/>
          <w:szCs w:val="24"/>
        </w:rPr>
      </w:pPr>
      <w:r>
        <w:rPr>
          <w:rFonts w:ascii="宋体" w:hAnsi="宋体" w:eastAsia="宋体" w:cs="宋体"/>
          <w:spacing w:val="-6"/>
          <w:sz w:val="24"/>
          <w:szCs w:val="24"/>
        </w:rPr>
        <w:t>本工程设计对避不开的片林，采用高跨方式通过，最大程度地减少了对植被的影响。铁塔一般是立在山腰、山脊或山顶，</w:t>
      </w:r>
      <w:r>
        <w:rPr>
          <w:rFonts w:ascii="宋体" w:hAnsi="宋体" w:eastAsia="宋体" w:cs="宋体"/>
          <w:spacing w:val="-60"/>
          <w:sz w:val="24"/>
          <w:szCs w:val="24"/>
        </w:rPr>
        <w:t xml:space="preserve"> </w:t>
      </w:r>
      <w:r>
        <w:rPr>
          <w:rFonts w:ascii="宋体" w:hAnsi="宋体" w:eastAsia="宋体" w:cs="宋体"/>
          <w:spacing w:val="-6"/>
          <w:sz w:val="24"/>
          <w:szCs w:val="24"/>
        </w:rPr>
        <w:t>两塔之间的树木顶端距离输电导线 相对高差大，一</w:t>
      </w:r>
      <w:r>
        <w:rPr>
          <w:rFonts w:ascii="宋体" w:hAnsi="宋体" w:eastAsia="宋体" w:cs="宋体"/>
          <w:spacing w:val="-2"/>
          <w:sz w:val="24"/>
          <w:szCs w:val="24"/>
        </w:rPr>
        <w:t>般不需砍伐通道，需砍伐的仅是林区塔基及塔基施工临时占地处的乔灌木，不会造成大</w:t>
      </w:r>
      <w:r>
        <w:rPr>
          <w:rFonts w:ascii="宋体" w:hAnsi="宋体" w:eastAsia="宋体" w:cs="宋体"/>
          <w:spacing w:val="-1"/>
          <w:sz w:val="24"/>
          <w:szCs w:val="24"/>
        </w:rPr>
        <w:t>幅度的森林面积、森林蓄积量和生物量的减少，也不会使地带</w:t>
      </w:r>
      <w:r>
        <w:rPr>
          <w:rFonts w:ascii="宋体" w:hAnsi="宋体" w:eastAsia="宋体" w:cs="宋体"/>
          <w:spacing w:val="-2"/>
          <w:sz w:val="24"/>
          <w:szCs w:val="24"/>
        </w:rPr>
        <w:t>性植被发生改变。</w:t>
      </w:r>
    </w:p>
    <w:p w14:paraId="22451028">
      <w:pPr>
        <w:spacing w:line="234" w:lineRule="auto"/>
        <w:ind w:left="498"/>
        <w:rPr>
          <w:rFonts w:ascii="宋体" w:hAnsi="宋体" w:eastAsia="宋体" w:cs="宋体"/>
          <w:sz w:val="24"/>
          <w:szCs w:val="24"/>
        </w:rPr>
      </w:pPr>
      <w:r>
        <w:rPr>
          <w:rFonts w:ascii="宋体" w:hAnsi="宋体" w:eastAsia="宋体" w:cs="宋体"/>
          <w:b/>
          <w:bCs/>
          <w:spacing w:val="-7"/>
          <w:sz w:val="24"/>
          <w:szCs w:val="24"/>
        </w:rPr>
        <w:t>（</w:t>
      </w:r>
      <w:r>
        <w:rPr>
          <w:rFonts w:ascii="Times New Roman" w:hAnsi="Times New Roman" w:eastAsia="Times New Roman" w:cs="Times New Roman"/>
          <w:b/>
          <w:bCs/>
          <w:spacing w:val="-7"/>
          <w:sz w:val="24"/>
          <w:szCs w:val="24"/>
        </w:rPr>
        <w:t>2</w:t>
      </w:r>
      <w:r>
        <w:rPr>
          <w:rFonts w:ascii="宋体" w:hAnsi="宋体" w:eastAsia="宋体" w:cs="宋体"/>
          <w:b/>
          <w:bCs/>
          <w:spacing w:val="-7"/>
          <w:sz w:val="24"/>
          <w:szCs w:val="24"/>
        </w:rPr>
        <w:t>）运行期</w:t>
      </w:r>
    </w:p>
    <w:p w14:paraId="0981EE41">
      <w:pPr>
        <w:spacing w:before="165" w:line="357" w:lineRule="auto"/>
        <w:ind w:left="12" w:right="84" w:firstLine="476"/>
        <w:jc w:val="both"/>
        <w:rPr>
          <w:rFonts w:ascii="宋体" w:hAnsi="宋体" w:eastAsia="宋体" w:cs="宋体"/>
          <w:sz w:val="24"/>
          <w:szCs w:val="24"/>
        </w:rPr>
      </w:pPr>
      <w:r>
        <w:rPr>
          <w:rFonts w:ascii="宋体" w:hAnsi="宋体" w:eastAsia="宋体" w:cs="宋体"/>
          <w:spacing w:val="-6"/>
          <w:sz w:val="24"/>
          <w:szCs w:val="24"/>
        </w:rPr>
        <w:t>输变电工程在运行期内，对森林、灌丛、草地植被及植物</w:t>
      </w:r>
      <w:r>
        <w:rPr>
          <w:rFonts w:ascii="宋体" w:hAnsi="宋体" w:eastAsia="宋体" w:cs="宋体"/>
          <w:spacing w:val="-7"/>
          <w:sz w:val="24"/>
          <w:szCs w:val="24"/>
        </w:rPr>
        <w:t>资源没有影响，</w:t>
      </w:r>
      <w:r>
        <w:rPr>
          <w:rFonts w:ascii="宋体" w:hAnsi="宋体" w:eastAsia="宋体" w:cs="宋体"/>
          <w:spacing w:val="49"/>
          <w:sz w:val="24"/>
          <w:szCs w:val="24"/>
        </w:rPr>
        <w:t xml:space="preserve"> </w:t>
      </w:r>
      <w:r>
        <w:rPr>
          <w:rFonts w:ascii="宋体" w:hAnsi="宋体" w:eastAsia="宋体" w:cs="宋体"/>
          <w:spacing w:val="-7"/>
          <w:sz w:val="24"/>
          <w:szCs w:val="24"/>
        </w:rPr>
        <w:t>但需对导</w:t>
      </w:r>
      <w:r>
        <w:rPr>
          <w:rFonts w:ascii="宋体" w:hAnsi="宋体" w:eastAsia="宋体" w:cs="宋体"/>
          <w:sz w:val="24"/>
          <w:szCs w:val="24"/>
        </w:rPr>
        <w:t>线下方与树木垂直距离小于</w:t>
      </w:r>
      <w:r>
        <w:rPr>
          <w:rFonts w:ascii="宋体" w:hAnsi="宋体" w:eastAsia="宋体" w:cs="宋体"/>
          <w:spacing w:val="-53"/>
          <w:sz w:val="24"/>
          <w:szCs w:val="24"/>
        </w:rPr>
        <w:t xml:space="preserve"> </w:t>
      </w:r>
      <w:r>
        <w:rPr>
          <w:rFonts w:ascii="Times New Roman" w:hAnsi="Times New Roman" w:eastAsia="Times New Roman" w:cs="Times New Roman"/>
          <w:sz w:val="24"/>
          <w:szCs w:val="24"/>
        </w:rPr>
        <w:t xml:space="preserve">4m </w:t>
      </w:r>
      <w:r>
        <w:rPr>
          <w:rFonts w:ascii="宋体" w:hAnsi="宋体" w:eastAsia="宋体" w:cs="宋体"/>
          <w:sz w:val="24"/>
          <w:szCs w:val="24"/>
        </w:rPr>
        <w:t>树木的树冠进行定期</w:t>
      </w:r>
      <w:r>
        <w:rPr>
          <w:rFonts w:ascii="宋体" w:hAnsi="宋体" w:eastAsia="宋体" w:cs="宋体"/>
          <w:spacing w:val="-1"/>
          <w:sz w:val="24"/>
          <w:szCs w:val="24"/>
        </w:rPr>
        <w:t>修剪，保证输电导线与林区树木之</w:t>
      </w:r>
      <w:r>
        <w:rPr>
          <w:rFonts w:ascii="宋体" w:hAnsi="宋体" w:eastAsia="宋体" w:cs="宋体"/>
          <w:spacing w:val="-2"/>
          <w:sz w:val="24"/>
          <w:szCs w:val="24"/>
        </w:rPr>
        <w:t>间一定的垂直距离，以满足输电线路正常运行的需要。</w:t>
      </w:r>
    </w:p>
    <w:p w14:paraId="7A933A23">
      <w:pPr>
        <w:spacing w:before="10" w:line="362" w:lineRule="auto"/>
        <w:ind w:left="8" w:right="13" w:firstLine="481"/>
        <w:rPr>
          <w:rFonts w:ascii="宋体" w:hAnsi="宋体" w:eastAsia="宋体" w:cs="宋体"/>
          <w:sz w:val="24"/>
          <w:szCs w:val="24"/>
        </w:rPr>
      </w:pPr>
      <w:r>
        <w:rPr>
          <w:rFonts w:ascii="宋体" w:hAnsi="宋体" w:eastAsia="宋体" w:cs="宋体"/>
          <w:sz w:val="24"/>
          <w:szCs w:val="24"/>
        </w:rPr>
        <w:t>本项目输电线路林区采取高跨方式通过，同时由于本项目线路大部分位于山地区，</w:t>
      </w:r>
      <w:r>
        <w:rPr>
          <w:rFonts w:ascii="宋体" w:hAnsi="宋体" w:eastAsia="宋体" w:cs="宋体"/>
          <w:spacing w:val="-6"/>
          <w:sz w:val="24"/>
          <w:szCs w:val="24"/>
        </w:rPr>
        <w:t>铁塔塔位一般选择在山腰、山脊或山顶，</w:t>
      </w:r>
      <w:r>
        <w:rPr>
          <w:rFonts w:ascii="宋体" w:hAnsi="宋体" w:eastAsia="宋体" w:cs="宋体"/>
          <w:spacing w:val="50"/>
          <w:sz w:val="24"/>
          <w:szCs w:val="24"/>
        </w:rPr>
        <w:t xml:space="preserve"> </w:t>
      </w:r>
      <w:r>
        <w:rPr>
          <w:rFonts w:ascii="宋体" w:hAnsi="宋体" w:eastAsia="宋体" w:cs="宋体"/>
          <w:spacing w:val="-6"/>
          <w:sz w:val="24"/>
          <w:szCs w:val="24"/>
        </w:rPr>
        <w:t>利用有利地形形成的高差原因，导线最大弧垂</w:t>
      </w:r>
    </w:p>
    <w:p w14:paraId="0EB4E0DE">
      <w:pPr>
        <w:spacing w:line="362" w:lineRule="auto"/>
        <w:rPr>
          <w:rFonts w:ascii="宋体" w:hAnsi="宋体" w:eastAsia="宋体" w:cs="宋体"/>
          <w:sz w:val="24"/>
          <w:szCs w:val="24"/>
        </w:rPr>
        <w:sectPr>
          <w:footerReference r:id="rId187" w:type="default"/>
          <w:pgSz w:w="11907" w:h="16841"/>
          <w:pgMar w:top="400" w:right="1330" w:bottom="1126" w:left="1418" w:header="0" w:footer="925" w:gutter="0"/>
          <w:cols w:space="720" w:num="1"/>
        </w:sectPr>
      </w:pPr>
    </w:p>
    <w:p w14:paraId="43E54B88">
      <w:pPr>
        <w:spacing w:line="248" w:lineRule="auto"/>
        <w:rPr>
          <w:rFonts w:ascii="Arial"/>
          <w:sz w:val="21"/>
        </w:rPr>
      </w:pPr>
    </w:p>
    <w:p w14:paraId="017847B0">
      <w:pPr>
        <w:spacing w:line="248" w:lineRule="auto"/>
        <w:rPr>
          <w:rFonts w:ascii="Arial"/>
          <w:sz w:val="21"/>
        </w:rPr>
      </w:pPr>
    </w:p>
    <w:p w14:paraId="5DA43CAE">
      <w:pPr>
        <w:spacing w:line="248" w:lineRule="auto"/>
        <w:rPr>
          <w:rFonts w:ascii="Arial"/>
          <w:sz w:val="21"/>
        </w:rPr>
      </w:pPr>
    </w:p>
    <w:p w14:paraId="6772A6F1">
      <w:pPr>
        <w:spacing w:line="249" w:lineRule="auto"/>
        <w:rPr>
          <w:rFonts w:ascii="Arial"/>
          <w:sz w:val="21"/>
        </w:rPr>
      </w:pPr>
    </w:p>
    <w:p w14:paraId="262C7C0C">
      <w:pPr>
        <w:spacing w:line="249" w:lineRule="auto"/>
        <w:rPr>
          <w:rFonts w:ascii="Arial"/>
          <w:sz w:val="21"/>
        </w:rPr>
      </w:pPr>
    </w:p>
    <w:p w14:paraId="65847419">
      <w:pPr>
        <w:spacing w:before="78" w:line="360" w:lineRule="auto"/>
        <w:ind w:left="4" w:right="65"/>
        <w:jc w:val="both"/>
        <w:rPr>
          <w:rFonts w:ascii="宋体" w:hAnsi="宋体" w:eastAsia="宋体" w:cs="宋体"/>
          <w:sz w:val="24"/>
          <w:szCs w:val="24"/>
        </w:rPr>
      </w:pPr>
      <w:r>
        <w:rPr>
          <w:rFonts w:ascii="宋体" w:hAnsi="宋体" w:eastAsia="宋体" w:cs="宋体"/>
          <w:spacing w:val="-1"/>
          <w:sz w:val="24"/>
          <w:szCs w:val="24"/>
        </w:rPr>
        <w:t>对主要乔木的自然生长高度的垂直距离一般可超过</w:t>
      </w:r>
      <w:r>
        <w:rPr>
          <w:rFonts w:ascii="宋体" w:hAnsi="宋体" w:eastAsia="宋体" w:cs="宋体"/>
          <w:spacing w:val="-53"/>
          <w:sz w:val="24"/>
          <w:szCs w:val="24"/>
        </w:rPr>
        <w:t xml:space="preserve"> </w:t>
      </w:r>
      <w:r>
        <w:rPr>
          <w:rFonts w:ascii="Times New Roman" w:hAnsi="Times New Roman" w:eastAsia="Times New Roman" w:cs="Times New Roman"/>
          <w:spacing w:val="-1"/>
          <w:sz w:val="24"/>
          <w:szCs w:val="24"/>
        </w:rPr>
        <w:t>4m</w:t>
      </w:r>
      <w:r>
        <w:rPr>
          <w:rFonts w:ascii="Times New Roman" w:hAnsi="Times New Roman" w:eastAsia="Times New Roman" w:cs="Times New Roman"/>
          <w:spacing w:val="32"/>
          <w:w w:val="101"/>
          <w:sz w:val="24"/>
          <w:szCs w:val="24"/>
        </w:rPr>
        <w:t xml:space="preserve"> </w:t>
      </w:r>
      <w:r>
        <w:rPr>
          <w:rFonts w:ascii="宋体" w:hAnsi="宋体" w:eastAsia="宋体" w:cs="宋体"/>
          <w:spacing w:val="-1"/>
          <w:sz w:val="24"/>
          <w:szCs w:val="24"/>
        </w:rPr>
        <w:t>的安全要求，运行期</w:t>
      </w:r>
      <w:r>
        <w:rPr>
          <w:rFonts w:ascii="宋体" w:hAnsi="宋体" w:eastAsia="宋体" w:cs="宋体"/>
          <w:spacing w:val="-2"/>
          <w:sz w:val="24"/>
          <w:szCs w:val="24"/>
        </w:rPr>
        <w:t>不需要大量</w:t>
      </w:r>
      <w:r>
        <w:rPr>
          <w:rFonts w:ascii="宋体" w:hAnsi="宋体" w:eastAsia="宋体" w:cs="宋体"/>
          <w:spacing w:val="-6"/>
          <w:sz w:val="24"/>
          <w:szCs w:val="24"/>
        </w:rPr>
        <w:t>砍伐线路走廊下方的乔木，仅需对少数特别高大的乔木的树冠顶端进行修剪。因此，</w:t>
      </w:r>
      <w:r>
        <w:rPr>
          <w:rFonts w:ascii="宋体" w:hAnsi="宋体" w:eastAsia="宋体" w:cs="宋体"/>
          <w:spacing w:val="47"/>
          <w:sz w:val="24"/>
          <w:szCs w:val="24"/>
        </w:rPr>
        <w:t xml:space="preserve"> </w:t>
      </w:r>
      <w:r>
        <w:rPr>
          <w:rFonts w:ascii="宋体" w:hAnsi="宋体" w:eastAsia="宋体" w:cs="宋体"/>
          <w:spacing w:val="-6"/>
          <w:sz w:val="24"/>
          <w:szCs w:val="24"/>
        </w:rPr>
        <w:t>运</w:t>
      </w:r>
      <w:r>
        <w:rPr>
          <w:rFonts w:ascii="宋体" w:hAnsi="宋体" w:eastAsia="宋体" w:cs="宋体"/>
          <w:spacing w:val="-2"/>
          <w:sz w:val="24"/>
          <w:szCs w:val="24"/>
        </w:rPr>
        <w:t>行期需砍伐树木的量很少，主要为定期的少量修剪，故对森林植物群落组成和结构影响</w:t>
      </w:r>
      <w:r>
        <w:rPr>
          <w:rFonts w:ascii="宋体" w:hAnsi="宋体" w:eastAsia="宋体" w:cs="宋体"/>
          <w:spacing w:val="-3"/>
          <w:sz w:val="24"/>
          <w:szCs w:val="24"/>
        </w:rPr>
        <w:t>微弱，不会促使植物群落的演替发生改变。</w:t>
      </w:r>
    </w:p>
    <w:p w14:paraId="27F13A16">
      <w:pPr>
        <w:spacing w:before="2" w:line="233" w:lineRule="auto"/>
        <w:ind w:left="494"/>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3</w:t>
      </w:r>
      <w:r>
        <w:rPr>
          <w:rFonts w:ascii="宋体" w:hAnsi="宋体" w:eastAsia="宋体" w:cs="宋体"/>
          <w:b/>
          <w:bCs/>
          <w:spacing w:val="-4"/>
          <w:sz w:val="24"/>
          <w:szCs w:val="24"/>
        </w:rPr>
        <w:t>）植被生物量的损失影响</w:t>
      </w:r>
    </w:p>
    <w:p w14:paraId="13ED8B87">
      <w:pPr>
        <w:spacing w:before="164" w:line="351" w:lineRule="auto"/>
        <w:ind w:left="44" w:firstLine="443"/>
        <w:rPr>
          <w:rFonts w:ascii="宋体" w:hAnsi="宋体" w:eastAsia="宋体" w:cs="宋体"/>
          <w:sz w:val="24"/>
          <w:szCs w:val="24"/>
        </w:rPr>
      </w:pPr>
      <w:r>
        <w:rPr>
          <w:rFonts w:ascii="宋体" w:hAnsi="宋体" w:eastAsia="宋体" w:cs="宋体"/>
          <w:spacing w:val="-3"/>
          <w:sz w:val="24"/>
          <w:szCs w:val="24"/>
        </w:rPr>
        <w:t xml:space="preserve">工程造成生态保护内生物量实际损失为 </w:t>
      </w:r>
      <w:r>
        <w:rPr>
          <w:rFonts w:ascii="Times New Roman" w:hAnsi="Times New Roman" w:eastAsia="Times New Roman" w:cs="Times New Roman"/>
          <w:spacing w:val="-3"/>
          <w:sz w:val="24"/>
          <w:szCs w:val="24"/>
        </w:rPr>
        <w:t>17.44t</w:t>
      </w:r>
      <w:r>
        <w:rPr>
          <w:rFonts w:ascii="宋体" w:hAnsi="宋体" w:eastAsia="宋体" w:cs="宋体"/>
          <w:spacing w:val="-3"/>
          <w:sz w:val="24"/>
          <w:szCs w:val="24"/>
        </w:rPr>
        <w:t>，占整个评价区生物总</w:t>
      </w:r>
      <w:r>
        <w:rPr>
          <w:rFonts w:ascii="宋体" w:hAnsi="宋体" w:eastAsia="宋体" w:cs="宋体"/>
          <w:spacing w:val="-4"/>
          <w:sz w:val="24"/>
          <w:szCs w:val="24"/>
        </w:rPr>
        <w:t xml:space="preserve">量的 </w:t>
      </w:r>
      <w:r>
        <w:rPr>
          <w:rFonts w:ascii="Times New Roman" w:hAnsi="Times New Roman" w:eastAsia="Times New Roman" w:cs="Times New Roman"/>
          <w:spacing w:val="-4"/>
          <w:sz w:val="24"/>
          <w:szCs w:val="24"/>
        </w:rPr>
        <w:t>0.085%</w:t>
      </w:r>
      <w:r>
        <w:rPr>
          <w:rFonts w:ascii="宋体" w:hAnsi="宋体" w:eastAsia="宋体" w:cs="宋体"/>
          <w:spacing w:val="-4"/>
          <w:sz w:val="24"/>
          <w:szCs w:val="24"/>
        </w:rPr>
        <w:t>，</w:t>
      </w:r>
      <w:r>
        <w:rPr>
          <w:rFonts w:ascii="宋体" w:hAnsi="宋体" w:eastAsia="宋体" w:cs="宋体"/>
          <w:spacing w:val="-3"/>
          <w:sz w:val="24"/>
          <w:szCs w:val="24"/>
        </w:rPr>
        <w:t>占比极小，因此，本工程对评价区内植被生物量的影响很小。</w:t>
      </w:r>
    </w:p>
    <w:p w14:paraId="65F23AF7">
      <w:pPr>
        <w:spacing w:before="24" w:line="233" w:lineRule="auto"/>
        <w:ind w:left="494"/>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4</w:t>
      </w:r>
      <w:r>
        <w:rPr>
          <w:rFonts w:ascii="宋体" w:hAnsi="宋体" w:eastAsia="宋体" w:cs="宋体"/>
          <w:b/>
          <w:bCs/>
          <w:spacing w:val="-4"/>
          <w:sz w:val="24"/>
          <w:szCs w:val="24"/>
        </w:rPr>
        <w:t>）对珍稀植物及古树名木的影响</w:t>
      </w:r>
    </w:p>
    <w:p w14:paraId="7FFE364F">
      <w:pPr>
        <w:spacing w:before="170" w:line="360" w:lineRule="auto"/>
        <w:ind w:left="4" w:right="64" w:firstLine="480"/>
        <w:jc w:val="both"/>
        <w:rPr>
          <w:rFonts w:ascii="宋体" w:hAnsi="宋体" w:eastAsia="宋体" w:cs="宋体"/>
          <w:sz w:val="24"/>
          <w:szCs w:val="24"/>
        </w:rPr>
      </w:pPr>
      <w:r>
        <w:rPr>
          <w:rFonts w:ascii="宋体" w:hAnsi="宋体" w:eastAsia="宋体" w:cs="宋体"/>
          <w:spacing w:val="-2"/>
          <w:sz w:val="24"/>
          <w:szCs w:val="24"/>
        </w:rPr>
        <w:t>通过对向林业部门了解和现场调查，项目评价区域多为云南松林、华山松林、次生</w:t>
      </w:r>
      <w:r>
        <w:rPr>
          <w:rFonts w:ascii="宋体" w:hAnsi="宋体" w:eastAsia="宋体" w:cs="宋体"/>
          <w:spacing w:val="-6"/>
          <w:sz w:val="24"/>
          <w:szCs w:val="24"/>
        </w:rPr>
        <w:t>林地和农业植被，调查中未发现重点保护野生植物及古树名木。但因调查时间有限，</w:t>
      </w:r>
      <w:r>
        <w:rPr>
          <w:rFonts w:ascii="宋体" w:hAnsi="宋体" w:eastAsia="宋体" w:cs="宋体"/>
          <w:spacing w:val="48"/>
          <w:sz w:val="24"/>
          <w:szCs w:val="24"/>
        </w:rPr>
        <w:t xml:space="preserve"> </w:t>
      </w:r>
      <w:r>
        <w:rPr>
          <w:rFonts w:ascii="宋体" w:hAnsi="宋体" w:eastAsia="宋体" w:cs="宋体"/>
          <w:spacing w:val="-6"/>
          <w:sz w:val="24"/>
          <w:szCs w:val="24"/>
        </w:rPr>
        <w:t>且</w:t>
      </w:r>
      <w:r>
        <w:rPr>
          <w:rFonts w:ascii="宋体" w:hAnsi="宋体" w:eastAsia="宋体" w:cs="宋体"/>
          <w:spacing w:val="-2"/>
          <w:sz w:val="24"/>
          <w:szCs w:val="24"/>
        </w:rPr>
        <w:t>由于一些地形因素，不排除在拟建项目征地范围内存在零星分布的其他国家重点保护野</w:t>
      </w:r>
      <w:r>
        <w:rPr>
          <w:rFonts w:ascii="宋体" w:hAnsi="宋体" w:eastAsia="宋体" w:cs="宋体"/>
          <w:spacing w:val="-5"/>
          <w:sz w:val="24"/>
          <w:szCs w:val="24"/>
        </w:rPr>
        <w:t>生植物的可能性。因此， 针对本次调查未发现但评价区内可能有分布的重要野生植物资</w:t>
      </w:r>
      <w:r>
        <w:rPr>
          <w:rFonts w:ascii="宋体" w:hAnsi="宋体" w:eastAsia="宋体" w:cs="宋体"/>
          <w:spacing w:val="-2"/>
          <w:sz w:val="24"/>
          <w:szCs w:val="24"/>
        </w:rPr>
        <w:t>源，为减少对工程建设可能产生的影响，本环评建议在施工前对施工人员进行相关知识的培训，提高施工人员对其的保护意识及鉴别能力，一旦施工中发现这些植物，应立即</w:t>
      </w:r>
      <w:r>
        <w:rPr>
          <w:rFonts w:ascii="宋体" w:hAnsi="宋体" w:eastAsia="宋体" w:cs="宋体"/>
          <w:spacing w:val="-1"/>
          <w:sz w:val="24"/>
          <w:szCs w:val="24"/>
        </w:rPr>
        <w:t>上报，并优先考虑予以避让，对确实不能避让</w:t>
      </w:r>
      <w:r>
        <w:rPr>
          <w:rFonts w:ascii="宋体" w:hAnsi="宋体" w:eastAsia="宋体" w:cs="宋体"/>
          <w:spacing w:val="-2"/>
          <w:sz w:val="24"/>
          <w:szCs w:val="24"/>
        </w:rPr>
        <w:t>的，需请专业技术人员对其进行移植，并</w:t>
      </w:r>
      <w:r>
        <w:rPr>
          <w:rFonts w:ascii="宋体" w:hAnsi="宋体" w:eastAsia="宋体" w:cs="宋体"/>
          <w:spacing w:val="-1"/>
          <w:sz w:val="24"/>
          <w:szCs w:val="24"/>
        </w:rPr>
        <w:t>保证其成活率。在采取以上措施的情况下，工程建设对重点保护植</w:t>
      </w:r>
      <w:r>
        <w:rPr>
          <w:rFonts w:ascii="宋体" w:hAnsi="宋体" w:eastAsia="宋体" w:cs="宋体"/>
          <w:spacing w:val="-2"/>
          <w:sz w:val="24"/>
          <w:szCs w:val="24"/>
        </w:rPr>
        <w:t>物的影响较小。</w:t>
      </w:r>
    </w:p>
    <w:p w14:paraId="32B1C6B7">
      <w:pPr>
        <w:spacing w:before="51" w:line="235" w:lineRule="auto"/>
        <w:rPr>
          <w:rFonts w:ascii="宋体" w:hAnsi="宋体" w:eastAsia="宋体" w:cs="宋体"/>
          <w:sz w:val="28"/>
          <w:szCs w:val="28"/>
        </w:rPr>
      </w:pPr>
      <w:bookmarkStart w:id="46" w:name="bookmark52"/>
      <w:bookmarkEnd w:id="46"/>
      <w:r>
        <w:rPr>
          <w:rFonts w:ascii="Times New Roman" w:hAnsi="Times New Roman" w:eastAsia="Times New Roman" w:cs="Times New Roman"/>
          <w:b/>
          <w:bCs/>
          <w:spacing w:val="-2"/>
          <w:sz w:val="28"/>
          <w:szCs w:val="28"/>
        </w:rPr>
        <w:t xml:space="preserve">3.4 </w:t>
      </w:r>
      <w:r>
        <w:rPr>
          <w:rFonts w:ascii="宋体" w:hAnsi="宋体" w:eastAsia="宋体" w:cs="宋体"/>
          <w:b/>
          <w:bCs/>
          <w:spacing w:val="-2"/>
          <w:sz w:val="28"/>
          <w:szCs w:val="28"/>
        </w:rPr>
        <w:t>项目对陆生动物的影响</w:t>
      </w:r>
    </w:p>
    <w:p w14:paraId="67175948">
      <w:pPr>
        <w:spacing w:before="213" w:line="233"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3.4.1 </w:t>
      </w:r>
      <w:r>
        <w:rPr>
          <w:rFonts w:ascii="宋体" w:hAnsi="宋体" w:eastAsia="宋体" w:cs="宋体"/>
          <w:b/>
          <w:bCs/>
          <w:spacing w:val="-2"/>
          <w:sz w:val="24"/>
          <w:szCs w:val="24"/>
        </w:rPr>
        <w:t>项目对兽类动物的影响</w:t>
      </w:r>
    </w:p>
    <w:p w14:paraId="26A9403A">
      <w:pPr>
        <w:spacing w:before="164" w:line="360" w:lineRule="auto"/>
        <w:ind w:left="4" w:right="68" w:firstLine="483"/>
        <w:rPr>
          <w:rFonts w:ascii="宋体" w:hAnsi="宋体" w:eastAsia="宋体" w:cs="宋体"/>
          <w:sz w:val="24"/>
          <w:szCs w:val="24"/>
        </w:rPr>
      </w:pPr>
      <w:r>
        <w:rPr>
          <w:rFonts w:ascii="宋体" w:hAnsi="宋体" w:eastAsia="宋体" w:cs="宋体"/>
          <w:spacing w:val="-2"/>
          <w:sz w:val="24"/>
          <w:szCs w:val="24"/>
        </w:rPr>
        <w:t>工程占地可能会影响哺乳类的栖息地，施工人员的施工活动（如施工便道、施工机</w:t>
      </w:r>
      <w:r>
        <w:rPr>
          <w:rFonts w:ascii="宋体" w:hAnsi="宋体" w:eastAsia="宋体" w:cs="宋体"/>
          <w:spacing w:val="-1"/>
          <w:sz w:val="24"/>
          <w:szCs w:val="24"/>
        </w:rPr>
        <w:t>械噪声等）会干扰哺乳类活动，施工人员还可能捕杀哺乳</w:t>
      </w:r>
      <w:r>
        <w:rPr>
          <w:rFonts w:ascii="宋体" w:hAnsi="宋体" w:eastAsia="宋体" w:cs="宋体"/>
          <w:spacing w:val="-2"/>
          <w:sz w:val="24"/>
          <w:szCs w:val="24"/>
        </w:rPr>
        <w:t>类，使其数量减少。</w:t>
      </w:r>
    </w:p>
    <w:p w14:paraId="2F0B9B78">
      <w:pPr>
        <w:spacing w:before="1" w:line="360" w:lineRule="auto"/>
        <w:ind w:left="7" w:right="65" w:firstLine="507"/>
        <w:jc w:val="both"/>
        <w:rPr>
          <w:rFonts w:ascii="宋体" w:hAnsi="宋体" w:eastAsia="宋体" w:cs="宋体"/>
          <w:sz w:val="24"/>
          <w:szCs w:val="24"/>
        </w:rPr>
      </w:pPr>
      <w:r>
        <w:rPr>
          <w:rFonts w:ascii="宋体" w:hAnsi="宋体" w:eastAsia="宋体" w:cs="宋体"/>
          <w:spacing w:val="-7"/>
          <w:sz w:val="24"/>
          <w:szCs w:val="24"/>
        </w:rPr>
        <w:t>由于兽类动物本身的活动范围很大，施工对其影响是间断性、暂时性的</w:t>
      </w:r>
      <w:r>
        <w:rPr>
          <w:rFonts w:ascii="宋体" w:hAnsi="宋体" w:eastAsia="宋体" w:cs="宋体"/>
          <w:spacing w:val="-8"/>
          <w:sz w:val="24"/>
          <w:szCs w:val="24"/>
        </w:rPr>
        <w:t>，</w:t>
      </w:r>
      <w:r>
        <w:rPr>
          <w:rFonts w:ascii="宋体" w:hAnsi="宋体" w:eastAsia="宋体" w:cs="宋体"/>
          <w:spacing w:val="47"/>
          <w:sz w:val="24"/>
          <w:szCs w:val="24"/>
        </w:rPr>
        <w:t xml:space="preserve"> </w:t>
      </w:r>
      <w:r>
        <w:rPr>
          <w:rFonts w:ascii="宋体" w:hAnsi="宋体" w:eastAsia="宋体" w:cs="宋体"/>
          <w:spacing w:val="-8"/>
          <w:sz w:val="24"/>
          <w:szCs w:val="24"/>
        </w:rPr>
        <w:t>兽类自身</w:t>
      </w:r>
      <w:r>
        <w:rPr>
          <w:rFonts w:ascii="宋体" w:hAnsi="宋体" w:eastAsia="宋体" w:cs="宋体"/>
          <w:spacing w:val="-2"/>
          <w:sz w:val="24"/>
          <w:szCs w:val="24"/>
        </w:rPr>
        <w:t>的迁移，将避免项目对其产生的绝大部分直接伤害；同时加强宣传教育及监督，规范施工人员行为，避免捕杀兽类；施工活动结束后对临时施工占地和附近生态环境进行恢复</w:t>
      </w:r>
      <w:r>
        <w:rPr>
          <w:rFonts w:ascii="宋体" w:hAnsi="宋体" w:eastAsia="宋体" w:cs="宋体"/>
          <w:spacing w:val="-6"/>
          <w:sz w:val="24"/>
          <w:szCs w:val="24"/>
        </w:rPr>
        <w:t>后，原有栖息地生态条件得以重建、生境破碎化因素消除，</w:t>
      </w:r>
      <w:r>
        <w:rPr>
          <w:rFonts w:ascii="宋体" w:hAnsi="宋体" w:eastAsia="宋体" w:cs="宋体"/>
          <w:spacing w:val="45"/>
          <w:sz w:val="24"/>
          <w:szCs w:val="24"/>
        </w:rPr>
        <w:t xml:space="preserve"> </w:t>
      </w:r>
      <w:r>
        <w:rPr>
          <w:rFonts w:ascii="宋体" w:hAnsi="宋体" w:eastAsia="宋体" w:cs="宋体"/>
          <w:spacing w:val="-6"/>
          <w:sz w:val="24"/>
          <w:szCs w:val="24"/>
        </w:rPr>
        <w:t>迁移至他处的兽类仍可回到</w:t>
      </w:r>
      <w:r>
        <w:rPr>
          <w:rFonts w:ascii="宋体" w:hAnsi="宋体" w:eastAsia="宋体" w:cs="宋体"/>
          <w:spacing w:val="-1"/>
          <w:sz w:val="24"/>
          <w:szCs w:val="24"/>
        </w:rPr>
        <w:t>原来的活动区域，因此工程对兽类的短期影响不可</w:t>
      </w:r>
      <w:r>
        <w:rPr>
          <w:rFonts w:ascii="宋体" w:hAnsi="宋体" w:eastAsia="宋体" w:cs="宋体"/>
          <w:spacing w:val="-2"/>
          <w:sz w:val="24"/>
          <w:szCs w:val="24"/>
        </w:rPr>
        <w:t>避免，但是长期影响很小。</w:t>
      </w:r>
    </w:p>
    <w:p w14:paraId="4E18F877">
      <w:pPr>
        <w:spacing w:line="233"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3.4.2 </w:t>
      </w:r>
      <w:r>
        <w:rPr>
          <w:rFonts w:ascii="宋体" w:hAnsi="宋体" w:eastAsia="宋体" w:cs="宋体"/>
          <w:b/>
          <w:bCs/>
          <w:spacing w:val="-2"/>
          <w:sz w:val="24"/>
          <w:szCs w:val="24"/>
        </w:rPr>
        <w:t>项目对鸟类动物的影响</w:t>
      </w:r>
    </w:p>
    <w:p w14:paraId="338AE1AE">
      <w:pPr>
        <w:spacing w:before="164" w:line="362" w:lineRule="auto"/>
        <w:ind w:left="6" w:right="65" w:firstLine="482"/>
        <w:rPr>
          <w:rFonts w:ascii="宋体" w:hAnsi="宋体" w:eastAsia="宋体" w:cs="宋体"/>
          <w:sz w:val="24"/>
          <w:szCs w:val="24"/>
        </w:rPr>
      </w:pPr>
      <w:r>
        <w:rPr>
          <w:rFonts w:ascii="宋体" w:hAnsi="宋体" w:eastAsia="宋体" w:cs="宋体"/>
          <w:spacing w:val="-2"/>
          <w:sz w:val="24"/>
          <w:szCs w:val="24"/>
        </w:rPr>
        <w:t>项目施工期对鸟类的主要影响有以下几方面：①施工作业及施工人员的活动对鸟类栖息地生境的干扰和破坏，如塔基开挖、线路架设、塔基永久性占地和线路施工临时占</w:t>
      </w:r>
    </w:p>
    <w:p w14:paraId="46E1ED91">
      <w:pPr>
        <w:spacing w:line="362" w:lineRule="auto"/>
        <w:rPr>
          <w:rFonts w:ascii="宋体" w:hAnsi="宋体" w:eastAsia="宋体" w:cs="宋体"/>
          <w:sz w:val="24"/>
          <w:szCs w:val="24"/>
        </w:rPr>
        <w:sectPr>
          <w:footerReference r:id="rId188" w:type="default"/>
          <w:pgSz w:w="11907" w:h="16841"/>
          <w:pgMar w:top="400" w:right="1349" w:bottom="1126" w:left="1422" w:header="0" w:footer="925" w:gutter="0"/>
          <w:cols w:space="720" w:num="1"/>
        </w:sectPr>
      </w:pPr>
    </w:p>
    <w:p w14:paraId="114D9C6E">
      <w:pPr>
        <w:spacing w:line="249" w:lineRule="auto"/>
        <w:rPr>
          <w:rFonts w:ascii="Arial"/>
          <w:sz w:val="21"/>
        </w:rPr>
      </w:pPr>
    </w:p>
    <w:p w14:paraId="16559188">
      <w:pPr>
        <w:spacing w:line="249" w:lineRule="auto"/>
        <w:rPr>
          <w:rFonts w:ascii="Arial"/>
          <w:sz w:val="21"/>
        </w:rPr>
      </w:pPr>
    </w:p>
    <w:p w14:paraId="19173CE8">
      <w:pPr>
        <w:spacing w:line="249" w:lineRule="auto"/>
        <w:rPr>
          <w:rFonts w:ascii="Arial"/>
          <w:sz w:val="21"/>
        </w:rPr>
      </w:pPr>
    </w:p>
    <w:p w14:paraId="5C32A7E3">
      <w:pPr>
        <w:spacing w:line="249" w:lineRule="auto"/>
        <w:rPr>
          <w:rFonts w:ascii="Arial"/>
          <w:sz w:val="21"/>
        </w:rPr>
      </w:pPr>
    </w:p>
    <w:p w14:paraId="4A576E2A">
      <w:pPr>
        <w:spacing w:line="249" w:lineRule="auto"/>
        <w:rPr>
          <w:rFonts w:ascii="Arial"/>
          <w:sz w:val="21"/>
        </w:rPr>
      </w:pPr>
    </w:p>
    <w:p w14:paraId="729BFDEF">
      <w:pPr>
        <w:spacing w:before="78" w:line="360" w:lineRule="auto"/>
        <w:ind w:left="5" w:right="66"/>
        <w:jc w:val="both"/>
        <w:rPr>
          <w:rFonts w:ascii="宋体" w:hAnsi="宋体" w:eastAsia="宋体" w:cs="宋体"/>
          <w:sz w:val="24"/>
          <w:szCs w:val="24"/>
        </w:rPr>
      </w:pPr>
      <w:r>
        <w:rPr>
          <w:rFonts w:ascii="宋体" w:hAnsi="宋体" w:eastAsia="宋体" w:cs="宋体"/>
          <w:spacing w:val="-2"/>
          <w:sz w:val="24"/>
          <w:szCs w:val="24"/>
        </w:rPr>
        <w:t>地等均有可能破坏生境和干扰灌丛栖息鸟类的小生境；②施工机械噪声对鸟类栖息地声环境的破坏和机械噪声对鸟类的驱赶；③施工中砍伐树木对鸟类巢穴的破坏；④施工人</w:t>
      </w:r>
      <w:r>
        <w:rPr>
          <w:rFonts w:ascii="宋体" w:hAnsi="宋体" w:eastAsia="宋体" w:cs="宋体"/>
          <w:spacing w:val="-5"/>
          <w:sz w:val="24"/>
          <w:szCs w:val="24"/>
        </w:rPr>
        <w:t>员对鸟类的捕捉。</w:t>
      </w:r>
    </w:p>
    <w:p w14:paraId="6134FAF6">
      <w:pPr>
        <w:spacing w:line="360" w:lineRule="auto"/>
        <w:ind w:left="4" w:firstLine="481"/>
        <w:jc w:val="both"/>
        <w:rPr>
          <w:rFonts w:ascii="宋体" w:hAnsi="宋体" w:eastAsia="宋体" w:cs="宋体"/>
          <w:sz w:val="24"/>
          <w:szCs w:val="24"/>
        </w:rPr>
      </w:pPr>
      <w:r>
        <w:rPr>
          <w:rFonts w:ascii="宋体" w:hAnsi="宋体" w:eastAsia="宋体" w:cs="宋体"/>
          <w:spacing w:val="-2"/>
          <w:sz w:val="24"/>
          <w:szCs w:val="24"/>
        </w:rPr>
        <w:t>本项目的施工建设时不可避免地会产生一定的影响，项目总占地面积较小，且临时</w:t>
      </w:r>
      <w:r>
        <w:rPr>
          <w:rFonts w:ascii="宋体" w:hAnsi="宋体" w:eastAsia="宋体" w:cs="宋体"/>
          <w:spacing w:val="-6"/>
          <w:sz w:val="24"/>
          <w:szCs w:val="24"/>
        </w:rPr>
        <w:t>性占地施工结束后可恢复，由于鸟类活动能力强，项目影响区及以外区域类似生境丰富，鸟类受到施工干扰后可自由迁移至适宜生境生存，此种影响具有暂时性、分散性的特点，</w:t>
      </w:r>
      <w:r>
        <w:rPr>
          <w:rFonts w:ascii="宋体" w:hAnsi="宋体" w:eastAsia="宋体" w:cs="宋体"/>
          <w:spacing w:val="-2"/>
          <w:sz w:val="24"/>
          <w:szCs w:val="24"/>
        </w:rPr>
        <w:t>待施工结束后，此种影响亦将逐渐消除，因此只要规范好施工人员个人行为，项目施工</w:t>
      </w:r>
      <w:r>
        <w:rPr>
          <w:rFonts w:ascii="宋体" w:hAnsi="宋体" w:eastAsia="宋体" w:cs="宋体"/>
          <w:spacing w:val="-4"/>
          <w:sz w:val="24"/>
          <w:szCs w:val="24"/>
        </w:rPr>
        <w:t>对鸟类总的影响不大。</w:t>
      </w:r>
    </w:p>
    <w:p w14:paraId="6762266A">
      <w:pPr>
        <w:spacing w:line="233"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3.4.3 </w:t>
      </w:r>
      <w:r>
        <w:rPr>
          <w:rFonts w:ascii="宋体" w:hAnsi="宋体" w:eastAsia="宋体" w:cs="宋体"/>
          <w:b/>
          <w:bCs/>
          <w:spacing w:val="-2"/>
          <w:sz w:val="24"/>
          <w:szCs w:val="24"/>
        </w:rPr>
        <w:t>项目对爬行类动物的影响</w:t>
      </w:r>
    </w:p>
    <w:p w14:paraId="198DECE5">
      <w:pPr>
        <w:spacing w:before="164" w:line="360" w:lineRule="auto"/>
        <w:ind w:left="4" w:right="66" w:firstLine="481"/>
        <w:jc w:val="both"/>
        <w:rPr>
          <w:rFonts w:ascii="宋体" w:hAnsi="宋体" w:eastAsia="宋体" w:cs="宋体"/>
          <w:sz w:val="24"/>
          <w:szCs w:val="24"/>
        </w:rPr>
      </w:pPr>
      <w:r>
        <w:rPr>
          <w:rFonts w:ascii="宋体" w:hAnsi="宋体" w:eastAsia="宋体" w:cs="宋体"/>
          <w:spacing w:val="-5"/>
          <w:sz w:val="24"/>
          <w:szCs w:val="24"/>
        </w:rPr>
        <w:t>本项目永久、临时性建筑占地将直接导致工程影响区域爬行动物的生境丧失， 项目施工时产生的噪声、机械振动会驱使施工边缘区域的两栖动物离开受影响区域， 施工所</w:t>
      </w:r>
      <w:r>
        <w:rPr>
          <w:rFonts w:ascii="宋体" w:hAnsi="宋体" w:eastAsia="宋体" w:cs="宋体"/>
          <w:spacing w:val="-2"/>
          <w:sz w:val="24"/>
          <w:szCs w:val="24"/>
        </w:rPr>
        <w:t>产生的废弃物对其生活环境也会造成一定的影响。</w:t>
      </w:r>
    </w:p>
    <w:p w14:paraId="14AF26D6">
      <w:pPr>
        <w:spacing w:line="360" w:lineRule="auto"/>
        <w:ind w:left="4" w:right="64" w:firstLine="480"/>
        <w:jc w:val="both"/>
        <w:rPr>
          <w:rFonts w:ascii="宋体" w:hAnsi="宋体" w:eastAsia="宋体" w:cs="宋体"/>
          <w:sz w:val="24"/>
          <w:szCs w:val="24"/>
        </w:rPr>
      </w:pPr>
      <w:r>
        <w:rPr>
          <w:rFonts w:ascii="宋体" w:hAnsi="宋体" w:eastAsia="宋体" w:cs="宋体"/>
          <w:spacing w:val="-2"/>
          <w:sz w:val="24"/>
          <w:szCs w:val="24"/>
        </w:rPr>
        <w:t>输变电项目建设基本属于点线型，仅在塔基附近造成范围的片状改变，因此没有显</w:t>
      </w:r>
      <w:r>
        <w:rPr>
          <w:rFonts w:ascii="宋体" w:hAnsi="宋体" w:eastAsia="宋体" w:cs="宋体"/>
          <w:spacing w:val="-5"/>
          <w:sz w:val="24"/>
          <w:szCs w:val="24"/>
        </w:rPr>
        <w:t>著改变爬行类在该区域的大生境条件。蜥蜴类和蛇类等爬行动物， 主要栖息在阴暗潮湿</w:t>
      </w:r>
      <w:r>
        <w:rPr>
          <w:rFonts w:ascii="宋体" w:hAnsi="宋体" w:eastAsia="宋体" w:cs="宋体"/>
          <w:spacing w:val="-7"/>
          <w:sz w:val="24"/>
          <w:szCs w:val="24"/>
        </w:rPr>
        <w:t>的林间灌丛、农田等处，</w:t>
      </w:r>
      <w:r>
        <w:rPr>
          <w:rFonts w:ascii="宋体" w:hAnsi="宋体" w:eastAsia="宋体" w:cs="宋体"/>
          <w:spacing w:val="91"/>
          <w:sz w:val="24"/>
          <w:szCs w:val="24"/>
        </w:rPr>
        <w:t xml:space="preserve"> </w:t>
      </w:r>
      <w:r>
        <w:rPr>
          <w:rFonts w:ascii="宋体" w:hAnsi="宋体" w:eastAsia="宋体" w:cs="宋体"/>
          <w:spacing w:val="-7"/>
          <w:sz w:val="24"/>
          <w:szCs w:val="24"/>
        </w:rPr>
        <w:t>以昆虫、蛙类、鼠为食，爬行动物活动能力较强，活动范围较</w:t>
      </w:r>
      <w:r>
        <w:rPr>
          <w:rFonts w:ascii="宋体" w:hAnsi="宋体" w:eastAsia="宋体" w:cs="宋体"/>
          <w:spacing w:val="-6"/>
          <w:sz w:val="24"/>
          <w:szCs w:val="24"/>
        </w:rPr>
        <w:t>大，在施工噪声、振动、人为活动等因素刺激下，</w:t>
      </w:r>
      <w:r>
        <w:rPr>
          <w:rFonts w:ascii="宋体" w:hAnsi="宋体" w:eastAsia="宋体" w:cs="宋体"/>
          <w:spacing w:val="63"/>
          <w:sz w:val="24"/>
          <w:szCs w:val="24"/>
        </w:rPr>
        <w:t xml:space="preserve"> </w:t>
      </w:r>
      <w:r>
        <w:rPr>
          <w:rFonts w:ascii="宋体" w:hAnsi="宋体" w:eastAsia="宋体" w:cs="宋体"/>
          <w:spacing w:val="-6"/>
          <w:sz w:val="24"/>
          <w:szCs w:val="24"/>
        </w:rPr>
        <w:t>能迅速</w:t>
      </w:r>
      <w:r>
        <w:rPr>
          <w:rFonts w:ascii="宋体" w:hAnsi="宋体" w:eastAsia="宋体" w:cs="宋体"/>
          <w:spacing w:val="-7"/>
          <w:sz w:val="24"/>
          <w:szCs w:val="24"/>
        </w:rPr>
        <w:t>作出规避反应，因此项目建设</w:t>
      </w:r>
      <w:r>
        <w:rPr>
          <w:rFonts w:ascii="宋体" w:hAnsi="宋体" w:eastAsia="宋体" w:cs="宋体"/>
          <w:spacing w:val="-2"/>
          <w:sz w:val="24"/>
          <w:szCs w:val="24"/>
        </w:rPr>
        <w:t>对爬行动物影响较小，施工活动结束后，随着自然生态环境的恢复和重建，项目建设对</w:t>
      </w:r>
      <w:r>
        <w:rPr>
          <w:rFonts w:ascii="宋体" w:hAnsi="宋体" w:eastAsia="宋体" w:cs="宋体"/>
          <w:spacing w:val="-4"/>
          <w:sz w:val="24"/>
          <w:szCs w:val="24"/>
        </w:rPr>
        <w:t>爬行类动物的影响逐步消失。</w:t>
      </w:r>
    </w:p>
    <w:p w14:paraId="398014E7">
      <w:pPr>
        <w:spacing w:line="233"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3.4.4 </w:t>
      </w:r>
      <w:r>
        <w:rPr>
          <w:rFonts w:ascii="宋体" w:hAnsi="宋体" w:eastAsia="宋体" w:cs="宋体"/>
          <w:b/>
          <w:bCs/>
          <w:spacing w:val="-2"/>
          <w:sz w:val="24"/>
          <w:szCs w:val="24"/>
        </w:rPr>
        <w:t>项目对两栖类动物的影响</w:t>
      </w:r>
    </w:p>
    <w:p w14:paraId="2CC7DA8E">
      <w:pPr>
        <w:spacing w:before="166" w:line="360" w:lineRule="auto"/>
        <w:ind w:left="6" w:right="66" w:firstLine="480"/>
        <w:jc w:val="both"/>
        <w:rPr>
          <w:rFonts w:ascii="宋体" w:hAnsi="宋体" w:eastAsia="宋体" w:cs="宋体"/>
          <w:sz w:val="24"/>
          <w:szCs w:val="24"/>
        </w:rPr>
      </w:pPr>
      <w:r>
        <w:rPr>
          <w:rFonts w:ascii="宋体" w:hAnsi="宋体" w:eastAsia="宋体" w:cs="宋体"/>
          <w:spacing w:val="-2"/>
          <w:sz w:val="24"/>
          <w:szCs w:val="24"/>
        </w:rPr>
        <w:t>两栖类主要栖息于水域，工程评价区内水域面积极小，主要为分布在牛栏江及居民点房前屋后的小池塘、水洼或一些小型库塘。项目施工对两栖类的影响主要发生在铁塔土石方工程和架线施工区域：施工活动对两栖类栖息地生境可能造成干扰；施工人员可</w:t>
      </w:r>
      <w:r>
        <w:rPr>
          <w:rFonts w:ascii="宋体" w:hAnsi="宋体" w:eastAsia="宋体" w:cs="宋体"/>
          <w:spacing w:val="-6"/>
          <w:sz w:val="24"/>
          <w:szCs w:val="24"/>
        </w:rPr>
        <w:t>能对两栖类猎杀。从大范围来看，</w:t>
      </w:r>
      <w:r>
        <w:rPr>
          <w:rFonts w:ascii="宋体" w:hAnsi="宋体" w:eastAsia="宋体" w:cs="宋体"/>
          <w:spacing w:val="46"/>
          <w:sz w:val="24"/>
          <w:szCs w:val="24"/>
        </w:rPr>
        <w:t xml:space="preserve"> </w:t>
      </w:r>
      <w:r>
        <w:rPr>
          <w:rFonts w:ascii="宋体" w:hAnsi="宋体" w:eastAsia="宋体" w:cs="宋体"/>
          <w:spacing w:val="-6"/>
          <w:sz w:val="24"/>
          <w:szCs w:val="24"/>
        </w:rPr>
        <w:t>输电线路建设属于点线型，仅在塔基附近造成极小范</w:t>
      </w:r>
      <w:r>
        <w:rPr>
          <w:rFonts w:ascii="宋体" w:hAnsi="宋体" w:eastAsia="宋体" w:cs="宋体"/>
          <w:spacing w:val="-2"/>
          <w:sz w:val="24"/>
          <w:szCs w:val="24"/>
        </w:rPr>
        <w:t>围的片状改变，因此没有显著改变两栖类生物在该区域的大生境条件。且工程评价区内</w:t>
      </w:r>
      <w:r>
        <w:rPr>
          <w:rFonts w:ascii="宋体" w:hAnsi="宋体" w:eastAsia="宋体" w:cs="宋体"/>
          <w:spacing w:val="-8"/>
          <w:sz w:val="24"/>
          <w:szCs w:val="24"/>
        </w:rPr>
        <w:t>水域面积极小，两栖类种类、数量均较少。施工活动结束后，随着自然生态环境的恢复，</w:t>
      </w:r>
      <w:r>
        <w:rPr>
          <w:rFonts w:ascii="宋体" w:hAnsi="宋体" w:eastAsia="宋体" w:cs="宋体"/>
          <w:spacing w:val="-2"/>
          <w:sz w:val="24"/>
          <w:szCs w:val="24"/>
        </w:rPr>
        <w:t>水热条件得以恢复，工程建设对两栖类物种的影响将逐步消失。</w:t>
      </w:r>
    </w:p>
    <w:p w14:paraId="68E377FC">
      <w:pPr>
        <w:spacing w:line="234"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3.4.5 </w:t>
      </w:r>
      <w:r>
        <w:rPr>
          <w:rFonts w:ascii="宋体" w:hAnsi="宋体" w:eastAsia="宋体" w:cs="宋体"/>
          <w:b/>
          <w:bCs/>
          <w:spacing w:val="-2"/>
          <w:sz w:val="24"/>
          <w:szCs w:val="24"/>
        </w:rPr>
        <w:t>项目对重点保护动物的影响</w:t>
      </w:r>
    </w:p>
    <w:p w14:paraId="41212A31">
      <w:pPr>
        <w:spacing w:before="163" w:line="362" w:lineRule="auto"/>
        <w:ind w:left="6" w:right="66" w:firstLine="480"/>
        <w:rPr>
          <w:rFonts w:ascii="宋体" w:hAnsi="宋体" w:eastAsia="宋体" w:cs="宋体"/>
          <w:sz w:val="24"/>
          <w:szCs w:val="24"/>
        </w:rPr>
      </w:pPr>
      <w:r>
        <w:rPr>
          <w:rFonts w:ascii="宋体" w:hAnsi="宋体" w:eastAsia="宋体" w:cs="宋体"/>
          <w:spacing w:val="-2"/>
          <w:sz w:val="24"/>
          <w:szCs w:val="24"/>
        </w:rPr>
        <w:t>本次调查未见重要野生动物，说明工程建设区不是重点保护物种的主要栖息地，且周边相似生境较多，且动物性机警，均具有主动趋利避害的行动能力，在严格规范施工</w:t>
      </w:r>
    </w:p>
    <w:p w14:paraId="4F65B6B1">
      <w:pPr>
        <w:spacing w:line="362" w:lineRule="auto"/>
        <w:rPr>
          <w:rFonts w:ascii="宋体" w:hAnsi="宋体" w:eastAsia="宋体" w:cs="宋体"/>
          <w:sz w:val="24"/>
          <w:szCs w:val="24"/>
        </w:rPr>
        <w:sectPr>
          <w:footerReference r:id="rId189" w:type="default"/>
          <w:pgSz w:w="11907" w:h="16841"/>
          <w:pgMar w:top="400" w:right="1349" w:bottom="1126" w:left="1422" w:header="0" w:footer="925" w:gutter="0"/>
          <w:cols w:space="720" w:num="1"/>
        </w:sectPr>
      </w:pPr>
    </w:p>
    <w:p w14:paraId="73DCDDD5">
      <w:pPr>
        <w:spacing w:line="249" w:lineRule="auto"/>
        <w:rPr>
          <w:rFonts w:ascii="Arial"/>
          <w:sz w:val="21"/>
        </w:rPr>
      </w:pPr>
    </w:p>
    <w:p w14:paraId="6259657C">
      <w:pPr>
        <w:spacing w:line="249" w:lineRule="auto"/>
        <w:rPr>
          <w:rFonts w:ascii="Arial"/>
          <w:sz w:val="21"/>
        </w:rPr>
      </w:pPr>
    </w:p>
    <w:p w14:paraId="68844CA7">
      <w:pPr>
        <w:spacing w:line="249" w:lineRule="auto"/>
        <w:rPr>
          <w:rFonts w:ascii="Arial"/>
          <w:sz w:val="21"/>
        </w:rPr>
      </w:pPr>
    </w:p>
    <w:p w14:paraId="503FC634">
      <w:pPr>
        <w:spacing w:line="249" w:lineRule="auto"/>
        <w:rPr>
          <w:rFonts w:ascii="Arial"/>
          <w:sz w:val="21"/>
        </w:rPr>
      </w:pPr>
    </w:p>
    <w:p w14:paraId="202AF307">
      <w:pPr>
        <w:spacing w:line="249" w:lineRule="auto"/>
        <w:rPr>
          <w:rFonts w:ascii="Arial"/>
          <w:sz w:val="21"/>
        </w:rPr>
      </w:pPr>
    </w:p>
    <w:p w14:paraId="5A9D73AF">
      <w:pPr>
        <w:spacing w:before="78" w:line="219" w:lineRule="auto"/>
        <w:ind w:left="9"/>
        <w:rPr>
          <w:rFonts w:ascii="宋体" w:hAnsi="宋体" w:eastAsia="宋体" w:cs="宋体"/>
          <w:sz w:val="24"/>
          <w:szCs w:val="24"/>
        </w:rPr>
      </w:pPr>
      <w:r>
        <w:rPr>
          <w:rFonts w:ascii="宋体" w:hAnsi="宋体" w:eastAsia="宋体" w:cs="宋体"/>
          <w:spacing w:val="-1"/>
          <w:sz w:val="24"/>
          <w:szCs w:val="24"/>
        </w:rPr>
        <w:t>行为，尽量缩短施工时间的前提下，工程建设对重要野</w:t>
      </w:r>
      <w:r>
        <w:rPr>
          <w:rFonts w:ascii="宋体" w:hAnsi="宋体" w:eastAsia="宋体" w:cs="宋体"/>
          <w:spacing w:val="-2"/>
          <w:sz w:val="24"/>
          <w:szCs w:val="24"/>
        </w:rPr>
        <w:t>生动物产生的影响也较小。</w:t>
      </w:r>
    </w:p>
    <w:p w14:paraId="7C458C29">
      <w:pPr>
        <w:spacing w:before="183" w:line="234"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3.4.6 </w:t>
      </w:r>
      <w:r>
        <w:rPr>
          <w:rFonts w:ascii="宋体" w:hAnsi="宋体" w:eastAsia="宋体" w:cs="宋体"/>
          <w:b/>
          <w:bCs/>
          <w:spacing w:val="-2"/>
          <w:sz w:val="24"/>
          <w:szCs w:val="24"/>
        </w:rPr>
        <w:t>项目对陆生动物的影响小结</w:t>
      </w:r>
    </w:p>
    <w:p w14:paraId="413850C7">
      <w:pPr>
        <w:spacing w:before="164" w:line="233" w:lineRule="auto"/>
        <w:ind w:left="494"/>
        <w:rPr>
          <w:rFonts w:ascii="宋体" w:hAnsi="宋体" w:eastAsia="宋体" w:cs="宋体"/>
          <w:sz w:val="24"/>
          <w:szCs w:val="24"/>
        </w:rPr>
      </w:pPr>
      <w:r>
        <w:rPr>
          <w:rFonts w:ascii="宋体" w:hAnsi="宋体" w:eastAsia="宋体" w:cs="宋体"/>
          <w:b/>
          <w:bCs/>
          <w:spacing w:val="-3"/>
          <w:sz w:val="24"/>
          <w:szCs w:val="24"/>
        </w:rPr>
        <w:t>（</w:t>
      </w:r>
      <w:r>
        <w:rPr>
          <w:rFonts w:ascii="Times New Roman" w:hAnsi="Times New Roman" w:eastAsia="Times New Roman" w:cs="Times New Roman"/>
          <w:b/>
          <w:bCs/>
          <w:spacing w:val="-3"/>
          <w:sz w:val="24"/>
          <w:szCs w:val="24"/>
        </w:rPr>
        <w:t>1</w:t>
      </w:r>
      <w:r>
        <w:rPr>
          <w:rFonts w:ascii="宋体" w:hAnsi="宋体" w:eastAsia="宋体" w:cs="宋体"/>
          <w:b/>
          <w:bCs/>
          <w:spacing w:val="-3"/>
          <w:sz w:val="24"/>
          <w:szCs w:val="24"/>
        </w:rPr>
        <w:t>）对兽类、鸟类、爬行类和两栖类动物的影响</w:t>
      </w:r>
    </w:p>
    <w:p w14:paraId="18902924">
      <w:pPr>
        <w:spacing w:before="164" w:line="360" w:lineRule="auto"/>
        <w:ind w:left="5" w:firstLine="479"/>
        <w:jc w:val="both"/>
        <w:rPr>
          <w:rFonts w:ascii="宋体" w:hAnsi="宋体" w:eastAsia="宋体" w:cs="宋体"/>
          <w:sz w:val="24"/>
          <w:szCs w:val="24"/>
        </w:rPr>
      </w:pPr>
      <w:r>
        <w:rPr>
          <w:rFonts w:ascii="宋体" w:hAnsi="宋体" w:eastAsia="宋体" w:cs="宋体"/>
          <w:spacing w:val="-6"/>
          <w:sz w:val="24"/>
          <w:szCs w:val="24"/>
        </w:rPr>
        <w:t>施工期间，迁徙能力强的兽类、鸟类通过迁移来避</w:t>
      </w:r>
      <w:r>
        <w:rPr>
          <w:rFonts w:ascii="宋体" w:hAnsi="宋体" w:eastAsia="宋体" w:cs="宋体"/>
          <w:spacing w:val="-7"/>
          <w:sz w:val="24"/>
          <w:szCs w:val="24"/>
        </w:rPr>
        <w:t>免工程施工的影响，</w:t>
      </w:r>
      <w:r>
        <w:rPr>
          <w:rFonts w:ascii="宋体" w:hAnsi="宋体" w:eastAsia="宋体" w:cs="宋体"/>
          <w:spacing w:val="50"/>
          <w:sz w:val="24"/>
          <w:szCs w:val="24"/>
        </w:rPr>
        <w:t xml:space="preserve"> </w:t>
      </w:r>
      <w:r>
        <w:rPr>
          <w:rFonts w:ascii="宋体" w:hAnsi="宋体" w:eastAsia="宋体" w:cs="宋体"/>
          <w:spacing w:val="-7"/>
          <w:sz w:val="24"/>
          <w:szCs w:val="24"/>
        </w:rPr>
        <w:t>项目周边适</w:t>
      </w:r>
      <w:r>
        <w:rPr>
          <w:rFonts w:ascii="宋体" w:hAnsi="宋体" w:eastAsia="宋体" w:cs="宋体"/>
          <w:spacing w:val="-6"/>
          <w:sz w:val="24"/>
          <w:szCs w:val="24"/>
        </w:rPr>
        <w:t>宜生境丰富，兽类、鸟类受其影响后可自主寻找替代生境。施工作业结束后，</w:t>
      </w:r>
      <w:r>
        <w:rPr>
          <w:rFonts w:ascii="宋体" w:hAnsi="宋体" w:eastAsia="宋体" w:cs="宋体"/>
          <w:spacing w:val="49"/>
          <w:sz w:val="24"/>
          <w:szCs w:val="24"/>
        </w:rPr>
        <w:t xml:space="preserve"> </w:t>
      </w:r>
      <w:r>
        <w:rPr>
          <w:rFonts w:ascii="宋体" w:hAnsi="宋体" w:eastAsia="宋体" w:cs="宋体"/>
          <w:spacing w:val="-6"/>
          <w:sz w:val="24"/>
          <w:szCs w:val="24"/>
        </w:rPr>
        <w:t>迁移出项</w:t>
      </w:r>
      <w:r>
        <w:rPr>
          <w:rFonts w:ascii="宋体" w:hAnsi="宋体" w:eastAsia="宋体" w:cs="宋体"/>
          <w:spacing w:val="-2"/>
          <w:sz w:val="24"/>
          <w:szCs w:val="24"/>
        </w:rPr>
        <w:t>目区的动物中的一部分会返回原来的栖息地，大部分会在项目区周围的临近区域重新分</w:t>
      </w:r>
      <w:r>
        <w:rPr>
          <w:rFonts w:ascii="宋体" w:hAnsi="宋体" w:eastAsia="宋体" w:cs="宋体"/>
          <w:spacing w:val="-1"/>
          <w:sz w:val="24"/>
          <w:szCs w:val="24"/>
        </w:rPr>
        <w:t>布，因此只要规范好施工人员个人行为，施工期间对兽</w:t>
      </w:r>
      <w:r>
        <w:rPr>
          <w:rFonts w:ascii="宋体" w:hAnsi="宋体" w:eastAsia="宋体" w:cs="宋体"/>
          <w:spacing w:val="-2"/>
          <w:sz w:val="24"/>
          <w:szCs w:val="24"/>
        </w:rPr>
        <w:t>类和鸟类的影响不大。</w:t>
      </w:r>
    </w:p>
    <w:p w14:paraId="7CE08B28">
      <w:pPr>
        <w:spacing w:line="360" w:lineRule="auto"/>
        <w:ind w:left="5" w:firstLine="479"/>
        <w:jc w:val="both"/>
        <w:rPr>
          <w:rFonts w:ascii="宋体" w:hAnsi="宋体" w:eastAsia="宋体" w:cs="宋体"/>
          <w:sz w:val="24"/>
          <w:szCs w:val="24"/>
        </w:rPr>
      </w:pPr>
      <w:r>
        <w:rPr>
          <w:rFonts w:ascii="宋体" w:hAnsi="宋体" w:eastAsia="宋体" w:cs="宋体"/>
          <w:spacing w:val="-2"/>
          <w:sz w:val="24"/>
          <w:szCs w:val="24"/>
        </w:rPr>
        <w:t>输变电项目建设基本属于点线型，仅在塔基附近造成范围的片状改变，因此没有显</w:t>
      </w:r>
      <w:r>
        <w:rPr>
          <w:rFonts w:ascii="宋体" w:hAnsi="宋体" w:eastAsia="宋体" w:cs="宋体"/>
          <w:spacing w:val="-6"/>
          <w:sz w:val="24"/>
          <w:szCs w:val="24"/>
        </w:rPr>
        <w:t>著改变爬行类在该区域的大生境条件。爬行动物活动能力较强，</w:t>
      </w:r>
      <w:r>
        <w:rPr>
          <w:rFonts w:ascii="宋体" w:hAnsi="宋体" w:eastAsia="宋体" w:cs="宋体"/>
          <w:spacing w:val="50"/>
          <w:sz w:val="24"/>
          <w:szCs w:val="24"/>
        </w:rPr>
        <w:t xml:space="preserve"> </w:t>
      </w:r>
      <w:r>
        <w:rPr>
          <w:rFonts w:ascii="宋体" w:hAnsi="宋体" w:eastAsia="宋体" w:cs="宋体"/>
          <w:spacing w:val="-6"/>
          <w:sz w:val="24"/>
          <w:szCs w:val="24"/>
        </w:rPr>
        <w:t>活动范围较大，</w:t>
      </w:r>
      <w:r>
        <w:rPr>
          <w:rFonts w:ascii="宋体" w:hAnsi="宋体" w:eastAsia="宋体" w:cs="宋体"/>
          <w:spacing w:val="-7"/>
          <w:sz w:val="24"/>
          <w:szCs w:val="24"/>
        </w:rPr>
        <w:t>在施工</w:t>
      </w:r>
      <w:r>
        <w:rPr>
          <w:rFonts w:ascii="宋体" w:hAnsi="宋体" w:eastAsia="宋体" w:cs="宋体"/>
          <w:spacing w:val="-6"/>
          <w:sz w:val="24"/>
          <w:szCs w:val="24"/>
        </w:rPr>
        <w:t>噪声、振动、人为活动等因素刺激下，</w:t>
      </w:r>
      <w:r>
        <w:rPr>
          <w:rFonts w:ascii="宋体" w:hAnsi="宋体" w:eastAsia="宋体" w:cs="宋体"/>
          <w:spacing w:val="60"/>
          <w:sz w:val="24"/>
          <w:szCs w:val="24"/>
        </w:rPr>
        <w:t xml:space="preserve"> </w:t>
      </w:r>
      <w:r>
        <w:rPr>
          <w:rFonts w:ascii="宋体" w:hAnsi="宋体" w:eastAsia="宋体" w:cs="宋体"/>
          <w:spacing w:val="-6"/>
          <w:sz w:val="24"/>
          <w:szCs w:val="24"/>
        </w:rPr>
        <w:t>能迅速作出规避反应，</w:t>
      </w:r>
      <w:r>
        <w:rPr>
          <w:rFonts w:ascii="宋体" w:hAnsi="宋体" w:eastAsia="宋体" w:cs="宋体"/>
          <w:spacing w:val="-7"/>
          <w:sz w:val="24"/>
          <w:szCs w:val="24"/>
        </w:rPr>
        <w:t>因此项目建设对爬行动物</w:t>
      </w:r>
      <w:r>
        <w:rPr>
          <w:rFonts w:ascii="宋体" w:hAnsi="宋体" w:eastAsia="宋体" w:cs="宋体"/>
          <w:spacing w:val="-2"/>
          <w:sz w:val="24"/>
          <w:szCs w:val="24"/>
        </w:rPr>
        <w:t>影响较小，施工活动结束后，随着自然生态环境的恢复和重建，项目建设对爬行类动物</w:t>
      </w:r>
      <w:r>
        <w:rPr>
          <w:rFonts w:ascii="宋体" w:hAnsi="宋体" w:eastAsia="宋体" w:cs="宋体"/>
          <w:spacing w:val="-5"/>
          <w:sz w:val="24"/>
          <w:szCs w:val="24"/>
        </w:rPr>
        <w:t>的影响逐步消失。</w:t>
      </w:r>
    </w:p>
    <w:p w14:paraId="11FEE635">
      <w:pPr>
        <w:spacing w:line="360" w:lineRule="auto"/>
        <w:ind w:left="6" w:firstLine="480"/>
        <w:jc w:val="both"/>
        <w:rPr>
          <w:rFonts w:ascii="宋体" w:hAnsi="宋体" w:eastAsia="宋体" w:cs="宋体"/>
          <w:sz w:val="24"/>
          <w:szCs w:val="24"/>
        </w:rPr>
      </w:pPr>
      <w:r>
        <w:rPr>
          <w:rFonts w:ascii="宋体" w:hAnsi="宋体" w:eastAsia="宋体" w:cs="宋体"/>
          <w:spacing w:val="-2"/>
          <w:sz w:val="24"/>
          <w:szCs w:val="24"/>
        </w:rPr>
        <w:t>两栖类主要栖息于水域，工程评价区内水域面积极小，主要为分布在牛栏江及居民点房前屋后的小池塘、水洼或一些小型库塘。项目施工对两栖类的影响主要发生在铁塔土石方工程和架线施工区域：施工活动对两栖类栖息地生境可能造成干扰；施工人员可</w:t>
      </w:r>
      <w:r>
        <w:rPr>
          <w:rFonts w:ascii="宋体" w:hAnsi="宋体" w:eastAsia="宋体" w:cs="宋体"/>
          <w:spacing w:val="-6"/>
          <w:sz w:val="24"/>
          <w:szCs w:val="24"/>
        </w:rPr>
        <w:t>能对两栖类猎杀。从大范围来看，</w:t>
      </w:r>
      <w:r>
        <w:rPr>
          <w:rFonts w:ascii="宋体" w:hAnsi="宋体" w:eastAsia="宋体" w:cs="宋体"/>
          <w:spacing w:val="46"/>
          <w:sz w:val="24"/>
          <w:szCs w:val="24"/>
        </w:rPr>
        <w:t xml:space="preserve"> </w:t>
      </w:r>
      <w:r>
        <w:rPr>
          <w:rFonts w:ascii="宋体" w:hAnsi="宋体" w:eastAsia="宋体" w:cs="宋体"/>
          <w:spacing w:val="-6"/>
          <w:sz w:val="24"/>
          <w:szCs w:val="24"/>
        </w:rPr>
        <w:t>输电线路建设属于点线型，仅在塔基附近造成极小范</w:t>
      </w:r>
      <w:r>
        <w:rPr>
          <w:rFonts w:ascii="宋体" w:hAnsi="宋体" w:eastAsia="宋体" w:cs="宋体"/>
          <w:spacing w:val="-2"/>
          <w:sz w:val="24"/>
          <w:szCs w:val="24"/>
        </w:rPr>
        <w:t>围的片状改变，因此没有显著改变两栖类生物在该区域的大生境条件。且工程评价区内</w:t>
      </w:r>
      <w:r>
        <w:rPr>
          <w:rFonts w:ascii="宋体" w:hAnsi="宋体" w:eastAsia="宋体" w:cs="宋体"/>
          <w:spacing w:val="-8"/>
          <w:sz w:val="24"/>
          <w:szCs w:val="24"/>
        </w:rPr>
        <w:t>水域面积极小，两栖类种类、数量均较少。施工活动结束后，随着自然生态环境的恢复，</w:t>
      </w:r>
      <w:r>
        <w:rPr>
          <w:rFonts w:ascii="宋体" w:hAnsi="宋体" w:eastAsia="宋体" w:cs="宋体"/>
          <w:spacing w:val="-2"/>
          <w:sz w:val="24"/>
          <w:szCs w:val="24"/>
        </w:rPr>
        <w:t>水热条件得以恢复，工程建设对两栖类物种的影响将逐步消失。</w:t>
      </w:r>
    </w:p>
    <w:p w14:paraId="47EF571E">
      <w:pPr>
        <w:spacing w:line="234" w:lineRule="auto"/>
        <w:ind w:left="494"/>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2</w:t>
      </w:r>
      <w:r>
        <w:rPr>
          <w:rFonts w:ascii="宋体" w:hAnsi="宋体" w:eastAsia="宋体" w:cs="宋体"/>
          <w:b/>
          <w:bCs/>
          <w:spacing w:val="-4"/>
          <w:sz w:val="24"/>
          <w:szCs w:val="24"/>
        </w:rPr>
        <w:t>）对重点保护动物的影响</w:t>
      </w:r>
    </w:p>
    <w:p w14:paraId="2E25B060">
      <w:pPr>
        <w:spacing w:before="164" w:line="361" w:lineRule="auto"/>
        <w:ind w:left="6" w:firstLine="480"/>
        <w:jc w:val="both"/>
        <w:rPr>
          <w:rFonts w:ascii="宋体" w:hAnsi="宋体" w:eastAsia="宋体" w:cs="宋体"/>
          <w:sz w:val="24"/>
          <w:szCs w:val="24"/>
        </w:rPr>
      </w:pPr>
      <w:r>
        <w:rPr>
          <w:rFonts w:ascii="宋体" w:hAnsi="宋体" w:eastAsia="宋体" w:cs="宋体"/>
          <w:spacing w:val="-2"/>
          <w:sz w:val="24"/>
          <w:szCs w:val="24"/>
        </w:rPr>
        <w:t>本次调查未见重要野生动物，说明工程建设区不是重点保护物种的主要栖息地，且周边相似生境较多，且动物性机警，均具有主动趋利避害的行动能力，在严格规范施工</w:t>
      </w:r>
      <w:r>
        <w:rPr>
          <w:rFonts w:ascii="宋体" w:hAnsi="宋体" w:eastAsia="宋体" w:cs="宋体"/>
          <w:spacing w:val="-1"/>
          <w:sz w:val="24"/>
          <w:szCs w:val="24"/>
        </w:rPr>
        <w:t>行为，尽量缩短施工时间的前提下，工程建设对重要野生动物</w:t>
      </w:r>
      <w:r>
        <w:rPr>
          <w:rFonts w:ascii="宋体" w:hAnsi="宋体" w:eastAsia="宋体" w:cs="宋体"/>
          <w:spacing w:val="-2"/>
          <w:sz w:val="24"/>
          <w:szCs w:val="24"/>
        </w:rPr>
        <w:t>产生的影响也较小。</w:t>
      </w:r>
    </w:p>
    <w:p w14:paraId="4A40538A">
      <w:pPr>
        <w:spacing w:before="52" w:line="235" w:lineRule="auto"/>
        <w:rPr>
          <w:rFonts w:ascii="宋体" w:hAnsi="宋体" w:eastAsia="宋体" w:cs="宋体"/>
          <w:sz w:val="28"/>
          <w:szCs w:val="28"/>
        </w:rPr>
      </w:pPr>
      <w:bookmarkStart w:id="47" w:name="bookmark53"/>
      <w:bookmarkEnd w:id="47"/>
      <w:r>
        <w:rPr>
          <w:rFonts w:ascii="Times New Roman" w:hAnsi="Times New Roman" w:eastAsia="Times New Roman" w:cs="Times New Roman"/>
          <w:b/>
          <w:bCs/>
          <w:spacing w:val="-2"/>
          <w:sz w:val="28"/>
          <w:szCs w:val="28"/>
        </w:rPr>
        <w:t xml:space="preserve">3.5 </w:t>
      </w:r>
      <w:r>
        <w:rPr>
          <w:rFonts w:ascii="宋体" w:hAnsi="宋体" w:eastAsia="宋体" w:cs="宋体"/>
          <w:b/>
          <w:bCs/>
          <w:spacing w:val="-2"/>
          <w:sz w:val="28"/>
          <w:szCs w:val="28"/>
        </w:rPr>
        <w:t>项目对生态保护红线的影响</w:t>
      </w:r>
    </w:p>
    <w:p w14:paraId="648D6F4A">
      <w:pPr>
        <w:spacing w:before="214" w:line="366" w:lineRule="auto"/>
        <w:ind w:left="4" w:firstLine="480"/>
        <w:jc w:val="both"/>
        <w:rPr>
          <w:rFonts w:ascii="宋体" w:hAnsi="宋体" w:eastAsia="宋体" w:cs="宋体"/>
          <w:sz w:val="24"/>
          <w:szCs w:val="24"/>
        </w:rPr>
      </w:pPr>
      <w:r>
        <w:rPr>
          <w:rFonts w:ascii="宋体" w:hAnsi="宋体" w:eastAsia="宋体" w:cs="宋体"/>
          <w:spacing w:val="3"/>
          <w:sz w:val="24"/>
          <w:szCs w:val="24"/>
        </w:rPr>
        <w:t>根据线路所经区域生态保护红线划定情况，会泽县境内金沙江</w:t>
      </w:r>
      <w:r>
        <w:rPr>
          <w:rFonts w:ascii="宋体" w:hAnsi="宋体" w:eastAsia="宋体" w:cs="宋体"/>
          <w:spacing w:val="2"/>
          <w:sz w:val="24"/>
          <w:szCs w:val="24"/>
        </w:rPr>
        <w:t>下游</w:t>
      </w:r>
      <w:r>
        <w:rPr>
          <w:rFonts w:ascii="Times New Roman" w:hAnsi="Times New Roman" w:eastAsia="Times New Roman" w:cs="Times New Roman"/>
          <w:spacing w:val="2"/>
          <w:sz w:val="24"/>
          <w:szCs w:val="24"/>
        </w:rPr>
        <w:t>-</w:t>
      </w:r>
      <w:r>
        <w:rPr>
          <w:rFonts w:ascii="宋体" w:hAnsi="宋体" w:eastAsia="宋体" w:cs="宋体"/>
          <w:spacing w:val="2"/>
          <w:sz w:val="24"/>
          <w:szCs w:val="24"/>
        </w:rPr>
        <w:t>小江流域水土</w:t>
      </w:r>
      <w:r>
        <w:rPr>
          <w:rFonts w:ascii="宋体" w:hAnsi="宋体" w:eastAsia="宋体" w:cs="宋体"/>
          <w:spacing w:val="-2"/>
          <w:sz w:val="24"/>
          <w:szCs w:val="24"/>
        </w:rPr>
        <w:t>流失控制生态保护红线为大面积且连续性分布，线路沿线生态保护红线分布密集，覆盖</w:t>
      </w:r>
      <w:r>
        <w:rPr>
          <w:rFonts w:ascii="宋体" w:hAnsi="宋体" w:eastAsia="宋体" w:cs="宋体"/>
          <w:spacing w:val="-6"/>
          <w:sz w:val="24"/>
          <w:szCs w:val="24"/>
        </w:rPr>
        <w:t>范围广，加之受线路改接点、地形等的限制，</w:t>
      </w:r>
      <w:r>
        <w:rPr>
          <w:rFonts w:ascii="宋体" w:hAnsi="宋体" w:eastAsia="宋体" w:cs="宋体"/>
          <w:spacing w:val="50"/>
          <w:sz w:val="24"/>
          <w:szCs w:val="24"/>
        </w:rPr>
        <w:t xml:space="preserve"> </w:t>
      </w:r>
      <w:r>
        <w:rPr>
          <w:rFonts w:ascii="宋体" w:hAnsi="宋体" w:eastAsia="宋体" w:cs="宋体"/>
          <w:spacing w:val="-6"/>
          <w:sz w:val="24"/>
          <w:szCs w:val="24"/>
        </w:rPr>
        <w:t>拟建线路无法完全避让生态保护红线，穿</w:t>
      </w:r>
      <w:r>
        <w:rPr>
          <w:rFonts w:ascii="宋体" w:hAnsi="宋体" w:eastAsia="宋体" w:cs="宋体"/>
          <w:spacing w:val="-3"/>
          <w:sz w:val="24"/>
          <w:szCs w:val="24"/>
        </w:rPr>
        <w:t>越长度约</w:t>
      </w:r>
      <w:r>
        <w:rPr>
          <w:rFonts w:ascii="宋体" w:hAnsi="宋体" w:eastAsia="宋体" w:cs="宋体"/>
          <w:spacing w:val="-21"/>
          <w:sz w:val="24"/>
          <w:szCs w:val="24"/>
        </w:rPr>
        <w:t xml:space="preserve"> </w:t>
      </w:r>
      <w:r>
        <w:rPr>
          <w:rFonts w:ascii="Times New Roman" w:hAnsi="Times New Roman" w:eastAsia="Times New Roman" w:cs="Times New Roman"/>
          <w:spacing w:val="-3"/>
          <w:sz w:val="24"/>
          <w:szCs w:val="24"/>
        </w:rPr>
        <w:t>4257m</w:t>
      </w:r>
      <w:r>
        <w:rPr>
          <w:rFonts w:ascii="宋体" w:hAnsi="宋体" w:eastAsia="宋体" w:cs="宋体"/>
          <w:spacing w:val="-3"/>
          <w:sz w:val="24"/>
          <w:szCs w:val="24"/>
        </w:rPr>
        <w:t xml:space="preserve">，共计 </w:t>
      </w:r>
      <w:r>
        <w:rPr>
          <w:rFonts w:ascii="Times New Roman" w:hAnsi="Times New Roman" w:eastAsia="Times New Roman" w:cs="Times New Roman"/>
          <w:spacing w:val="-3"/>
          <w:sz w:val="24"/>
          <w:szCs w:val="24"/>
        </w:rPr>
        <w:t>13</w:t>
      </w:r>
      <w:r>
        <w:rPr>
          <w:rFonts w:ascii="Times New Roman" w:hAnsi="Times New Roman" w:eastAsia="Times New Roman" w:cs="Times New Roman"/>
          <w:spacing w:val="31"/>
          <w:w w:val="101"/>
          <w:sz w:val="24"/>
          <w:szCs w:val="24"/>
        </w:rPr>
        <w:t xml:space="preserve"> </w:t>
      </w:r>
      <w:r>
        <w:rPr>
          <w:rFonts w:ascii="宋体" w:hAnsi="宋体" w:eastAsia="宋体" w:cs="宋体"/>
          <w:spacing w:val="-3"/>
          <w:sz w:val="24"/>
          <w:szCs w:val="24"/>
        </w:rPr>
        <w:t>个塔基位于生态保护红线内，</w:t>
      </w:r>
      <w:r>
        <w:rPr>
          <w:rFonts w:ascii="宋体" w:hAnsi="宋体" w:eastAsia="宋体" w:cs="宋体"/>
          <w:spacing w:val="-71"/>
          <w:sz w:val="24"/>
          <w:szCs w:val="24"/>
        </w:rPr>
        <w:t xml:space="preserve"> </w:t>
      </w:r>
      <w:r>
        <w:rPr>
          <w:rFonts w:ascii="宋体" w:hAnsi="宋体" w:eastAsia="宋体" w:cs="宋体"/>
          <w:spacing w:val="-3"/>
          <w:sz w:val="24"/>
          <w:szCs w:val="24"/>
        </w:rPr>
        <w:t>占用植被类型以云南松林及稀</w:t>
      </w:r>
    </w:p>
    <w:p w14:paraId="119C02E8">
      <w:pPr>
        <w:spacing w:line="366" w:lineRule="auto"/>
        <w:rPr>
          <w:rFonts w:ascii="宋体" w:hAnsi="宋体" w:eastAsia="宋体" w:cs="宋体"/>
          <w:sz w:val="24"/>
          <w:szCs w:val="24"/>
        </w:rPr>
        <w:sectPr>
          <w:footerReference r:id="rId190" w:type="default"/>
          <w:pgSz w:w="11907" w:h="16841"/>
          <w:pgMar w:top="400" w:right="1414" w:bottom="1126" w:left="1422" w:header="0" w:footer="925" w:gutter="0"/>
          <w:cols w:space="720" w:num="1"/>
        </w:sectPr>
      </w:pPr>
    </w:p>
    <w:p w14:paraId="059AFFBA">
      <w:pPr>
        <w:spacing w:line="249" w:lineRule="auto"/>
        <w:rPr>
          <w:rFonts w:ascii="Arial"/>
          <w:sz w:val="21"/>
        </w:rPr>
      </w:pPr>
    </w:p>
    <w:p w14:paraId="1ED450E9">
      <w:pPr>
        <w:spacing w:line="249" w:lineRule="auto"/>
        <w:rPr>
          <w:rFonts w:ascii="Arial"/>
          <w:sz w:val="21"/>
        </w:rPr>
      </w:pPr>
    </w:p>
    <w:p w14:paraId="25864CE7">
      <w:pPr>
        <w:spacing w:line="249" w:lineRule="auto"/>
        <w:rPr>
          <w:rFonts w:ascii="Arial"/>
          <w:sz w:val="21"/>
        </w:rPr>
      </w:pPr>
    </w:p>
    <w:p w14:paraId="6EE23B4E">
      <w:pPr>
        <w:spacing w:line="249" w:lineRule="auto"/>
        <w:rPr>
          <w:rFonts w:ascii="Arial"/>
          <w:sz w:val="21"/>
        </w:rPr>
      </w:pPr>
    </w:p>
    <w:p w14:paraId="4E31914E">
      <w:pPr>
        <w:spacing w:line="249" w:lineRule="auto"/>
        <w:rPr>
          <w:rFonts w:ascii="Arial"/>
          <w:sz w:val="21"/>
        </w:rPr>
      </w:pPr>
    </w:p>
    <w:p w14:paraId="163D9181">
      <w:pPr>
        <w:spacing w:before="78" w:line="360" w:lineRule="auto"/>
        <w:ind w:left="8" w:hanging="9"/>
        <w:rPr>
          <w:rFonts w:ascii="宋体" w:hAnsi="宋体" w:eastAsia="宋体" w:cs="宋体"/>
          <w:sz w:val="24"/>
          <w:szCs w:val="24"/>
        </w:rPr>
      </w:pPr>
      <w:r>
        <w:rPr>
          <w:rFonts w:ascii="宋体" w:hAnsi="宋体" w:eastAsia="宋体" w:cs="宋体"/>
          <w:spacing w:val="-2"/>
          <w:sz w:val="24"/>
          <w:szCs w:val="24"/>
        </w:rPr>
        <w:t>树灌草丛为主。本工程输电线路尽可能避让了呈块状分布的生态保护红线密集区，尽可</w:t>
      </w:r>
      <w:r>
        <w:rPr>
          <w:rFonts w:ascii="宋体" w:hAnsi="宋体" w:eastAsia="宋体" w:cs="宋体"/>
          <w:sz w:val="24"/>
          <w:szCs w:val="24"/>
        </w:rPr>
        <w:t>能从生态保护红线零星分布区域或间隙通过，最大限度减小了对生态保护红线的影响。</w:t>
      </w:r>
    </w:p>
    <w:p w14:paraId="5AEDFEA4">
      <w:pPr>
        <w:spacing w:before="2" w:line="359" w:lineRule="auto"/>
        <w:ind w:right="82" w:firstLine="480"/>
        <w:rPr>
          <w:rFonts w:ascii="宋体" w:hAnsi="宋体" w:eastAsia="宋体" w:cs="宋体"/>
          <w:sz w:val="24"/>
          <w:szCs w:val="24"/>
        </w:rPr>
      </w:pPr>
      <w:r>
        <w:rPr>
          <w:rFonts w:ascii="宋体" w:hAnsi="宋体" w:eastAsia="宋体" w:cs="宋体"/>
          <w:spacing w:val="-2"/>
          <w:sz w:val="24"/>
          <w:szCs w:val="24"/>
        </w:rPr>
        <w:t>根据分析，本工程建设不属于大规模连片开发，仅塔基基础占用土地，对沿线生态环境的扰动较小，不损害生态系统的稳定性和完整性。</w:t>
      </w:r>
    </w:p>
    <w:p w14:paraId="53A134CD">
      <w:pPr>
        <w:spacing w:line="219" w:lineRule="auto"/>
        <w:ind w:left="498"/>
        <w:rPr>
          <w:rFonts w:ascii="宋体" w:hAnsi="宋体" w:eastAsia="宋体" w:cs="宋体"/>
          <w:sz w:val="24"/>
          <w:szCs w:val="24"/>
        </w:rPr>
      </w:pPr>
      <w:r>
        <w:rPr>
          <w:rFonts w:ascii="宋体" w:hAnsi="宋体" w:eastAsia="宋体" w:cs="宋体"/>
          <w:spacing w:val="-3"/>
          <w:sz w:val="24"/>
          <w:szCs w:val="24"/>
        </w:rPr>
        <w:t>因此，工程建设对生态保护红线的影响极其微小。</w:t>
      </w:r>
    </w:p>
    <w:p w14:paraId="6E035714">
      <w:pPr>
        <w:spacing w:line="219" w:lineRule="auto"/>
        <w:rPr>
          <w:rFonts w:ascii="宋体" w:hAnsi="宋体" w:eastAsia="宋体" w:cs="宋体"/>
          <w:sz w:val="24"/>
          <w:szCs w:val="24"/>
        </w:rPr>
        <w:sectPr>
          <w:footerReference r:id="rId191" w:type="default"/>
          <w:pgSz w:w="11907" w:h="16841"/>
          <w:pgMar w:top="400" w:right="1335" w:bottom="1126" w:left="1428" w:header="0" w:footer="925" w:gutter="0"/>
          <w:cols w:space="720" w:num="1"/>
        </w:sectPr>
      </w:pPr>
    </w:p>
    <w:p w14:paraId="54F04CA9">
      <w:pPr>
        <w:spacing w:line="252" w:lineRule="auto"/>
        <w:rPr>
          <w:rFonts w:ascii="Arial"/>
          <w:sz w:val="21"/>
        </w:rPr>
      </w:pPr>
    </w:p>
    <w:p w14:paraId="51E5981B">
      <w:pPr>
        <w:spacing w:line="252" w:lineRule="auto"/>
        <w:rPr>
          <w:rFonts w:ascii="Arial"/>
          <w:sz w:val="21"/>
        </w:rPr>
      </w:pPr>
    </w:p>
    <w:p w14:paraId="10B91C4F">
      <w:pPr>
        <w:spacing w:line="252" w:lineRule="auto"/>
        <w:rPr>
          <w:rFonts w:ascii="Arial"/>
          <w:sz w:val="21"/>
        </w:rPr>
      </w:pPr>
    </w:p>
    <w:p w14:paraId="4473C1E3">
      <w:pPr>
        <w:spacing w:line="252" w:lineRule="auto"/>
        <w:rPr>
          <w:rFonts w:ascii="Arial"/>
          <w:sz w:val="21"/>
        </w:rPr>
      </w:pPr>
    </w:p>
    <w:p w14:paraId="2799255A">
      <w:pPr>
        <w:spacing w:line="252" w:lineRule="auto"/>
        <w:rPr>
          <w:rFonts w:ascii="Arial"/>
          <w:sz w:val="21"/>
        </w:rPr>
      </w:pPr>
    </w:p>
    <w:p w14:paraId="2D271BB5">
      <w:pPr>
        <w:spacing w:before="100"/>
        <w:ind w:left="1"/>
        <w:rPr>
          <w:rFonts w:ascii="宋体" w:hAnsi="宋体" w:eastAsia="宋体" w:cs="宋体"/>
          <w:sz w:val="31"/>
          <w:szCs w:val="31"/>
        </w:rPr>
      </w:pPr>
      <w:bookmarkStart w:id="48" w:name="bookmark54"/>
      <w:bookmarkEnd w:id="48"/>
      <w:bookmarkStart w:id="49" w:name="bookmark55"/>
      <w:bookmarkEnd w:id="49"/>
      <w:r>
        <w:rPr>
          <w:rFonts w:ascii="Times New Roman" w:hAnsi="Times New Roman" w:eastAsia="Times New Roman" w:cs="Times New Roman"/>
          <w:b/>
          <w:bCs/>
          <w:spacing w:val="3"/>
          <w:sz w:val="31"/>
          <w:szCs w:val="31"/>
        </w:rPr>
        <w:t>4</w:t>
      </w:r>
      <w:r>
        <w:rPr>
          <w:rFonts w:ascii="Times New Roman" w:hAnsi="Times New Roman" w:eastAsia="Times New Roman" w:cs="Times New Roman"/>
          <w:b/>
          <w:bCs/>
          <w:spacing w:val="-37"/>
          <w:sz w:val="31"/>
          <w:szCs w:val="31"/>
        </w:rPr>
        <w:t xml:space="preserve"> </w:t>
      </w:r>
      <w:r>
        <w:rPr>
          <w:rFonts w:ascii="宋体" w:hAnsi="宋体" w:eastAsia="宋体" w:cs="宋体"/>
          <w:b/>
          <w:bCs/>
          <w:spacing w:val="3"/>
          <w:sz w:val="31"/>
          <w:szCs w:val="31"/>
        </w:rPr>
        <w:t>、生态保护与恢复措施</w:t>
      </w:r>
    </w:p>
    <w:p w14:paraId="2E2318D8">
      <w:pPr>
        <w:spacing w:before="239" w:line="234" w:lineRule="auto"/>
        <w:ind w:left="1"/>
        <w:rPr>
          <w:rFonts w:ascii="宋体" w:hAnsi="宋体" w:eastAsia="宋体" w:cs="宋体"/>
          <w:sz w:val="28"/>
          <w:szCs w:val="28"/>
        </w:rPr>
      </w:pPr>
      <w:r>
        <w:rPr>
          <w:rFonts w:ascii="Times New Roman" w:hAnsi="Times New Roman" w:eastAsia="Times New Roman" w:cs="Times New Roman"/>
          <w:b/>
          <w:bCs/>
          <w:spacing w:val="-2"/>
          <w:sz w:val="28"/>
          <w:szCs w:val="28"/>
        </w:rPr>
        <w:t xml:space="preserve">4.1 </w:t>
      </w:r>
      <w:r>
        <w:rPr>
          <w:rFonts w:ascii="宋体" w:hAnsi="宋体" w:eastAsia="宋体" w:cs="宋体"/>
          <w:b/>
          <w:bCs/>
          <w:spacing w:val="-2"/>
          <w:sz w:val="28"/>
          <w:szCs w:val="28"/>
        </w:rPr>
        <w:t>植被及植物的保护措施</w:t>
      </w:r>
    </w:p>
    <w:p w14:paraId="611648CC">
      <w:pPr>
        <w:spacing w:before="214" w:line="358" w:lineRule="auto"/>
        <w:ind w:left="2" w:right="85" w:firstLine="487"/>
        <w:rPr>
          <w:rFonts w:ascii="宋体" w:hAnsi="宋体" w:eastAsia="宋体" w:cs="宋体"/>
          <w:sz w:val="24"/>
          <w:szCs w:val="24"/>
        </w:rPr>
      </w:pPr>
      <w:r>
        <w:rPr>
          <w:rFonts w:ascii="宋体" w:hAnsi="宋体" w:eastAsia="宋体" w:cs="宋体"/>
          <w:spacing w:val="-7"/>
          <w:sz w:val="24"/>
          <w:szCs w:val="24"/>
        </w:rPr>
        <w:t>（</w:t>
      </w:r>
      <w:r>
        <w:rPr>
          <w:rFonts w:ascii="Times New Roman" w:hAnsi="Times New Roman" w:eastAsia="Times New Roman" w:cs="Times New Roman"/>
          <w:spacing w:val="-7"/>
          <w:sz w:val="24"/>
          <w:szCs w:val="24"/>
        </w:rPr>
        <w:t>1</w:t>
      </w:r>
      <w:r>
        <w:rPr>
          <w:rFonts w:ascii="宋体" w:hAnsi="宋体" w:eastAsia="宋体" w:cs="宋体"/>
          <w:spacing w:val="-7"/>
          <w:sz w:val="24"/>
          <w:szCs w:val="24"/>
        </w:rPr>
        <w:t>）塔基施工开挖作业时采取分层开挖、分层堆放、分层回填的</w:t>
      </w:r>
      <w:r>
        <w:rPr>
          <w:rFonts w:ascii="宋体" w:hAnsi="宋体" w:eastAsia="宋体" w:cs="宋体"/>
          <w:spacing w:val="-8"/>
          <w:sz w:val="24"/>
          <w:szCs w:val="24"/>
        </w:rPr>
        <w:t>方式，</w:t>
      </w:r>
      <w:r>
        <w:rPr>
          <w:rFonts w:ascii="宋体" w:hAnsi="宋体" w:eastAsia="宋体" w:cs="宋体"/>
          <w:spacing w:val="-41"/>
          <w:sz w:val="24"/>
          <w:szCs w:val="24"/>
        </w:rPr>
        <w:t xml:space="preserve"> </w:t>
      </w:r>
      <w:r>
        <w:rPr>
          <w:rFonts w:ascii="宋体" w:hAnsi="宋体" w:eastAsia="宋体" w:cs="宋体"/>
          <w:spacing w:val="-8"/>
          <w:sz w:val="24"/>
          <w:szCs w:val="24"/>
        </w:rPr>
        <w:t>尽量把原有</w:t>
      </w:r>
      <w:r>
        <w:rPr>
          <w:rFonts w:ascii="宋体" w:hAnsi="宋体" w:eastAsia="宋体" w:cs="宋体"/>
          <w:spacing w:val="-2"/>
          <w:sz w:val="24"/>
          <w:szCs w:val="24"/>
        </w:rPr>
        <w:t>表土回填到开挖区表层，以利于植被恢复，牵张场、跨越场采取钢板、彩条布等临时铺</w:t>
      </w:r>
      <w:r>
        <w:rPr>
          <w:rFonts w:ascii="宋体" w:hAnsi="宋体" w:eastAsia="宋体" w:cs="宋体"/>
          <w:spacing w:val="-3"/>
          <w:sz w:val="24"/>
          <w:szCs w:val="24"/>
        </w:rPr>
        <w:t>垫减少施工对地表植被的扰动。</w:t>
      </w:r>
    </w:p>
    <w:p w14:paraId="4379817F">
      <w:pPr>
        <w:spacing w:before="5" w:line="352" w:lineRule="auto"/>
        <w:ind w:left="3" w:right="94" w:firstLine="486"/>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2</w:t>
      </w:r>
      <w:r>
        <w:rPr>
          <w:rFonts w:ascii="宋体" w:hAnsi="宋体" w:eastAsia="宋体" w:cs="宋体"/>
          <w:spacing w:val="-5"/>
          <w:sz w:val="24"/>
          <w:szCs w:val="24"/>
        </w:rPr>
        <w:t>）对施工过程中剥离的表土，应当单独收集和存放，符合条</w:t>
      </w:r>
      <w:r>
        <w:rPr>
          <w:rFonts w:ascii="宋体" w:hAnsi="宋体" w:eastAsia="宋体" w:cs="宋体"/>
          <w:spacing w:val="-6"/>
          <w:sz w:val="24"/>
          <w:szCs w:val="24"/>
        </w:rPr>
        <w:t>件的应当优先用于土</w:t>
      </w:r>
      <w:r>
        <w:rPr>
          <w:rFonts w:ascii="宋体" w:hAnsi="宋体" w:eastAsia="宋体" w:cs="宋体"/>
          <w:spacing w:val="-3"/>
          <w:sz w:val="24"/>
          <w:szCs w:val="24"/>
        </w:rPr>
        <w:t>地复垦、土壤改良、造地和绿化等。</w:t>
      </w:r>
    </w:p>
    <w:p w14:paraId="7E7D97CF">
      <w:pPr>
        <w:spacing w:before="23" w:line="358" w:lineRule="auto"/>
        <w:ind w:left="3" w:right="85" w:firstLine="486"/>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3</w:t>
      </w:r>
      <w:r>
        <w:rPr>
          <w:rFonts w:ascii="宋体" w:hAnsi="宋体" w:eastAsia="宋体" w:cs="宋体"/>
          <w:spacing w:val="-5"/>
          <w:sz w:val="24"/>
          <w:szCs w:val="24"/>
        </w:rPr>
        <w:t>）施工结束后，应及时清理施工现场，对施工临时用地恢复原有使用功能</w:t>
      </w:r>
      <w:r>
        <w:rPr>
          <w:rFonts w:ascii="宋体" w:hAnsi="宋体" w:eastAsia="宋体" w:cs="宋体"/>
          <w:spacing w:val="-6"/>
          <w:sz w:val="24"/>
          <w:szCs w:val="24"/>
        </w:rPr>
        <w:t>。在植</w:t>
      </w:r>
      <w:r>
        <w:rPr>
          <w:rFonts w:ascii="宋体" w:hAnsi="宋体" w:eastAsia="宋体" w:cs="宋体"/>
          <w:spacing w:val="-2"/>
          <w:sz w:val="24"/>
          <w:szCs w:val="24"/>
        </w:rPr>
        <w:t>被生态专家的指导下，加强对评价区及周边林地的保护和人工抚育，以促进该植被类型</w:t>
      </w:r>
      <w:r>
        <w:rPr>
          <w:rFonts w:ascii="宋体" w:hAnsi="宋体" w:eastAsia="宋体" w:cs="宋体"/>
          <w:spacing w:val="-7"/>
          <w:sz w:val="24"/>
          <w:szCs w:val="24"/>
        </w:rPr>
        <w:t>的正向演替。</w:t>
      </w:r>
    </w:p>
    <w:p w14:paraId="5AE61854">
      <w:pPr>
        <w:spacing w:before="7" w:line="233" w:lineRule="auto"/>
        <w:ind w:left="489"/>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4</w:t>
      </w:r>
      <w:r>
        <w:rPr>
          <w:rFonts w:ascii="宋体" w:hAnsi="宋体" w:eastAsia="宋体" w:cs="宋体"/>
          <w:spacing w:val="-1"/>
          <w:sz w:val="24"/>
          <w:szCs w:val="24"/>
        </w:rPr>
        <w:t>）固定施工范围，避免扩大施工场地，</w:t>
      </w:r>
      <w:r>
        <w:rPr>
          <w:rFonts w:ascii="宋体" w:hAnsi="宋体" w:eastAsia="宋体" w:cs="宋体"/>
          <w:spacing w:val="-2"/>
          <w:sz w:val="24"/>
          <w:szCs w:val="24"/>
        </w:rPr>
        <w:t>造成工程区外的植被和植物的破坏。</w:t>
      </w:r>
    </w:p>
    <w:p w14:paraId="37E739E8">
      <w:pPr>
        <w:spacing w:before="164" w:line="352" w:lineRule="auto"/>
        <w:ind w:left="21" w:right="93" w:firstLine="468"/>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5</w:t>
      </w:r>
      <w:r>
        <w:rPr>
          <w:rFonts w:ascii="宋体" w:hAnsi="宋体" w:eastAsia="宋体" w:cs="宋体"/>
          <w:spacing w:val="-5"/>
          <w:sz w:val="24"/>
          <w:szCs w:val="24"/>
        </w:rPr>
        <w:t>）施工期要注意森林草原防火，严防因野外用火引起森林草原</w:t>
      </w:r>
      <w:r>
        <w:rPr>
          <w:rFonts w:ascii="宋体" w:hAnsi="宋体" w:eastAsia="宋体" w:cs="宋体"/>
          <w:spacing w:val="-6"/>
          <w:sz w:val="24"/>
          <w:szCs w:val="24"/>
        </w:rPr>
        <w:t>火灾，避免对评价</w:t>
      </w:r>
      <w:r>
        <w:rPr>
          <w:rFonts w:ascii="宋体" w:hAnsi="宋体" w:eastAsia="宋体" w:cs="宋体"/>
          <w:spacing w:val="-5"/>
          <w:sz w:val="24"/>
          <w:szCs w:val="24"/>
        </w:rPr>
        <w:t>区植被和植物被造成破坏。</w:t>
      </w:r>
    </w:p>
    <w:p w14:paraId="78EFC30C">
      <w:pPr>
        <w:spacing w:before="21" w:line="352" w:lineRule="auto"/>
        <w:ind w:left="3" w:right="90" w:firstLine="486"/>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6</w:t>
      </w:r>
      <w:r>
        <w:rPr>
          <w:rFonts w:ascii="宋体" w:hAnsi="宋体" w:eastAsia="宋体" w:cs="宋体"/>
          <w:spacing w:val="1"/>
          <w:sz w:val="24"/>
          <w:szCs w:val="24"/>
        </w:rPr>
        <w:t>）要约束好项目区的工作人员、施工人员及外来人员，不能让他们随意伤害植</w:t>
      </w:r>
      <w:r>
        <w:rPr>
          <w:rFonts w:ascii="宋体" w:hAnsi="宋体" w:eastAsia="宋体" w:cs="宋体"/>
          <w:spacing w:val="-2"/>
          <w:sz w:val="24"/>
          <w:szCs w:val="24"/>
        </w:rPr>
        <w:t>物、破坏植被。</w:t>
      </w:r>
    </w:p>
    <w:p w14:paraId="1F2B55B3">
      <w:pPr>
        <w:spacing w:before="78" w:line="233" w:lineRule="auto"/>
        <w:ind w:left="1"/>
        <w:rPr>
          <w:rFonts w:ascii="宋体" w:hAnsi="宋体" w:eastAsia="宋体" w:cs="宋体"/>
          <w:sz w:val="28"/>
          <w:szCs w:val="28"/>
        </w:rPr>
      </w:pPr>
      <w:bookmarkStart w:id="50" w:name="bookmark56"/>
      <w:bookmarkEnd w:id="50"/>
      <w:r>
        <w:rPr>
          <w:rFonts w:ascii="Times New Roman" w:hAnsi="Times New Roman" w:eastAsia="Times New Roman" w:cs="Times New Roman"/>
          <w:b/>
          <w:bCs/>
          <w:spacing w:val="-2"/>
          <w:sz w:val="28"/>
          <w:szCs w:val="28"/>
        </w:rPr>
        <w:t xml:space="preserve">4.2 </w:t>
      </w:r>
      <w:r>
        <w:rPr>
          <w:rFonts w:ascii="宋体" w:hAnsi="宋体" w:eastAsia="宋体" w:cs="宋体"/>
          <w:b/>
          <w:bCs/>
          <w:spacing w:val="-2"/>
          <w:sz w:val="28"/>
          <w:szCs w:val="28"/>
        </w:rPr>
        <w:t>脊椎动物保护措施</w:t>
      </w:r>
    </w:p>
    <w:p w14:paraId="71A555C0">
      <w:pPr>
        <w:spacing w:before="215" w:line="233"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4.2.1 </w:t>
      </w:r>
      <w:r>
        <w:rPr>
          <w:rFonts w:ascii="宋体" w:hAnsi="宋体" w:eastAsia="宋体" w:cs="宋体"/>
          <w:b/>
          <w:bCs/>
          <w:spacing w:val="-2"/>
          <w:sz w:val="24"/>
          <w:szCs w:val="24"/>
        </w:rPr>
        <w:t>野生动物保护对象</w:t>
      </w:r>
    </w:p>
    <w:p w14:paraId="509FD38E">
      <w:pPr>
        <w:spacing w:before="165" w:line="360" w:lineRule="auto"/>
        <w:ind w:left="2" w:firstLine="480"/>
        <w:jc w:val="both"/>
        <w:rPr>
          <w:rFonts w:ascii="宋体" w:hAnsi="宋体" w:eastAsia="宋体" w:cs="宋体"/>
          <w:sz w:val="24"/>
          <w:szCs w:val="24"/>
        </w:rPr>
      </w:pPr>
      <w:r>
        <w:rPr>
          <w:rFonts w:ascii="宋体" w:hAnsi="宋体" w:eastAsia="宋体" w:cs="宋体"/>
          <w:spacing w:val="-6"/>
          <w:sz w:val="24"/>
          <w:szCs w:val="24"/>
        </w:rPr>
        <w:t>评价区分布有陆栖脊椎动物评价区内陆生脊椎动物主要包括兽类、两栖类、爬行类、</w:t>
      </w:r>
      <w:r>
        <w:rPr>
          <w:rFonts w:ascii="宋体" w:hAnsi="宋体" w:eastAsia="宋体" w:cs="宋体"/>
          <w:spacing w:val="-5"/>
          <w:sz w:val="24"/>
          <w:szCs w:val="24"/>
        </w:rPr>
        <w:t xml:space="preserve">鸟类。该区域陆生脊椎动物包括兽类、鸟类、两栖及爬行类共 </w:t>
      </w:r>
      <w:r>
        <w:rPr>
          <w:rFonts w:ascii="Times New Roman" w:hAnsi="Times New Roman" w:eastAsia="Times New Roman" w:cs="Times New Roman"/>
          <w:spacing w:val="-5"/>
          <w:sz w:val="24"/>
          <w:szCs w:val="24"/>
        </w:rPr>
        <w:t>14</w:t>
      </w:r>
      <w:r>
        <w:rPr>
          <w:rFonts w:ascii="Times New Roman" w:hAnsi="Times New Roman" w:eastAsia="Times New Roman" w:cs="Times New Roman"/>
          <w:spacing w:val="22"/>
          <w:w w:val="101"/>
          <w:sz w:val="24"/>
          <w:szCs w:val="24"/>
        </w:rPr>
        <w:t xml:space="preserve"> </w:t>
      </w:r>
      <w:r>
        <w:rPr>
          <w:rFonts w:ascii="宋体" w:hAnsi="宋体" w:eastAsia="宋体" w:cs="宋体"/>
          <w:spacing w:val="-6"/>
          <w:sz w:val="24"/>
          <w:szCs w:val="24"/>
        </w:rPr>
        <w:t>纲</w:t>
      </w:r>
      <w:r>
        <w:rPr>
          <w:rFonts w:ascii="宋体" w:hAnsi="宋体" w:eastAsia="宋体" w:cs="宋体"/>
          <w:spacing w:val="-25"/>
          <w:sz w:val="24"/>
          <w:szCs w:val="24"/>
        </w:rPr>
        <w:t xml:space="preserve"> </w:t>
      </w:r>
      <w:r>
        <w:rPr>
          <w:rFonts w:ascii="Times New Roman" w:hAnsi="Times New Roman" w:eastAsia="Times New Roman" w:cs="Times New Roman"/>
          <w:spacing w:val="-6"/>
          <w:sz w:val="24"/>
          <w:szCs w:val="24"/>
        </w:rPr>
        <w:t xml:space="preserve">16  </w:t>
      </w:r>
      <w:r>
        <w:rPr>
          <w:rFonts w:ascii="宋体" w:hAnsi="宋体" w:eastAsia="宋体" w:cs="宋体"/>
          <w:spacing w:val="-6"/>
          <w:sz w:val="24"/>
          <w:szCs w:val="24"/>
        </w:rPr>
        <w:t>目</w:t>
      </w:r>
      <w:r>
        <w:rPr>
          <w:rFonts w:ascii="宋体" w:hAnsi="宋体" w:eastAsia="宋体" w:cs="宋体"/>
          <w:spacing w:val="-41"/>
          <w:sz w:val="24"/>
          <w:szCs w:val="24"/>
        </w:rPr>
        <w:t xml:space="preserve"> </w:t>
      </w:r>
      <w:r>
        <w:rPr>
          <w:rFonts w:ascii="Times New Roman" w:hAnsi="Times New Roman" w:eastAsia="Times New Roman" w:cs="Times New Roman"/>
          <w:spacing w:val="-6"/>
          <w:sz w:val="24"/>
          <w:szCs w:val="24"/>
        </w:rPr>
        <w:t>37</w:t>
      </w:r>
      <w:r>
        <w:rPr>
          <w:rFonts w:ascii="Times New Roman" w:hAnsi="Times New Roman" w:eastAsia="Times New Roman" w:cs="Times New Roman"/>
          <w:spacing w:val="19"/>
          <w:w w:val="101"/>
          <w:sz w:val="24"/>
          <w:szCs w:val="24"/>
        </w:rPr>
        <w:t xml:space="preserve"> </w:t>
      </w:r>
      <w:r>
        <w:rPr>
          <w:rFonts w:ascii="宋体" w:hAnsi="宋体" w:eastAsia="宋体" w:cs="宋体"/>
          <w:spacing w:val="-6"/>
          <w:sz w:val="24"/>
          <w:szCs w:val="24"/>
        </w:rPr>
        <w:t>科</w:t>
      </w:r>
      <w:r>
        <w:rPr>
          <w:rFonts w:ascii="宋体" w:hAnsi="宋体" w:eastAsia="宋体" w:cs="宋体"/>
          <w:spacing w:val="-40"/>
          <w:sz w:val="24"/>
          <w:szCs w:val="24"/>
        </w:rPr>
        <w:t xml:space="preserve"> </w:t>
      </w:r>
      <w:r>
        <w:rPr>
          <w:rFonts w:ascii="Times New Roman" w:hAnsi="Times New Roman" w:eastAsia="Times New Roman" w:cs="Times New Roman"/>
          <w:spacing w:val="-6"/>
          <w:sz w:val="24"/>
          <w:szCs w:val="24"/>
        </w:rPr>
        <w:t>63</w:t>
      </w:r>
      <w:r>
        <w:rPr>
          <w:rFonts w:ascii="Times New Roman" w:hAnsi="Times New Roman" w:eastAsia="Times New Roman" w:cs="Times New Roman"/>
          <w:spacing w:val="19"/>
          <w:sz w:val="24"/>
          <w:szCs w:val="24"/>
        </w:rPr>
        <w:t xml:space="preserve"> </w:t>
      </w:r>
      <w:r>
        <w:rPr>
          <w:rFonts w:ascii="宋体" w:hAnsi="宋体" w:eastAsia="宋体" w:cs="宋体"/>
          <w:spacing w:val="-6"/>
          <w:sz w:val="24"/>
          <w:szCs w:val="24"/>
        </w:rPr>
        <w:t>种，</w:t>
      </w:r>
      <w:r>
        <w:rPr>
          <w:rFonts w:ascii="宋体" w:hAnsi="宋体" w:eastAsia="宋体" w:cs="宋体"/>
          <w:spacing w:val="-7"/>
          <w:sz w:val="24"/>
          <w:szCs w:val="24"/>
        </w:rPr>
        <w:t>其中，爬行类有</w:t>
      </w:r>
      <w:r>
        <w:rPr>
          <w:rFonts w:ascii="宋体" w:hAnsi="宋体" w:eastAsia="宋体" w:cs="宋体"/>
          <w:spacing w:val="-32"/>
          <w:sz w:val="24"/>
          <w:szCs w:val="24"/>
        </w:rPr>
        <w:t xml:space="preserve"> </w:t>
      </w:r>
      <w:r>
        <w:rPr>
          <w:rFonts w:ascii="Times New Roman" w:hAnsi="Times New Roman" w:eastAsia="Times New Roman" w:cs="Times New Roman"/>
          <w:spacing w:val="-7"/>
          <w:sz w:val="24"/>
          <w:szCs w:val="24"/>
        </w:rPr>
        <w:t xml:space="preserve">1  </w:t>
      </w:r>
      <w:r>
        <w:rPr>
          <w:rFonts w:ascii="宋体" w:hAnsi="宋体" w:eastAsia="宋体" w:cs="宋体"/>
          <w:spacing w:val="-7"/>
          <w:sz w:val="24"/>
          <w:szCs w:val="24"/>
        </w:rPr>
        <w:t>目</w:t>
      </w:r>
      <w:r>
        <w:rPr>
          <w:rFonts w:ascii="宋体" w:hAnsi="宋体" w:eastAsia="宋体" w:cs="宋体"/>
          <w:spacing w:val="-50"/>
          <w:sz w:val="24"/>
          <w:szCs w:val="24"/>
        </w:rPr>
        <w:t xml:space="preserve"> </w:t>
      </w:r>
      <w:r>
        <w:rPr>
          <w:rFonts w:ascii="Times New Roman" w:hAnsi="Times New Roman" w:eastAsia="Times New Roman" w:cs="Times New Roman"/>
          <w:spacing w:val="-7"/>
          <w:sz w:val="24"/>
          <w:szCs w:val="24"/>
        </w:rPr>
        <w:t xml:space="preserve">3 </w:t>
      </w:r>
      <w:r>
        <w:rPr>
          <w:rFonts w:ascii="宋体" w:hAnsi="宋体" w:eastAsia="宋体" w:cs="宋体"/>
          <w:spacing w:val="-7"/>
          <w:sz w:val="24"/>
          <w:szCs w:val="24"/>
        </w:rPr>
        <w:t>科</w:t>
      </w:r>
      <w:r>
        <w:rPr>
          <w:rFonts w:ascii="宋体" w:hAnsi="宋体" w:eastAsia="宋体" w:cs="宋体"/>
          <w:spacing w:val="-49"/>
          <w:sz w:val="24"/>
          <w:szCs w:val="24"/>
        </w:rPr>
        <w:t xml:space="preserve"> </w:t>
      </w:r>
      <w:r>
        <w:rPr>
          <w:rFonts w:ascii="Times New Roman" w:hAnsi="Times New Roman" w:eastAsia="Times New Roman" w:cs="Times New Roman"/>
          <w:spacing w:val="-7"/>
          <w:sz w:val="24"/>
          <w:szCs w:val="24"/>
        </w:rPr>
        <w:t xml:space="preserve">5 </w:t>
      </w:r>
      <w:r>
        <w:rPr>
          <w:rFonts w:ascii="宋体" w:hAnsi="宋体" w:eastAsia="宋体" w:cs="宋体"/>
          <w:spacing w:val="-7"/>
          <w:sz w:val="24"/>
          <w:szCs w:val="24"/>
        </w:rPr>
        <w:t>种，两栖类</w:t>
      </w:r>
      <w:r>
        <w:rPr>
          <w:rFonts w:ascii="宋体" w:hAnsi="宋体" w:eastAsia="宋体" w:cs="宋体"/>
          <w:spacing w:val="-8"/>
          <w:sz w:val="24"/>
          <w:szCs w:val="24"/>
        </w:rPr>
        <w:t>有</w:t>
      </w:r>
      <w:r>
        <w:rPr>
          <w:rFonts w:ascii="宋体" w:hAnsi="宋体" w:eastAsia="宋体" w:cs="宋体"/>
          <w:spacing w:val="-31"/>
          <w:sz w:val="24"/>
          <w:szCs w:val="24"/>
        </w:rPr>
        <w:t xml:space="preserve"> </w:t>
      </w:r>
      <w:r>
        <w:rPr>
          <w:rFonts w:ascii="Times New Roman" w:hAnsi="Times New Roman" w:eastAsia="Times New Roman" w:cs="Times New Roman"/>
          <w:spacing w:val="-8"/>
          <w:sz w:val="24"/>
          <w:szCs w:val="24"/>
        </w:rPr>
        <w:t xml:space="preserve">1  </w:t>
      </w:r>
      <w:r>
        <w:rPr>
          <w:rFonts w:ascii="宋体" w:hAnsi="宋体" w:eastAsia="宋体" w:cs="宋体"/>
          <w:spacing w:val="-8"/>
          <w:sz w:val="24"/>
          <w:szCs w:val="24"/>
        </w:rPr>
        <w:t>目</w:t>
      </w:r>
      <w:r>
        <w:rPr>
          <w:rFonts w:ascii="宋体" w:hAnsi="宋体" w:eastAsia="宋体" w:cs="宋体"/>
          <w:spacing w:val="-57"/>
          <w:sz w:val="24"/>
          <w:szCs w:val="24"/>
        </w:rPr>
        <w:t xml:space="preserve"> </w:t>
      </w:r>
      <w:r>
        <w:rPr>
          <w:rFonts w:ascii="Times New Roman" w:hAnsi="Times New Roman" w:eastAsia="Times New Roman" w:cs="Times New Roman"/>
          <w:spacing w:val="-8"/>
          <w:sz w:val="24"/>
          <w:szCs w:val="24"/>
        </w:rPr>
        <w:t xml:space="preserve">4 </w:t>
      </w:r>
      <w:r>
        <w:rPr>
          <w:rFonts w:ascii="宋体" w:hAnsi="宋体" w:eastAsia="宋体" w:cs="宋体"/>
          <w:spacing w:val="-8"/>
          <w:sz w:val="24"/>
          <w:szCs w:val="24"/>
        </w:rPr>
        <w:t>科</w:t>
      </w:r>
      <w:r>
        <w:rPr>
          <w:rFonts w:ascii="宋体" w:hAnsi="宋体" w:eastAsia="宋体" w:cs="宋体"/>
          <w:spacing w:val="-49"/>
          <w:sz w:val="24"/>
          <w:szCs w:val="24"/>
        </w:rPr>
        <w:t xml:space="preserve"> </w:t>
      </w:r>
      <w:r>
        <w:rPr>
          <w:rFonts w:ascii="Times New Roman" w:hAnsi="Times New Roman" w:eastAsia="Times New Roman" w:cs="Times New Roman"/>
          <w:spacing w:val="-8"/>
          <w:sz w:val="24"/>
          <w:szCs w:val="24"/>
        </w:rPr>
        <w:t xml:space="preserve">6 </w:t>
      </w:r>
      <w:r>
        <w:rPr>
          <w:rFonts w:ascii="宋体" w:hAnsi="宋体" w:eastAsia="宋体" w:cs="宋体"/>
          <w:spacing w:val="-8"/>
          <w:sz w:val="24"/>
          <w:szCs w:val="24"/>
        </w:rPr>
        <w:t>种，鸟类有</w:t>
      </w:r>
      <w:r>
        <w:rPr>
          <w:rFonts w:ascii="宋体" w:hAnsi="宋体" w:eastAsia="宋体" w:cs="宋体"/>
          <w:spacing w:val="-45"/>
          <w:sz w:val="24"/>
          <w:szCs w:val="24"/>
        </w:rPr>
        <w:t xml:space="preserve"> </w:t>
      </w:r>
      <w:r>
        <w:rPr>
          <w:rFonts w:ascii="Times New Roman" w:hAnsi="Times New Roman" w:eastAsia="Times New Roman" w:cs="Times New Roman"/>
          <w:spacing w:val="-8"/>
          <w:sz w:val="24"/>
          <w:szCs w:val="24"/>
        </w:rPr>
        <w:t xml:space="preserve">8  </w:t>
      </w:r>
      <w:r>
        <w:rPr>
          <w:rFonts w:ascii="宋体" w:hAnsi="宋体" w:eastAsia="宋体" w:cs="宋体"/>
          <w:spacing w:val="-8"/>
          <w:sz w:val="24"/>
          <w:szCs w:val="24"/>
        </w:rPr>
        <w:t>目</w:t>
      </w:r>
      <w:r>
        <w:rPr>
          <w:rFonts w:ascii="宋体" w:hAnsi="宋体" w:eastAsia="宋体" w:cs="宋体"/>
          <w:spacing w:val="-55"/>
          <w:sz w:val="24"/>
          <w:szCs w:val="24"/>
        </w:rPr>
        <w:t xml:space="preserve"> </w:t>
      </w:r>
      <w:r>
        <w:rPr>
          <w:rFonts w:ascii="Times New Roman" w:hAnsi="Times New Roman" w:eastAsia="Times New Roman" w:cs="Times New Roman"/>
          <w:spacing w:val="-8"/>
          <w:sz w:val="24"/>
          <w:szCs w:val="24"/>
        </w:rPr>
        <w:t>22</w:t>
      </w:r>
      <w:r>
        <w:rPr>
          <w:rFonts w:ascii="Times New Roman" w:hAnsi="Times New Roman" w:eastAsia="Times New Roman" w:cs="Times New Roman"/>
          <w:spacing w:val="9"/>
          <w:sz w:val="24"/>
          <w:szCs w:val="24"/>
        </w:rPr>
        <w:t xml:space="preserve"> </w:t>
      </w:r>
      <w:r>
        <w:rPr>
          <w:rFonts w:ascii="宋体" w:hAnsi="宋体" w:eastAsia="宋体" w:cs="宋体"/>
          <w:spacing w:val="-8"/>
          <w:sz w:val="24"/>
          <w:szCs w:val="24"/>
        </w:rPr>
        <w:t>科</w:t>
      </w:r>
      <w:r>
        <w:rPr>
          <w:rFonts w:ascii="宋体" w:hAnsi="宋体" w:eastAsia="宋体" w:cs="宋体"/>
          <w:spacing w:val="-56"/>
          <w:sz w:val="24"/>
          <w:szCs w:val="24"/>
        </w:rPr>
        <w:t xml:space="preserve"> </w:t>
      </w:r>
      <w:r>
        <w:rPr>
          <w:rFonts w:ascii="Times New Roman" w:hAnsi="Times New Roman" w:eastAsia="Times New Roman" w:cs="Times New Roman"/>
          <w:spacing w:val="-8"/>
          <w:sz w:val="24"/>
          <w:szCs w:val="24"/>
        </w:rPr>
        <w:t>42</w:t>
      </w:r>
      <w:r>
        <w:rPr>
          <w:rFonts w:ascii="Times New Roman" w:hAnsi="Times New Roman" w:eastAsia="Times New Roman" w:cs="Times New Roman"/>
          <w:spacing w:val="10"/>
          <w:sz w:val="24"/>
          <w:szCs w:val="24"/>
        </w:rPr>
        <w:t xml:space="preserve"> </w:t>
      </w:r>
      <w:r>
        <w:rPr>
          <w:rFonts w:ascii="宋体" w:hAnsi="宋体" w:eastAsia="宋体" w:cs="宋体"/>
          <w:spacing w:val="-8"/>
          <w:sz w:val="24"/>
          <w:szCs w:val="24"/>
        </w:rPr>
        <w:t>种，兽类</w:t>
      </w:r>
      <w:r>
        <w:rPr>
          <w:rFonts w:ascii="宋体" w:hAnsi="宋体" w:eastAsia="宋体" w:cs="宋体"/>
          <w:spacing w:val="-4"/>
          <w:sz w:val="24"/>
          <w:szCs w:val="24"/>
        </w:rPr>
        <w:t>共有</w:t>
      </w:r>
      <w:r>
        <w:rPr>
          <w:rFonts w:ascii="宋体" w:hAnsi="宋体" w:eastAsia="宋体" w:cs="宋体"/>
          <w:spacing w:val="-49"/>
          <w:sz w:val="24"/>
          <w:szCs w:val="24"/>
        </w:rPr>
        <w:t xml:space="preserve"> </w:t>
      </w:r>
      <w:r>
        <w:rPr>
          <w:rFonts w:ascii="Times New Roman" w:hAnsi="Times New Roman" w:eastAsia="Times New Roman" w:cs="Times New Roman"/>
          <w:spacing w:val="-4"/>
          <w:sz w:val="24"/>
          <w:szCs w:val="24"/>
        </w:rPr>
        <w:t>6</w:t>
      </w:r>
      <w:r>
        <w:rPr>
          <w:rFonts w:ascii="Times New Roman" w:hAnsi="Times New Roman" w:eastAsia="Times New Roman" w:cs="Times New Roman"/>
          <w:spacing w:val="55"/>
          <w:sz w:val="24"/>
          <w:szCs w:val="24"/>
        </w:rPr>
        <w:t xml:space="preserve"> </w:t>
      </w:r>
      <w:r>
        <w:rPr>
          <w:rFonts w:ascii="宋体" w:hAnsi="宋体" w:eastAsia="宋体" w:cs="宋体"/>
          <w:spacing w:val="-4"/>
          <w:sz w:val="24"/>
          <w:szCs w:val="24"/>
        </w:rPr>
        <w:t>目</w:t>
      </w:r>
      <w:r>
        <w:rPr>
          <w:rFonts w:ascii="宋体" w:hAnsi="宋体" w:eastAsia="宋体" w:cs="宋体"/>
          <w:spacing w:val="-45"/>
          <w:sz w:val="24"/>
          <w:szCs w:val="24"/>
        </w:rPr>
        <w:t xml:space="preserve"> </w:t>
      </w:r>
      <w:r>
        <w:rPr>
          <w:rFonts w:ascii="Times New Roman" w:hAnsi="Times New Roman" w:eastAsia="Times New Roman" w:cs="Times New Roman"/>
          <w:spacing w:val="-4"/>
          <w:sz w:val="24"/>
          <w:szCs w:val="24"/>
        </w:rPr>
        <w:t xml:space="preserve">8 </w:t>
      </w:r>
      <w:r>
        <w:rPr>
          <w:rFonts w:ascii="宋体" w:hAnsi="宋体" w:eastAsia="宋体" w:cs="宋体"/>
          <w:spacing w:val="-4"/>
          <w:sz w:val="24"/>
          <w:szCs w:val="24"/>
        </w:rPr>
        <w:t>科</w:t>
      </w:r>
      <w:r>
        <w:rPr>
          <w:rFonts w:ascii="宋体" w:hAnsi="宋体" w:eastAsia="宋体" w:cs="宋体"/>
          <w:spacing w:val="-32"/>
          <w:sz w:val="24"/>
          <w:szCs w:val="24"/>
        </w:rPr>
        <w:t xml:space="preserve"> </w:t>
      </w:r>
      <w:r>
        <w:rPr>
          <w:rFonts w:ascii="Times New Roman" w:hAnsi="Times New Roman" w:eastAsia="Times New Roman" w:cs="Times New Roman"/>
          <w:spacing w:val="-4"/>
          <w:sz w:val="24"/>
          <w:szCs w:val="24"/>
        </w:rPr>
        <w:t xml:space="preserve">10 </w:t>
      </w:r>
      <w:r>
        <w:rPr>
          <w:rFonts w:ascii="宋体" w:hAnsi="宋体" w:eastAsia="宋体" w:cs="宋体"/>
          <w:spacing w:val="-4"/>
          <w:sz w:val="24"/>
          <w:szCs w:val="24"/>
        </w:rPr>
        <w:t>种。评价区未记录到国家重点保护动物和云南省重点保护动物。</w:t>
      </w:r>
    </w:p>
    <w:p w14:paraId="01E9B736">
      <w:pPr>
        <w:spacing w:line="234" w:lineRule="auto"/>
        <w:rPr>
          <w:rFonts w:ascii="宋体" w:hAnsi="宋体" w:eastAsia="宋体" w:cs="宋体"/>
          <w:sz w:val="24"/>
          <w:szCs w:val="24"/>
        </w:rPr>
      </w:pPr>
      <w:r>
        <w:rPr>
          <w:rFonts w:ascii="Times New Roman" w:hAnsi="Times New Roman" w:eastAsia="Times New Roman" w:cs="Times New Roman"/>
          <w:b/>
          <w:bCs/>
          <w:spacing w:val="-2"/>
          <w:sz w:val="24"/>
          <w:szCs w:val="24"/>
        </w:rPr>
        <w:t xml:space="preserve">4.2.2 </w:t>
      </w:r>
      <w:r>
        <w:rPr>
          <w:rFonts w:ascii="宋体" w:hAnsi="宋体" w:eastAsia="宋体" w:cs="宋体"/>
          <w:b/>
          <w:bCs/>
          <w:spacing w:val="-2"/>
          <w:sz w:val="24"/>
          <w:szCs w:val="24"/>
        </w:rPr>
        <w:t>野生动物保护措施</w:t>
      </w:r>
    </w:p>
    <w:p w14:paraId="5868652B">
      <w:pPr>
        <w:spacing w:before="163" w:line="233" w:lineRule="auto"/>
        <w:ind w:left="492"/>
        <w:rPr>
          <w:rFonts w:ascii="宋体" w:hAnsi="宋体" w:eastAsia="宋体" w:cs="宋体"/>
          <w:sz w:val="24"/>
          <w:szCs w:val="24"/>
        </w:rPr>
      </w:pPr>
      <w:r>
        <w:rPr>
          <w:rFonts w:ascii="宋体" w:hAnsi="宋体" w:eastAsia="宋体" w:cs="宋体"/>
          <w:b/>
          <w:bCs/>
          <w:spacing w:val="-4"/>
          <w:sz w:val="24"/>
          <w:szCs w:val="24"/>
        </w:rPr>
        <w:t>（</w:t>
      </w:r>
      <w:r>
        <w:rPr>
          <w:rFonts w:ascii="Times New Roman" w:hAnsi="Times New Roman" w:eastAsia="Times New Roman" w:cs="Times New Roman"/>
          <w:b/>
          <w:bCs/>
          <w:spacing w:val="-4"/>
          <w:sz w:val="24"/>
          <w:szCs w:val="24"/>
        </w:rPr>
        <w:t>1</w:t>
      </w:r>
      <w:r>
        <w:rPr>
          <w:rFonts w:ascii="宋体" w:hAnsi="宋体" w:eastAsia="宋体" w:cs="宋体"/>
          <w:b/>
          <w:bCs/>
          <w:spacing w:val="-4"/>
          <w:sz w:val="24"/>
          <w:szCs w:val="24"/>
        </w:rPr>
        <w:t>）加强野生动物保护的宣传工作</w:t>
      </w:r>
    </w:p>
    <w:p w14:paraId="0369065B">
      <w:pPr>
        <w:spacing w:before="166" w:line="360" w:lineRule="auto"/>
        <w:ind w:left="4" w:right="85" w:firstLine="482"/>
        <w:jc w:val="both"/>
        <w:rPr>
          <w:rFonts w:ascii="宋体" w:hAnsi="宋体" w:eastAsia="宋体" w:cs="宋体"/>
          <w:sz w:val="24"/>
          <w:szCs w:val="24"/>
        </w:rPr>
      </w:pPr>
      <w:r>
        <w:rPr>
          <w:rFonts w:ascii="宋体" w:hAnsi="宋体" w:eastAsia="宋体" w:cs="宋体"/>
          <w:spacing w:val="-2"/>
          <w:sz w:val="24"/>
          <w:szCs w:val="24"/>
        </w:rPr>
        <w:t>一是在项目区挂有关野生动物的宣传警示牌，让公众了解项目区的野生动物的基本情况；二是项目区的工作人员向公众做宣传工作，宣传国家和云南省有关野生动物保护</w:t>
      </w:r>
      <w:r>
        <w:rPr>
          <w:rFonts w:ascii="宋体" w:hAnsi="宋体" w:eastAsia="宋体" w:cs="宋体"/>
          <w:spacing w:val="-3"/>
          <w:sz w:val="24"/>
          <w:szCs w:val="24"/>
        </w:rPr>
        <w:t>的法规规定和野生动物保护方面的相关知识。</w:t>
      </w:r>
    </w:p>
    <w:p w14:paraId="468DEFFC">
      <w:pPr>
        <w:spacing w:before="1" w:line="233" w:lineRule="auto"/>
        <w:ind w:left="492"/>
        <w:rPr>
          <w:rFonts w:ascii="宋体" w:hAnsi="宋体" w:eastAsia="宋体" w:cs="宋体"/>
          <w:sz w:val="24"/>
          <w:szCs w:val="24"/>
        </w:rPr>
      </w:pPr>
      <w:r>
        <w:rPr>
          <w:rFonts w:ascii="宋体" w:hAnsi="宋体" w:eastAsia="宋体" w:cs="宋体"/>
          <w:b/>
          <w:bCs/>
          <w:spacing w:val="-3"/>
          <w:sz w:val="24"/>
          <w:szCs w:val="24"/>
        </w:rPr>
        <w:t>（</w:t>
      </w:r>
      <w:r>
        <w:rPr>
          <w:rFonts w:ascii="Times New Roman" w:hAnsi="Times New Roman" w:eastAsia="Times New Roman" w:cs="Times New Roman"/>
          <w:b/>
          <w:bCs/>
          <w:spacing w:val="-3"/>
          <w:sz w:val="24"/>
          <w:szCs w:val="24"/>
        </w:rPr>
        <w:t>2</w:t>
      </w:r>
      <w:r>
        <w:rPr>
          <w:rFonts w:ascii="宋体" w:hAnsi="宋体" w:eastAsia="宋体" w:cs="宋体"/>
          <w:b/>
          <w:bCs/>
          <w:spacing w:val="-3"/>
          <w:sz w:val="24"/>
          <w:szCs w:val="24"/>
        </w:rPr>
        <w:t>）做好施工期和运营期的管理工作</w:t>
      </w:r>
    </w:p>
    <w:p w14:paraId="40E0AA97">
      <w:pPr>
        <w:spacing w:before="164" w:line="219" w:lineRule="auto"/>
        <w:ind w:left="487"/>
        <w:rPr>
          <w:rFonts w:ascii="宋体" w:hAnsi="宋体" w:eastAsia="宋体" w:cs="宋体"/>
          <w:sz w:val="24"/>
          <w:szCs w:val="24"/>
        </w:rPr>
      </w:pPr>
      <w:r>
        <w:rPr>
          <w:rFonts w:ascii="宋体" w:hAnsi="宋体" w:eastAsia="宋体" w:cs="宋体"/>
          <w:spacing w:val="-2"/>
          <w:sz w:val="24"/>
          <w:szCs w:val="24"/>
        </w:rPr>
        <w:t>一是在施工期，要约束好项目区的工作人员和施工人员，不能打野生动物；二是本</w:t>
      </w:r>
    </w:p>
    <w:p w14:paraId="07610702">
      <w:pPr>
        <w:spacing w:line="219" w:lineRule="auto"/>
        <w:rPr>
          <w:rFonts w:ascii="宋体" w:hAnsi="宋体" w:eastAsia="宋体" w:cs="宋体"/>
          <w:sz w:val="24"/>
          <w:szCs w:val="24"/>
        </w:rPr>
        <w:sectPr>
          <w:footerReference r:id="rId192" w:type="default"/>
          <w:pgSz w:w="11907" w:h="16841"/>
          <w:pgMar w:top="400" w:right="1330" w:bottom="1126" w:left="1424" w:header="0" w:footer="925" w:gutter="0"/>
          <w:cols w:space="720" w:num="1"/>
        </w:sectPr>
      </w:pPr>
    </w:p>
    <w:p w14:paraId="471F28F9">
      <w:pPr>
        <w:spacing w:line="249" w:lineRule="auto"/>
        <w:rPr>
          <w:rFonts w:ascii="Arial"/>
          <w:sz w:val="21"/>
        </w:rPr>
      </w:pPr>
    </w:p>
    <w:p w14:paraId="14E5C2EC">
      <w:pPr>
        <w:spacing w:line="249" w:lineRule="auto"/>
        <w:rPr>
          <w:rFonts w:ascii="Arial"/>
          <w:sz w:val="21"/>
        </w:rPr>
      </w:pPr>
    </w:p>
    <w:p w14:paraId="3C8D5C26">
      <w:pPr>
        <w:spacing w:line="249" w:lineRule="auto"/>
        <w:rPr>
          <w:rFonts w:ascii="Arial"/>
          <w:sz w:val="21"/>
        </w:rPr>
      </w:pPr>
    </w:p>
    <w:p w14:paraId="46EF6960">
      <w:pPr>
        <w:spacing w:line="249" w:lineRule="auto"/>
        <w:rPr>
          <w:rFonts w:ascii="Arial"/>
          <w:sz w:val="21"/>
        </w:rPr>
      </w:pPr>
    </w:p>
    <w:p w14:paraId="284C4411">
      <w:pPr>
        <w:spacing w:line="249" w:lineRule="auto"/>
        <w:rPr>
          <w:rFonts w:ascii="Arial"/>
          <w:sz w:val="21"/>
        </w:rPr>
      </w:pPr>
    </w:p>
    <w:p w14:paraId="06F33C3B">
      <w:pPr>
        <w:spacing w:before="78" w:line="361" w:lineRule="auto"/>
        <w:ind w:left="1"/>
        <w:jc w:val="both"/>
        <w:rPr>
          <w:rFonts w:ascii="宋体" w:hAnsi="宋体" w:eastAsia="宋体" w:cs="宋体"/>
          <w:sz w:val="24"/>
          <w:szCs w:val="24"/>
        </w:rPr>
      </w:pPr>
      <w:r>
        <w:rPr>
          <w:rFonts w:ascii="宋体" w:hAnsi="宋体" w:eastAsia="宋体" w:cs="宋体"/>
          <w:spacing w:val="-2"/>
          <w:sz w:val="24"/>
          <w:szCs w:val="24"/>
        </w:rPr>
        <w:t>着尽量减小对项目区野生动物干扰的心态施工，尽量减少施工噪声干扰；三是在施工过程中要注意保护野生动物，如在施工过程中发现两栖爬行类等野生动物，要及时送交林业部门处理；四是加强运营期对外来人员的管理工作，注意提醒他们保护野生动物，防</w:t>
      </w:r>
      <w:r>
        <w:rPr>
          <w:rFonts w:ascii="宋体" w:hAnsi="宋体" w:eastAsia="宋体" w:cs="宋体"/>
          <w:spacing w:val="-1"/>
          <w:sz w:val="24"/>
          <w:szCs w:val="24"/>
        </w:rPr>
        <w:t>止猎杀野生动物的现象发生。</w:t>
      </w:r>
    </w:p>
    <w:p w14:paraId="6F56670F">
      <w:pPr>
        <w:spacing w:before="50" w:line="235" w:lineRule="auto"/>
        <w:rPr>
          <w:rFonts w:ascii="宋体" w:hAnsi="宋体" w:eastAsia="宋体" w:cs="宋体"/>
          <w:sz w:val="28"/>
          <w:szCs w:val="28"/>
        </w:rPr>
      </w:pPr>
      <w:bookmarkStart w:id="51" w:name="bookmark57"/>
      <w:bookmarkEnd w:id="51"/>
      <w:r>
        <w:rPr>
          <w:rFonts w:ascii="Times New Roman" w:hAnsi="Times New Roman" w:eastAsia="Times New Roman" w:cs="Times New Roman"/>
          <w:b/>
          <w:bCs/>
          <w:spacing w:val="-2"/>
          <w:sz w:val="28"/>
          <w:szCs w:val="28"/>
        </w:rPr>
        <w:t xml:space="preserve">4.3 </w:t>
      </w:r>
      <w:r>
        <w:rPr>
          <w:rFonts w:ascii="宋体" w:hAnsi="宋体" w:eastAsia="宋体" w:cs="宋体"/>
          <w:b/>
          <w:bCs/>
          <w:spacing w:val="-2"/>
          <w:sz w:val="28"/>
          <w:szCs w:val="28"/>
        </w:rPr>
        <w:t>生态保护红线的保护措施</w:t>
      </w:r>
    </w:p>
    <w:p w14:paraId="1A6376A0">
      <w:pPr>
        <w:spacing w:before="213" w:line="358" w:lineRule="auto"/>
        <w:ind w:left="4" w:firstLine="484"/>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1</w:t>
      </w:r>
      <w:r>
        <w:rPr>
          <w:rFonts w:ascii="宋体" w:hAnsi="宋体" w:eastAsia="宋体" w:cs="宋体"/>
          <w:spacing w:val="-5"/>
          <w:sz w:val="24"/>
          <w:szCs w:val="24"/>
        </w:rPr>
        <w:t>）在下一步设计中，建议进一步局部优化塔基位置，通过塔基局部调整尽量少占</w:t>
      </w:r>
      <w:r>
        <w:rPr>
          <w:rFonts w:ascii="宋体" w:hAnsi="宋体" w:eastAsia="宋体" w:cs="宋体"/>
          <w:spacing w:val="-2"/>
          <w:sz w:val="24"/>
          <w:szCs w:val="24"/>
        </w:rPr>
        <w:t>用生态保护红线。严格按照划定的施工范围施工，不得随意扩大，设置警戒线、警示牌</w:t>
      </w:r>
      <w:r>
        <w:rPr>
          <w:rFonts w:ascii="宋体" w:hAnsi="宋体" w:eastAsia="宋体" w:cs="宋体"/>
          <w:spacing w:val="-9"/>
          <w:sz w:val="24"/>
          <w:szCs w:val="24"/>
        </w:rPr>
        <w:t>等措施。</w:t>
      </w:r>
    </w:p>
    <w:p w14:paraId="2E4D80AD">
      <w:pPr>
        <w:spacing w:before="6" w:line="352" w:lineRule="auto"/>
        <w:ind w:left="1" w:right="6" w:firstLine="487"/>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2</w:t>
      </w:r>
      <w:r>
        <w:rPr>
          <w:rFonts w:ascii="宋体" w:hAnsi="宋体" w:eastAsia="宋体" w:cs="宋体"/>
          <w:spacing w:val="1"/>
          <w:sz w:val="24"/>
          <w:szCs w:val="24"/>
        </w:rPr>
        <w:t>）最大限度地适应地形变化的需要，塔基因地制宜采取全方位长短腿配高低基</w:t>
      </w:r>
      <w:r>
        <w:rPr>
          <w:rFonts w:ascii="宋体" w:hAnsi="宋体" w:eastAsia="宋体" w:cs="宋体"/>
          <w:spacing w:val="-1"/>
          <w:sz w:val="24"/>
          <w:szCs w:val="24"/>
        </w:rPr>
        <w:t>础避免大开挖，保持原有的自然地形，尽量减少占地和土石方量，</w:t>
      </w:r>
      <w:r>
        <w:rPr>
          <w:rFonts w:ascii="宋体" w:hAnsi="宋体" w:eastAsia="宋体" w:cs="宋体"/>
          <w:spacing w:val="-2"/>
          <w:sz w:val="24"/>
          <w:szCs w:val="24"/>
        </w:rPr>
        <w:t>保护生态环境。</w:t>
      </w:r>
    </w:p>
    <w:p w14:paraId="0DECC6EE">
      <w:pPr>
        <w:spacing w:before="20" w:line="352" w:lineRule="auto"/>
        <w:ind w:left="2" w:right="7" w:firstLine="486"/>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3</w:t>
      </w:r>
      <w:r>
        <w:rPr>
          <w:rFonts w:ascii="宋体" w:hAnsi="宋体" w:eastAsia="宋体" w:cs="宋体"/>
          <w:spacing w:val="1"/>
          <w:sz w:val="24"/>
          <w:szCs w:val="24"/>
        </w:rPr>
        <w:t>）在线路跨越生态保护红线处优先采用环境友好型的飞艇、动力伞或无人机等</w:t>
      </w:r>
      <w:r>
        <w:rPr>
          <w:rFonts w:ascii="宋体" w:hAnsi="宋体" w:eastAsia="宋体" w:cs="宋体"/>
          <w:spacing w:val="-2"/>
          <w:sz w:val="24"/>
          <w:szCs w:val="24"/>
        </w:rPr>
        <w:t>放线施工工艺，减少地表扰动和植被破坏范</w:t>
      </w:r>
      <w:r>
        <w:rPr>
          <w:rFonts w:ascii="宋体" w:hAnsi="宋体" w:eastAsia="宋体" w:cs="宋体"/>
          <w:spacing w:val="-3"/>
          <w:sz w:val="24"/>
          <w:szCs w:val="24"/>
        </w:rPr>
        <w:t>围。</w:t>
      </w:r>
    </w:p>
    <w:p w14:paraId="3DF98235">
      <w:pPr>
        <w:spacing w:before="22" w:line="358" w:lineRule="auto"/>
        <w:ind w:left="3" w:right="2" w:firstLine="485"/>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4</w:t>
      </w:r>
      <w:r>
        <w:rPr>
          <w:rFonts w:ascii="宋体" w:hAnsi="宋体" w:eastAsia="宋体" w:cs="宋体"/>
          <w:spacing w:val="-5"/>
          <w:sz w:val="24"/>
          <w:szCs w:val="24"/>
        </w:rPr>
        <w:t>）禁止在生态保护红线内设置“三场”，禁止在生态保护红线范围内堆放</w:t>
      </w:r>
      <w:r>
        <w:rPr>
          <w:rFonts w:ascii="宋体" w:hAnsi="宋体" w:eastAsia="宋体" w:cs="宋体"/>
          <w:spacing w:val="-6"/>
          <w:sz w:val="24"/>
          <w:szCs w:val="24"/>
        </w:rPr>
        <w:t>建筑垃圾和生活垃圾，禁止在生态保护红线内设置牵张场、材料堆场等临时占地，</w:t>
      </w:r>
      <w:r>
        <w:rPr>
          <w:rFonts w:ascii="宋体" w:hAnsi="宋体" w:eastAsia="宋体" w:cs="宋体"/>
          <w:spacing w:val="47"/>
          <w:sz w:val="24"/>
          <w:szCs w:val="24"/>
        </w:rPr>
        <w:t xml:space="preserve"> </w:t>
      </w:r>
      <w:r>
        <w:rPr>
          <w:rFonts w:ascii="宋体" w:hAnsi="宋体" w:eastAsia="宋体" w:cs="宋体"/>
          <w:spacing w:val="-6"/>
          <w:sz w:val="24"/>
          <w:szCs w:val="24"/>
        </w:rPr>
        <w:t>本工程输电</w:t>
      </w:r>
      <w:r>
        <w:rPr>
          <w:rFonts w:ascii="宋体" w:hAnsi="宋体" w:eastAsia="宋体" w:cs="宋体"/>
          <w:spacing w:val="-2"/>
          <w:sz w:val="24"/>
          <w:szCs w:val="24"/>
        </w:rPr>
        <w:t>线路在生态红线范围内不设置取土场和弃土</w:t>
      </w:r>
      <w:r>
        <w:rPr>
          <w:rFonts w:ascii="宋体" w:hAnsi="宋体" w:eastAsia="宋体" w:cs="宋体"/>
          <w:spacing w:val="-3"/>
          <w:sz w:val="24"/>
          <w:szCs w:val="24"/>
        </w:rPr>
        <w:t>场。</w:t>
      </w:r>
    </w:p>
    <w:p w14:paraId="3BFE54EB">
      <w:pPr>
        <w:spacing w:before="9" w:line="358" w:lineRule="auto"/>
        <w:ind w:left="1" w:right="2" w:firstLine="487"/>
        <w:rPr>
          <w:rFonts w:ascii="宋体" w:hAnsi="宋体" w:eastAsia="宋体" w:cs="宋体"/>
          <w:sz w:val="24"/>
          <w:szCs w:val="24"/>
        </w:rPr>
      </w:pPr>
      <w:r>
        <w:rPr>
          <w:rFonts w:ascii="宋体" w:hAnsi="宋体" w:eastAsia="宋体" w:cs="宋体"/>
          <w:spacing w:val="-5"/>
          <w:sz w:val="24"/>
          <w:szCs w:val="24"/>
        </w:rPr>
        <w:t>（</w:t>
      </w:r>
      <w:r>
        <w:rPr>
          <w:rFonts w:ascii="Times New Roman" w:hAnsi="Times New Roman" w:eastAsia="Times New Roman" w:cs="Times New Roman"/>
          <w:spacing w:val="-5"/>
          <w:sz w:val="24"/>
          <w:szCs w:val="24"/>
        </w:rPr>
        <w:t>5</w:t>
      </w:r>
      <w:r>
        <w:rPr>
          <w:rFonts w:ascii="宋体" w:hAnsi="宋体" w:eastAsia="宋体" w:cs="宋体"/>
          <w:spacing w:val="-5"/>
          <w:sz w:val="24"/>
          <w:szCs w:val="24"/>
        </w:rPr>
        <w:t>）临时施工道路尽可能利用保护区内已有乡村公路、机耕路、林区小路等</w:t>
      </w:r>
      <w:r>
        <w:rPr>
          <w:rFonts w:ascii="宋体" w:hAnsi="宋体" w:eastAsia="宋体" w:cs="宋体"/>
          <w:spacing w:val="-6"/>
          <w:sz w:val="24"/>
          <w:szCs w:val="24"/>
        </w:rPr>
        <w:t>现有道</w:t>
      </w:r>
      <w:r>
        <w:rPr>
          <w:rFonts w:ascii="宋体" w:hAnsi="宋体" w:eastAsia="宋体" w:cs="宋体"/>
          <w:spacing w:val="-2"/>
          <w:sz w:val="24"/>
          <w:szCs w:val="24"/>
        </w:rPr>
        <w:t>路；局部交通条件较差的山丘区，尽可能通过索道、人力或畜力将施工材料运至塔基附</w:t>
      </w:r>
      <w:r>
        <w:rPr>
          <w:rFonts w:ascii="宋体" w:hAnsi="宋体" w:eastAsia="宋体" w:cs="宋体"/>
          <w:spacing w:val="-3"/>
          <w:sz w:val="24"/>
          <w:szCs w:val="24"/>
        </w:rPr>
        <w:t>近，生态保护红线内禁止开挖施工道路。</w:t>
      </w:r>
    </w:p>
    <w:p w14:paraId="086E83D4">
      <w:pPr>
        <w:spacing w:before="6" w:line="352" w:lineRule="auto"/>
        <w:ind w:left="5" w:right="7" w:firstLine="483"/>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6</w:t>
      </w:r>
      <w:r>
        <w:rPr>
          <w:rFonts w:ascii="宋体" w:hAnsi="宋体" w:eastAsia="宋体" w:cs="宋体"/>
          <w:spacing w:val="1"/>
          <w:sz w:val="24"/>
          <w:szCs w:val="24"/>
        </w:rPr>
        <w:t>）基础开挖土方先临时集中堆放在塔基施工场地范围内，待基础浇筑完成后全</w:t>
      </w:r>
      <w:r>
        <w:rPr>
          <w:rFonts w:ascii="宋体" w:hAnsi="宋体" w:eastAsia="宋体" w:cs="宋体"/>
          <w:spacing w:val="-2"/>
          <w:sz w:val="24"/>
          <w:szCs w:val="24"/>
        </w:rPr>
        <w:t>部在塔基永久占地范围内回填、夯实、平整，就地利用，不外弃。</w:t>
      </w:r>
    </w:p>
    <w:p w14:paraId="4060BF0E">
      <w:pPr>
        <w:spacing w:before="22" w:line="358" w:lineRule="auto"/>
        <w:ind w:left="2" w:right="2" w:firstLine="486"/>
        <w:rPr>
          <w:rFonts w:ascii="宋体" w:hAnsi="宋体" w:eastAsia="宋体" w:cs="宋体"/>
          <w:sz w:val="24"/>
          <w:szCs w:val="24"/>
        </w:rPr>
      </w:pPr>
      <w:r>
        <w:rPr>
          <w:rFonts w:ascii="宋体" w:hAnsi="宋体" w:eastAsia="宋体" w:cs="宋体"/>
          <w:spacing w:val="1"/>
          <w:sz w:val="24"/>
          <w:szCs w:val="24"/>
        </w:rPr>
        <w:t>（</w:t>
      </w:r>
      <w:r>
        <w:rPr>
          <w:rFonts w:ascii="Times New Roman" w:hAnsi="Times New Roman" w:eastAsia="Times New Roman" w:cs="Times New Roman"/>
          <w:spacing w:val="1"/>
          <w:sz w:val="24"/>
          <w:szCs w:val="24"/>
        </w:rPr>
        <w:t>7</w:t>
      </w:r>
      <w:r>
        <w:rPr>
          <w:rFonts w:ascii="宋体" w:hAnsi="宋体" w:eastAsia="宋体" w:cs="宋体"/>
          <w:spacing w:val="1"/>
          <w:sz w:val="24"/>
          <w:szCs w:val="24"/>
        </w:rPr>
        <w:t>）加强对施工人员的教育和管理，使他们了解生态保护红线的重要意义和生态</w:t>
      </w:r>
      <w:r>
        <w:rPr>
          <w:rFonts w:ascii="宋体" w:hAnsi="宋体" w:eastAsia="宋体" w:cs="宋体"/>
          <w:spacing w:val="-2"/>
          <w:sz w:val="24"/>
          <w:szCs w:val="24"/>
        </w:rPr>
        <w:t>保护红线的边界，并在施工过程中注意保护生态环境，严禁捕猎、捕食野生动物和随意</w:t>
      </w:r>
      <w:r>
        <w:rPr>
          <w:rFonts w:ascii="宋体" w:hAnsi="宋体" w:eastAsia="宋体" w:cs="宋体"/>
          <w:spacing w:val="-5"/>
          <w:sz w:val="24"/>
          <w:szCs w:val="24"/>
        </w:rPr>
        <w:t>砍伐、踩踏植被。</w:t>
      </w:r>
    </w:p>
    <w:p w14:paraId="08BC8290">
      <w:pPr>
        <w:spacing w:before="7" w:line="360" w:lineRule="auto"/>
        <w:ind w:left="5" w:firstLine="483"/>
        <w:rPr>
          <w:rFonts w:ascii="宋体" w:hAnsi="宋体" w:eastAsia="宋体" w:cs="宋体"/>
          <w:sz w:val="24"/>
          <w:szCs w:val="24"/>
        </w:rPr>
      </w:pPr>
      <w:r>
        <w:rPr>
          <w:rFonts w:ascii="宋体" w:hAnsi="宋体" w:eastAsia="宋体" w:cs="宋体"/>
          <w:spacing w:val="-7"/>
          <w:sz w:val="24"/>
          <w:szCs w:val="24"/>
        </w:rPr>
        <w:t>（</w:t>
      </w:r>
      <w:r>
        <w:rPr>
          <w:rFonts w:ascii="Times New Roman" w:hAnsi="Times New Roman" w:eastAsia="Times New Roman" w:cs="Times New Roman"/>
          <w:spacing w:val="-7"/>
          <w:sz w:val="24"/>
          <w:szCs w:val="24"/>
        </w:rPr>
        <w:t>8</w:t>
      </w:r>
      <w:r>
        <w:rPr>
          <w:rFonts w:ascii="宋体" w:hAnsi="宋体" w:eastAsia="宋体" w:cs="宋体"/>
          <w:spacing w:val="-7"/>
          <w:sz w:val="24"/>
          <w:szCs w:val="24"/>
        </w:rPr>
        <w:t>）施工结束后开展土地整治，进行植被和迹地恢复。施工结束</w:t>
      </w:r>
      <w:r>
        <w:rPr>
          <w:rFonts w:ascii="宋体" w:hAnsi="宋体" w:eastAsia="宋体" w:cs="宋体"/>
          <w:spacing w:val="-8"/>
          <w:sz w:val="24"/>
          <w:szCs w:val="24"/>
        </w:rPr>
        <w:t>后，</w:t>
      </w:r>
      <w:r>
        <w:rPr>
          <w:rFonts w:ascii="宋体" w:hAnsi="宋体" w:eastAsia="宋体" w:cs="宋体"/>
          <w:spacing w:val="-41"/>
          <w:sz w:val="24"/>
          <w:szCs w:val="24"/>
        </w:rPr>
        <w:t xml:space="preserve"> </w:t>
      </w:r>
      <w:r>
        <w:rPr>
          <w:rFonts w:ascii="宋体" w:hAnsi="宋体" w:eastAsia="宋体" w:cs="宋体"/>
          <w:spacing w:val="-8"/>
          <w:sz w:val="24"/>
          <w:szCs w:val="24"/>
        </w:rPr>
        <w:t>尽快对塔基施</w:t>
      </w:r>
      <w:r>
        <w:rPr>
          <w:rFonts w:ascii="宋体" w:hAnsi="宋体" w:eastAsia="宋体" w:cs="宋体"/>
          <w:spacing w:val="-2"/>
          <w:sz w:val="24"/>
          <w:szCs w:val="24"/>
        </w:rPr>
        <w:t>工区附近采取种植乔灌草或撒播草籽的方式进行植被恢复，所选用的树种和草种以当地的乡土植被为宜，恢复临时占地区域原有生态环境和土地利用功能，并加强后期养护和</w:t>
      </w:r>
      <w:r>
        <w:rPr>
          <w:rFonts w:ascii="宋体" w:hAnsi="宋体" w:eastAsia="宋体" w:cs="宋体"/>
          <w:spacing w:val="-5"/>
          <w:sz w:val="24"/>
          <w:szCs w:val="24"/>
        </w:rPr>
        <w:t>维护。</w:t>
      </w:r>
    </w:p>
    <w:p w14:paraId="23D598A1">
      <w:pPr>
        <w:spacing w:line="360" w:lineRule="auto"/>
        <w:rPr>
          <w:rFonts w:ascii="宋体" w:hAnsi="宋体" w:eastAsia="宋体" w:cs="宋体"/>
          <w:sz w:val="24"/>
          <w:szCs w:val="24"/>
        </w:rPr>
        <w:sectPr>
          <w:footerReference r:id="rId193" w:type="default"/>
          <w:pgSz w:w="11907" w:h="16841"/>
          <w:pgMar w:top="400" w:right="1415" w:bottom="1126" w:left="1425" w:header="0" w:footer="925" w:gutter="0"/>
          <w:cols w:space="720" w:num="1"/>
        </w:sectPr>
      </w:pPr>
    </w:p>
    <w:p w14:paraId="31BF511E">
      <w:pPr>
        <w:spacing w:line="251" w:lineRule="auto"/>
        <w:rPr>
          <w:rFonts w:ascii="Arial"/>
          <w:sz w:val="21"/>
        </w:rPr>
      </w:pPr>
    </w:p>
    <w:p w14:paraId="0AD6886C">
      <w:pPr>
        <w:spacing w:line="252" w:lineRule="auto"/>
        <w:rPr>
          <w:rFonts w:ascii="Arial"/>
          <w:sz w:val="21"/>
        </w:rPr>
      </w:pPr>
    </w:p>
    <w:p w14:paraId="30305FB3">
      <w:pPr>
        <w:spacing w:line="252" w:lineRule="auto"/>
        <w:rPr>
          <w:rFonts w:ascii="Arial"/>
          <w:sz w:val="21"/>
        </w:rPr>
      </w:pPr>
    </w:p>
    <w:p w14:paraId="285A8A7F">
      <w:pPr>
        <w:spacing w:line="252" w:lineRule="auto"/>
        <w:rPr>
          <w:rFonts w:ascii="Arial"/>
          <w:sz w:val="21"/>
        </w:rPr>
      </w:pPr>
    </w:p>
    <w:p w14:paraId="4763864F">
      <w:pPr>
        <w:spacing w:line="252" w:lineRule="auto"/>
        <w:rPr>
          <w:rFonts w:ascii="Arial"/>
          <w:sz w:val="21"/>
        </w:rPr>
      </w:pPr>
    </w:p>
    <w:p w14:paraId="5BE4F833">
      <w:pPr>
        <w:spacing w:before="101" w:line="238" w:lineRule="auto"/>
        <w:rPr>
          <w:rFonts w:ascii="宋体" w:hAnsi="宋体" w:eastAsia="宋体" w:cs="宋体"/>
          <w:sz w:val="31"/>
          <w:szCs w:val="31"/>
        </w:rPr>
      </w:pPr>
      <w:bookmarkStart w:id="52" w:name="bookmark58"/>
      <w:bookmarkEnd w:id="52"/>
      <w:r>
        <w:rPr>
          <w:rFonts w:ascii="Times New Roman" w:hAnsi="Times New Roman" w:eastAsia="Times New Roman" w:cs="Times New Roman"/>
          <w:b/>
          <w:bCs/>
          <w:spacing w:val="2"/>
          <w:sz w:val="31"/>
          <w:szCs w:val="31"/>
        </w:rPr>
        <w:t>5</w:t>
      </w:r>
      <w:r>
        <w:rPr>
          <w:rFonts w:ascii="Times New Roman" w:hAnsi="Times New Roman" w:eastAsia="Times New Roman" w:cs="Times New Roman"/>
          <w:b/>
          <w:bCs/>
          <w:spacing w:val="-35"/>
          <w:sz w:val="31"/>
          <w:szCs w:val="31"/>
        </w:rPr>
        <w:t xml:space="preserve"> </w:t>
      </w:r>
      <w:r>
        <w:rPr>
          <w:rFonts w:ascii="宋体" w:hAnsi="宋体" w:eastAsia="宋体" w:cs="宋体"/>
          <w:b/>
          <w:bCs/>
          <w:spacing w:val="2"/>
          <w:sz w:val="31"/>
          <w:szCs w:val="31"/>
        </w:rPr>
        <w:t>、生态影响评价结论</w:t>
      </w:r>
    </w:p>
    <w:p w14:paraId="52DBF39C">
      <w:pPr>
        <w:spacing w:before="185" w:line="361" w:lineRule="auto"/>
        <w:ind w:firstLine="480"/>
        <w:jc w:val="both"/>
        <w:rPr>
          <w:rFonts w:ascii="宋体" w:hAnsi="宋体" w:eastAsia="宋体" w:cs="宋体"/>
          <w:sz w:val="24"/>
          <w:szCs w:val="24"/>
        </w:rPr>
      </w:pPr>
      <w:r>
        <w:rPr>
          <w:rFonts w:ascii="宋体" w:hAnsi="宋体" w:eastAsia="宋体" w:cs="宋体"/>
          <w:sz w:val="24"/>
          <w:szCs w:val="24"/>
        </w:rPr>
        <w:t xml:space="preserve">渝昆高铁迤车牵 </w:t>
      </w:r>
      <w:r>
        <w:rPr>
          <w:rFonts w:ascii="Times New Roman" w:hAnsi="Times New Roman" w:eastAsia="Times New Roman" w:cs="Times New Roman"/>
          <w:sz w:val="24"/>
          <w:szCs w:val="24"/>
        </w:rPr>
        <w:t xml:space="preserve">220kV  </w:t>
      </w:r>
      <w:r>
        <w:rPr>
          <w:rFonts w:ascii="宋体" w:hAnsi="宋体" w:eastAsia="宋体" w:cs="宋体"/>
          <w:sz w:val="24"/>
          <w:szCs w:val="24"/>
        </w:rPr>
        <w:t>外部供电工程项目建设将不可避免因占地范围内的场地清</w:t>
      </w:r>
      <w:r>
        <w:rPr>
          <w:rFonts w:ascii="宋体" w:hAnsi="宋体" w:eastAsia="宋体" w:cs="宋体"/>
          <w:spacing w:val="-2"/>
          <w:sz w:val="24"/>
          <w:szCs w:val="24"/>
        </w:rPr>
        <w:t>理及建设过程中产生的固废等对评价区内的动植物、植被、生态系统等生态要素带来一</w:t>
      </w:r>
      <w:r>
        <w:rPr>
          <w:rFonts w:ascii="宋体" w:hAnsi="宋体" w:eastAsia="宋体" w:cs="宋体"/>
          <w:spacing w:val="-6"/>
          <w:sz w:val="24"/>
          <w:szCs w:val="24"/>
        </w:rPr>
        <w:t>定程度负面影响，通过采取生态影响减缓、补偿，</w:t>
      </w:r>
      <w:r>
        <w:rPr>
          <w:rFonts w:ascii="宋体" w:hAnsi="宋体" w:eastAsia="宋体" w:cs="宋体"/>
          <w:spacing w:val="52"/>
          <w:sz w:val="24"/>
          <w:szCs w:val="24"/>
        </w:rPr>
        <w:t xml:space="preserve"> </w:t>
      </w:r>
      <w:r>
        <w:rPr>
          <w:rFonts w:ascii="宋体" w:hAnsi="宋体" w:eastAsia="宋体" w:cs="宋体"/>
          <w:spacing w:val="-6"/>
          <w:sz w:val="24"/>
          <w:szCs w:val="24"/>
        </w:rPr>
        <w:t>重要动植物规避等措施，负</w:t>
      </w:r>
      <w:r>
        <w:rPr>
          <w:rFonts w:ascii="宋体" w:hAnsi="宋体" w:eastAsia="宋体" w:cs="宋体"/>
          <w:spacing w:val="-7"/>
          <w:sz w:val="24"/>
          <w:szCs w:val="24"/>
        </w:rPr>
        <w:t>面影响可</w:t>
      </w:r>
      <w:r>
        <w:rPr>
          <w:rFonts w:ascii="宋体" w:hAnsi="宋体" w:eastAsia="宋体" w:cs="宋体"/>
          <w:spacing w:val="-2"/>
          <w:sz w:val="24"/>
          <w:szCs w:val="24"/>
        </w:rPr>
        <w:t>得到减缓和抵消，因此，在认真落实本环评报告提出的各项生态保护和恢复措施的前提</w:t>
      </w:r>
      <w:r>
        <w:rPr>
          <w:rFonts w:ascii="宋体" w:hAnsi="宋体" w:eastAsia="宋体" w:cs="宋体"/>
          <w:sz w:val="24"/>
          <w:szCs w:val="24"/>
        </w:rPr>
        <w:t>下，项目建设对生态环境产生的影响是可以接受的，项目</w:t>
      </w:r>
      <w:r>
        <w:rPr>
          <w:rFonts w:ascii="宋体" w:hAnsi="宋体" w:eastAsia="宋体" w:cs="宋体"/>
          <w:spacing w:val="-1"/>
          <w:sz w:val="24"/>
          <w:szCs w:val="24"/>
        </w:rPr>
        <w:t>建设从生态角度论证可行。</w:t>
      </w:r>
    </w:p>
    <w:sectPr>
      <w:footerReference r:id="rId194" w:type="default"/>
      <w:pgSz w:w="11907" w:h="16841"/>
      <w:pgMar w:top="400" w:right="1415" w:bottom="1126" w:left="1429" w:header="0" w:footer="925"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7C789">
    <w:pPr>
      <w:spacing w:line="14" w:lineRule="auto"/>
      <w:rPr>
        <w:rFonts w:ascii="Arial"/>
        <w:sz w:val="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8012D8">
    <w:pPr>
      <w:spacing w:line="223" w:lineRule="auto"/>
      <w:ind w:left="4517"/>
      <w:rPr>
        <w:rFonts w:ascii="Times New Roman" w:hAnsi="Times New Roman" w:eastAsia="Times New Roman" w:cs="Times New Roman"/>
        <w:sz w:val="18"/>
        <w:szCs w:val="18"/>
      </w:rPr>
    </w:pPr>
    <w:r>
      <w:rPr>
        <w:rFonts w:ascii="Times New Roman" w:hAnsi="Times New Roman" w:eastAsia="Times New Roman" w:cs="Times New Roman"/>
        <w:sz w:val="18"/>
        <w:szCs w:val="18"/>
      </w:rPr>
      <w:t>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C65F50">
    <w:pPr>
      <w:spacing w:line="223" w:lineRule="auto"/>
      <w:ind w:left="4499"/>
      <w:rPr>
        <w:rFonts w:ascii="Times New Roman" w:hAnsi="Times New Roman" w:eastAsia="Times New Roman" w:cs="Times New Roman"/>
        <w:sz w:val="18"/>
        <w:szCs w:val="18"/>
      </w:rPr>
    </w:pPr>
    <w:r>
      <w:rPr>
        <w:rFonts w:ascii="Times New Roman" w:hAnsi="Times New Roman" w:eastAsia="Times New Roman" w:cs="Times New Roman"/>
        <w:sz w:val="18"/>
        <w:szCs w:val="18"/>
      </w:rPr>
      <w:t>2</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5762AA">
    <w:pPr>
      <w:spacing w:line="220" w:lineRule="auto"/>
      <w:ind w:left="4503"/>
      <w:rPr>
        <w:rFonts w:ascii="Times New Roman" w:hAnsi="Times New Roman" w:eastAsia="Times New Roman" w:cs="Times New Roman"/>
        <w:sz w:val="18"/>
        <w:szCs w:val="18"/>
      </w:rPr>
    </w:pPr>
    <w:r>
      <w:rPr>
        <w:rFonts w:ascii="Times New Roman" w:hAnsi="Times New Roman" w:eastAsia="Times New Roman" w:cs="Times New Roman"/>
        <w:sz w:val="18"/>
        <w:szCs w:val="18"/>
      </w:rPr>
      <w:t>3</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F110F">
    <w:pPr>
      <w:spacing w:line="223" w:lineRule="auto"/>
      <w:ind w:left="4499"/>
      <w:rPr>
        <w:rFonts w:ascii="Times New Roman" w:hAnsi="Times New Roman" w:eastAsia="Times New Roman" w:cs="Times New Roman"/>
        <w:sz w:val="18"/>
        <w:szCs w:val="18"/>
      </w:rPr>
    </w:pPr>
    <w:r>
      <w:rPr>
        <w:rFonts w:ascii="Times New Roman" w:hAnsi="Times New Roman" w:eastAsia="Times New Roman" w:cs="Times New Roman"/>
        <w:sz w:val="18"/>
        <w:szCs w:val="18"/>
      </w:rPr>
      <w:t>4</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76E239">
    <w:pPr>
      <w:spacing w:line="220" w:lineRule="auto"/>
      <w:ind w:left="4504"/>
      <w:rPr>
        <w:rFonts w:ascii="Times New Roman" w:hAnsi="Times New Roman" w:eastAsia="Times New Roman" w:cs="Times New Roman"/>
        <w:sz w:val="18"/>
        <w:szCs w:val="18"/>
      </w:rPr>
    </w:pPr>
    <w:r>
      <w:rPr>
        <w:rFonts w:ascii="Times New Roman" w:hAnsi="Times New Roman" w:eastAsia="Times New Roman" w:cs="Times New Roman"/>
        <w:sz w:val="18"/>
        <w:szCs w:val="18"/>
      </w:rPr>
      <w:t>5</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10C1">
    <w:pPr>
      <w:spacing w:line="220" w:lineRule="auto"/>
      <w:ind w:left="4503"/>
      <w:rPr>
        <w:rFonts w:ascii="Times New Roman" w:hAnsi="Times New Roman" w:eastAsia="Times New Roman" w:cs="Times New Roman"/>
        <w:sz w:val="18"/>
        <w:szCs w:val="18"/>
      </w:rPr>
    </w:pPr>
    <w:r>
      <w:rPr>
        <w:rFonts w:ascii="Times New Roman" w:hAnsi="Times New Roman" w:eastAsia="Times New Roman" w:cs="Times New Roman"/>
        <w:sz w:val="18"/>
        <w:szCs w:val="18"/>
      </w:rPr>
      <w:t>6</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F2805A">
    <w:pPr>
      <w:spacing w:line="220" w:lineRule="auto"/>
      <w:ind w:left="4502"/>
      <w:rPr>
        <w:rFonts w:ascii="Times New Roman" w:hAnsi="Times New Roman" w:eastAsia="Times New Roman" w:cs="Times New Roman"/>
        <w:sz w:val="18"/>
        <w:szCs w:val="18"/>
      </w:rPr>
    </w:pPr>
    <w:r>
      <w:rPr>
        <w:rFonts w:ascii="Times New Roman" w:hAnsi="Times New Roman" w:eastAsia="Times New Roman" w:cs="Times New Roman"/>
        <w:sz w:val="18"/>
        <w:szCs w:val="18"/>
      </w:rPr>
      <w:t>7</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58445">
    <w:pPr>
      <w:spacing w:line="220" w:lineRule="auto"/>
      <w:ind w:left="4507"/>
      <w:rPr>
        <w:rFonts w:ascii="Times New Roman" w:hAnsi="Times New Roman" w:eastAsia="Times New Roman" w:cs="Times New Roman"/>
        <w:sz w:val="18"/>
        <w:szCs w:val="18"/>
      </w:rPr>
    </w:pPr>
    <w:r>
      <w:rPr>
        <w:rFonts w:ascii="Times New Roman" w:hAnsi="Times New Roman" w:eastAsia="Times New Roman" w:cs="Times New Roman"/>
        <w:sz w:val="18"/>
        <w:szCs w:val="18"/>
      </w:rPr>
      <w:t>8</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DFDE6">
    <w:pPr>
      <w:spacing w:line="220" w:lineRule="auto"/>
      <w:ind w:left="4503"/>
      <w:rPr>
        <w:rFonts w:ascii="Times New Roman" w:hAnsi="Times New Roman" w:eastAsia="Times New Roman" w:cs="Times New Roman"/>
        <w:sz w:val="18"/>
        <w:szCs w:val="18"/>
      </w:rPr>
    </w:pPr>
    <w:r>
      <w:rPr>
        <w:rFonts w:ascii="Times New Roman" w:hAnsi="Times New Roman" w:eastAsia="Times New Roman" w:cs="Times New Roman"/>
        <w:sz w:val="18"/>
        <w:szCs w:val="18"/>
      </w:rPr>
      <w:t>9</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D5DBCD">
    <w:pPr>
      <w:spacing w:line="220"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8D094">
    <w:pPr>
      <w:spacing w:line="223" w:lineRule="auto"/>
      <w:ind w:left="4476"/>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11</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D2582B">
    <w:pPr>
      <w:spacing w:line="223"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53C1AA">
    <w:pPr>
      <w:spacing w:line="220"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367AD">
    <w:pPr>
      <w:spacing w:line="223"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48F474">
    <w:pPr>
      <w:spacing w:line="220"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1E13E">
    <w:pPr>
      <w:spacing w:line="220"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472FA">
    <w:pPr>
      <w:spacing w:line="220"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BCF7B7">
    <w:pPr>
      <w:spacing w:line="220"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BC699F">
    <w:pPr>
      <w:spacing w:line="220" w:lineRule="auto"/>
      <w:ind w:left="447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19</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B34D46">
    <w:pPr>
      <w:spacing w:line="220"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20</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FFB446">
    <w:pPr>
      <w:spacing w:line="223"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21</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C63091">
    <w:pPr>
      <w:spacing w:line="223"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22</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861AF">
    <w:pPr>
      <w:spacing w:line="220"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23</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BFB74">
    <w:pPr>
      <w:spacing w:line="223"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24</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92B38">
    <w:pPr>
      <w:spacing w:line="220"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25</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797EB">
    <w:pPr>
      <w:spacing w:line="220"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26</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663DAC">
    <w:pPr>
      <w:spacing w:line="220"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27</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303213">
    <w:pPr>
      <w:spacing w:line="220"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28</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666657">
    <w:pPr>
      <w:spacing w:line="220" w:lineRule="auto"/>
      <w:ind w:left="4454"/>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29</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21F59E">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30</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298301">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3l</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13CD5">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32</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29F1B">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33</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F54A8C">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34</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A9DAA">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35</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E07CD">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36</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C690C">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37</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6732A">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38</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4147A9">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39</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0B2E2F">
    <w:pPr>
      <w:spacing w:line="220" w:lineRule="auto"/>
      <w:ind w:left="445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40</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6FA5C9">
    <w:pPr>
      <w:spacing w:line="223" w:lineRule="auto"/>
      <w:ind w:left="445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41</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2E392">
    <w:pPr>
      <w:spacing w:line="223" w:lineRule="auto"/>
      <w:ind w:left="445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42</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C4F0A2">
    <w:pPr>
      <w:spacing w:line="220" w:lineRule="auto"/>
      <w:ind w:left="445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43</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C01F80">
    <w:pPr>
      <w:spacing w:line="223" w:lineRule="auto"/>
      <w:ind w:left="445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44</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D91D45">
    <w:pPr>
      <w:spacing w:line="220" w:lineRule="auto"/>
      <w:ind w:left="445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45</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8F489F">
    <w:pPr>
      <w:spacing w:line="220" w:lineRule="auto"/>
      <w:ind w:left="445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46</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D0F557">
    <w:pPr>
      <w:spacing w:line="220" w:lineRule="auto"/>
      <w:ind w:left="445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47</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FF570">
    <w:pPr>
      <w:spacing w:line="220" w:lineRule="auto"/>
      <w:ind w:left="445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48</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74ACC">
    <w:pPr>
      <w:spacing w:line="220" w:lineRule="auto"/>
      <w:ind w:left="4453"/>
      <w:rPr>
        <w:rFonts w:ascii="Times New Roman" w:hAnsi="Times New Roman" w:eastAsia="Times New Roman" w:cs="Times New Roman"/>
        <w:sz w:val="18"/>
        <w:szCs w:val="18"/>
      </w:rPr>
    </w:pPr>
    <w:r>
      <w:rPr>
        <w:rFonts w:ascii="Times New Roman" w:hAnsi="Times New Roman" w:eastAsia="Times New Roman" w:cs="Times New Roman"/>
        <w:spacing w:val="-1"/>
        <w:sz w:val="18"/>
        <w:szCs w:val="18"/>
      </w:rPr>
      <w:t>49</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C6C8E">
    <w:pPr>
      <w:spacing w:line="220" w:lineRule="auto"/>
      <w:ind w:left="445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50</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C9727E">
    <w:pPr>
      <w:spacing w:line="220" w:lineRule="auto"/>
      <w:ind w:left="445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51</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DD8C81">
    <w:pPr>
      <w:spacing w:line="220" w:lineRule="auto"/>
      <w:ind w:left="445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52</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202B1">
    <w:pPr>
      <w:spacing w:line="220" w:lineRule="auto"/>
      <w:ind w:left="445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53</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FA8223">
    <w:pPr>
      <w:spacing w:line="220" w:lineRule="auto"/>
      <w:ind w:left="445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54</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D6E17">
    <w:pPr>
      <w:spacing w:line="220" w:lineRule="auto"/>
      <w:ind w:left="445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55</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3D01BF">
    <w:pPr>
      <w:spacing w:line="220" w:lineRule="auto"/>
      <w:ind w:left="445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56</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7FD52">
    <w:pPr>
      <w:spacing w:line="220" w:lineRule="auto"/>
      <w:ind w:left="445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57</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16C9C9">
    <w:pPr>
      <w:spacing w:line="220" w:lineRule="auto"/>
      <w:ind w:left="445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58</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77E9">
    <w:pPr>
      <w:spacing w:line="220" w:lineRule="auto"/>
      <w:ind w:left="4459"/>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59</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A01AA">
    <w:pPr>
      <w:spacing w:line="220" w:lineRule="auto"/>
      <w:ind w:left="44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60</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BEEAF">
    <w:pPr>
      <w:spacing w:line="220" w:lineRule="auto"/>
      <w:ind w:left="4458"/>
      <w:rPr>
        <w:rFonts w:ascii="Times New Roman" w:hAnsi="Times New Roman" w:eastAsia="Times New Roman" w:cs="Times New Roman"/>
        <w:sz w:val="18"/>
        <w:szCs w:val="18"/>
      </w:rPr>
    </w:pPr>
    <w:r>
      <w:rPr>
        <w:rFonts w:ascii="Times New Roman" w:hAnsi="Times New Roman" w:eastAsia="Times New Roman" w:cs="Times New Roman"/>
        <w:spacing w:val="16"/>
        <w:sz w:val="18"/>
        <w:szCs w:val="18"/>
      </w:rPr>
      <w:t>6l</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9BE883">
    <w:pPr>
      <w:spacing w:line="220" w:lineRule="auto"/>
      <w:ind w:left="44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62</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AC440">
    <w:pPr>
      <w:spacing w:line="220" w:lineRule="auto"/>
      <w:ind w:left="44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63</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2018F6">
    <w:pPr>
      <w:spacing w:line="220" w:lineRule="auto"/>
      <w:ind w:left="44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64</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9C4951">
    <w:pPr>
      <w:spacing w:line="220" w:lineRule="auto"/>
      <w:ind w:left="44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65</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AD61DE">
    <w:pPr>
      <w:spacing w:line="220" w:lineRule="auto"/>
      <w:ind w:left="44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66</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1AC12E">
    <w:pPr>
      <w:spacing w:line="220" w:lineRule="auto"/>
      <w:ind w:left="44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67</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8AB5D">
    <w:pPr>
      <w:spacing w:line="220" w:lineRule="auto"/>
      <w:ind w:left="44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68</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A19F3">
    <w:pPr>
      <w:spacing w:line="220" w:lineRule="auto"/>
      <w:ind w:left="4458"/>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69</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FD9987">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70</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55F3A">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71</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C41B10">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72</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540B78">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73</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6A8913">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74</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92FFCC">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75</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594DDF">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76</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5EF06">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77</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9CE041">
    <w:pPr>
      <w:spacing w:line="220" w:lineRule="auto"/>
      <w:ind w:left="445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78</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DEB46E">
    <w:pPr>
      <w:spacing w:line="220" w:lineRule="auto"/>
      <w:ind w:left="42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79</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8B93DA">
    <w:pPr>
      <w:spacing w:line="220" w:lineRule="auto"/>
      <w:ind w:left="425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80</w:t>
    </w:r>
  </w:p>
</w:ftr>
</file>

<file path=word/footer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8C8BE">
    <w:pPr>
      <w:spacing w:line="220" w:lineRule="auto"/>
      <w:ind w:left="4259"/>
      <w:rPr>
        <w:rFonts w:ascii="Times New Roman" w:hAnsi="Times New Roman" w:eastAsia="Times New Roman" w:cs="Times New Roman"/>
        <w:sz w:val="18"/>
        <w:szCs w:val="18"/>
      </w:rPr>
    </w:pPr>
    <w:r>
      <w:rPr>
        <w:rFonts w:ascii="Times New Roman" w:hAnsi="Times New Roman" w:eastAsia="Times New Roman" w:cs="Times New Roman"/>
        <w:spacing w:val="15"/>
        <w:sz w:val="18"/>
        <w:szCs w:val="18"/>
      </w:rPr>
      <w:t>8l</w:t>
    </w:r>
  </w:p>
</w:ftr>
</file>

<file path=word/footer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5CF539">
    <w:pPr>
      <w:spacing w:line="220" w:lineRule="auto"/>
      <w:ind w:left="425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82</w:t>
    </w:r>
  </w:p>
</w:ftr>
</file>

<file path=word/footer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AF729">
    <w:pPr>
      <w:spacing w:line="220" w:lineRule="auto"/>
      <w:ind w:left="446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83</w:t>
    </w:r>
  </w:p>
</w:ftr>
</file>

<file path=word/footer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2E5E2">
    <w:pPr>
      <w:spacing w:line="220" w:lineRule="auto"/>
      <w:ind w:left="408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84</w:t>
    </w:r>
  </w:p>
</w:ftr>
</file>

<file path=word/footer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4A92B">
    <w:pPr>
      <w:spacing w:line="220" w:lineRule="auto"/>
      <w:ind w:left="4453"/>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85</w:t>
    </w:r>
  </w:p>
</w:ftr>
</file>

<file path=word/footer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7DEF33">
    <w:pPr>
      <w:spacing w:line="220" w:lineRule="auto"/>
      <w:ind w:left="4448"/>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86</w:t>
    </w:r>
  </w:p>
</w:ftr>
</file>

<file path=word/footer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6ADC90">
    <w:pPr>
      <w:spacing w:line="220" w:lineRule="auto"/>
      <w:ind w:left="445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87</w:t>
    </w:r>
  </w:p>
</w:ftr>
</file>

<file path=word/footer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ED7BEF">
    <w:pPr>
      <w:spacing w:line="220" w:lineRule="auto"/>
      <w:ind w:left="4449"/>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88</w:t>
    </w:r>
  </w:p>
</w:ftr>
</file>

<file path=word/footer9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B653D2">
    <w:pPr>
      <w:spacing w:line="220" w:lineRule="auto"/>
      <w:ind w:left="4451"/>
      <w:rPr>
        <w:rFonts w:ascii="Times New Roman" w:hAnsi="Times New Roman" w:eastAsia="Times New Roman" w:cs="Times New Roman"/>
        <w:sz w:val="18"/>
        <w:szCs w:val="18"/>
      </w:rPr>
    </w:pPr>
    <w:r>
      <w:rPr>
        <w:rFonts w:ascii="Times New Roman" w:hAnsi="Times New Roman" w:eastAsia="Times New Roman" w:cs="Times New Roman"/>
        <w:spacing w:val="-3"/>
        <w:sz w:val="18"/>
        <w:szCs w:val="18"/>
      </w:rPr>
      <w:t>89</w:t>
    </w:r>
  </w:p>
</w:ftr>
</file>

<file path=word/footer9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ACA6C6">
    <w:pPr>
      <w:spacing w:line="220" w:lineRule="auto"/>
      <w:ind w:left="44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90</w:t>
    </w:r>
  </w:p>
</w:ftr>
</file>

<file path=word/footer9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5501F8">
    <w:pPr>
      <w:spacing w:line="220" w:lineRule="auto"/>
      <w:ind w:left="445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91</w:t>
    </w:r>
  </w:p>
</w:ftr>
</file>

<file path=word/footer9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5FF550">
    <w:pPr>
      <w:spacing w:line="220" w:lineRule="auto"/>
      <w:ind w:left="444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92</w:t>
    </w:r>
  </w:p>
</w:ftr>
</file>

<file path=word/footer9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382F9">
    <w:pPr>
      <w:spacing w:line="220" w:lineRule="auto"/>
      <w:ind w:left="4443"/>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93</w:t>
    </w:r>
  </w:p>
</w:ftr>
</file>

<file path=word/footer9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E12713">
    <w:pPr>
      <w:spacing w:line="220" w:lineRule="auto"/>
      <w:ind w:left="444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94</w:t>
    </w:r>
  </w:p>
</w:ftr>
</file>

<file path=word/footer9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A71869">
    <w:pPr>
      <w:spacing w:line="220" w:lineRule="auto"/>
      <w:ind w:left="445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95</w:t>
    </w:r>
  </w:p>
</w:ftr>
</file>

<file path=word/footer9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37B398">
    <w:pPr>
      <w:spacing w:line="220" w:lineRule="auto"/>
      <w:ind w:left="4452"/>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96</w:t>
    </w:r>
  </w:p>
</w:ftr>
</file>

<file path=word/footer9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A53F0C">
    <w:pPr>
      <w:spacing w:line="220" w:lineRule="auto"/>
      <w:ind w:left="4447"/>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97</w:t>
    </w:r>
  </w:p>
</w:ftr>
</file>

<file path=word/footer9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E56A2">
    <w:pPr>
      <w:spacing w:line="220" w:lineRule="auto"/>
      <w:ind w:left="44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98</w:t>
    </w:r>
  </w:p>
</w:ftr>
</file>

<file path=word/footer10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7FF492">
    <w:pPr>
      <w:spacing w:line="220" w:lineRule="auto"/>
      <w:ind w:left="4455"/>
      <w:rPr>
        <w:rFonts w:ascii="Times New Roman" w:hAnsi="Times New Roman" w:eastAsia="Times New Roman" w:cs="Times New Roman"/>
        <w:sz w:val="18"/>
        <w:szCs w:val="18"/>
      </w:rPr>
    </w:pPr>
    <w:r>
      <w:rPr>
        <w:rFonts w:ascii="Times New Roman" w:hAnsi="Times New Roman" w:eastAsia="Times New Roman" w:cs="Times New Roman"/>
        <w:spacing w:val="-2"/>
        <w:sz w:val="18"/>
        <w:szCs w:val="18"/>
      </w:rPr>
      <w:t>99</w:t>
    </w:r>
  </w:p>
</w:ftr>
</file>

<file path=word/footer10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4EEA5E">
    <w:pPr>
      <w:spacing w:line="220" w:lineRule="auto"/>
      <w:ind w:left="442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100</w:t>
    </w:r>
  </w:p>
</w:ftr>
</file>

<file path=word/footer10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6F5B7">
    <w:pPr>
      <w:spacing w:line="220" w:lineRule="auto"/>
      <w:ind w:left="442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101</w:t>
    </w:r>
  </w:p>
</w:ftr>
</file>

<file path=word/footer10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2D2E0A">
    <w:pPr>
      <w:spacing w:line="220" w:lineRule="auto"/>
      <w:ind w:left="4423"/>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l02</w:t>
    </w:r>
  </w:p>
</w:ftr>
</file>

<file path=word/footer10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36835">
    <w:pPr>
      <w:spacing w:line="220" w:lineRule="auto"/>
      <w:ind w:left="442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103</w:t>
    </w:r>
  </w:p>
</w:ftr>
</file>

<file path=word/footer10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C8B6EE">
    <w:pPr>
      <w:spacing w:line="220" w:lineRule="auto"/>
      <w:ind w:left="442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104</w:t>
    </w:r>
  </w:p>
</w:ftr>
</file>

<file path=word/footer10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12A232">
    <w:pPr>
      <w:spacing w:line="220" w:lineRule="auto"/>
      <w:ind w:left="442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105</w:t>
    </w:r>
  </w:p>
</w:ftr>
</file>

<file path=word/footer10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90866">
    <w:pPr>
      <w:spacing w:line="220" w:lineRule="auto"/>
      <w:ind w:left="442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106</w:t>
    </w:r>
  </w:p>
</w:ftr>
</file>

<file path=word/footer10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04E52">
    <w:pPr>
      <w:spacing w:line="220" w:lineRule="auto"/>
      <w:ind w:left="442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107</w:t>
    </w:r>
  </w:p>
</w:ftr>
</file>

<file path=word/footer10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C36654">
    <w:pPr>
      <w:spacing w:line="220" w:lineRule="auto"/>
      <w:ind w:left="442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108</w:t>
    </w:r>
  </w:p>
</w:ftr>
</file>

<file path=word/footer1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7301B">
    <w:pPr>
      <w:spacing w:line="220" w:lineRule="auto"/>
      <w:ind w:left="442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109</w:t>
    </w:r>
  </w:p>
</w:ftr>
</file>

<file path=word/footer1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D49F2">
    <w:pPr>
      <w:spacing w:line="220" w:lineRule="auto"/>
      <w:ind w:left="4428"/>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110</w:t>
    </w:r>
  </w:p>
</w:ftr>
</file>

<file path=word/footer1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57032">
    <w:pPr>
      <w:spacing w:line="223" w:lineRule="auto"/>
      <w:ind w:left="4430"/>
      <w:rPr>
        <w:rFonts w:ascii="Times New Roman" w:hAnsi="Times New Roman" w:eastAsia="Times New Roman" w:cs="Times New Roman"/>
        <w:sz w:val="18"/>
        <w:szCs w:val="18"/>
      </w:rPr>
    </w:pPr>
    <w:r>
      <w:rPr>
        <w:rFonts w:ascii="Times New Roman" w:hAnsi="Times New Roman" w:eastAsia="Times New Roman" w:cs="Times New Roman"/>
        <w:spacing w:val="-8"/>
        <w:sz w:val="18"/>
        <w:szCs w:val="18"/>
      </w:rPr>
      <w:t>111</w:t>
    </w:r>
  </w:p>
</w:ftr>
</file>

<file path=word/footer1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B28C2">
    <w:pPr>
      <w:spacing w:line="223" w:lineRule="auto"/>
      <w:ind w:left="4428"/>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112</w:t>
    </w:r>
  </w:p>
</w:ftr>
</file>

<file path=word/footer1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A93DA">
    <w:pPr>
      <w:spacing w:line="220" w:lineRule="auto"/>
      <w:ind w:left="4428"/>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113</w:t>
    </w:r>
  </w:p>
</w:ftr>
</file>

<file path=word/footer1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24AFA7">
    <w:pPr>
      <w:spacing w:line="223" w:lineRule="auto"/>
      <w:ind w:left="4428"/>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114</w:t>
    </w:r>
  </w:p>
</w:ftr>
</file>

<file path=word/footer1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C1A96">
    <w:pPr>
      <w:spacing w:line="220" w:lineRule="auto"/>
      <w:ind w:left="4428"/>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115</w:t>
    </w:r>
  </w:p>
</w:ftr>
</file>

<file path=word/footer1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FF58D">
    <w:pPr>
      <w:spacing w:line="220" w:lineRule="auto"/>
      <w:ind w:left="4428"/>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116</w:t>
    </w:r>
  </w:p>
</w:ftr>
</file>

<file path=word/footer1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93380">
    <w:pPr>
      <w:spacing w:line="220" w:lineRule="auto"/>
      <w:ind w:left="4428"/>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117</w:t>
    </w:r>
  </w:p>
</w:ftr>
</file>

<file path=word/footer1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187208">
    <w:pPr>
      <w:spacing w:line="220" w:lineRule="auto"/>
      <w:ind w:left="4422"/>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118</w:t>
    </w:r>
  </w:p>
</w:ftr>
</file>

<file path=word/footer1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4AD894">
    <w:pPr>
      <w:spacing w:line="220" w:lineRule="auto"/>
      <w:ind w:left="4426"/>
      <w:rPr>
        <w:rFonts w:ascii="Times New Roman" w:hAnsi="Times New Roman" w:eastAsia="Times New Roman" w:cs="Times New Roman"/>
        <w:sz w:val="18"/>
        <w:szCs w:val="18"/>
      </w:rPr>
    </w:pPr>
    <w:r>
      <w:rPr>
        <w:rFonts w:ascii="Times New Roman" w:hAnsi="Times New Roman" w:eastAsia="Times New Roman" w:cs="Times New Roman"/>
        <w:spacing w:val="-9"/>
        <w:sz w:val="18"/>
        <w:szCs w:val="18"/>
      </w:rPr>
      <w:t>119</w:t>
    </w:r>
  </w:p>
</w:ftr>
</file>

<file path=word/footer1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8FA37">
    <w:pPr>
      <w:spacing w:line="220" w:lineRule="auto"/>
      <w:ind w:left="442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l20</w:t>
    </w:r>
  </w:p>
</w:ftr>
</file>

<file path=word/footer1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586EA5">
    <w:pPr>
      <w:spacing w:line="223" w:lineRule="auto"/>
      <w:ind w:left="442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121</w:t>
    </w:r>
  </w:p>
</w:ftr>
</file>

<file path=word/footer1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7E3186">
    <w:pPr>
      <w:spacing w:line="223" w:lineRule="auto"/>
      <w:ind w:left="442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122</w:t>
    </w:r>
  </w:p>
</w:ftr>
</file>

<file path=word/footer1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E5919">
    <w:pPr>
      <w:spacing w:line="220" w:lineRule="auto"/>
      <w:ind w:left="442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l23</w:t>
    </w:r>
  </w:p>
</w:ftr>
</file>

<file path=word/footer1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A75B4">
    <w:pPr>
      <w:spacing w:line="223" w:lineRule="auto"/>
      <w:ind w:left="442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124</w:t>
    </w:r>
  </w:p>
</w:ftr>
</file>

<file path=word/footer1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9CF3F">
    <w:pPr>
      <w:spacing w:line="220" w:lineRule="auto"/>
      <w:ind w:left="442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125</w:t>
    </w:r>
  </w:p>
</w:ftr>
</file>

<file path=word/footer1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49B90">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l26</w:t>
    </w:r>
  </w:p>
</w:ftr>
</file>

<file path=word/footer1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4AA7F4">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127</w:t>
    </w:r>
  </w:p>
</w:ftr>
</file>

<file path=word/footer1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5E3FDE">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l28</w:t>
    </w:r>
  </w:p>
</w:ftr>
</file>

<file path=word/footer1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88EA4B">
    <w:pPr>
      <w:spacing w:line="220" w:lineRule="auto"/>
      <w:ind w:left="4423"/>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l29</w:t>
    </w:r>
  </w:p>
</w:ftr>
</file>

<file path=word/footer1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E8770">
    <w:pPr>
      <w:spacing w:line="220" w:lineRule="auto"/>
      <w:ind w:left="442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130</w:t>
    </w:r>
  </w:p>
</w:ftr>
</file>

<file path=word/footer1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A7D6AE">
    <w:pPr>
      <w:spacing w:line="220" w:lineRule="auto"/>
      <w:ind w:left="441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131</w:t>
    </w:r>
  </w:p>
</w:ftr>
</file>

<file path=word/footer1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57502">
    <w:pPr>
      <w:spacing w:line="220" w:lineRule="auto"/>
      <w:ind w:left="4054"/>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l32</w:t>
    </w:r>
  </w:p>
</w:ftr>
</file>

<file path=word/footer1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1BE269">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133</w:t>
    </w:r>
  </w:p>
</w:ftr>
</file>

<file path=word/footer1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3B2D33">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l34</w:t>
    </w:r>
  </w:p>
</w:ftr>
</file>

<file path=word/footer1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5B072">
    <w:pPr>
      <w:spacing w:line="220" w:lineRule="auto"/>
      <w:ind w:left="4417"/>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135</w:t>
    </w:r>
  </w:p>
</w:ftr>
</file>

<file path=word/footer1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2A54B">
    <w:pPr>
      <w:spacing w:line="220" w:lineRule="auto"/>
      <w:ind w:left="441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136</w:t>
    </w:r>
  </w:p>
</w:ftr>
</file>

<file path=word/footer1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7A61C">
    <w:pPr>
      <w:spacing w:line="220" w:lineRule="auto"/>
      <w:ind w:left="4412"/>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l37</w:t>
    </w:r>
  </w:p>
</w:ftr>
</file>

<file path=word/footer1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AB649">
    <w:pPr>
      <w:spacing w:line="220" w:lineRule="auto"/>
      <w:ind w:left="441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138</w:t>
    </w:r>
  </w:p>
</w:ftr>
</file>

<file path=word/footer1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90175D">
    <w:pPr>
      <w:spacing w:line="220" w:lineRule="auto"/>
      <w:ind w:left="441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139</w:t>
    </w:r>
  </w:p>
</w:ftr>
</file>

<file path=word/footer1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852246">
    <w:pPr>
      <w:spacing w:line="220" w:lineRule="auto"/>
      <w:ind w:left="4413"/>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l40</w:t>
    </w:r>
  </w:p>
</w:ftr>
</file>

<file path=word/footer1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1F6E3E">
    <w:pPr>
      <w:spacing w:line="223"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141</w:t>
    </w:r>
  </w:p>
</w:ftr>
</file>

<file path=word/footer1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89BAE">
    <w:pPr>
      <w:spacing w:line="223"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142</w:t>
    </w:r>
  </w:p>
</w:ftr>
</file>

<file path=word/footer1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3C7996">
    <w:pPr>
      <w:spacing w:line="220" w:lineRule="auto"/>
      <w:ind w:left="4416"/>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l43</w:t>
    </w:r>
  </w:p>
</w:ftr>
</file>

<file path=word/footer1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AB82E7">
    <w:pPr>
      <w:spacing w:line="223" w:lineRule="auto"/>
      <w:ind w:left="4416"/>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144</w:t>
    </w:r>
  </w:p>
</w:ftr>
</file>

<file path=word/footer1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859F3C">
    <w:pPr>
      <w:spacing w:line="220" w:lineRule="auto"/>
      <w:ind w:left="44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145</w:t>
    </w:r>
  </w:p>
</w:ftr>
</file>

<file path=word/footer1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3DA75B">
    <w:pPr>
      <w:spacing w:line="220" w:lineRule="auto"/>
      <w:ind w:left="4428"/>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l46</w:t>
    </w:r>
  </w:p>
</w:ftr>
</file>

<file path=word/footer1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EC40B2">
    <w:pPr>
      <w:spacing w:line="220" w:lineRule="auto"/>
      <w:ind w:left="441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147</w:t>
    </w:r>
  </w:p>
</w:ftr>
</file>

<file path=word/footer1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384B3">
    <w:pPr>
      <w:spacing w:line="220" w:lineRule="auto"/>
      <w:ind w:left="4413"/>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l48</w:t>
    </w:r>
  </w:p>
</w:ftr>
</file>

<file path=word/footer1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53402A">
    <w:pPr>
      <w:spacing w:line="220" w:lineRule="auto"/>
      <w:ind w:left="4416"/>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l49</w:t>
    </w:r>
  </w:p>
</w:ftr>
</file>

<file path=word/footer1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DF942">
    <w:pPr>
      <w:spacing w:line="220" w:lineRule="auto"/>
      <w:ind w:left="44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150</w:t>
    </w:r>
  </w:p>
</w:ftr>
</file>

<file path=word/footer1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D21FF">
    <w:pPr>
      <w:spacing w:line="220" w:lineRule="auto"/>
      <w:ind w:left="446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151</w:t>
    </w:r>
  </w:p>
</w:ftr>
</file>

<file path=word/footer1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D8489F">
    <w:pPr>
      <w:spacing w:line="220" w:lineRule="auto"/>
      <w:ind w:left="446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152</w:t>
    </w:r>
  </w:p>
</w:ftr>
</file>

<file path=word/footer1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1AAD26">
    <w:pPr>
      <w:spacing w:line="220" w:lineRule="auto"/>
      <w:ind w:left="442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153</w:t>
    </w:r>
  </w:p>
</w:ftr>
</file>

<file path=word/footer1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0E8E0F">
    <w:pPr>
      <w:spacing w:line="220" w:lineRule="auto"/>
      <w:ind w:left="441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154</w:t>
    </w:r>
  </w:p>
</w:ftr>
</file>

<file path=word/footer1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BBAD3">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155</w:t>
    </w:r>
  </w:p>
</w:ftr>
</file>

<file path=word/footer1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3574D">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156</w:t>
    </w:r>
  </w:p>
</w:ftr>
</file>

<file path=word/footer1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69F02">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157</w:t>
    </w:r>
  </w:p>
</w:ftr>
</file>

<file path=word/footer1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6C657F">
    <w:pPr>
      <w:spacing w:line="220" w:lineRule="auto"/>
      <w:ind w:left="441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158</w:t>
    </w:r>
  </w:p>
</w:ftr>
</file>

<file path=word/footer1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291469">
    <w:pPr>
      <w:spacing w:line="220" w:lineRule="auto"/>
      <w:ind w:left="441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159</w:t>
    </w:r>
  </w:p>
</w:ftr>
</file>

<file path=word/footer1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9BB291">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160</w:t>
    </w:r>
  </w:p>
</w:ftr>
</file>

<file path=word/footer1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70B81F">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161</w:t>
    </w:r>
  </w:p>
</w:ftr>
</file>

<file path=word/footer1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86AAB1">
    <w:pPr>
      <w:spacing w:line="220" w:lineRule="auto"/>
      <w:ind w:left="4413"/>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162</w:t>
    </w:r>
  </w:p>
</w:ftr>
</file>

<file path=word/footer1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D42A89">
    <w:pPr>
      <w:spacing w:line="220" w:lineRule="auto"/>
      <w:ind w:left="441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163</w:t>
    </w:r>
  </w:p>
</w:ftr>
</file>

<file path=word/footer1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8313C0">
    <w:pPr>
      <w:spacing w:line="220" w:lineRule="auto"/>
      <w:ind w:left="441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164</w:t>
    </w:r>
  </w:p>
</w:ftr>
</file>

<file path=word/footer1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B50AB8">
    <w:pPr>
      <w:spacing w:line="220" w:lineRule="auto"/>
      <w:ind w:left="4418"/>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165</w:t>
    </w:r>
  </w:p>
</w:ftr>
</file>

<file path=word/footer1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F0802">
    <w:pPr>
      <w:spacing w:line="220" w:lineRule="auto"/>
      <w:ind w:left="441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166</w:t>
    </w:r>
  </w:p>
</w:ftr>
</file>

<file path=word/footer1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61FA5">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l67</w:t>
    </w:r>
  </w:p>
</w:ftr>
</file>

<file path=word/footer1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FB224F">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168</w:t>
    </w:r>
  </w:p>
</w:ftr>
</file>

<file path=word/footer1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145B7">
    <w:pPr>
      <w:spacing w:line="220" w:lineRule="auto"/>
      <w:ind w:left="4412"/>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169</w:t>
    </w:r>
  </w:p>
</w:ftr>
</file>

<file path=word/footer1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28212">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l70</w:t>
    </w:r>
  </w:p>
</w:ftr>
</file>

<file path=word/footer1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C3BC6">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171</w:t>
    </w:r>
  </w:p>
</w:ftr>
</file>

<file path=word/footer1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9ED6E3">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172</w:t>
    </w:r>
  </w:p>
</w:ftr>
</file>

<file path=word/footer1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718E75">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l73</w:t>
    </w:r>
  </w:p>
</w:ftr>
</file>

<file path=word/footer1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7D39AE">
    <w:pPr>
      <w:spacing w:line="220" w:lineRule="auto"/>
      <w:ind w:left="4410"/>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174</w:t>
    </w:r>
  </w:p>
</w:ftr>
</file>

<file path=word/footer1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59771">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175</w:t>
    </w:r>
  </w:p>
</w:ftr>
</file>

<file path=word/footer1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8B86FD">
    <w:pPr>
      <w:spacing w:line="220" w:lineRule="auto"/>
      <w:ind w:left="4417"/>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176</w:t>
    </w:r>
  </w:p>
</w:ftr>
</file>

<file path=word/footer1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8CF2D2">
    <w:pPr>
      <w:spacing w:line="220" w:lineRule="auto"/>
      <w:ind w:left="4417"/>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177</w:t>
    </w:r>
  </w:p>
</w:ftr>
</file>

<file path=word/footer1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4AFB0">
    <w:pPr>
      <w:spacing w:line="220" w:lineRule="auto"/>
      <w:ind w:left="4417"/>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l78</w:t>
    </w:r>
  </w:p>
</w:ftr>
</file>

<file path=word/footer1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7BD5F">
    <w:pPr>
      <w:spacing w:line="220" w:lineRule="auto"/>
      <w:ind w:left="4417"/>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179</w:t>
    </w:r>
  </w:p>
</w:ftr>
</file>

<file path=word/footer1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F2913D">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180</w:t>
    </w:r>
  </w:p>
</w:ftr>
</file>

<file path=word/footer18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FE43CE">
    <w:pPr>
      <w:spacing w:line="220" w:lineRule="auto"/>
      <w:ind w:left="442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181</w:t>
    </w:r>
  </w:p>
</w:ftr>
</file>

<file path=word/footer18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62542">
    <w:pPr>
      <w:spacing w:line="220" w:lineRule="auto"/>
      <w:ind w:left="4417"/>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182</w:t>
    </w:r>
  </w:p>
</w:ftr>
</file>

<file path=word/footer18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B7C1BB">
    <w:pPr>
      <w:spacing w:line="220" w:lineRule="auto"/>
      <w:ind w:left="4417"/>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183</w:t>
    </w:r>
  </w:p>
</w:ftr>
</file>

<file path=word/footer18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81A60">
    <w:pPr>
      <w:spacing w:line="220" w:lineRule="auto"/>
      <w:ind w:left="4417"/>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184</w:t>
    </w:r>
  </w:p>
</w:ftr>
</file>

<file path=word/footer18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CFFF8">
    <w:pPr>
      <w:spacing w:line="220" w:lineRule="auto"/>
      <w:ind w:left="4411"/>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185</w:t>
    </w:r>
  </w:p>
</w:ftr>
</file>

<file path=word/footer18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6A816">
    <w:pPr>
      <w:spacing w:line="220" w:lineRule="auto"/>
      <w:ind w:left="4415"/>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186</w:t>
    </w:r>
  </w:p>
</w:ftr>
</file>

<file path=word/footer18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EF08F3">
    <w:pPr>
      <w:spacing w:line="220" w:lineRule="auto"/>
      <w:ind w:left="4414"/>
      <w:rPr>
        <w:rFonts w:ascii="Times New Roman" w:hAnsi="Times New Roman" w:eastAsia="Times New Roman" w:cs="Times New Roman"/>
        <w:sz w:val="18"/>
        <w:szCs w:val="18"/>
      </w:rPr>
    </w:pPr>
    <w:r>
      <w:rPr>
        <w:rFonts w:ascii="Times New Roman" w:hAnsi="Times New Roman" w:eastAsia="Times New Roman" w:cs="Times New Roman"/>
        <w:spacing w:val="7"/>
        <w:sz w:val="18"/>
        <w:szCs w:val="18"/>
      </w:rPr>
      <w:t>l87</w:t>
    </w:r>
  </w:p>
</w:ftr>
</file>

<file path=word/footer18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C6536B">
    <w:pPr>
      <w:spacing w:line="220" w:lineRule="auto"/>
      <w:ind w:left="4410"/>
      <w:rPr>
        <w:rFonts w:ascii="Times New Roman" w:hAnsi="Times New Roman" w:eastAsia="Times New Roman" w:cs="Times New Roman"/>
        <w:sz w:val="18"/>
        <w:szCs w:val="18"/>
      </w:rPr>
    </w:pPr>
    <w:r>
      <w:rPr>
        <w:rFonts w:ascii="Times New Roman" w:hAnsi="Times New Roman" w:eastAsia="Times New Roman" w:cs="Times New Roman"/>
        <w:spacing w:val="-5"/>
        <w:sz w:val="18"/>
        <w:szCs w:val="18"/>
      </w:rPr>
      <w:t>188</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1F0B16">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51A62599"/>
    <w:rsid w:val="75D85E9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黑体" w:hAnsi="黑体" w:eastAsia="黑体" w:cs="黑体"/>
      <w:sz w:val="21"/>
      <w:szCs w:val="21"/>
      <w:lang w:val="en-US" w:eastAsia="en-US" w:bidi="ar-SA"/>
    </w:rPr>
  </w:style>
  <w:style w:type="table" w:customStyle="1" w:styleId="5">
    <w:name w:val="Table Normal"/>
    <w:semiHidden/>
    <w:unhideWhenUsed/>
    <w:qFormat/>
    <w:uiPriority w:val="0"/>
    <w:tblPr>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1"/>
      <w:szCs w:val="21"/>
      <w:lang w:val="en-US" w:eastAsia="en-US" w:bidi="ar-SA"/>
    </w:rPr>
  </w:style>
</w:styles>
</file>

<file path=word/_rels/document.xml.rels><?xml version='1.0' encoding='UTF-8' standalone='yes'?>
<Relationships xmlns="http://schemas.openxmlformats.org/package/2006/relationships"><Relationship Id="rId99" Type="http://schemas.openxmlformats.org/officeDocument/2006/relationships/footer" Target="footer94.xml"/><Relationship Id="rId98" Type="http://schemas.openxmlformats.org/officeDocument/2006/relationships/footer" Target="footer93.xml"/><Relationship Id="rId97" Type="http://schemas.openxmlformats.org/officeDocument/2006/relationships/footer" Target="footer92.xml"/><Relationship Id="rId96" Type="http://schemas.openxmlformats.org/officeDocument/2006/relationships/footer" Target="footer91.xml"/><Relationship Id="rId95" Type="http://schemas.openxmlformats.org/officeDocument/2006/relationships/footer" Target="footer90.xml"/><Relationship Id="rId94" Type="http://schemas.openxmlformats.org/officeDocument/2006/relationships/footer" Target="footer89.xml"/><Relationship Id="rId93" Type="http://schemas.openxmlformats.org/officeDocument/2006/relationships/footer" Target="footer88.xml"/><Relationship Id="rId92" Type="http://schemas.openxmlformats.org/officeDocument/2006/relationships/footer" Target="footer87.xml"/><Relationship Id="rId91" Type="http://schemas.openxmlformats.org/officeDocument/2006/relationships/footer" Target="footer86.xml"/><Relationship Id="rId90" Type="http://schemas.openxmlformats.org/officeDocument/2006/relationships/footer" Target="footer85.xml"/><Relationship Id="rId9" Type="http://schemas.openxmlformats.org/officeDocument/2006/relationships/footer" Target="footer4.xml"/><Relationship Id="rId89" Type="http://schemas.openxmlformats.org/officeDocument/2006/relationships/footer" Target="footer84.xml"/><Relationship Id="rId88" Type="http://schemas.openxmlformats.org/officeDocument/2006/relationships/footer" Target="footer83.xml"/><Relationship Id="rId87" Type="http://schemas.openxmlformats.org/officeDocument/2006/relationships/footer" Target="footer82.xml"/><Relationship Id="rId86" Type="http://schemas.openxmlformats.org/officeDocument/2006/relationships/footer" Target="footer81.xml"/><Relationship Id="rId85" Type="http://schemas.openxmlformats.org/officeDocument/2006/relationships/footer" Target="footer80.xml"/><Relationship Id="rId84" Type="http://schemas.openxmlformats.org/officeDocument/2006/relationships/footer" Target="footer79.xml"/><Relationship Id="rId83" Type="http://schemas.openxmlformats.org/officeDocument/2006/relationships/footer" Target="footer78.xml"/><Relationship Id="rId82" Type="http://schemas.openxmlformats.org/officeDocument/2006/relationships/footer" Target="footer77.xml"/><Relationship Id="rId81" Type="http://schemas.openxmlformats.org/officeDocument/2006/relationships/footer" Target="footer76.xml"/><Relationship Id="rId80" Type="http://schemas.openxmlformats.org/officeDocument/2006/relationships/footer" Target="footer75.xml"/><Relationship Id="rId8" Type="http://schemas.openxmlformats.org/officeDocument/2006/relationships/footer" Target="footer3.xml"/><Relationship Id="rId79" Type="http://schemas.openxmlformats.org/officeDocument/2006/relationships/footer" Target="footer74.xml"/><Relationship Id="rId78" Type="http://schemas.openxmlformats.org/officeDocument/2006/relationships/footer" Target="footer73.xml"/><Relationship Id="rId77" Type="http://schemas.openxmlformats.org/officeDocument/2006/relationships/footer" Target="footer72.xml"/><Relationship Id="rId76" Type="http://schemas.openxmlformats.org/officeDocument/2006/relationships/footer" Target="footer71.xml"/><Relationship Id="rId75" Type="http://schemas.openxmlformats.org/officeDocument/2006/relationships/footer" Target="footer70.xml"/><Relationship Id="rId74" Type="http://schemas.openxmlformats.org/officeDocument/2006/relationships/footer" Target="footer69.xml"/><Relationship Id="rId73" Type="http://schemas.openxmlformats.org/officeDocument/2006/relationships/footer" Target="footer68.xml"/><Relationship Id="rId72" Type="http://schemas.openxmlformats.org/officeDocument/2006/relationships/footer" Target="footer67.xml"/><Relationship Id="rId71" Type="http://schemas.openxmlformats.org/officeDocument/2006/relationships/footer" Target="footer66.xml"/><Relationship Id="rId70" Type="http://schemas.openxmlformats.org/officeDocument/2006/relationships/footer" Target="footer65.xml"/><Relationship Id="rId7" Type="http://schemas.openxmlformats.org/officeDocument/2006/relationships/footer" Target="footer2.xml"/><Relationship Id="rId69" Type="http://schemas.openxmlformats.org/officeDocument/2006/relationships/footer" Target="footer64.xml"/><Relationship Id="rId68" Type="http://schemas.openxmlformats.org/officeDocument/2006/relationships/footer" Target="footer63.xml"/><Relationship Id="rId67" Type="http://schemas.openxmlformats.org/officeDocument/2006/relationships/footer" Target="footer62.xml"/><Relationship Id="rId66" Type="http://schemas.openxmlformats.org/officeDocument/2006/relationships/footer" Target="footer61.xml"/><Relationship Id="rId65" Type="http://schemas.openxmlformats.org/officeDocument/2006/relationships/footer" Target="footer60.xml"/><Relationship Id="rId64" Type="http://schemas.openxmlformats.org/officeDocument/2006/relationships/footer" Target="footer59.xml"/><Relationship Id="rId63" Type="http://schemas.openxmlformats.org/officeDocument/2006/relationships/footer" Target="footer58.xml"/><Relationship Id="rId62" Type="http://schemas.openxmlformats.org/officeDocument/2006/relationships/footer" Target="footer57.xml"/><Relationship Id="rId61" Type="http://schemas.openxmlformats.org/officeDocument/2006/relationships/footer" Target="footer56.xml"/><Relationship Id="rId60" Type="http://schemas.openxmlformats.org/officeDocument/2006/relationships/footer" Target="footer55.xml"/><Relationship Id="rId6" Type="http://schemas.openxmlformats.org/officeDocument/2006/relationships/footer" Target="footer1.xml"/><Relationship Id="rId59" Type="http://schemas.openxmlformats.org/officeDocument/2006/relationships/footer" Target="footer54.xml"/><Relationship Id="rId58" Type="http://schemas.openxmlformats.org/officeDocument/2006/relationships/footer" Target="footer53.xml"/><Relationship Id="rId57" Type="http://schemas.openxmlformats.org/officeDocument/2006/relationships/footer" Target="footer52.xml"/><Relationship Id="rId56" Type="http://schemas.openxmlformats.org/officeDocument/2006/relationships/footer" Target="footer51.xml"/><Relationship Id="rId55" Type="http://schemas.openxmlformats.org/officeDocument/2006/relationships/footer" Target="footer50.xml"/><Relationship Id="rId54" Type="http://schemas.openxmlformats.org/officeDocument/2006/relationships/footer" Target="footer49.xml"/><Relationship Id="rId53" Type="http://schemas.openxmlformats.org/officeDocument/2006/relationships/footer" Target="footer48.xml"/><Relationship Id="rId52" Type="http://schemas.openxmlformats.org/officeDocument/2006/relationships/footer" Target="footer47.xml"/><Relationship Id="rId51" Type="http://schemas.openxmlformats.org/officeDocument/2006/relationships/footer" Target="footer46.xml"/><Relationship Id="rId50" Type="http://schemas.openxmlformats.org/officeDocument/2006/relationships/footer" Target="footer45.xml"/><Relationship Id="rId5" Type="http://schemas.openxmlformats.org/officeDocument/2006/relationships/header" Target="header1.xml"/><Relationship Id="rId49" Type="http://schemas.openxmlformats.org/officeDocument/2006/relationships/footer" Target="footer44.xml"/><Relationship Id="rId48" Type="http://schemas.openxmlformats.org/officeDocument/2006/relationships/footer" Target="footer43.xml"/><Relationship Id="rId47" Type="http://schemas.openxmlformats.org/officeDocument/2006/relationships/footer" Target="footer42.xml"/><Relationship Id="rId46" Type="http://schemas.openxmlformats.org/officeDocument/2006/relationships/footer" Target="footer41.xml"/><Relationship Id="rId45" Type="http://schemas.openxmlformats.org/officeDocument/2006/relationships/footer" Target="footer40.xml"/><Relationship Id="rId44" Type="http://schemas.openxmlformats.org/officeDocument/2006/relationships/footer" Target="footer39.xml"/><Relationship Id="rId43" Type="http://schemas.openxmlformats.org/officeDocument/2006/relationships/footer" Target="footer38.xml"/><Relationship Id="rId42" Type="http://schemas.openxmlformats.org/officeDocument/2006/relationships/footer" Target="footer37.xml"/><Relationship Id="rId41" Type="http://schemas.openxmlformats.org/officeDocument/2006/relationships/footer" Target="footer36.xml"/><Relationship Id="rId40" Type="http://schemas.openxmlformats.org/officeDocument/2006/relationships/footer" Target="footer35.xml"/><Relationship Id="rId4" Type="http://schemas.openxmlformats.org/officeDocument/2006/relationships/endnotes" Target="endnotes.xml"/><Relationship Id="rId39" Type="http://schemas.openxmlformats.org/officeDocument/2006/relationships/footer" Target="footer34.xml"/><Relationship Id="rId38" Type="http://schemas.openxmlformats.org/officeDocument/2006/relationships/footer" Target="footer33.xml"/><Relationship Id="rId37" Type="http://schemas.openxmlformats.org/officeDocument/2006/relationships/footer" Target="footer32.xml"/><Relationship Id="rId36" Type="http://schemas.openxmlformats.org/officeDocument/2006/relationships/footer" Target="footer31.xml"/><Relationship Id="rId35" Type="http://schemas.openxmlformats.org/officeDocument/2006/relationships/footer" Target="footer30.xml"/><Relationship Id="rId34" Type="http://schemas.openxmlformats.org/officeDocument/2006/relationships/footer" Target="footer29.xml"/><Relationship Id="rId33" Type="http://schemas.openxmlformats.org/officeDocument/2006/relationships/footer" Target="footer28.xml"/><Relationship Id="rId32" Type="http://schemas.openxmlformats.org/officeDocument/2006/relationships/footer" Target="footer27.xml"/><Relationship Id="rId31" Type="http://schemas.openxmlformats.org/officeDocument/2006/relationships/footer" Target="footer26.xml"/><Relationship Id="rId30" Type="http://schemas.openxmlformats.org/officeDocument/2006/relationships/footer" Target="footer25.xml"/><Relationship Id="rId3" Type="http://schemas.openxmlformats.org/officeDocument/2006/relationships/footnotes" Target="footnotes.xml"/><Relationship Id="rId29" Type="http://schemas.openxmlformats.org/officeDocument/2006/relationships/footer" Target="footer24.xml"/><Relationship Id="rId289" Type="http://schemas.openxmlformats.org/officeDocument/2006/relationships/fontTable" Target="fontTable.xml"/><Relationship Id="rId288" Type="http://schemas.openxmlformats.org/officeDocument/2006/relationships/customXml" Target="../customXml/item1.xml"/><Relationship Id="rId287" Type="http://schemas.openxmlformats.org/officeDocument/2006/relationships/image" Target="media/image92.jpeg"/><Relationship Id="rId286" Type="http://schemas.openxmlformats.org/officeDocument/2006/relationships/image" Target="media/image91.jpeg"/><Relationship Id="rId285" Type="http://schemas.openxmlformats.org/officeDocument/2006/relationships/image" Target="media/image90.jpeg"/><Relationship Id="rId284" Type="http://schemas.openxmlformats.org/officeDocument/2006/relationships/image" Target="media/image89.jpeg"/><Relationship Id="rId283" Type="http://schemas.openxmlformats.org/officeDocument/2006/relationships/image" Target="media/image88.jpeg"/><Relationship Id="rId282" Type="http://schemas.openxmlformats.org/officeDocument/2006/relationships/image" Target="media/image87.jpeg"/><Relationship Id="rId281" Type="http://schemas.openxmlformats.org/officeDocument/2006/relationships/image" Target="media/image86.jpeg"/><Relationship Id="rId280" Type="http://schemas.openxmlformats.org/officeDocument/2006/relationships/image" Target="media/image85.jpeg"/><Relationship Id="rId28" Type="http://schemas.openxmlformats.org/officeDocument/2006/relationships/footer" Target="footer23.xml"/><Relationship Id="rId279" Type="http://schemas.openxmlformats.org/officeDocument/2006/relationships/image" Target="media/image84.jpeg"/><Relationship Id="rId278" Type="http://schemas.openxmlformats.org/officeDocument/2006/relationships/image" Target="media/image83.jpeg"/><Relationship Id="rId277" Type="http://schemas.openxmlformats.org/officeDocument/2006/relationships/image" Target="media/image82.jpeg"/><Relationship Id="rId276" Type="http://schemas.openxmlformats.org/officeDocument/2006/relationships/image" Target="media/image81.jpeg"/><Relationship Id="rId275" Type="http://schemas.openxmlformats.org/officeDocument/2006/relationships/image" Target="media/image80.jpeg"/><Relationship Id="rId274" Type="http://schemas.openxmlformats.org/officeDocument/2006/relationships/image" Target="media/image79.jpeg"/><Relationship Id="rId273" Type="http://schemas.openxmlformats.org/officeDocument/2006/relationships/image" Target="media/image78.png"/><Relationship Id="rId272" Type="http://schemas.openxmlformats.org/officeDocument/2006/relationships/image" Target="media/image77.png"/><Relationship Id="rId271" Type="http://schemas.openxmlformats.org/officeDocument/2006/relationships/image" Target="media/image76.png"/><Relationship Id="rId270" Type="http://schemas.openxmlformats.org/officeDocument/2006/relationships/image" Target="media/image75.png"/><Relationship Id="rId27" Type="http://schemas.openxmlformats.org/officeDocument/2006/relationships/footer" Target="footer22.xml"/><Relationship Id="rId269" Type="http://schemas.openxmlformats.org/officeDocument/2006/relationships/image" Target="media/image74.png"/><Relationship Id="rId268" Type="http://schemas.openxmlformats.org/officeDocument/2006/relationships/image" Target="media/image73.png"/><Relationship Id="rId267" Type="http://schemas.openxmlformats.org/officeDocument/2006/relationships/image" Target="media/image72.png"/><Relationship Id="rId266" Type="http://schemas.openxmlformats.org/officeDocument/2006/relationships/image" Target="media/image71.png"/><Relationship Id="rId265" Type="http://schemas.openxmlformats.org/officeDocument/2006/relationships/image" Target="media/image70.png"/><Relationship Id="rId264" Type="http://schemas.openxmlformats.org/officeDocument/2006/relationships/image" Target="media/image69.png"/><Relationship Id="rId263" Type="http://schemas.openxmlformats.org/officeDocument/2006/relationships/image" Target="media/image68.png"/><Relationship Id="rId262" Type="http://schemas.openxmlformats.org/officeDocument/2006/relationships/image" Target="media/image67.jpeg"/><Relationship Id="rId261" Type="http://schemas.openxmlformats.org/officeDocument/2006/relationships/image" Target="media/image66.jpeg"/><Relationship Id="rId260" Type="http://schemas.openxmlformats.org/officeDocument/2006/relationships/image" Target="media/image65.jpeg"/><Relationship Id="rId26" Type="http://schemas.openxmlformats.org/officeDocument/2006/relationships/footer" Target="footer21.xml"/><Relationship Id="rId259" Type="http://schemas.openxmlformats.org/officeDocument/2006/relationships/image" Target="media/image64.jpeg"/><Relationship Id="rId258" Type="http://schemas.openxmlformats.org/officeDocument/2006/relationships/image" Target="media/image63.png"/><Relationship Id="rId257" Type="http://schemas.openxmlformats.org/officeDocument/2006/relationships/image" Target="media/image62.png"/><Relationship Id="rId256" Type="http://schemas.openxmlformats.org/officeDocument/2006/relationships/image" Target="media/image61.jpeg"/><Relationship Id="rId255" Type="http://schemas.openxmlformats.org/officeDocument/2006/relationships/image" Target="media/image60.jpeg"/><Relationship Id="rId254" Type="http://schemas.openxmlformats.org/officeDocument/2006/relationships/image" Target="media/image59.jpeg"/><Relationship Id="rId253" Type="http://schemas.openxmlformats.org/officeDocument/2006/relationships/image" Target="media/image58.jpeg"/><Relationship Id="rId252" Type="http://schemas.openxmlformats.org/officeDocument/2006/relationships/image" Target="media/image57.png"/><Relationship Id="rId251" Type="http://schemas.openxmlformats.org/officeDocument/2006/relationships/image" Target="media/image56.png"/><Relationship Id="rId250" Type="http://schemas.openxmlformats.org/officeDocument/2006/relationships/image" Target="media/image55.jpeg"/><Relationship Id="rId25" Type="http://schemas.openxmlformats.org/officeDocument/2006/relationships/footer" Target="footer20.xml"/><Relationship Id="rId249" Type="http://schemas.openxmlformats.org/officeDocument/2006/relationships/image" Target="media/image54.jpeg"/><Relationship Id="rId248" Type="http://schemas.openxmlformats.org/officeDocument/2006/relationships/image" Target="media/image53.jpeg"/><Relationship Id="rId247" Type="http://schemas.openxmlformats.org/officeDocument/2006/relationships/image" Target="media/image52.jpeg"/><Relationship Id="rId246" Type="http://schemas.openxmlformats.org/officeDocument/2006/relationships/image" Target="media/image51.jpeg"/><Relationship Id="rId245" Type="http://schemas.openxmlformats.org/officeDocument/2006/relationships/image" Target="media/image50.jpeg"/><Relationship Id="rId244" Type="http://schemas.openxmlformats.org/officeDocument/2006/relationships/image" Target="media/image49.jpeg"/><Relationship Id="rId243" Type="http://schemas.openxmlformats.org/officeDocument/2006/relationships/image" Target="media/image48.jpeg"/><Relationship Id="rId242" Type="http://schemas.openxmlformats.org/officeDocument/2006/relationships/image" Target="media/image47.jpeg"/><Relationship Id="rId241" Type="http://schemas.openxmlformats.org/officeDocument/2006/relationships/image" Target="media/image46.jpeg"/><Relationship Id="rId240" Type="http://schemas.openxmlformats.org/officeDocument/2006/relationships/image" Target="media/image45.jpeg"/><Relationship Id="rId24" Type="http://schemas.openxmlformats.org/officeDocument/2006/relationships/footer" Target="footer19.xml"/><Relationship Id="rId239" Type="http://schemas.openxmlformats.org/officeDocument/2006/relationships/image" Target="media/image44.jpeg"/><Relationship Id="rId238" Type="http://schemas.openxmlformats.org/officeDocument/2006/relationships/image" Target="media/image43.jpeg"/><Relationship Id="rId237" Type="http://schemas.openxmlformats.org/officeDocument/2006/relationships/image" Target="media/image42.jpeg"/><Relationship Id="rId236" Type="http://schemas.openxmlformats.org/officeDocument/2006/relationships/image" Target="media/image41.png"/><Relationship Id="rId235" Type="http://schemas.openxmlformats.org/officeDocument/2006/relationships/image" Target="media/image40.png"/><Relationship Id="rId234" Type="http://schemas.openxmlformats.org/officeDocument/2006/relationships/image" Target="media/image39.png"/><Relationship Id="rId233" Type="http://schemas.openxmlformats.org/officeDocument/2006/relationships/image" Target="media/image38.png"/><Relationship Id="rId232" Type="http://schemas.openxmlformats.org/officeDocument/2006/relationships/image" Target="media/image37.png"/><Relationship Id="rId231" Type="http://schemas.openxmlformats.org/officeDocument/2006/relationships/image" Target="media/image36.png"/><Relationship Id="rId230" Type="http://schemas.openxmlformats.org/officeDocument/2006/relationships/image" Target="media/image35.png"/><Relationship Id="rId23" Type="http://schemas.openxmlformats.org/officeDocument/2006/relationships/footer" Target="footer18.xml"/><Relationship Id="rId229" Type="http://schemas.openxmlformats.org/officeDocument/2006/relationships/image" Target="media/image34.png"/><Relationship Id="rId228" Type="http://schemas.openxmlformats.org/officeDocument/2006/relationships/image" Target="media/image33.png"/><Relationship Id="rId227" Type="http://schemas.openxmlformats.org/officeDocument/2006/relationships/image" Target="media/image32.png"/><Relationship Id="rId226" Type="http://schemas.openxmlformats.org/officeDocument/2006/relationships/image" Target="media/image31.png"/><Relationship Id="rId225" Type="http://schemas.openxmlformats.org/officeDocument/2006/relationships/image" Target="media/image30.png"/><Relationship Id="rId224" Type="http://schemas.openxmlformats.org/officeDocument/2006/relationships/image" Target="media/image29.png"/><Relationship Id="rId223" Type="http://schemas.openxmlformats.org/officeDocument/2006/relationships/image" Target="media/image28.png"/><Relationship Id="rId222" Type="http://schemas.openxmlformats.org/officeDocument/2006/relationships/image" Target="media/image27.png"/><Relationship Id="rId221" Type="http://schemas.openxmlformats.org/officeDocument/2006/relationships/image" Target="media/image26.png"/><Relationship Id="rId220" Type="http://schemas.openxmlformats.org/officeDocument/2006/relationships/image" Target="media/image25.png"/><Relationship Id="rId22" Type="http://schemas.openxmlformats.org/officeDocument/2006/relationships/footer" Target="footer17.xml"/><Relationship Id="rId219" Type="http://schemas.openxmlformats.org/officeDocument/2006/relationships/image" Target="media/image24.jpeg"/><Relationship Id="rId218" Type="http://schemas.openxmlformats.org/officeDocument/2006/relationships/image" Target="media/image23.png"/><Relationship Id="rId217" Type="http://schemas.openxmlformats.org/officeDocument/2006/relationships/image" Target="media/image22.jpeg"/><Relationship Id="rId216" Type="http://schemas.openxmlformats.org/officeDocument/2006/relationships/image" Target="media/image21.png"/><Relationship Id="rId215" Type="http://schemas.openxmlformats.org/officeDocument/2006/relationships/image" Target="media/image20.jpeg"/><Relationship Id="rId214" Type="http://schemas.openxmlformats.org/officeDocument/2006/relationships/image" Target="media/image19.jpeg"/><Relationship Id="rId213" Type="http://schemas.openxmlformats.org/officeDocument/2006/relationships/image" Target="media/image18.jpeg"/><Relationship Id="rId212" Type="http://schemas.openxmlformats.org/officeDocument/2006/relationships/image" Target="media/image17.jpeg"/><Relationship Id="rId211" Type="http://schemas.openxmlformats.org/officeDocument/2006/relationships/image" Target="media/image16.jpeg"/><Relationship Id="rId210" Type="http://schemas.openxmlformats.org/officeDocument/2006/relationships/image" Target="media/image15.jpeg"/><Relationship Id="rId21" Type="http://schemas.openxmlformats.org/officeDocument/2006/relationships/footer" Target="footer16.xml"/><Relationship Id="rId209" Type="http://schemas.openxmlformats.org/officeDocument/2006/relationships/image" Target="media/image14.jpeg"/><Relationship Id="rId208" Type="http://schemas.openxmlformats.org/officeDocument/2006/relationships/image" Target="media/image13.png"/><Relationship Id="rId207" Type="http://schemas.openxmlformats.org/officeDocument/2006/relationships/image" Target="media/image12.jpeg"/><Relationship Id="rId206" Type="http://schemas.openxmlformats.org/officeDocument/2006/relationships/image" Target="media/image11.jpeg"/><Relationship Id="rId205" Type="http://schemas.openxmlformats.org/officeDocument/2006/relationships/image" Target="media/image10.jpeg"/><Relationship Id="rId204" Type="http://schemas.openxmlformats.org/officeDocument/2006/relationships/image" Target="media/image9.png"/><Relationship Id="rId203" Type="http://schemas.openxmlformats.org/officeDocument/2006/relationships/image" Target="media/image8.png"/><Relationship Id="rId202" Type="http://schemas.openxmlformats.org/officeDocument/2006/relationships/image" Target="media/image7.png"/><Relationship Id="rId201" Type="http://schemas.openxmlformats.org/officeDocument/2006/relationships/image" Target="media/image6.png"/><Relationship Id="rId200" Type="http://schemas.openxmlformats.org/officeDocument/2006/relationships/image" Target="media/image5.png"/><Relationship Id="rId20" Type="http://schemas.openxmlformats.org/officeDocument/2006/relationships/footer" Target="footer15.xml"/><Relationship Id="rId2" Type="http://schemas.openxmlformats.org/officeDocument/2006/relationships/settings" Target="settings.xml"/><Relationship Id="rId199" Type="http://schemas.openxmlformats.org/officeDocument/2006/relationships/image" Target="media/image4.png"/><Relationship Id="rId198" Type="http://schemas.openxmlformats.org/officeDocument/2006/relationships/image" Target="media/image3.png"/><Relationship Id="rId197" Type="http://schemas.openxmlformats.org/officeDocument/2006/relationships/image" Target="media/image2.png"/><Relationship Id="rId196" Type="http://schemas.openxmlformats.org/officeDocument/2006/relationships/image" Target="media/image1.png"/><Relationship Id="rId195" Type="http://schemas.openxmlformats.org/officeDocument/2006/relationships/theme" Target="theme/theme1.xml"/><Relationship Id="rId194" Type="http://schemas.openxmlformats.org/officeDocument/2006/relationships/footer" Target="footer189.xml"/><Relationship Id="rId193" Type="http://schemas.openxmlformats.org/officeDocument/2006/relationships/footer" Target="footer188.xml"/><Relationship Id="rId192" Type="http://schemas.openxmlformats.org/officeDocument/2006/relationships/footer" Target="footer187.xml"/><Relationship Id="rId191" Type="http://schemas.openxmlformats.org/officeDocument/2006/relationships/footer" Target="footer186.xml"/><Relationship Id="rId190" Type="http://schemas.openxmlformats.org/officeDocument/2006/relationships/footer" Target="footer185.xml"/><Relationship Id="rId19" Type="http://schemas.openxmlformats.org/officeDocument/2006/relationships/footer" Target="footer14.xml"/><Relationship Id="rId189" Type="http://schemas.openxmlformats.org/officeDocument/2006/relationships/footer" Target="footer184.xml"/><Relationship Id="rId188" Type="http://schemas.openxmlformats.org/officeDocument/2006/relationships/footer" Target="footer183.xml"/><Relationship Id="rId187" Type="http://schemas.openxmlformats.org/officeDocument/2006/relationships/footer" Target="footer182.xml"/><Relationship Id="rId186" Type="http://schemas.openxmlformats.org/officeDocument/2006/relationships/footer" Target="footer181.xml"/><Relationship Id="rId185" Type="http://schemas.openxmlformats.org/officeDocument/2006/relationships/footer" Target="footer180.xml"/><Relationship Id="rId184" Type="http://schemas.openxmlformats.org/officeDocument/2006/relationships/footer" Target="footer179.xml"/><Relationship Id="rId183" Type="http://schemas.openxmlformats.org/officeDocument/2006/relationships/footer" Target="footer178.xml"/><Relationship Id="rId182" Type="http://schemas.openxmlformats.org/officeDocument/2006/relationships/footer" Target="footer177.xml"/><Relationship Id="rId181" Type="http://schemas.openxmlformats.org/officeDocument/2006/relationships/footer" Target="footer176.xml"/><Relationship Id="rId180" Type="http://schemas.openxmlformats.org/officeDocument/2006/relationships/footer" Target="footer175.xml"/><Relationship Id="rId18" Type="http://schemas.openxmlformats.org/officeDocument/2006/relationships/footer" Target="footer13.xml"/><Relationship Id="rId179" Type="http://schemas.openxmlformats.org/officeDocument/2006/relationships/footer" Target="footer174.xml"/><Relationship Id="rId178" Type="http://schemas.openxmlformats.org/officeDocument/2006/relationships/footer" Target="footer173.xml"/><Relationship Id="rId177" Type="http://schemas.openxmlformats.org/officeDocument/2006/relationships/footer" Target="footer172.xml"/><Relationship Id="rId176" Type="http://schemas.openxmlformats.org/officeDocument/2006/relationships/footer" Target="footer171.xml"/><Relationship Id="rId175" Type="http://schemas.openxmlformats.org/officeDocument/2006/relationships/footer" Target="footer170.xml"/><Relationship Id="rId174" Type="http://schemas.openxmlformats.org/officeDocument/2006/relationships/footer" Target="footer169.xml"/><Relationship Id="rId173" Type="http://schemas.openxmlformats.org/officeDocument/2006/relationships/footer" Target="footer168.xml"/><Relationship Id="rId172" Type="http://schemas.openxmlformats.org/officeDocument/2006/relationships/footer" Target="footer167.xml"/><Relationship Id="rId171" Type="http://schemas.openxmlformats.org/officeDocument/2006/relationships/footer" Target="footer166.xml"/><Relationship Id="rId170" Type="http://schemas.openxmlformats.org/officeDocument/2006/relationships/footer" Target="footer165.xml"/><Relationship Id="rId17" Type="http://schemas.openxmlformats.org/officeDocument/2006/relationships/footer" Target="footer12.xml"/><Relationship Id="rId169" Type="http://schemas.openxmlformats.org/officeDocument/2006/relationships/footer" Target="footer164.xml"/><Relationship Id="rId168" Type="http://schemas.openxmlformats.org/officeDocument/2006/relationships/footer" Target="footer163.xml"/><Relationship Id="rId167" Type="http://schemas.openxmlformats.org/officeDocument/2006/relationships/footer" Target="footer162.xml"/><Relationship Id="rId166" Type="http://schemas.openxmlformats.org/officeDocument/2006/relationships/footer" Target="footer161.xml"/><Relationship Id="rId165" Type="http://schemas.openxmlformats.org/officeDocument/2006/relationships/footer" Target="footer160.xml"/><Relationship Id="rId164" Type="http://schemas.openxmlformats.org/officeDocument/2006/relationships/footer" Target="footer159.xml"/><Relationship Id="rId163" Type="http://schemas.openxmlformats.org/officeDocument/2006/relationships/footer" Target="footer158.xml"/><Relationship Id="rId162" Type="http://schemas.openxmlformats.org/officeDocument/2006/relationships/footer" Target="footer157.xml"/><Relationship Id="rId161" Type="http://schemas.openxmlformats.org/officeDocument/2006/relationships/footer" Target="footer156.xml"/><Relationship Id="rId160" Type="http://schemas.openxmlformats.org/officeDocument/2006/relationships/footer" Target="footer155.xml"/><Relationship Id="rId16" Type="http://schemas.openxmlformats.org/officeDocument/2006/relationships/footer" Target="footer11.xml"/><Relationship Id="rId159" Type="http://schemas.openxmlformats.org/officeDocument/2006/relationships/footer" Target="footer154.xml"/><Relationship Id="rId158" Type="http://schemas.openxmlformats.org/officeDocument/2006/relationships/footer" Target="footer153.xml"/><Relationship Id="rId157" Type="http://schemas.openxmlformats.org/officeDocument/2006/relationships/footer" Target="footer152.xml"/><Relationship Id="rId156" Type="http://schemas.openxmlformats.org/officeDocument/2006/relationships/footer" Target="footer151.xml"/><Relationship Id="rId155" Type="http://schemas.openxmlformats.org/officeDocument/2006/relationships/footer" Target="footer150.xml"/><Relationship Id="rId154" Type="http://schemas.openxmlformats.org/officeDocument/2006/relationships/footer" Target="footer149.xml"/><Relationship Id="rId153" Type="http://schemas.openxmlformats.org/officeDocument/2006/relationships/footer" Target="footer148.xml"/><Relationship Id="rId152" Type="http://schemas.openxmlformats.org/officeDocument/2006/relationships/footer" Target="footer147.xml"/><Relationship Id="rId151" Type="http://schemas.openxmlformats.org/officeDocument/2006/relationships/footer" Target="footer146.xml"/><Relationship Id="rId150" Type="http://schemas.openxmlformats.org/officeDocument/2006/relationships/footer" Target="footer145.xml"/><Relationship Id="rId15" Type="http://schemas.openxmlformats.org/officeDocument/2006/relationships/footer" Target="footer10.xml"/><Relationship Id="rId149" Type="http://schemas.openxmlformats.org/officeDocument/2006/relationships/footer" Target="footer144.xml"/><Relationship Id="rId148" Type="http://schemas.openxmlformats.org/officeDocument/2006/relationships/footer" Target="footer143.xml"/><Relationship Id="rId147" Type="http://schemas.openxmlformats.org/officeDocument/2006/relationships/footer" Target="footer142.xml"/><Relationship Id="rId146" Type="http://schemas.openxmlformats.org/officeDocument/2006/relationships/footer" Target="footer141.xml"/><Relationship Id="rId145" Type="http://schemas.openxmlformats.org/officeDocument/2006/relationships/footer" Target="footer140.xml"/><Relationship Id="rId144" Type="http://schemas.openxmlformats.org/officeDocument/2006/relationships/footer" Target="footer139.xml"/><Relationship Id="rId143" Type="http://schemas.openxmlformats.org/officeDocument/2006/relationships/footer" Target="footer138.xml"/><Relationship Id="rId142" Type="http://schemas.openxmlformats.org/officeDocument/2006/relationships/footer" Target="footer137.xml"/><Relationship Id="rId141" Type="http://schemas.openxmlformats.org/officeDocument/2006/relationships/footer" Target="footer136.xml"/><Relationship Id="rId140" Type="http://schemas.openxmlformats.org/officeDocument/2006/relationships/footer" Target="footer135.xml"/><Relationship Id="rId14" Type="http://schemas.openxmlformats.org/officeDocument/2006/relationships/footer" Target="footer9.xml"/><Relationship Id="rId139" Type="http://schemas.openxmlformats.org/officeDocument/2006/relationships/footer" Target="footer134.xml"/><Relationship Id="rId138" Type="http://schemas.openxmlformats.org/officeDocument/2006/relationships/footer" Target="footer133.xml"/><Relationship Id="rId137" Type="http://schemas.openxmlformats.org/officeDocument/2006/relationships/footer" Target="footer132.xml"/><Relationship Id="rId136" Type="http://schemas.openxmlformats.org/officeDocument/2006/relationships/footer" Target="footer131.xml"/><Relationship Id="rId135" Type="http://schemas.openxmlformats.org/officeDocument/2006/relationships/footer" Target="footer130.xml"/><Relationship Id="rId134" Type="http://schemas.openxmlformats.org/officeDocument/2006/relationships/footer" Target="footer129.xml"/><Relationship Id="rId133" Type="http://schemas.openxmlformats.org/officeDocument/2006/relationships/footer" Target="footer128.xml"/><Relationship Id="rId132" Type="http://schemas.openxmlformats.org/officeDocument/2006/relationships/footer" Target="footer127.xml"/><Relationship Id="rId131" Type="http://schemas.openxmlformats.org/officeDocument/2006/relationships/footer" Target="footer126.xml"/><Relationship Id="rId130" Type="http://schemas.openxmlformats.org/officeDocument/2006/relationships/footer" Target="footer125.xml"/><Relationship Id="rId13" Type="http://schemas.openxmlformats.org/officeDocument/2006/relationships/footer" Target="footer8.xml"/><Relationship Id="rId129" Type="http://schemas.openxmlformats.org/officeDocument/2006/relationships/footer" Target="footer124.xml"/><Relationship Id="rId128" Type="http://schemas.openxmlformats.org/officeDocument/2006/relationships/footer" Target="footer123.xml"/><Relationship Id="rId127" Type="http://schemas.openxmlformats.org/officeDocument/2006/relationships/footer" Target="footer122.xml"/><Relationship Id="rId126" Type="http://schemas.openxmlformats.org/officeDocument/2006/relationships/footer" Target="footer121.xml"/><Relationship Id="rId125" Type="http://schemas.openxmlformats.org/officeDocument/2006/relationships/footer" Target="footer120.xml"/><Relationship Id="rId124" Type="http://schemas.openxmlformats.org/officeDocument/2006/relationships/footer" Target="footer119.xml"/><Relationship Id="rId123" Type="http://schemas.openxmlformats.org/officeDocument/2006/relationships/footer" Target="footer118.xml"/><Relationship Id="rId122" Type="http://schemas.openxmlformats.org/officeDocument/2006/relationships/footer" Target="footer117.xml"/><Relationship Id="rId121" Type="http://schemas.openxmlformats.org/officeDocument/2006/relationships/footer" Target="footer116.xml"/><Relationship Id="rId120" Type="http://schemas.openxmlformats.org/officeDocument/2006/relationships/footer" Target="footer115.xml"/><Relationship Id="rId12" Type="http://schemas.openxmlformats.org/officeDocument/2006/relationships/footer" Target="footer7.xml"/><Relationship Id="rId119" Type="http://schemas.openxmlformats.org/officeDocument/2006/relationships/footer" Target="footer114.xml"/><Relationship Id="rId118" Type="http://schemas.openxmlformats.org/officeDocument/2006/relationships/footer" Target="footer113.xml"/><Relationship Id="rId117" Type="http://schemas.openxmlformats.org/officeDocument/2006/relationships/footer" Target="footer112.xml"/><Relationship Id="rId116" Type="http://schemas.openxmlformats.org/officeDocument/2006/relationships/footer" Target="footer111.xml"/><Relationship Id="rId115" Type="http://schemas.openxmlformats.org/officeDocument/2006/relationships/footer" Target="footer110.xml"/><Relationship Id="rId114" Type="http://schemas.openxmlformats.org/officeDocument/2006/relationships/footer" Target="footer109.xml"/><Relationship Id="rId113" Type="http://schemas.openxmlformats.org/officeDocument/2006/relationships/footer" Target="footer108.xml"/><Relationship Id="rId112" Type="http://schemas.openxmlformats.org/officeDocument/2006/relationships/footer" Target="footer107.xml"/><Relationship Id="rId111" Type="http://schemas.openxmlformats.org/officeDocument/2006/relationships/footer" Target="footer106.xml"/><Relationship Id="rId110" Type="http://schemas.openxmlformats.org/officeDocument/2006/relationships/footer" Target="footer105.xml"/><Relationship Id="rId11" Type="http://schemas.openxmlformats.org/officeDocument/2006/relationships/footer" Target="footer6.xml"/><Relationship Id="rId109" Type="http://schemas.openxmlformats.org/officeDocument/2006/relationships/footer" Target="footer104.xml"/><Relationship Id="rId108" Type="http://schemas.openxmlformats.org/officeDocument/2006/relationships/footer" Target="footer103.xml"/><Relationship Id="rId107" Type="http://schemas.openxmlformats.org/officeDocument/2006/relationships/footer" Target="footer102.xml"/><Relationship Id="rId106" Type="http://schemas.openxmlformats.org/officeDocument/2006/relationships/footer" Target="footer101.xml"/><Relationship Id="rId105" Type="http://schemas.openxmlformats.org/officeDocument/2006/relationships/footer" Target="footer100.xml"/><Relationship Id="rId104" Type="http://schemas.openxmlformats.org/officeDocument/2006/relationships/footer" Target="footer99.xml"/><Relationship Id="rId103" Type="http://schemas.openxmlformats.org/officeDocument/2006/relationships/footer" Target="footer98.xml"/><Relationship Id="rId102" Type="http://schemas.openxmlformats.org/officeDocument/2006/relationships/footer" Target="footer97.xml"/><Relationship Id="rId101" Type="http://schemas.openxmlformats.org/officeDocument/2006/relationships/footer" Target="footer96.xml"/><Relationship Id="rId100" Type="http://schemas.openxmlformats.org/officeDocument/2006/relationships/footer" Target="footer95.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Info spid="_x0000_s1027"/>
    <customShpInfo spid="_x0000_s1029"/>
    <customShpInfo spid="_x0000_s1030"/>
    <customShpInfo spid="_x0000_s1031"/>
    <customShpInfo spid="_x0000_s1032"/>
    <customShpInfo spid="_x0000_s1033"/>
    <customShpInfo spid="_x0000_s1034"/>
    <customShpInfo spid="_x0000_s1035"/>
    <customShpInfo spid="_x0000_s1036"/>
    <customShpInfo spid="_x0000_s1037"/>
    <customShpInfo spid="_x0000_s1038"/>
    <customShpInfo spid="_x0000_s1039"/>
    <customShpInfo spid="_x0000_s1040"/>
    <customShpInfo spid="_x0000_s1041"/>
    <customShpInfo spid="_x0000_s1042"/>
    <customShpInfo spid="_x0000_s1043"/>
    <customShpInfo spid="_x0000_s1044"/>
    <customShpInfo spid="_x0000_s1045"/>
    <customShpInfo spid="_x0000_s1046"/>
    <customShpInfo spid="_x0000_s1047"/>
    <customShpInfo spid="_x0000_s1048"/>
    <customShpInfo spid="_x0000_s1049"/>
    <customShpInfo spid="_x0000_s1050"/>
    <customShpInfo spid="_x0000_s1051"/>
    <customShpInfo spid="_x0000_s1052"/>
    <customShpInfo spid="_x0000_s1053"/>
    <customShpInfo spid="_x0000_s1054"/>
    <customShpInfo spid="_x0000_s1055"/>
    <customShpInfo spid="_x0000_s1056"/>
    <customShpInfo spid="_x0000_s1057"/>
    <customShpInfo spid="_x0000_s1058"/>
    <customShpInfo spid="_x0000_s1059"/>
    <customShpInfo spid="_x0000_s1060"/>
    <customShpInfo spid="_x0000_s1061"/>
    <customShpInfo spid="_x0000_s1062"/>
    <customShpInfo spid="_x0000_s1063"/>
    <customShpInfo spid="_x0000_s1064"/>
    <customShpInfo spid="_x0000_s1065"/>
    <customShpInfo spid="_x0000_s1066"/>
    <customShpInfo spid="_x0000_s1067"/>
    <customShpInfo spid="_x0000_s1068"/>
    <customShpInfo spid="_x0000_s1069"/>
    <customShpInfo spid="_x0000_s1070"/>
    <customShpInfo spid="_x0000_s1071"/>
    <customShpInfo spid="_x0000_s1072"/>
    <customShpInfo spid="_x0000_s1073"/>
    <customShpInfo spid="_x0000_s1074"/>
    <customShpInfo spid="_x0000_s1075"/>
    <customShpInfo spid="_x0000_s1076"/>
    <customShpInfo spid="_x0000_s1077"/>
    <customShpInfo spid="_x0000_s1078"/>
    <customShpInfo spid="_x0000_s1079"/>
    <customShpInfo spid="_x0000_s1080"/>
    <customShpInfo spid="_x0000_s1081"/>
    <customShpInfo spid="_x0000_s1082"/>
    <customShpInfo spid="_x0000_s1083"/>
    <customShpInfo spid="_x0000_s1084"/>
    <customShpInfo spid="_x0000_s1085"/>
    <customShpInfo spid="_x0000_s1086"/>
    <customShpInfo spid="_x0000_s1087"/>
    <customShpInfo spid="_x0000_s1088"/>
    <customShpInfo spid="_x0000_s1089"/>
    <customShpInfo spid="_x0000_s1090"/>
    <customShpInfo spid="_x0000_s1028"/>
    <customShpInfo spid="_x0000_s1092"/>
    <customShpInfo spid="_x0000_s1093"/>
    <customShpInfo spid="_x0000_s1091"/>
    <customShpInfo spid="_x0000_s1094"/>
    <customShpInfo spid="_x0000_s1097"/>
    <customShpInfo spid="_x0000_s1098"/>
    <customShpInfo spid="_x0000_s1099"/>
    <customShpInfo spid="_x0000_s1100"/>
    <customShpInfo spid="_x0000_s1101"/>
    <customShpInfo spid="_x0000_s1102"/>
    <customShpInfo spid="_x0000_s1103"/>
    <customShpInfo spid="_x0000_s1104"/>
    <customShpInfo spid="_x0000_s1105"/>
    <customShpInfo spid="_x0000_s1106"/>
    <customShpInfo spid="_x0000_s1107"/>
    <customShpInfo spid="_x0000_s1108"/>
    <customShpInfo spid="_x0000_s1109"/>
    <customShpInfo spid="_x0000_s1110"/>
    <customShpInfo spid="_x0000_s1111"/>
    <customShpInfo spid="_x0000_s1112"/>
    <customShpInfo spid="_x0000_s1113"/>
    <customShpInfo spid="_x0000_s1114"/>
    <customShpInfo spid="_x0000_s1115"/>
    <customShpInfo spid="_x0000_s1116"/>
    <customShpInfo spid="_x0000_s1117"/>
    <customShpInfo spid="_x0000_s1118"/>
    <customShpInfo spid="_x0000_s1119"/>
    <customShpInfo spid="_x0000_s1120"/>
    <customShpInfo spid="_x0000_s1121"/>
    <customShpInfo spid="_x0000_s1122"/>
    <customShpInfo spid="_x0000_s1123"/>
    <customShpInfo spid="_x0000_s1124"/>
    <customShpInfo spid="_x0000_s1096"/>
    <customShpInfo spid="_x0000_s1125"/>
    <customShpInfo spid="_x0000_s1126"/>
    <customShpInfo spid="_x0000_s1127"/>
    <customShpInfo spid="_x0000_s1128"/>
    <customShpInfo spid="_x0000_s1129"/>
    <customShpInfo spid="_x0000_s1095"/>
    <customShpInfo spid="_x0000_s1130"/>
    <customShpInfo spid="_x0000_s1131"/>
    <customShpInfo spid="_x0000_s1132"/>
    <customShpInfo spid="_x0000_s1133"/>
    <customShpInfo spid="_x0000_s1135"/>
    <customShpInfo spid="_x0000_s1136"/>
    <customShpInfo spid="_x0000_s1137"/>
    <customShpInfo spid="_x0000_s1138"/>
    <customShpInfo spid="_x0000_s1139"/>
    <customShpInfo spid="_x0000_s1140"/>
    <customShpInfo spid="_x0000_s1141"/>
    <customShpInfo spid="_x0000_s1142"/>
    <customShpInfo spid="_x0000_s1143"/>
    <customShpInfo spid="_x0000_s1144"/>
    <customShpInfo spid="_x0000_s1145"/>
    <customShpInfo spid="_x0000_s1146"/>
    <customShpInfo spid="_x0000_s1147"/>
    <customShpInfo spid="_x0000_s1148"/>
    <customShpInfo spid="_x0000_s1149"/>
    <customShpInfo spid="_x0000_s1150"/>
    <customShpInfo spid="_x0000_s1151"/>
    <customShpInfo spid="_x0000_s1152"/>
    <customShpInfo spid="_x0000_s1153"/>
    <customShpInfo spid="_x0000_s1154"/>
    <customShpInfo spid="_x0000_s1155"/>
    <customShpInfo spid="_x0000_s1156"/>
    <customShpInfo spid="_x0000_s1134"/>
    <customShpInfo spid="_x0000_s1157"/>
    <customShpInfo spid="_x0000_s1158"/>
    <customShpInfo spid="_x0000_s1159"/>
    <customShpInfo spid="_x0000_s1160"/>
    <customShpInfo spid="_x0000_s1163"/>
    <customShpInfo spid="_x0000_s1164"/>
    <customShpInfo spid="_x0000_s1165"/>
    <customShpInfo spid="_x0000_s1162"/>
    <customShpInfo spid="_x0000_s1166"/>
    <customShpInfo spid="_x0000_s1167"/>
    <customShpInfo spid="_x0000_s1161"/>
    <customShpInfo spid="_x0000_s1170"/>
    <customShpInfo spid="_x0000_s1171"/>
    <customShpInfo spid="_x0000_s1172"/>
    <customShpInfo spid="_x0000_s1173"/>
    <customShpInfo spid="_x0000_s1174"/>
    <customShpInfo spid="_x0000_s1175"/>
    <customShpInfo spid="_x0000_s1176"/>
    <customShpInfo spid="_x0000_s1177"/>
    <customShpInfo spid="_x0000_s1178"/>
    <customShpInfo spid="_x0000_s1179"/>
    <customShpInfo spid="_x0000_s1169"/>
    <customShpInfo spid="_x0000_s1180"/>
    <customShpInfo spid="_x0000_s1181"/>
    <customShpInfo spid="_x0000_s1168"/>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83"/>
    <customShpInfo spid="_x0000_s1194"/>
    <customShpInfo spid="_x0000_s1195"/>
    <customShpInfo spid="_x0000_s1182"/>
    <customShpInfo spid="_x0000_s1198"/>
    <customShpInfo spid="_x0000_s1199"/>
    <customShpInfo spid="_x0000_s1200"/>
    <customShpInfo spid="_x0000_s1201"/>
    <customShpInfo spid="_x0000_s1202"/>
    <customShpInfo spid="_x0000_s1203"/>
    <customShpInfo spid="_x0000_s1204"/>
    <customShpInfo spid="_x0000_s1205"/>
    <customShpInfo spid="_x0000_s1206"/>
    <customShpInfo spid="_x0000_s1207"/>
    <customShpInfo spid="_x0000_s1197"/>
    <customShpInfo spid="_x0000_s1208"/>
    <customShpInfo spid="_x0000_s1209"/>
    <customShpInfo spid="_x0000_s1196"/>
    <customShpInfo spid="_x0000_s1212"/>
    <customShpInfo spid="_x0000_s1213"/>
    <customShpInfo spid="_x0000_s1214"/>
    <customShpInfo spid="_x0000_s1215"/>
    <customShpInfo spid="_x0000_s1216"/>
    <customShpInfo spid="_x0000_s1217"/>
    <customShpInfo spid="_x0000_s1218"/>
    <customShpInfo spid="_x0000_s1219"/>
    <customShpInfo spid="_x0000_s1220"/>
    <customShpInfo spid="_x0000_s1221"/>
    <customShpInfo spid="_x0000_s1211"/>
    <customShpInfo spid="_x0000_s1222"/>
    <customShpInfo spid="_x0000_s1223"/>
    <customShpInfo spid="_x0000_s1210"/>
    <customShpInfo spid="_x0000_s1225"/>
    <customShpInfo spid="_x0000_s1227"/>
    <customShpInfo spid="_x0000_s1228"/>
    <customShpInfo spid="_x0000_s1229"/>
    <customShpInfo spid="_x0000_s1230"/>
    <customShpInfo spid="_x0000_s1231"/>
    <customShpInfo spid="_x0000_s1232"/>
    <customShpInfo spid="_x0000_s1226"/>
    <customShpInfo spid="_x0000_s1233"/>
    <customShpInfo spid="_x0000_s1224"/>
    <customShpInfo spid="_x0000_s1235"/>
    <customShpInfo spid="_x0000_s1237"/>
    <customShpInfo spid="_x0000_s1238"/>
    <customShpInfo spid="_x0000_s1239"/>
    <customShpInfo spid="_x0000_s1240"/>
    <customShpInfo spid="_x0000_s1241"/>
    <customShpInfo spid="_x0000_s1242"/>
    <customShpInfo spid="_x0000_s1236"/>
    <customShpInfo spid="_x0000_s1243"/>
    <customShpInfo spid="_x0000_s1234"/>
    <customShpInfo spid="_x0000_s1246"/>
    <customShpInfo spid="_x0000_s1247"/>
    <customShpInfo spid="_x0000_s1248"/>
    <customShpInfo spid="_x0000_s1249"/>
    <customShpInfo spid="_x0000_s1250"/>
    <customShpInfo spid="_x0000_s1251"/>
    <customShpInfo spid="_x0000_s1252"/>
    <customShpInfo spid="_x0000_s1253"/>
    <customShpInfo spid="_x0000_s1254"/>
    <customShpInfo spid="_x0000_s1255"/>
    <customShpInfo spid="_x0000_s1245"/>
    <customShpInfo spid="_x0000_s1256"/>
    <customShpInfo spid="_x0000_s1257"/>
    <customShpInfo spid="_x0000_s1244"/>
    <customShpInfo spid="_x0000_s1260"/>
    <customShpInfo spid="_x0000_s1261"/>
    <customShpInfo spid="_x0000_s1262"/>
    <customShpInfo spid="_x0000_s1263"/>
    <customShpInfo spid="_x0000_s1264"/>
    <customShpInfo spid="_x0000_s1265"/>
    <customShpInfo spid="_x0000_s1266"/>
    <customShpInfo spid="_x0000_s1267"/>
    <customShpInfo spid="_x0000_s1268"/>
    <customShpInfo spid="_x0000_s1269"/>
    <customShpInfo spid="_x0000_s1259"/>
    <customShpInfo spid="_x0000_s1270"/>
    <customShpInfo spid="_x0000_s1258"/>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72"/>
    <customShpInfo spid="_x0000_s1283"/>
    <customShpInfo spid="_x0000_s1284"/>
    <customShpInfo spid="_x0000_s1271"/>
    <customShpInfo spid="_x0000_s1287"/>
    <customShpInfo spid="_x0000_s1288"/>
    <customShpInfo spid="_x0000_s1289"/>
    <customShpInfo spid="_x0000_s1290"/>
    <customShpInfo spid="_x0000_s1291"/>
    <customShpInfo spid="_x0000_s1292"/>
    <customShpInfo spid="_x0000_s1293"/>
    <customShpInfo spid="_x0000_s1294"/>
    <customShpInfo spid="_x0000_s1295"/>
    <customShpInfo spid="_x0000_s1296"/>
    <customShpInfo spid="_x0000_s1286"/>
    <customShpInfo spid="_x0000_s1297"/>
    <customShpInfo spid="_x0000_s1298"/>
    <customShpInfo spid="_x0000_s1285"/>
    <customShpInfo spid="_x0000_s1301"/>
    <customShpInfo spid="_x0000_s1302"/>
    <customShpInfo spid="_x0000_s1303"/>
    <customShpInfo spid="_x0000_s1304"/>
    <customShpInfo spid="_x0000_s1305"/>
    <customShpInfo spid="_x0000_s1306"/>
    <customShpInfo spid="_x0000_s1307"/>
    <customShpInfo spid="_x0000_s1308"/>
    <customShpInfo spid="_x0000_s1309"/>
    <customShpInfo spid="_x0000_s1300"/>
    <customShpInfo spid="_x0000_s1310"/>
    <customShpInfo spid="_x0000_s1311"/>
    <customShpInfo spid="_x0000_s1299"/>
    <customShpInfo spid="_x0000_s1313"/>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14"/>
    <customShpInfo spid="_x0000_s1312"/>
    <customShpInfo spid="_x0000_s1324"/>
    <customShpInfo spid="_x0000_s1325"/>
    <customShpInfo spid="_x0000_s1326"/>
    <customShpInfo spid="_x0000_s13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192</Pages>
  <Words>8678</Words>
  <Characters>9103</Characters>
  <TotalTime>0</TotalTime>
  <ScaleCrop>false</ScaleCrop>
  <LinksUpToDate>false</LinksUpToDate>
  <CharactersWithSpaces>9459</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2025-07-04T11:13:00Z</dcterms:created>
  <dc:creator>huang</dc:creator>
  <cp:lastModifiedBy>郭丽娜</cp:lastModifiedBy>
  <dcterms:modified xsi:type="dcterms:W3CDTF">2026-08-31T01:18:13Z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2026-07-09T10:07:03Z</vt:filetime>
  </property>
  <property fmtid="{D5CDD505-2E9C-101B-9397-08002B2CF9AE}" pid="4" name="KSOTemplateDocerSaveRecord">
    <vt:lpwstr>eyJoZGlkIjoiYTA0OTFiNTllN2E3YTc2MDc5ZTIwYTg0ZjFlZjFlMWQiLCJ1c2VySWQiOiIzNzMyMDUyODEifQ==</vt:lpwstr>
  </property>
  <property fmtid="{D5CDD505-2E9C-101B-9397-08002B2CF9AE}" pid="5" name="KSOProductBuildVer">
    <vt:lpwstr>2052-12.1.0.28043</vt:lpwstr>
  </property>
  <property fmtid="{D5CDD505-2E9C-101B-9397-08002B2CF9AE}" pid="6" name="ICV">
    <vt:lpwstr>A380C0A5011E4E259087969253E9127E_13</vt:lpwstr>
  </property>
</Properties>
</file>