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07E47">
      <w:pPr>
        <w:keepNext w:val="0"/>
        <w:keepLines w:val="0"/>
        <w:pageBreakBefore w:val="0"/>
        <w:widowControl w:val="0"/>
        <w:kinsoku/>
        <w:wordWrap/>
        <w:overflowPunct/>
        <w:topLinePunct w:val="0"/>
        <w:autoSpaceDE/>
        <w:autoSpaceDN/>
        <w:bidi w:val="0"/>
        <w:adjustRightInd/>
        <w:snapToGrid/>
        <w:spacing w:line="640" w:lineRule="exact"/>
        <w:textAlignment w:val="auto"/>
      </w:pPr>
      <w:r>
        <w:rPr>
          <w:rFonts w:hint="eastAsia" w:ascii="方正小标宋_GBK" w:hAnsi="仿宋" w:eastAsia="方正小标宋_GBK"/>
          <w:color w:val="auto"/>
          <w:sz w:val="44"/>
          <w:szCs w:val="44"/>
        </w:rPr>
        <w:t>曲靖市生态环境局关</w:t>
      </w:r>
      <w:r>
        <w:rPr>
          <w:rFonts w:hint="eastAsia" w:ascii="方正小标宋_GBK" w:hAnsi="仿宋" w:eastAsia="方正小标宋_GBK" w:cs="Times New Roman"/>
          <w:color w:val="auto"/>
          <w:sz w:val="44"/>
          <w:szCs w:val="44"/>
        </w:rPr>
        <w:t>于</w:t>
      </w:r>
      <w:r>
        <w:rPr>
          <w:rFonts w:hint="eastAsia" w:ascii="方正小标宋_GBK" w:hAnsi="仿宋" w:eastAsia="方正小标宋_GBK"/>
          <w:color w:val="auto"/>
          <w:sz w:val="44"/>
          <w:szCs w:val="44"/>
          <w:lang w:eastAsia="zh-CN"/>
        </w:rPr>
        <w:t>富源华云商砼有限公司混凝土搅拌站建设项目</w:t>
      </w:r>
      <w:r>
        <w:rPr>
          <w:rFonts w:hint="eastAsia" w:ascii="方正小标宋_GBK" w:hAnsi="仿宋" w:eastAsia="方正小标宋_GBK"/>
          <w:color w:val="auto"/>
          <w:sz w:val="44"/>
          <w:szCs w:val="44"/>
        </w:rPr>
        <w:t>环境影响报告表的批复</w:t>
      </w:r>
    </w:p>
    <w:p w14:paraId="4CE209E4">
      <w:pPr>
        <w:pStyle w:val="4"/>
        <w:keepNext w:val="0"/>
        <w:keepLines w:val="0"/>
        <w:pageBreakBefore w:val="0"/>
        <w:widowControl w:val="0"/>
        <w:kinsoku/>
        <w:overflowPunct/>
        <w:topLinePunct w:val="0"/>
        <w:autoSpaceDE/>
        <w:autoSpaceDN/>
        <w:bidi w:val="0"/>
        <w:adjustRightInd/>
        <w:snapToGrid/>
        <w:spacing w:line="360" w:lineRule="exact"/>
        <w:textAlignment w:val="auto"/>
      </w:pPr>
    </w:p>
    <w:p w14:paraId="24138D4D">
      <w:pPr>
        <w:keepNext w:val="0"/>
        <w:keepLines w:val="0"/>
        <w:pageBreakBefore w:val="0"/>
        <w:widowControl w:val="0"/>
        <w:pBdr>
          <w:top w:val="none" w:color="auto" w:sz="0" w:space="1"/>
          <w:left w:val="none" w:color="auto" w:sz="0" w:space="4"/>
          <w:bottom w:val="none" w:color="FF0000" w:sz="0" w:space="1"/>
          <w:right w:val="none" w:color="auto" w:sz="0" w:space="4"/>
          <w:between w:val="none" w:color="auto" w:sz="0" w:space="0"/>
        </w:pBdr>
        <w:kinsoku/>
        <w:overflowPunct/>
        <w:topLinePunct w:val="0"/>
        <w:autoSpaceDE/>
        <w:autoSpaceDN/>
        <w:bidi w:val="0"/>
        <w:adjustRightInd/>
        <w:snapToGrid/>
        <w:spacing w:line="360" w:lineRule="exact"/>
        <w:jc w:val="center"/>
        <w:textAlignment w:val="auto"/>
        <w:rPr>
          <w:rFonts w:hint="eastAsia"/>
          <w:lang w:val="en-US" w:eastAsia="zh-CN"/>
        </w:rPr>
      </w:pPr>
      <w:r>
        <w:rPr>
          <w:rFonts w:hint="eastAsia"/>
        </w:rPr>
        <w:t>曲环审</w:t>
      </w:r>
      <w:r>
        <w:rPr>
          <w:rFonts w:hint="default"/>
        </w:rPr>
        <w:t>〔</w:t>
      </w:r>
      <w:r>
        <w:rPr>
          <w:rFonts w:hint="eastAsia"/>
          <w:lang w:val="en-US" w:eastAsia="zh-CN"/>
        </w:rPr>
        <w:t>2026</w:t>
      </w:r>
      <w:r>
        <w:rPr>
          <w:rFonts w:hint="default"/>
        </w:rPr>
        <w:t>〕</w:t>
      </w:r>
      <w:r>
        <w:rPr>
          <w:rFonts w:hint="eastAsia"/>
          <w:lang w:val="en-US" w:eastAsia="zh-CN"/>
        </w:rPr>
        <w:t>8-9号</w:t>
      </w:r>
    </w:p>
    <w:p w14:paraId="2F2DA61D">
      <w:pPr>
        <w:keepNext w:val="0"/>
        <w:keepLines w:val="0"/>
        <w:pageBreakBefore w:val="0"/>
        <w:widowControl w:val="0"/>
        <w:suppressLineNumbers w:val="0"/>
        <w:kinsoku/>
        <w:wordWrap w:val="0"/>
        <w:overflowPunct/>
        <w:topLinePunct w:val="0"/>
        <w:autoSpaceDE/>
        <w:autoSpaceDN/>
        <w:bidi w:val="0"/>
        <w:adjustRightInd/>
        <w:snapToGrid/>
        <w:spacing w:line="360" w:lineRule="exact"/>
        <w:jc w:val="both"/>
        <w:textAlignment w:val="auto"/>
        <w:rPr>
          <w:rFonts w:hint="eastAsia" w:ascii="Times New Roman" w:hAnsi="Times New Roman" w:eastAsia="方正仿宋_GBK" w:cs="Times New Roman"/>
          <w:color w:val="auto"/>
          <w:lang w:val="en-US" w:eastAsia="zh-CN"/>
        </w:rPr>
      </w:pPr>
    </w:p>
    <w:p w14:paraId="6CDE3126">
      <w:pPr>
        <w:keepNext w:val="0"/>
        <w:keepLines w:val="0"/>
        <w:pageBreakBefore w:val="0"/>
        <w:widowControl w:val="0"/>
        <w:suppressLineNumbers w:val="0"/>
        <w:kinsoku/>
        <w:wordWrap w:val="0"/>
        <w:overflowPunct/>
        <w:topLinePunct w:val="0"/>
        <w:autoSpaceDE/>
        <w:autoSpaceDN/>
        <w:bidi w:val="0"/>
        <w:adjustRightInd/>
        <w:snapToGrid/>
        <w:spacing w:line="240" w:lineRule="auto"/>
        <w:jc w:val="both"/>
        <w:textAlignment w:val="auto"/>
        <w:rPr>
          <w:rFonts w:hint="default" w:ascii="Times New Roman" w:hAnsi="Times New Roman" w:eastAsia="方正仿宋_GBK" w:cs="Times New Roman"/>
          <w:color w:val="auto"/>
          <w:kern w:val="21"/>
          <w:sz w:val="32"/>
          <w:lang w:val="en-US" w:eastAsia="zh-CN"/>
        </w:rPr>
      </w:pPr>
      <w:r>
        <w:rPr>
          <w:rFonts w:hint="eastAsia" w:cs="Times New Roman"/>
          <w:color w:val="auto"/>
          <w:kern w:val="21"/>
          <w:sz w:val="32"/>
          <w:lang w:val="en-US" w:eastAsia="zh-CN"/>
        </w:rPr>
        <w:t>富源华云商砼有限公司</w:t>
      </w:r>
      <w:r>
        <w:rPr>
          <w:rFonts w:hint="default" w:ascii="Times New Roman" w:hAnsi="Times New Roman" w:eastAsia="方正仿宋_GBK" w:cs="Times New Roman"/>
          <w:color w:val="auto"/>
          <w:kern w:val="21"/>
          <w:sz w:val="32"/>
          <w:lang w:val="en-US" w:eastAsia="zh-CN"/>
        </w:rPr>
        <w:t>：</w:t>
      </w:r>
    </w:p>
    <w:p w14:paraId="3892C19A">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lang w:val="en-US" w:eastAsia="zh-CN"/>
        </w:rPr>
      </w:pPr>
      <w:r>
        <w:rPr>
          <w:rFonts w:hint="default" w:ascii="Times New Roman" w:hAnsi="Times New Roman" w:eastAsia="方正仿宋_GBK" w:cs="Times New Roman"/>
          <w:color w:val="auto"/>
          <w:kern w:val="21"/>
          <w:sz w:val="32"/>
          <w:lang w:val="en-US" w:eastAsia="zh-CN"/>
        </w:rPr>
        <w:t>你公司申请审批的《</w:t>
      </w:r>
      <w:r>
        <w:rPr>
          <w:rFonts w:hint="eastAsia" w:cs="Times New Roman"/>
          <w:color w:val="auto"/>
          <w:sz w:val="32"/>
          <w:lang w:val="en-US" w:eastAsia="zh-CN"/>
        </w:rPr>
        <w:t>富源华云商砼有限公司混凝土搅拌站建设项目环境影响报告表（报批稿）</w:t>
      </w:r>
      <w:r>
        <w:rPr>
          <w:rFonts w:hint="default" w:ascii="Times New Roman" w:hAnsi="Times New Roman" w:eastAsia="方正仿宋_GBK" w:cs="Times New Roman"/>
          <w:color w:val="auto"/>
          <w:kern w:val="21"/>
          <w:sz w:val="32"/>
          <w:lang w:val="en-US" w:eastAsia="zh-CN"/>
        </w:rPr>
        <w:t>》（以下简称《报告表》）及相关附件材料收悉。经研究，批复如下：</w:t>
      </w:r>
    </w:p>
    <w:p w14:paraId="74E262F0">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lang w:val="en-US" w:eastAsia="zh-CN"/>
        </w:rPr>
        <w:t>一、</w:t>
      </w:r>
      <w:r>
        <w:rPr>
          <w:rFonts w:hint="eastAsia" w:cs="Times New Roman"/>
          <w:color w:val="auto"/>
          <w:kern w:val="21"/>
          <w:sz w:val="32"/>
          <w:lang w:val="en-US" w:eastAsia="zh-CN"/>
        </w:rPr>
        <w:t>该项目位于曲靖市富源县黄泥河镇阿汪村委会阿勒村纵家沟，地理坐标：东经104度35分47.778秒，北纬25度15分55.944秒。建设内容及规模为：项目占地4000平方米，新建原料堆放车间1400平方米，建设一条混凝土生产线及相关配套设施，年生产60万吨商品混凝土。项目总投资400万元，其中环保投资49.3万元。</w:t>
      </w:r>
    </w:p>
    <w:p w14:paraId="17A23015">
      <w:pPr>
        <w:pStyle w:val="7"/>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leftChars="0" w:firstLine="632" w:firstLineChars="200"/>
        <w:jc w:val="both"/>
        <w:textAlignment w:val="auto"/>
        <w:outlineLvl w:val="9"/>
        <w:rPr>
          <w:rFonts w:hint="default" w:ascii="Times New Roman" w:hAnsi="Times New Roman" w:eastAsia="方正仿宋_GBK" w:cs="Times New Roman"/>
          <w:color w:val="auto"/>
          <w:kern w:val="21"/>
          <w:sz w:val="32"/>
          <w:szCs w:val="32"/>
          <w:lang w:eastAsia="zh-CN"/>
        </w:rPr>
      </w:pPr>
      <w:r>
        <w:rPr>
          <w:rFonts w:hint="default" w:ascii="Times New Roman" w:hAnsi="Times New Roman" w:eastAsia="方正仿宋_GBK" w:cs="Times New Roman"/>
          <w:color w:val="auto"/>
          <w:kern w:val="21"/>
          <w:sz w:val="32"/>
          <w:szCs w:val="32"/>
        </w:rPr>
        <w:t>根据《报告</w:t>
      </w:r>
      <w:r>
        <w:rPr>
          <w:rFonts w:hint="default" w:ascii="Times New Roman" w:hAnsi="Times New Roman" w:eastAsia="方正仿宋_GBK" w:cs="Times New Roman"/>
          <w:color w:val="auto"/>
          <w:kern w:val="21"/>
          <w:sz w:val="32"/>
          <w:szCs w:val="32"/>
          <w:lang w:eastAsia="zh-CN"/>
        </w:rPr>
        <w:t>表</w:t>
      </w:r>
      <w:r>
        <w:rPr>
          <w:rFonts w:hint="default" w:ascii="Times New Roman" w:hAnsi="Times New Roman" w:eastAsia="方正仿宋_GBK" w:cs="Times New Roman"/>
          <w:color w:val="auto"/>
          <w:kern w:val="21"/>
          <w:sz w:val="32"/>
          <w:szCs w:val="32"/>
        </w:rPr>
        <w:t>》评价结论，项目不涉及</w:t>
      </w:r>
      <w:r>
        <w:rPr>
          <w:rFonts w:hint="default" w:ascii="Times New Roman" w:hAnsi="Times New Roman" w:eastAsia="方正仿宋_GBK" w:cs="Times New Roman"/>
          <w:color w:val="auto"/>
          <w:kern w:val="21"/>
          <w:sz w:val="32"/>
          <w:szCs w:val="32"/>
          <w:lang w:eastAsia="zh-CN"/>
        </w:rPr>
        <w:t>占用</w:t>
      </w:r>
      <w:r>
        <w:rPr>
          <w:rFonts w:hint="default" w:ascii="Times New Roman" w:hAnsi="Times New Roman" w:eastAsia="方正仿宋_GBK" w:cs="Times New Roman"/>
          <w:color w:val="auto"/>
          <w:kern w:val="21"/>
          <w:sz w:val="32"/>
          <w:szCs w:val="32"/>
        </w:rPr>
        <w:t>依法设立的自然保护区、风景名胜区、</w:t>
      </w:r>
      <w:r>
        <w:rPr>
          <w:rFonts w:hint="default" w:ascii="Times New Roman" w:hAnsi="Times New Roman" w:eastAsia="方正仿宋_GBK" w:cs="Times New Roman"/>
          <w:color w:val="auto"/>
          <w:kern w:val="21"/>
          <w:sz w:val="32"/>
          <w:szCs w:val="32"/>
          <w:lang w:eastAsia="zh-CN"/>
        </w:rPr>
        <w:t>国家公园、</w:t>
      </w:r>
      <w:r>
        <w:rPr>
          <w:rFonts w:hint="default" w:ascii="Times New Roman" w:hAnsi="Times New Roman" w:eastAsia="方正仿宋_GBK" w:cs="Times New Roman"/>
          <w:b w:val="0"/>
          <w:bCs w:val="0"/>
          <w:color w:val="auto"/>
          <w:kern w:val="21"/>
          <w:sz w:val="32"/>
          <w:szCs w:val="32"/>
        </w:rPr>
        <w:t>饮用水水源保护区</w:t>
      </w:r>
      <w:r>
        <w:rPr>
          <w:rFonts w:hint="eastAsia" w:eastAsia="方正仿宋_GBK" w:cs="Times New Roman"/>
          <w:b w:val="0"/>
          <w:bCs w:val="0"/>
          <w:color w:val="auto"/>
          <w:kern w:val="21"/>
          <w:sz w:val="32"/>
          <w:szCs w:val="32"/>
          <w:lang w:eastAsia="zh-CN"/>
        </w:rPr>
        <w:t>、生态保护红线</w:t>
      </w:r>
      <w:r>
        <w:rPr>
          <w:rFonts w:hint="default" w:ascii="Times New Roman" w:hAnsi="Times New Roman" w:eastAsia="方正仿宋_GBK" w:cs="Times New Roman"/>
          <w:color w:val="auto"/>
          <w:kern w:val="21"/>
          <w:sz w:val="32"/>
          <w:szCs w:val="32"/>
          <w:lang w:val="en-US" w:eastAsia="zh-CN"/>
        </w:rPr>
        <w:t>等环境敏感区</w:t>
      </w:r>
      <w:r>
        <w:rPr>
          <w:rFonts w:hint="eastAsia" w:cs="Times New Roman"/>
          <w:color w:val="auto"/>
          <w:kern w:val="21"/>
          <w:sz w:val="32"/>
          <w:szCs w:val="32"/>
          <w:lang w:val="en-US" w:eastAsia="zh-CN"/>
        </w:rPr>
        <w:t>，</w:t>
      </w:r>
      <w:r>
        <w:rPr>
          <w:rFonts w:hint="default" w:ascii="Times New Roman" w:hAnsi="Times New Roman" w:eastAsia="方正仿宋_GBK" w:cs="Times New Roman"/>
          <w:color w:val="auto"/>
          <w:kern w:val="21"/>
          <w:sz w:val="32"/>
          <w:szCs w:val="32"/>
        </w:rPr>
        <w:t>符合国家产业政策</w:t>
      </w:r>
      <w:r>
        <w:rPr>
          <w:rFonts w:hint="default" w:ascii="Times New Roman" w:hAnsi="Times New Roman" w:eastAsia="方正仿宋_GBK" w:cs="Times New Roman"/>
          <w:b w:val="0"/>
          <w:bCs/>
          <w:color w:val="auto"/>
          <w:kern w:val="21"/>
          <w:sz w:val="32"/>
          <w:szCs w:val="32"/>
          <w:lang w:eastAsia="zh-CN"/>
        </w:rPr>
        <w:t>及生态环境分区管控要求</w:t>
      </w:r>
      <w:r>
        <w:rPr>
          <w:rFonts w:hint="default" w:ascii="Times New Roman" w:hAnsi="Times New Roman" w:eastAsia="方正仿宋_GBK" w:cs="Times New Roman"/>
          <w:color w:val="auto"/>
          <w:kern w:val="21"/>
          <w:sz w:val="32"/>
          <w:szCs w:val="32"/>
          <w:highlight w:val="none"/>
          <w:lang w:eastAsia="zh-CN"/>
        </w:rPr>
        <w:t>。</w:t>
      </w:r>
      <w:r>
        <w:rPr>
          <w:rFonts w:hint="default" w:ascii="Times New Roman" w:hAnsi="Times New Roman" w:eastAsia="方正仿宋_GBK" w:cs="Times New Roman"/>
          <w:color w:val="auto"/>
          <w:kern w:val="21"/>
          <w:sz w:val="32"/>
          <w:szCs w:val="32"/>
        </w:rPr>
        <w:t>在全面落实《报告</w:t>
      </w:r>
      <w:r>
        <w:rPr>
          <w:rFonts w:hint="default" w:ascii="Times New Roman" w:hAnsi="Times New Roman" w:eastAsia="方正仿宋_GBK" w:cs="Times New Roman"/>
          <w:color w:val="auto"/>
          <w:kern w:val="21"/>
          <w:sz w:val="32"/>
          <w:szCs w:val="32"/>
          <w:lang w:eastAsia="zh-CN"/>
        </w:rPr>
        <w:t>表</w:t>
      </w:r>
      <w:r>
        <w:rPr>
          <w:rFonts w:hint="default" w:ascii="Times New Roman" w:hAnsi="Times New Roman" w:eastAsia="方正仿宋_GBK" w:cs="Times New Roman"/>
          <w:color w:val="auto"/>
          <w:kern w:val="21"/>
          <w:sz w:val="32"/>
          <w:szCs w:val="32"/>
        </w:rPr>
        <w:t>》提出的各项生态保护和污染防治措施的前提下，项目建设对环境的不利影响可以降低或得到有效控制，</w:t>
      </w:r>
      <w:r>
        <w:rPr>
          <w:rFonts w:hint="eastAsia" w:eastAsia="方正仿宋_GBK" w:cs="Times New Roman"/>
          <w:color w:val="auto"/>
          <w:kern w:val="21"/>
          <w:sz w:val="32"/>
          <w:szCs w:val="32"/>
          <w:lang w:val="en-US" w:eastAsia="zh-CN"/>
        </w:rPr>
        <w:t>我局</w:t>
      </w:r>
      <w:r>
        <w:rPr>
          <w:rFonts w:hint="default" w:ascii="Times New Roman" w:hAnsi="Times New Roman" w:eastAsia="方正仿宋_GBK" w:cs="Times New Roman"/>
          <w:color w:val="auto"/>
          <w:kern w:val="21"/>
          <w:sz w:val="32"/>
          <w:szCs w:val="32"/>
        </w:rPr>
        <w:t>原则同意你</w:t>
      </w:r>
      <w:r>
        <w:rPr>
          <w:rFonts w:hint="default" w:ascii="Times New Roman" w:hAnsi="Times New Roman" w:eastAsia="方正仿宋_GBK" w:cs="Times New Roman"/>
          <w:bCs/>
          <w:color w:val="auto"/>
          <w:kern w:val="21"/>
          <w:sz w:val="32"/>
          <w:szCs w:val="32"/>
          <w:lang w:eastAsia="zh-CN"/>
        </w:rPr>
        <w:t>公司</w:t>
      </w:r>
      <w:r>
        <w:rPr>
          <w:rFonts w:hint="default" w:ascii="Times New Roman" w:hAnsi="Times New Roman" w:eastAsia="方正仿宋_GBK" w:cs="Times New Roman"/>
          <w:color w:val="auto"/>
          <w:kern w:val="21"/>
          <w:sz w:val="32"/>
          <w:szCs w:val="32"/>
        </w:rPr>
        <w:t>按《报告</w:t>
      </w:r>
      <w:r>
        <w:rPr>
          <w:rFonts w:hint="default" w:ascii="Times New Roman" w:hAnsi="Times New Roman" w:eastAsia="方正仿宋_GBK" w:cs="Times New Roman"/>
          <w:color w:val="auto"/>
          <w:kern w:val="21"/>
          <w:sz w:val="32"/>
          <w:szCs w:val="32"/>
          <w:lang w:eastAsia="zh-CN"/>
        </w:rPr>
        <w:t>表</w:t>
      </w:r>
      <w:r>
        <w:rPr>
          <w:rFonts w:hint="default" w:ascii="Times New Roman" w:hAnsi="Times New Roman" w:eastAsia="方正仿宋_GBK" w:cs="Times New Roman"/>
          <w:color w:val="auto"/>
          <w:kern w:val="21"/>
          <w:sz w:val="32"/>
          <w:szCs w:val="32"/>
        </w:rPr>
        <w:t>》中所列建设项目的地点、性质、规模</w:t>
      </w:r>
      <w:r>
        <w:rPr>
          <w:rFonts w:hint="eastAsia" w:eastAsia="方正仿宋_GBK" w:cs="Times New Roman"/>
          <w:color w:val="auto"/>
          <w:kern w:val="21"/>
          <w:sz w:val="32"/>
          <w:szCs w:val="32"/>
          <w:lang w:eastAsia="zh-CN"/>
        </w:rPr>
        <w:t>、生产工艺</w:t>
      </w:r>
      <w:r>
        <w:rPr>
          <w:rFonts w:hint="default" w:ascii="Times New Roman" w:hAnsi="Times New Roman" w:eastAsia="方正仿宋_GBK" w:cs="Times New Roman"/>
          <w:color w:val="auto"/>
          <w:kern w:val="21"/>
          <w:sz w:val="32"/>
          <w:szCs w:val="32"/>
        </w:rPr>
        <w:t>和拟采取的环境保护措施建设</w:t>
      </w:r>
      <w:r>
        <w:rPr>
          <w:rFonts w:hint="default" w:ascii="Times New Roman" w:hAnsi="Times New Roman" w:eastAsia="方正仿宋_GBK" w:cs="Times New Roman"/>
          <w:color w:val="auto"/>
          <w:kern w:val="21"/>
          <w:sz w:val="32"/>
          <w:szCs w:val="32"/>
          <w:lang w:eastAsia="zh-CN"/>
        </w:rPr>
        <w:t>。</w:t>
      </w:r>
    </w:p>
    <w:p w14:paraId="6BA36DD4">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szCs w:val="32"/>
          <w:lang w:eastAsia="zh-CN"/>
        </w:rPr>
      </w:pPr>
      <w:r>
        <w:rPr>
          <w:rFonts w:hint="default" w:ascii="Times New Roman" w:hAnsi="Times New Roman" w:eastAsia="方正仿宋_GBK" w:cs="Times New Roman"/>
          <w:color w:val="auto"/>
          <w:kern w:val="21"/>
          <w:sz w:val="32"/>
          <w:szCs w:val="32"/>
          <w:lang w:eastAsia="zh-CN"/>
        </w:rPr>
        <w:t>二</w:t>
      </w:r>
      <w:r>
        <w:rPr>
          <w:rFonts w:hint="default" w:ascii="Times New Roman" w:hAnsi="Times New Roman" w:eastAsia="方正仿宋_GBK" w:cs="Times New Roman"/>
          <w:color w:val="auto"/>
          <w:kern w:val="21"/>
          <w:sz w:val="32"/>
          <w:szCs w:val="32"/>
        </w:rPr>
        <w:t>、项目建设</w:t>
      </w:r>
      <w:r>
        <w:rPr>
          <w:rFonts w:hint="default" w:ascii="Times New Roman" w:hAnsi="Times New Roman" w:eastAsia="方正仿宋_GBK" w:cs="Times New Roman"/>
          <w:color w:val="auto"/>
          <w:kern w:val="21"/>
          <w:sz w:val="32"/>
          <w:szCs w:val="32"/>
          <w:lang w:val="en-US" w:eastAsia="zh-CN"/>
        </w:rPr>
        <w:t>和运营</w:t>
      </w:r>
      <w:r>
        <w:rPr>
          <w:rFonts w:hint="default" w:ascii="Times New Roman" w:hAnsi="Times New Roman" w:eastAsia="方正仿宋_GBK" w:cs="Times New Roman"/>
          <w:color w:val="auto"/>
          <w:kern w:val="21"/>
          <w:sz w:val="32"/>
          <w:szCs w:val="32"/>
        </w:rPr>
        <w:t>过程中须严格按照《报告表》的要求落实各项污染防治措施，同时应重点做好以下工作</w:t>
      </w:r>
      <w:r>
        <w:rPr>
          <w:rFonts w:hint="eastAsia" w:cs="Times New Roman"/>
          <w:color w:val="auto"/>
          <w:kern w:val="21"/>
          <w:sz w:val="32"/>
          <w:szCs w:val="32"/>
          <w:lang w:eastAsia="zh-CN"/>
        </w:rPr>
        <w:t>。</w:t>
      </w:r>
    </w:p>
    <w:p w14:paraId="109B5CE6">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lang w:val="en-US" w:eastAsia="zh-CN"/>
        </w:rPr>
        <w:t>（一）加强施工期环境管理。</w:t>
      </w:r>
      <w:r>
        <w:rPr>
          <w:rFonts w:hint="default" w:ascii="Times New Roman" w:hAnsi="Times New Roman" w:eastAsia="方正仿宋_GBK" w:cs="Times New Roman"/>
          <w:color w:val="auto"/>
          <w:kern w:val="21"/>
          <w:sz w:val="32"/>
          <w:lang w:val="en-US" w:eastAsia="zh-CN"/>
        </w:rPr>
        <w:t>用洒水抑尘、物料遮盖、施工场地四周设置围挡、车辆密闭运输、运输车辆冲洗后出厂等防尘措施，减少扬尘对周围环境的污染。施工人员生活污水依托周边企业化粪池处理；施工前优先建设厂界截排水沟，阻止厂界外雨水进入施工场地；施工场地优先建设5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的初期雨水收集池，施工场地初期雨水经收集沉淀后回用于施工洒水降尘不外排；施工废水设置2m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临时沉淀池，经沉淀池处理后用作施工场地洒水抑尘不外排。加强施工管理、规范操作、合理安排施工时间，确保施工噪声排放达到《建筑施工场界环境噪声排放标准》（GB12523-2025）。建筑垃圾由建设单位统一收集后，能回收利用的回收利用或外售，不能回收利用的按照当地政府部门要求处置；土石方通过挖高填低回填施工场地，不产生永久弃方；设置生活垃圾收集桶，生活垃圾统一收集后按照当地环卫部门要求处置。</w:t>
      </w:r>
    </w:p>
    <w:p w14:paraId="32333A92">
      <w:pPr>
        <w:keepNext w:val="0"/>
        <w:keepLines w:val="0"/>
        <w:pageBreakBefore w:val="0"/>
        <w:widowControl w:val="0"/>
        <w:kinsoku/>
        <w:wordWrap/>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lang w:val="en-US" w:eastAsia="zh-CN"/>
        </w:rPr>
        <w:t>（二）严格落实水环境保护措施。</w:t>
      </w:r>
      <w:r>
        <w:rPr>
          <w:rFonts w:hint="default" w:ascii="Times New Roman" w:hAnsi="Times New Roman" w:eastAsia="方正仿宋_GBK" w:cs="Times New Roman"/>
          <w:color w:val="auto"/>
          <w:kern w:val="21"/>
          <w:sz w:val="32"/>
          <w:lang w:val="en-US" w:eastAsia="zh-CN"/>
        </w:rPr>
        <w:t>项目实行雨污分流的排水体制，项目区东面设置截排水沟，阻止项目区外雨水进入项目内，项目区大棚上设置集雨槽、落水管，通过导流管直接引出项目区；设置5m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初期雨水收集沉淀池，配套设置回用水泵、雨水收集沟、弃流装置及雨水排放口（设置在厂界外），初期雨水经收集沉淀处理后回用于混凝土搅拌过程，后期洁净雨水通过雨水排放口外排。在搅拌楼南侧建设一座56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的三级沉淀池，设置1台回用水泵，罐车清洗废水、搅拌机清洗废水、实验设备清洗废水经三级沉淀池处理后回用于混凝土搅拌，不外排。设置1座处理能力为1m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/d的一体化生活污水处理设施，生活污水经5m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的化粪池预处理后进入一体化处理设施处理，旱季时生活污水处理达到《农田灌溉水质标准》（GB5084-2021）中旱地作物标准限值后，清运至周边旱地灌溉，雨季时生活污水经处理后暂存于5m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的蓄水池内。厂区出入口设置自动感应洗车装置，设置容积5m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洗车废水收集池、回用水泵、管道及容积5m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的清水池向车辆冲洗装置供水，洗车废水经洗车废水收集池收集处理后回用于混凝土搅拌过程，不外排。</w:t>
      </w:r>
    </w:p>
    <w:p w14:paraId="66859A0D">
      <w:pPr>
        <w:keepNext w:val="0"/>
        <w:keepLines w:val="0"/>
        <w:pageBreakBefore w:val="0"/>
        <w:widowControl w:val="0"/>
        <w:kinsoku/>
        <w:wordWrap/>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lang w:val="en-US" w:eastAsia="zh-CN"/>
        </w:rPr>
      </w:pPr>
      <w:r>
        <w:rPr>
          <w:rFonts w:hint="eastAsia" w:eastAsia="方正仿宋_GBK" w:cs="Times New Roman"/>
          <w:color w:val="auto"/>
          <w:kern w:val="21"/>
          <w:sz w:val="32"/>
          <w:lang w:val="en-US" w:eastAsia="zh-CN"/>
        </w:rPr>
        <w:t>（三）</w:t>
      </w:r>
      <w:r>
        <w:rPr>
          <w:rFonts w:hint="eastAsia" w:ascii="Times New Roman" w:hAnsi="Times New Roman" w:eastAsia="方正仿宋_GBK" w:cs="Times New Roman"/>
          <w:color w:val="auto"/>
          <w:kern w:val="21"/>
          <w:sz w:val="32"/>
          <w:lang w:val="en-US" w:eastAsia="zh-CN"/>
        </w:rPr>
        <w:t>认真</w:t>
      </w:r>
      <w:r>
        <w:rPr>
          <w:rFonts w:hint="default" w:ascii="Times New Roman" w:hAnsi="Times New Roman" w:eastAsia="方正仿宋_GBK" w:cs="Times New Roman"/>
          <w:color w:val="auto"/>
          <w:kern w:val="21"/>
          <w:sz w:val="32"/>
          <w:lang w:val="zh-CN" w:eastAsia="zh-CN"/>
        </w:rPr>
        <w:t>落实分区防控措施。</w:t>
      </w:r>
      <w:r>
        <w:rPr>
          <w:rFonts w:hint="default" w:ascii="Times New Roman" w:hAnsi="Times New Roman" w:eastAsia="方正仿宋_GBK" w:cs="Times New Roman"/>
          <w:color w:val="auto"/>
          <w:kern w:val="21"/>
          <w:sz w:val="32"/>
          <w:lang w:val="en-US" w:eastAsia="zh-CN"/>
        </w:rPr>
        <w:t>危废暂存间为重点防渗区，防渗层的防渗性能应等效于厚度≥6m，渗透系数≤1.0×10-7cm/s的黏土层的防渗性能，或参照《危险废物贮存污染控制标准》（GB18597-2023）执行；生活污水处理站、化粪池、初期雨水收集池、三级沉淀池、洗车废水收集池、清水池、一般固废暂存间等为一般防渗区，防渗层按等效黏土防渗层厚度≥1.5m，渗透系数≤1×10-7cm/s或参照《生活垃圾填埋场污染控制标准》（GB16889-2024）要求执行；其他区域为简单防渗区，进行一般地面硬化防渗。</w:t>
      </w:r>
    </w:p>
    <w:p w14:paraId="5C67C080">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eastAsia" w:eastAsia="方正仿宋_GBK" w:cs="Times New Roman"/>
          <w:color w:val="auto"/>
          <w:kern w:val="21"/>
          <w:sz w:val="32"/>
          <w:szCs w:val="32"/>
          <w:highlight w:val="none"/>
          <w:lang w:val="en-US" w:eastAsia="zh-CN"/>
        </w:rPr>
      </w:pPr>
      <w:r>
        <w:rPr>
          <w:rFonts w:hint="eastAsia" w:ascii="Times New Roman" w:hAnsi="Times New Roman" w:eastAsia="方正仿宋_GBK" w:cs="Times New Roman"/>
          <w:color w:val="auto"/>
          <w:kern w:val="21"/>
          <w:sz w:val="32"/>
          <w:szCs w:val="32"/>
          <w:highlight w:val="none"/>
          <w:lang w:eastAsia="zh-CN"/>
        </w:rPr>
        <w:t>（</w:t>
      </w:r>
      <w:r>
        <w:rPr>
          <w:rFonts w:hint="eastAsia" w:ascii="Times New Roman" w:hAnsi="Times New Roman" w:eastAsia="方正仿宋_GBK" w:cs="Times New Roman"/>
          <w:color w:val="auto"/>
          <w:kern w:val="21"/>
          <w:sz w:val="32"/>
          <w:szCs w:val="32"/>
          <w:highlight w:val="none"/>
          <w:lang w:val="en-US" w:eastAsia="zh-CN"/>
        </w:rPr>
        <w:t>四</w:t>
      </w:r>
      <w:r>
        <w:rPr>
          <w:rFonts w:hint="eastAsia" w:ascii="Times New Roman" w:hAnsi="Times New Roman" w:eastAsia="方正仿宋_GBK" w:cs="Times New Roman"/>
          <w:color w:val="auto"/>
          <w:kern w:val="21"/>
          <w:sz w:val="32"/>
          <w:szCs w:val="32"/>
          <w:highlight w:val="none"/>
          <w:lang w:eastAsia="zh-CN"/>
        </w:rPr>
        <w:t>）</w:t>
      </w:r>
      <w:r>
        <w:rPr>
          <w:rFonts w:hint="eastAsia" w:ascii="Times New Roman" w:hAnsi="Times New Roman" w:eastAsia="方正仿宋_GBK" w:cs="Times New Roman"/>
          <w:color w:val="auto"/>
          <w:kern w:val="21"/>
          <w:sz w:val="32"/>
          <w:szCs w:val="32"/>
          <w:highlight w:val="none"/>
        </w:rPr>
        <w:t>落实大气污染防治措施。</w:t>
      </w:r>
      <w:r>
        <w:rPr>
          <w:rFonts w:hint="eastAsia" w:eastAsia="方正仿宋_GBK" w:cs="Times New Roman"/>
          <w:color w:val="auto"/>
          <w:kern w:val="21"/>
          <w:sz w:val="32"/>
          <w:szCs w:val="32"/>
          <w:highlight w:val="none"/>
          <w:lang w:val="en-US" w:eastAsia="zh-CN"/>
        </w:rPr>
        <w:t>1.粉料筒仓粉尘：通过每个筒仓顶部呼吸口自带的一套脉冲袋式除尘器除尘处理后无组织排放。2.搅拌工序粉尘：搅拌楼采用彩钢瓦封闭，搅拌机为密闭设备，并自带1套脉冲布袋除尘器除尘，废气经处理后无组织排放。3.骨料堆放区装卸粉尘：骨料堆放区设置在封闭式彩钢瓦大棚内，安装20个喷头，对骨料堆放区进行喷雾降尘。4.配料工序粉尘：配料区设置在封闭式彩钢瓦大棚内，安装15个喷头，对配料区进行喷雾降尘。5.输送、计量、投料粉尘：计量过程为封闭式，项目细砂和碎石由皮带输送机从骨料堆放区、配料区直接运入项目区主机房（主机房密闭）内料斗卸料，粉尘产生和排放量少，呈无组织形式排放。无组织颗粒物均执行《水泥工业大气污染物排放标准》（GB4915-2013）中表3大气污染物无组织排放限值要求。</w:t>
      </w:r>
    </w:p>
    <w:p w14:paraId="123A822D">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szCs w:val="24"/>
          <w:lang w:val="en-US" w:eastAsia="zh-CN" w:bidi="ar-SA"/>
        </w:rPr>
      </w:pPr>
      <w:r>
        <w:rPr>
          <w:rFonts w:hint="eastAsia" w:ascii="Times New Roman" w:hAnsi="Times New Roman" w:eastAsia="方正仿宋_GBK" w:cs="Times New Roman"/>
          <w:color w:val="auto"/>
          <w:kern w:val="21"/>
          <w:sz w:val="32"/>
        </w:rPr>
        <w:t>（</w:t>
      </w:r>
      <w:r>
        <w:rPr>
          <w:rFonts w:hint="eastAsia" w:ascii="Times New Roman" w:hAnsi="Times New Roman" w:eastAsia="方正仿宋_GBK" w:cs="Times New Roman"/>
          <w:color w:val="auto"/>
          <w:kern w:val="21"/>
          <w:sz w:val="32"/>
          <w:lang w:val="en-US" w:eastAsia="zh-CN"/>
        </w:rPr>
        <w:t>五</w:t>
      </w:r>
      <w:r>
        <w:rPr>
          <w:rFonts w:hint="eastAsia" w:ascii="Times New Roman" w:hAnsi="Times New Roman" w:eastAsia="方正仿宋_GBK" w:cs="Times New Roman"/>
          <w:color w:val="auto"/>
          <w:kern w:val="21"/>
          <w:sz w:val="32"/>
        </w:rPr>
        <w:t>）落实固体废物的贮存、处理和处置措施。</w:t>
      </w:r>
      <w:r>
        <w:rPr>
          <w:rFonts w:hint="default" w:ascii="Times New Roman" w:hAnsi="Times New Roman" w:eastAsia="方正仿宋_GBK" w:cs="Times New Roman"/>
          <w:color w:val="auto"/>
          <w:kern w:val="21"/>
          <w:sz w:val="32"/>
        </w:rPr>
        <w:t>脉冲布袋除尘器收集的粉尘回用于生产；废布袋、实验室混凝土块统一收集后暂存于50m</w:t>
      </w:r>
      <w:r>
        <w:rPr>
          <w:rFonts w:hint="default" w:ascii="Times New Roman" w:hAnsi="Times New Roman" w:eastAsia="方正仿宋_GBK" w:cs="Times New Roman"/>
          <w:color w:val="auto"/>
          <w:kern w:val="21"/>
          <w:sz w:val="32"/>
          <w:vertAlign w:val="superscript"/>
        </w:rPr>
        <w:t>2</w:t>
      </w:r>
      <w:r>
        <w:rPr>
          <w:rFonts w:hint="default" w:ascii="Times New Roman" w:hAnsi="Times New Roman" w:eastAsia="方正仿宋_GBK" w:cs="Times New Roman"/>
          <w:color w:val="auto"/>
          <w:kern w:val="21"/>
          <w:sz w:val="32"/>
        </w:rPr>
        <w:t>的一般固废暂存间，废布袋出售给物资回收部门，实验室废弃混凝土块委托渣土公司定期清运；一体化污水处理设施产生的污泥定期清掏作为农肥利用；搅拌机和混凝土运输罐车清洗产生的混凝土、沉淀池沉渣回用于生产；生活垃圾经生活垃圾桶收集后交由环卫部门处置。规范设置10m</w:t>
      </w:r>
      <w:r>
        <w:rPr>
          <w:rFonts w:hint="default" w:ascii="Times New Roman" w:hAnsi="Times New Roman" w:eastAsia="方正仿宋_GBK" w:cs="Times New Roman"/>
          <w:color w:val="auto"/>
          <w:kern w:val="21"/>
          <w:sz w:val="32"/>
          <w:vertAlign w:val="superscript"/>
        </w:rPr>
        <w:t>2</w:t>
      </w:r>
      <w:r>
        <w:rPr>
          <w:rFonts w:hint="default" w:ascii="Times New Roman" w:hAnsi="Times New Roman" w:eastAsia="方正仿宋_GBK" w:cs="Times New Roman"/>
          <w:color w:val="auto"/>
          <w:kern w:val="21"/>
          <w:sz w:val="32"/>
        </w:rPr>
        <w:t>的危废暂存间（防雨、防渗、防流失），设置标识标牌，废矿物油经专用容器收集后暂存至危废暂存间，优先回用于机械设备润滑，剩余部分委托有资质单位清运处置，收集、暂存及转运过程中的管理应严格按照《危险废物贮存污染控制标准》（GB18597-2023）和《危险废物转移管理办法》（生态环境部公安部交通运输部令第23号</w:t>
      </w:r>
      <w:bookmarkStart w:id="0" w:name="_GoBack"/>
      <w:bookmarkEnd w:id="0"/>
      <w:r>
        <w:rPr>
          <w:rFonts w:hint="default" w:ascii="Times New Roman" w:hAnsi="Times New Roman" w:eastAsia="方正仿宋_GBK" w:cs="Times New Roman"/>
          <w:color w:val="auto"/>
          <w:kern w:val="21"/>
          <w:sz w:val="32"/>
        </w:rPr>
        <w:t>）等规定执行，并做好台账记录。</w:t>
      </w:r>
    </w:p>
    <w:p w14:paraId="7A9D05D6">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szCs w:val="32"/>
        </w:rPr>
      </w:pPr>
      <w:r>
        <w:rPr>
          <w:rFonts w:hint="eastAsia" w:ascii="Times New Roman" w:hAnsi="Times New Roman" w:eastAsia="方正仿宋_GBK" w:cs="Times New Roman"/>
          <w:color w:val="auto"/>
          <w:kern w:val="21"/>
          <w:sz w:val="32"/>
          <w:szCs w:val="24"/>
          <w:lang w:val="en-US" w:eastAsia="zh-CN" w:bidi="ar-SA"/>
        </w:rPr>
        <w:t>（六）落实噪声污染防治</w:t>
      </w:r>
      <w:r>
        <w:rPr>
          <w:rFonts w:hint="eastAsia" w:ascii="Times New Roman" w:hAnsi="Times New Roman" w:eastAsia="方正仿宋_GBK" w:cs="Times New Roman"/>
          <w:color w:val="auto"/>
          <w:kern w:val="21"/>
          <w:sz w:val="32"/>
          <w:lang w:val="en-US" w:eastAsia="zh-CN"/>
        </w:rPr>
        <w:t>措施。选用低噪声设备，将各产噪设备设置在生产车间及设备房内，采取基础减振、隔声、定期检修、紧固设备基础等措施，确保厂界噪声达到《工业企业厂界环境噪声排放标准》（GB12348-2008）2类标准，确保区域声环境质量达到《声环境质量标准》（GB3096-2008）2类区标准要求。</w:t>
      </w:r>
    </w:p>
    <w:p w14:paraId="763FC080">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szCs w:val="32"/>
        </w:rPr>
      </w:pPr>
      <w:r>
        <w:rPr>
          <w:rFonts w:hint="eastAsia" w:ascii="Times New Roman" w:hAnsi="Times New Roman" w:eastAsia="方正仿宋_GBK" w:cs="Times New Roman"/>
          <w:color w:val="auto"/>
          <w:kern w:val="21"/>
          <w:sz w:val="32"/>
          <w:szCs w:val="32"/>
        </w:rPr>
        <w:t>（</w:t>
      </w:r>
      <w:r>
        <w:rPr>
          <w:rFonts w:hint="eastAsia" w:ascii="Times New Roman" w:hAnsi="Times New Roman" w:eastAsia="方正仿宋_GBK" w:cs="Times New Roman"/>
          <w:color w:val="auto"/>
          <w:kern w:val="21"/>
          <w:sz w:val="32"/>
          <w:szCs w:val="32"/>
          <w:lang w:val="en-US" w:eastAsia="zh-CN"/>
        </w:rPr>
        <w:t>七</w:t>
      </w:r>
      <w:r>
        <w:rPr>
          <w:rFonts w:hint="eastAsia" w:ascii="Times New Roman" w:hAnsi="Times New Roman" w:eastAsia="方正仿宋_GBK" w:cs="Times New Roman"/>
          <w:color w:val="auto"/>
          <w:kern w:val="21"/>
          <w:sz w:val="32"/>
          <w:szCs w:val="32"/>
        </w:rPr>
        <w:t>）加强应急处置。</w:t>
      </w:r>
      <w:r>
        <w:rPr>
          <w:rFonts w:hint="default" w:ascii="Times New Roman" w:hAnsi="Times New Roman" w:eastAsia="方正仿宋_GBK" w:cs="Times New Roman"/>
          <w:color w:val="auto"/>
          <w:kern w:val="21"/>
          <w:sz w:val="32"/>
          <w:szCs w:val="32"/>
        </w:rPr>
        <w:t>制定和完善环境风险及突发环境事件应急预案，并报市生态环境局富源分局备案。按照“预防为主”的原则，做好日常环境管理工作，认真落实环境风险事故防范措施及应急措施。</w:t>
      </w:r>
    </w:p>
    <w:p w14:paraId="3BC76D3E">
      <w:pPr>
        <w:pStyle w:val="7"/>
        <w:keepNext w:val="0"/>
        <w:keepLines w:val="0"/>
        <w:pageBreakBefore w:val="0"/>
        <w:widowControl w:val="0"/>
        <w:kinsoku/>
        <w:wordWrap w:val="0"/>
        <w:overflowPunct/>
        <w:topLinePunct w:val="0"/>
        <w:autoSpaceDE/>
        <w:autoSpaceDN/>
        <w:bidi w:val="0"/>
        <w:adjustRightInd/>
        <w:snapToGrid/>
        <w:spacing w:after="0" w:line="240" w:lineRule="auto"/>
        <w:ind w:left="0" w:leftChars="0" w:firstLine="632" w:firstLineChars="200"/>
        <w:jc w:val="both"/>
        <w:textAlignment w:val="auto"/>
        <w:rPr>
          <w:rFonts w:hint="default" w:ascii="Times New Roman" w:hAnsi="Times New Roman" w:eastAsia="方正仿宋_GBK" w:cs="Times New Roman"/>
          <w:color w:val="auto"/>
          <w:kern w:val="21"/>
          <w:sz w:val="32"/>
          <w:szCs w:val="32"/>
        </w:rPr>
      </w:pPr>
      <w:r>
        <w:rPr>
          <w:rFonts w:hint="eastAsia" w:cs="Times New Roman"/>
          <w:color w:val="auto"/>
          <w:kern w:val="21"/>
          <w:sz w:val="32"/>
          <w:szCs w:val="32"/>
          <w:lang w:eastAsia="zh-CN"/>
        </w:rPr>
        <w:t>三</w:t>
      </w:r>
      <w:r>
        <w:rPr>
          <w:rFonts w:hint="default" w:ascii="Times New Roman" w:hAnsi="Times New Roman" w:eastAsia="方正仿宋_GBK" w:cs="Times New Roman"/>
          <w:color w:val="auto"/>
          <w:kern w:val="21"/>
          <w:sz w:val="32"/>
          <w:szCs w:val="32"/>
        </w:rPr>
        <w:t>、严格按照《报告</w:t>
      </w:r>
      <w:r>
        <w:rPr>
          <w:rFonts w:hint="default" w:ascii="Times New Roman" w:hAnsi="Times New Roman" w:eastAsia="方正仿宋_GBK" w:cs="Times New Roman"/>
          <w:color w:val="auto"/>
          <w:kern w:val="21"/>
          <w:sz w:val="32"/>
          <w:szCs w:val="32"/>
          <w:lang w:eastAsia="zh-CN"/>
        </w:rPr>
        <w:t>表</w:t>
      </w:r>
      <w:r>
        <w:rPr>
          <w:rFonts w:hint="default" w:ascii="Times New Roman" w:hAnsi="Times New Roman" w:eastAsia="方正仿宋_GBK" w:cs="Times New Roman"/>
          <w:color w:val="auto"/>
          <w:kern w:val="21"/>
          <w:sz w:val="32"/>
          <w:szCs w:val="32"/>
        </w:rPr>
        <w:t>》确定的监测点位、监测项目及监测频次开展监测工作</w:t>
      </w:r>
      <w:r>
        <w:rPr>
          <w:rFonts w:hint="default" w:ascii="Times New Roman" w:hAnsi="Times New Roman" w:eastAsia="方正仿宋_GBK" w:cs="Times New Roman"/>
          <w:color w:val="auto"/>
          <w:kern w:val="21"/>
          <w:sz w:val="32"/>
          <w:szCs w:val="32"/>
          <w:lang w:eastAsia="zh-CN"/>
        </w:rPr>
        <w:t>。</w:t>
      </w:r>
    </w:p>
    <w:p w14:paraId="27D3C3BB">
      <w:pPr>
        <w:pStyle w:val="7"/>
        <w:keepNext w:val="0"/>
        <w:keepLines w:val="0"/>
        <w:pageBreakBefore w:val="0"/>
        <w:widowControl w:val="0"/>
        <w:kinsoku/>
        <w:wordWrap w:val="0"/>
        <w:overflowPunct/>
        <w:topLinePunct w:val="0"/>
        <w:autoSpaceDE/>
        <w:autoSpaceDN/>
        <w:bidi w:val="0"/>
        <w:adjustRightInd/>
        <w:snapToGrid/>
        <w:spacing w:after="0" w:line="240" w:lineRule="auto"/>
        <w:ind w:left="0" w:leftChars="0" w:firstLine="632" w:firstLineChars="200"/>
        <w:jc w:val="both"/>
        <w:textAlignment w:val="auto"/>
        <w:rPr>
          <w:rFonts w:hint="default" w:ascii="Times New Roman" w:hAnsi="Times New Roman" w:eastAsia="方正仿宋_GBK" w:cs="Times New Roman"/>
          <w:color w:val="auto"/>
          <w:kern w:val="21"/>
          <w:sz w:val="32"/>
          <w:szCs w:val="32"/>
        </w:rPr>
      </w:pPr>
      <w:r>
        <w:rPr>
          <w:rFonts w:hint="eastAsia" w:cs="Times New Roman"/>
          <w:color w:val="auto"/>
          <w:kern w:val="21"/>
          <w:sz w:val="32"/>
          <w:szCs w:val="32"/>
          <w:lang w:eastAsia="zh-CN"/>
        </w:rPr>
        <w:t>四</w:t>
      </w:r>
      <w:r>
        <w:rPr>
          <w:rFonts w:hint="default" w:ascii="Times New Roman" w:hAnsi="Times New Roman" w:eastAsia="方正仿宋_GBK" w:cs="Times New Roman"/>
          <w:color w:val="auto"/>
          <w:kern w:val="21"/>
          <w:sz w:val="32"/>
          <w:szCs w:val="32"/>
          <w:lang w:eastAsia="zh-CN"/>
        </w:rPr>
        <w:t>、</w:t>
      </w:r>
      <w:r>
        <w:rPr>
          <w:rFonts w:hint="default" w:ascii="Times New Roman" w:hAnsi="Times New Roman" w:eastAsia="方正仿宋_GBK" w:cs="Times New Roman"/>
          <w:color w:val="auto"/>
          <w:kern w:val="21"/>
          <w:sz w:val="32"/>
          <w:szCs w:val="32"/>
          <w:lang w:val="en-US" w:eastAsia="zh-CN"/>
        </w:rPr>
        <w:t>项目建设必须严格执行配套的环境保护设施与主体工程同时设计、同时施工、同时投产使用的</w:t>
      </w:r>
      <w:r>
        <w:rPr>
          <w:rFonts w:hint="eastAsia" w:cs="Times New Roman"/>
          <w:color w:val="auto"/>
          <w:kern w:val="21"/>
          <w:sz w:val="32"/>
          <w:szCs w:val="32"/>
          <w:lang w:val="en-US" w:eastAsia="zh-CN"/>
        </w:rPr>
        <w:t>“</w:t>
      </w:r>
      <w:r>
        <w:rPr>
          <w:rFonts w:hint="default" w:ascii="Times New Roman" w:hAnsi="Times New Roman" w:eastAsia="方正仿宋_GBK" w:cs="Times New Roman"/>
          <w:color w:val="auto"/>
          <w:kern w:val="21"/>
          <w:sz w:val="32"/>
          <w:szCs w:val="32"/>
          <w:lang w:val="en-US" w:eastAsia="zh-CN"/>
        </w:rPr>
        <w:t>三同时</w:t>
      </w:r>
      <w:r>
        <w:rPr>
          <w:rFonts w:hint="eastAsia" w:cs="Times New Roman"/>
          <w:color w:val="auto"/>
          <w:kern w:val="21"/>
          <w:sz w:val="32"/>
          <w:szCs w:val="32"/>
          <w:lang w:val="en-US" w:eastAsia="zh-CN"/>
        </w:rPr>
        <w:t>”</w:t>
      </w:r>
      <w:r>
        <w:rPr>
          <w:rFonts w:hint="default" w:ascii="Times New Roman" w:hAnsi="Times New Roman" w:eastAsia="方正仿宋_GBK" w:cs="Times New Roman"/>
          <w:color w:val="auto"/>
          <w:kern w:val="21"/>
          <w:sz w:val="32"/>
          <w:szCs w:val="32"/>
          <w:lang w:val="en-US" w:eastAsia="zh-CN"/>
        </w:rPr>
        <w:t>制度。施工招标文件和施工合同应明确环保条款和责任，认真落实施工期环境保护工作。</w:t>
      </w:r>
      <w:r>
        <w:rPr>
          <w:rFonts w:hint="default" w:ascii="Times New Roman" w:hAnsi="Times New Roman" w:eastAsia="方正仿宋_GBK" w:cs="Times New Roman"/>
          <w:color w:val="auto"/>
          <w:kern w:val="21"/>
          <w:sz w:val="32"/>
          <w:szCs w:val="32"/>
          <w:lang w:eastAsia="zh-CN"/>
        </w:rPr>
        <w:t>项目建成后，</w:t>
      </w:r>
      <w:r>
        <w:rPr>
          <w:rFonts w:hint="default" w:ascii="Times New Roman" w:hAnsi="Times New Roman" w:eastAsia="方正仿宋_GBK" w:cs="Times New Roman"/>
          <w:color w:val="auto"/>
          <w:kern w:val="21"/>
          <w:sz w:val="32"/>
          <w:szCs w:val="32"/>
        </w:rPr>
        <w:t>你</w:t>
      </w:r>
      <w:r>
        <w:rPr>
          <w:rFonts w:hint="default" w:ascii="Times New Roman" w:hAnsi="Times New Roman" w:eastAsia="方正仿宋_GBK" w:cs="Times New Roman"/>
          <w:color w:val="auto"/>
          <w:kern w:val="21"/>
          <w:sz w:val="32"/>
          <w:szCs w:val="32"/>
          <w:lang w:eastAsia="zh-CN"/>
        </w:rPr>
        <w:t>公司</w:t>
      </w:r>
      <w:r>
        <w:rPr>
          <w:rFonts w:hint="default" w:ascii="Times New Roman" w:hAnsi="Times New Roman" w:eastAsia="方正仿宋_GBK" w:cs="Times New Roman"/>
          <w:color w:val="auto"/>
          <w:kern w:val="21"/>
          <w:sz w:val="32"/>
          <w:szCs w:val="32"/>
        </w:rPr>
        <w:t>应按照《建设项目竣工环境保护验收暂行办法》</w:t>
      </w:r>
      <w:r>
        <w:rPr>
          <w:rFonts w:hint="default" w:ascii="Times New Roman" w:hAnsi="Times New Roman" w:eastAsia="方正仿宋_GBK" w:cs="Times New Roman"/>
          <w:color w:val="auto"/>
          <w:kern w:val="21"/>
          <w:sz w:val="32"/>
          <w:szCs w:val="32"/>
          <w:lang w:eastAsia="zh-CN"/>
        </w:rPr>
        <w:t>（</w:t>
      </w:r>
      <w:r>
        <w:rPr>
          <w:rFonts w:hint="default" w:ascii="Times New Roman" w:hAnsi="Times New Roman" w:eastAsia="方正仿宋_GBK" w:cs="Times New Roman"/>
          <w:color w:val="auto"/>
          <w:kern w:val="21"/>
          <w:sz w:val="32"/>
          <w:szCs w:val="32"/>
        </w:rPr>
        <w:t>国环规环评〔2017〕4号</w:t>
      </w:r>
      <w:r>
        <w:rPr>
          <w:rFonts w:hint="default" w:ascii="Times New Roman" w:hAnsi="Times New Roman" w:eastAsia="方正仿宋_GBK" w:cs="Times New Roman"/>
          <w:color w:val="auto"/>
          <w:kern w:val="21"/>
          <w:sz w:val="32"/>
          <w:szCs w:val="32"/>
          <w:lang w:eastAsia="zh-CN"/>
        </w:rPr>
        <w:t>）</w:t>
      </w:r>
      <w:r>
        <w:rPr>
          <w:rFonts w:hint="default" w:ascii="Times New Roman" w:hAnsi="Times New Roman" w:eastAsia="方正仿宋_GBK" w:cs="Times New Roman"/>
          <w:color w:val="auto"/>
          <w:kern w:val="21"/>
          <w:sz w:val="32"/>
          <w:szCs w:val="32"/>
        </w:rPr>
        <w:t>相关要求完成竣工</w:t>
      </w:r>
      <w:r>
        <w:rPr>
          <w:rFonts w:hint="default" w:ascii="Times New Roman" w:hAnsi="Times New Roman" w:eastAsia="方正仿宋_GBK" w:cs="Times New Roman"/>
          <w:color w:val="auto"/>
          <w:kern w:val="21"/>
          <w:sz w:val="32"/>
          <w:szCs w:val="32"/>
          <w:lang w:eastAsia="zh-CN"/>
        </w:rPr>
        <w:t>环境保护</w:t>
      </w:r>
      <w:r>
        <w:rPr>
          <w:rFonts w:hint="default" w:ascii="Times New Roman" w:hAnsi="Times New Roman" w:eastAsia="方正仿宋_GBK" w:cs="Times New Roman"/>
          <w:color w:val="auto"/>
          <w:kern w:val="21"/>
          <w:sz w:val="32"/>
          <w:szCs w:val="32"/>
        </w:rPr>
        <w:t>自主验收。</w:t>
      </w:r>
    </w:p>
    <w:p w14:paraId="6CBCA45A">
      <w:pPr>
        <w:keepNext w:val="0"/>
        <w:keepLines w:val="0"/>
        <w:pageBreakBefore w:val="0"/>
        <w:widowControl w:val="0"/>
        <w:kinsoku/>
        <w:wordWrap w:val="0"/>
        <w:overflowPunct/>
        <w:topLinePunct w:val="0"/>
        <w:autoSpaceDE/>
        <w:autoSpaceDN/>
        <w:bidi w:val="0"/>
        <w:adjustRightInd/>
        <w:snapToGrid/>
        <w:spacing w:line="240" w:lineRule="auto"/>
        <w:ind w:left="0" w:firstLine="632" w:firstLineChars="200"/>
        <w:jc w:val="both"/>
        <w:textAlignment w:val="auto"/>
        <w:rPr>
          <w:rFonts w:hint="default" w:ascii="Times New Roman" w:hAnsi="Times New Roman" w:eastAsia="方正仿宋_GBK" w:cs="Times New Roman"/>
          <w:color w:val="auto"/>
          <w:kern w:val="21"/>
          <w:sz w:val="32"/>
          <w:szCs w:val="32"/>
        </w:rPr>
      </w:pPr>
      <w:r>
        <w:rPr>
          <w:rFonts w:hint="eastAsia" w:cs="Times New Roman"/>
          <w:color w:val="auto"/>
          <w:kern w:val="21"/>
          <w:sz w:val="32"/>
          <w:szCs w:val="32"/>
          <w:lang w:eastAsia="zh-CN"/>
        </w:rPr>
        <w:t>五</w:t>
      </w:r>
      <w:r>
        <w:rPr>
          <w:rFonts w:hint="default" w:ascii="Times New Roman" w:hAnsi="Times New Roman" w:eastAsia="方正仿宋_GBK" w:cs="Times New Roman"/>
          <w:color w:val="auto"/>
          <w:kern w:val="21"/>
          <w:sz w:val="32"/>
          <w:szCs w:val="32"/>
          <w:lang w:eastAsia="zh-CN"/>
        </w:rPr>
        <w:t>、</w:t>
      </w:r>
      <w:r>
        <w:rPr>
          <w:rFonts w:hint="default" w:ascii="Times New Roman" w:hAnsi="Times New Roman" w:eastAsia="方正仿宋_GBK" w:cs="Times New Roman"/>
          <w:color w:val="auto"/>
          <w:kern w:val="21"/>
          <w:sz w:val="32"/>
          <w:szCs w:val="32"/>
        </w:rPr>
        <w:t>如项目的性质、规模、地点、生产工艺或者防治污染、防止生态破坏的措施等发生重大变动，</w:t>
      </w:r>
      <w:r>
        <w:rPr>
          <w:rFonts w:hint="default" w:ascii="Times New Roman" w:hAnsi="Times New Roman" w:eastAsia="方正仿宋_GBK" w:cs="Times New Roman"/>
          <w:b w:val="0"/>
          <w:bCs w:val="0"/>
          <w:color w:val="auto"/>
          <w:kern w:val="21"/>
          <w:sz w:val="32"/>
          <w:szCs w:val="32"/>
          <w:lang w:eastAsia="zh-CN"/>
        </w:rPr>
        <w:t>应向有审批权限的生态环境部门报告并按要求办理相关手续</w:t>
      </w:r>
      <w:r>
        <w:rPr>
          <w:rFonts w:hint="default" w:ascii="Times New Roman" w:hAnsi="Times New Roman" w:eastAsia="方正仿宋_GBK" w:cs="Times New Roman"/>
          <w:color w:val="auto"/>
          <w:kern w:val="21"/>
          <w:sz w:val="32"/>
          <w:szCs w:val="32"/>
        </w:rPr>
        <w:t>。项目环境影响评价文件自批准之日起超过5年，方决定开工建设的，其环境影响评价文件应报</w:t>
      </w:r>
      <w:r>
        <w:rPr>
          <w:rFonts w:hint="eastAsia" w:eastAsia="方正仿宋_GBK" w:cs="Times New Roman"/>
          <w:color w:val="auto"/>
          <w:kern w:val="21"/>
          <w:sz w:val="32"/>
          <w:szCs w:val="32"/>
          <w:lang w:val="en-US" w:eastAsia="zh-CN"/>
        </w:rPr>
        <w:t>我</w:t>
      </w:r>
      <w:r>
        <w:rPr>
          <w:rFonts w:hint="default" w:ascii="Times New Roman" w:hAnsi="Times New Roman" w:eastAsia="方正仿宋_GBK" w:cs="Times New Roman"/>
          <w:color w:val="auto"/>
          <w:kern w:val="21"/>
          <w:sz w:val="32"/>
          <w:szCs w:val="32"/>
          <w:lang w:val="en-US" w:eastAsia="zh-CN"/>
        </w:rPr>
        <w:t>局</w:t>
      </w:r>
      <w:r>
        <w:rPr>
          <w:rFonts w:hint="default" w:ascii="Times New Roman" w:hAnsi="Times New Roman" w:eastAsia="方正仿宋_GBK" w:cs="Times New Roman"/>
          <w:color w:val="auto"/>
          <w:kern w:val="21"/>
          <w:sz w:val="32"/>
          <w:szCs w:val="32"/>
        </w:rPr>
        <w:t>重新审核。</w:t>
      </w:r>
    </w:p>
    <w:p w14:paraId="133FD252">
      <w:pPr>
        <w:pStyle w:val="6"/>
        <w:keepNext w:val="0"/>
        <w:keepLines w:val="0"/>
        <w:pageBreakBefore w:val="0"/>
        <w:widowControl w:val="0"/>
        <w:kinsoku/>
        <w:wordWrap w:val="0"/>
        <w:overflowPunct/>
        <w:topLinePunct w:val="0"/>
        <w:autoSpaceDE/>
        <w:autoSpaceDN/>
        <w:bidi w:val="0"/>
        <w:adjustRightInd/>
        <w:snapToGrid/>
        <w:spacing w:line="240" w:lineRule="auto"/>
        <w:ind w:left="0" w:leftChars="0" w:firstLine="632" w:firstLineChars="200"/>
        <w:textAlignment w:val="auto"/>
        <w:rPr>
          <w:rFonts w:hint="default" w:ascii="Times New Roman" w:hAnsi="Times New Roman" w:eastAsia="方正仿宋_GBK" w:cs="Times New Roman"/>
          <w:color w:val="auto"/>
          <w:kern w:val="21"/>
          <w:sz w:val="32"/>
          <w:szCs w:val="32"/>
        </w:rPr>
      </w:pPr>
      <w:r>
        <w:rPr>
          <w:rFonts w:hint="eastAsia" w:eastAsia="仿宋" w:cs="Times New Roman"/>
          <w:kern w:val="21"/>
          <w:sz w:val="32"/>
          <w:szCs w:val="32"/>
          <w:lang w:eastAsia="zh-CN"/>
        </w:rPr>
        <w:t>六</w:t>
      </w:r>
      <w:r>
        <w:rPr>
          <w:rFonts w:hint="default" w:ascii="Times New Roman" w:hAnsi="Times New Roman" w:eastAsia="仿宋" w:cs="Times New Roman"/>
          <w:kern w:val="21"/>
          <w:sz w:val="32"/>
          <w:szCs w:val="32"/>
        </w:rPr>
        <w:t>、</w:t>
      </w:r>
      <w:r>
        <w:rPr>
          <w:rFonts w:hint="default" w:ascii="Times New Roman" w:hAnsi="Times New Roman" w:eastAsia="方正仿宋_GBK" w:cs="Times New Roman"/>
          <w:kern w:val="21"/>
          <w:sz w:val="32"/>
          <w:szCs w:val="32"/>
          <w:lang w:eastAsia="zh-CN"/>
        </w:rPr>
        <w:t>请市</w:t>
      </w:r>
      <w:r>
        <w:rPr>
          <w:rFonts w:hint="default" w:ascii="Times New Roman" w:hAnsi="Times New Roman" w:eastAsia="方正仿宋_GBK" w:cs="Times New Roman"/>
          <w:color w:val="auto"/>
          <w:kern w:val="21"/>
          <w:sz w:val="32"/>
          <w:szCs w:val="32"/>
          <w:lang w:eastAsia="zh-CN"/>
        </w:rPr>
        <w:t>生态环境局</w:t>
      </w:r>
      <w:r>
        <w:rPr>
          <w:rFonts w:hint="eastAsia" w:ascii="Times New Roman" w:hAnsi="Times New Roman" w:eastAsia="方正仿宋_GBK" w:cs="Times New Roman"/>
          <w:color w:val="auto"/>
          <w:kern w:val="21"/>
          <w:sz w:val="32"/>
          <w:szCs w:val="32"/>
          <w:lang w:eastAsia="zh-CN"/>
        </w:rPr>
        <w:t>富源</w:t>
      </w:r>
      <w:r>
        <w:rPr>
          <w:rFonts w:hint="default" w:ascii="Times New Roman" w:hAnsi="Times New Roman" w:eastAsia="方正仿宋_GBK" w:cs="Times New Roman"/>
          <w:color w:val="auto"/>
          <w:kern w:val="21"/>
          <w:sz w:val="32"/>
          <w:szCs w:val="32"/>
          <w:lang w:eastAsia="zh-CN"/>
        </w:rPr>
        <w:t>分局负责该项目的环境执法监察和监督管理，请市生态环境保护综合行政执法支队加强监督检查。</w:t>
      </w:r>
    </w:p>
    <w:p w14:paraId="10DED572">
      <w:pPr>
        <w:pStyle w:val="6"/>
        <w:keepNext w:val="0"/>
        <w:keepLines w:val="0"/>
        <w:pageBreakBefore w:val="0"/>
        <w:widowControl w:val="0"/>
        <w:kinsoku/>
        <w:wordWrap w:val="0"/>
        <w:overflowPunct/>
        <w:topLinePunct w:val="0"/>
        <w:autoSpaceDE/>
        <w:autoSpaceDN/>
        <w:bidi w:val="0"/>
        <w:adjustRightInd/>
        <w:snapToGrid/>
        <w:spacing w:line="240" w:lineRule="auto"/>
        <w:ind w:leftChars="0" w:firstLine="4424" w:firstLineChars="1400"/>
        <w:textAlignment w:val="auto"/>
        <w:rPr>
          <w:rFonts w:hint="default" w:ascii="Times New Roman" w:hAnsi="Times New Roman" w:eastAsia="方正仿宋_GBK" w:cs="Times New Roman"/>
          <w:color w:val="auto"/>
          <w:kern w:val="21"/>
          <w:sz w:val="32"/>
          <w:szCs w:val="32"/>
        </w:rPr>
      </w:pPr>
    </w:p>
    <w:p w14:paraId="108FBB12">
      <w:pPr>
        <w:pStyle w:val="6"/>
        <w:keepNext w:val="0"/>
        <w:keepLines w:val="0"/>
        <w:pageBreakBefore w:val="0"/>
        <w:widowControl w:val="0"/>
        <w:kinsoku/>
        <w:wordWrap w:val="0"/>
        <w:overflowPunct/>
        <w:topLinePunct w:val="0"/>
        <w:autoSpaceDE/>
        <w:autoSpaceDN/>
        <w:bidi w:val="0"/>
        <w:adjustRightInd/>
        <w:snapToGrid/>
        <w:spacing w:line="240" w:lineRule="auto"/>
        <w:ind w:leftChars="0" w:firstLine="4424" w:firstLineChars="1400"/>
        <w:textAlignment w:val="auto"/>
        <w:rPr>
          <w:rFonts w:hint="default" w:ascii="Times New Roman" w:hAnsi="Times New Roman" w:eastAsia="方正仿宋_GBK" w:cs="Times New Roman"/>
          <w:color w:val="auto"/>
          <w:kern w:val="21"/>
          <w:sz w:val="32"/>
          <w:szCs w:val="32"/>
        </w:rPr>
      </w:pPr>
    </w:p>
    <w:p w14:paraId="01EE2256">
      <w:pPr>
        <w:pStyle w:val="6"/>
        <w:keepNext w:val="0"/>
        <w:keepLines w:val="0"/>
        <w:pageBreakBefore w:val="0"/>
        <w:widowControl w:val="0"/>
        <w:kinsoku/>
        <w:wordWrap w:val="0"/>
        <w:overflowPunct/>
        <w:topLinePunct w:val="0"/>
        <w:autoSpaceDE/>
        <w:autoSpaceDN/>
        <w:bidi w:val="0"/>
        <w:adjustRightInd/>
        <w:snapToGrid/>
        <w:spacing w:line="240" w:lineRule="auto"/>
        <w:ind w:leftChars="0" w:firstLine="4424" w:firstLineChars="1400"/>
        <w:textAlignment w:val="auto"/>
        <w:rPr>
          <w:rFonts w:hint="default" w:ascii="Times New Roman" w:hAnsi="Times New Roman" w:eastAsia="方正仿宋_GBK" w:cs="Times New Roman"/>
          <w:color w:val="auto"/>
          <w:kern w:val="21"/>
          <w:sz w:val="32"/>
          <w:szCs w:val="32"/>
        </w:rPr>
      </w:pPr>
    </w:p>
    <w:p w14:paraId="3F3C09C1">
      <w:pPr>
        <w:keepNext w:val="0"/>
        <w:keepLines w:val="0"/>
        <w:pageBreakBefore w:val="0"/>
        <w:widowControl w:val="0"/>
        <w:kinsoku/>
        <w:wordWrap w:val="0"/>
        <w:overflowPunct/>
        <w:topLinePunct w:val="0"/>
        <w:autoSpaceDE/>
        <w:autoSpaceDN/>
        <w:bidi w:val="0"/>
        <w:adjustRightInd/>
        <w:snapToGrid/>
        <w:ind w:leftChars="1700"/>
        <w:jc w:val="center"/>
        <w:textAlignment w:val="auto"/>
        <w:rPr>
          <w:rFonts w:hint="default"/>
          <w:kern w:val="21"/>
          <w:sz w:val="32"/>
        </w:rPr>
      </w:pPr>
      <w:r>
        <w:rPr>
          <w:rFonts w:hint="default"/>
          <w:kern w:val="21"/>
          <w:sz w:val="32"/>
        </w:rPr>
        <w:t>曲靖市生态环境局</w:t>
      </w:r>
    </w:p>
    <w:p w14:paraId="76B15C9D">
      <w:pPr>
        <w:keepNext w:val="0"/>
        <w:keepLines w:val="0"/>
        <w:pageBreakBefore w:val="0"/>
        <w:widowControl w:val="0"/>
        <w:kinsoku/>
        <w:wordWrap w:val="0"/>
        <w:overflowPunct/>
        <w:topLinePunct w:val="0"/>
        <w:autoSpaceDE/>
        <w:autoSpaceDN/>
        <w:bidi w:val="0"/>
        <w:adjustRightInd/>
        <w:snapToGrid/>
        <w:ind w:leftChars="1700"/>
        <w:jc w:val="center"/>
        <w:textAlignment w:val="auto"/>
        <w:rPr>
          <w:rFonts w:hint="default"/>
          <w:kern w:val="21"/>
          <w:sz w:val="32"/>
        </w:rPr>
      </w:pPr>
      <w:r>
        <w:rPr>
          <w:rFonts w:hint="default"/>
          <w:kern w:val="21"/>
          <w:sz w:val="32"/>
        </w:rPr>
        <w:t>202</w:t>
      </w:r>
      <w:r>
        <w:rPr>
          <w:rFonts w:hint="eastAsia"/>
          <w:kern w:val="21"/>
          <w:sz w:val="32"/>
          <w:lang w:val="en-US" w:eastAsia="zh-CN"/>
        </w:rPr>
        <w:t>6</w:t>
      </w:r>
      <w:r>
        <w:rPr>
          <w:rFonts w:hint="default"/>
          <w:kern w:val="21"/>
          <w:sz w:val="32"/>
        </w:rPr>
        <w:t>年</w:t>
      </w:r>
      <w:r>
        <w:rPr>
          <w:rFonts w:hint="eastAsia"/>
          <w:kern w:val="21"/>
          <w:sz w:val="32"/>
          <w:lang w:val="en-US" w:eastAsia="zh-CN"/>
        </w:rPr>
        <w:t>6</w:t>
      </w:r>
      <w:r>
        <w:rPr>
          <w:rFonts w:hint="default"/>
          <w:kern w:val="21"/>
          <w:sz w:val="32"/>
        </w:rPr>
        <w:t>月</w:t>
      </w:r>
      <w:r>
        <w:rPr>
          <w:rFonts w:hint="eastAsia"/>
          <w:kern w:val="21"/>
          <w:sz w:val="32"/>
          <w:lang w:val="en-US" w:eastAsia="zh-CN"/>
        </w:rPr>
        <w:t>30</w:t>
      </w:r>
      <w:r>
        <w:rPr>
          <w:rFonts w:hint="default"/>
          <w:kern w:val="21"/>
          <w:sz w:val="32"/>
        </w:rPr>
        <w:t>日</w:t>
      </w:r>
    </w:p>
    <w:p w14:paraId="3E36DEF0">
      <w:pPr>
        <w:pStyle w:val="5"/>
        <w:keepNext w:val="0"/>
        <w:keepLines w:val="0"/>
        <w:pageBreakBefore w:val="0"/>
        <w:widowControl w:val="0"/>
        <w:kinsoku/>
        <w:wordWrap w:val="0"/>
        <w:overflowPunct/>
        <w:topLinePunct w:val="0"/>
        <w:autoSpaceDE/>
        <w:autoSpaceDN/>
        <w:bidi w:val="0"/>
        <w:adjustRightInd/>
        <w:snapToGrid/>
        <w:spacing w:line="240" w:lineRule="auto"/>
        <w:ind w:firstLine="632" w:firstLineChars="200"/>
        <w:textAlignment w:val="auto"/>
        <w:rPr>
          <w:rFonts w:hint="default" w:ascii="Times New Roman" w:hAnsi="Times New Roman" w:eastAsia="方正仿宋_GBK" w:cs="Times New Roman"/>
          <w:color w:val="auto"/>
          <w:kern w:val="21"/>
          <w:sz w:val="32"/>
          <w:szCs w:val="32"/>
          <w:lang w:eastAsia="zh-CN"/>
        </w:rPr>
      </w:pPr>
      <w:r>
        <w:rPr>
          <w:rFonts w:hint="default" w:ascii="Times New Roman" w:hAnsi="Times New Roman" w:eastAsia="方正仿宋_GBK" w:cs="Times New Roman"/>
          <w:color w:val="auto"/>
          <w:kern w:val="21"/>
          <w:sz w:val="32"/>
          <w:szCs w:val="32"/>
          <w:lang w:eastAsia="zh-CN"/>
        </w:rPr>
        <w:t>（此件公开发布）</w:t>
      </w:r>
    </w:p>
    <w:p w14:paraId="5A4A7A5C">
      <w:pPr>
        <w:keepNext w:val="0"/>
        <w:keepLines w:val="0"/>
        <w:pageBreakBefore w:val="0"/>
        <w:widowControl w:val="0"/>
        <w:kinsoku/>
        <w:wordWrap w:val="0"/>
        <w:overflowPunct/>
        <w:topLinePunct w:val="0"/>
        <w:autoSpaceDE/>
        <w:autoSpaceDN/>
        <w:bidi w:val="0"/>
        <w:adjustRightInd/>
        <w:snapToGrid/>
        <w:textAlignment w:val="auto"/>
        <w:rPr>
          <w:rFonts w:hint="default" w:ascii="Times New Roman" w:hAnsi="Times New Roman" w:eastAsia="方正仿宋_GBK" w:cs="Times New Roman"/>
          <w:color w:val="auto"/>
          <w:kern w:val="21"/>
          <w:sz w:val="32"/>
          <w:szCs w:val="32"/>
          <w:lang w:eastAsia="zh-CN"/>
        </w:rPr>
      </w:pPr>
    </w:p>
    <w:sectPr>
      <w:footerReference r:id="rId3" w:type="default"/>
      <w:pgSz w:w="11906" w:h="16838"/>
      <w:pgMar w:top="2098" w:right="1474" w:bottom="1984" w:left="1587" w:header="851" w:footer="1531" w:gutter="0"/>
      <w:pgBorders>
        <w:top w:val="none" w:sz="0" w:space="0"/>
        <w:left w:val="none" w:sz="0" w:space="0"/>
        <w:bottom w:val="none" w:sz="0" w:space="0"/>
        <w:right w:val="none" w:sz="0" w:space="0"/>
      </w:pgBorders>
      <w:pgNumType w:fmt="decimal"/>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2000000000000000000"/>
    <w:charset w:val="86"/>
    <w:family w:val="script"/>
    <w:pitch w:val="default"/>
    <w:sig w:usb0="00000000" w:usb1="00000000" w:usb2="00000000" w:usb3="00000000" w:csb0="00040000" w:csb1="00000000"/>
    <w:embedRegular r:id="rId1" w:fontKey="{FC3A2583-B9E1-4285-9872-B26B4E8D9F12}"/>
  </w:font>
  <w:font w:name="仿宋_GB2312">
    <w:altName w:val="仿宋"/>
    <w:panose1 w:val="02010609030101010101"/>
    <w:charset w:val="86"/>
    <w:family w:val="modern"/>
    <w:pitch w:val="default"/>
    <w:sig w:usb0="00000000" w:usb1="0000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embedRegular r:id="rId2" w:fontKey="{7B64B750-92CE-41E4-9BBC-BD4ED1004F60}"/>
  </w:font>
  <w:font w:name="仿宋">
    <w:panose1 w:val="02010609060101010101"/>
    <w:charset w:val="86"/>
    <w:family w:val="modern"/>
    <w:pitch w:val="default"/>
    <w:sig w:usb0="800002BF" w:usb1="38CF7CFA" w:usb2="00000016" w:usb3="00000000" w:csb0="00040001" w:csb1="00000000"/>
    <w:embedRegular r:id="rId3" w:fontKey="{18059B12-2FC6-4D57-8A8F-254AA49B819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B1015">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B285D3">
                          <w:pPr>
                            <w:pStyle w:val="11"/>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B285D3">
                    <w:pPr>
                      <w:pStyle w:val="11"/>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997AB">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1997AB">
                    <w:pPr>
                      <w:pStyle w:val="11"/>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646A98">
                          <w:pPr>
                            <w:rPr>
                              <w:rFonts w:hint="default"/>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0646A98">
                    <w:pPr>
                      <w:rPr>
                        <w:rFonts w:hint="default"/>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00AE6248"/>
    <w:rsid w:val="00005623"/>
    <w:rsid w:val="00011698"/>
    <w:rsid w:val="00014443"/>
    <w:rsid w:val="0001484C"/>
    <w:rsid w:val="00014899"/>
    <w:rsid w:val="00027FB2"/>
    <w:rsid w:val="00036B2D"/>
    <w:rsid w:val="00040D94"/>
    <w:rsid w:val="00057D12"/>
    <w:rsid w:val="00057E59"/>
    <w:rsid w:val="000666D5"/>
    <w:rsid w:val="000732BD"/>
    <w:rsid w:val="0007431A"/>
    <w:rsid w:val="0007513E"/>
    <w:rsid w:val="0007563A"/>
    <w:rsid w:val="000818BD"/>
    <w:rsid w:val="00096FCA"/>
    <w:rsid w:val="000A24D6"/>
    <w:rsid w:val="000A7334"/>
    <w:rsid w:val="000A7B59"/>
    <w:rsid w:val="000B1828"/>
    <w:rsid w:val="000B62C8"/>
    <w:rsid w:val="000C7617"/>
    <w:rsid w:val="000D1339"/>
    <w:rsid w:val="000D17A5"/>
    <w:rsid w:val="000D3547"/>
    <w:rsid w:val="000D5AD1"/>
    <w:rsid w:val="000D5DD3"/>
    <w:rsid w:val="000E2D45"/>
    <w:rsid w:val="000E2D6F"/>
    <w:rsid w:val="000E5384"/>
    <w:rsid w:val="000F087D"/>
    <w:rsid w:val="000F2922"/>
    <w:rsid w:val="000F55ED"/>
    <w:rsid w:val="00100192"/>
    <w:rsid w:val="001002C8"/>
    <w:rsid w:val="00102F8C"/>
    <w:rsid w:val="00103147"/>
    <w:rsid w:val="0010733C"/>
    <w:rsid w:val="0011204A"/>
    <w:rsid w:val="001128E6"/>
    <w:rsid w:val="001129E1"/>
    <w:rsid w:val="0011731F"/>
    <w:rsid w:val="001202B0"/>
    <w:rsid w:val="00135F80"/>
    <w:rsid w:val="00146AF5"/>
    <w:rsid w:val="001579DF"/>
    <w:rsid w:val="0016022F"/>
    <w:rsid w:val="0018019D"/>
    <w:rsid w:val="001801B7"/>
    <w:rsid w:val="0018145A"/>
    <w:rsid w:val="0018446B"/>
    <w:rsid w:val="001911F3"/>
    <w:rsid w:val="001929BC"/>
    <w:rsid w:val="001A39BE"/>
    <w:rsid w:val="001B13AD"/>
    <w:rsid w:val="001B34AE"/>
    <w:rsid w:val="001C0932"/>
    <w:rsid w:val="001C2069"/>
    <w:rsid w:val="001C547B"/>
    <w:rsid w:val="001C5DA3"/>
    <w:rsid w:val="001D03D7"/>
    <w:rsid w:val="00206D37"/>
    <w:rsid w:val="002139EB"/>
    <w:rsid w:val="00222830"/>
    <w:rsid w:val="00222E94"/>
    <w:rsid w:val="00234180"/>
    <w:rsid w:val="002351F2"/>
    <w:rsid w:val="0025444D"/>
    <w:rsid w:val="0026118F"/>
    <w:rsid w:val="00275C3B"/>
    <w:rsid w:val="002825DF"/>
    <w:rsid w:val="00295240"/>
    <w:rsid w:val="00297C13"/>
    <w:rsid w:val="002A0F3D"/>
    <w:rsid w:val="002A56A9"/>
    <w:rsid w:val="002A73EF"/>
    <w:rsid w:val="002B6B05"/>
    <w:rsid w:val="002C706E"/>
    <w:rsid w:val="002D233B"/>
    <w:rsid w:val="002E2F13"/>
    <w:rsid w:val="002E33AB"/>
    <w:rsid w:val="002E5537"/>
    <w:rsid w:val="003061CC"/>
    <w:rsid w:val="00306C26"/>
    <w:rsid w:val="003102A9"/>
    <w:rsid w:val="00310709"/>
    <w:rsid w:val="00320506"/>
    <w:rsid w:val="00322190"/>
    <w:rsid w:val="0033531E"/>
    <w:rsid w:val="00344F0D"/>
    <w:rsid w:val="00360844"/>
    <w:rsid w:val="003673F3"/>
    <w:rsid w:val="00382E3A"/>
    <w:rsid w:val="00395FD6"/>
    <w:rsid w:val="003B3D5E"/>
    <w:rsid w:val="003B40DC"/>
    <w:rsid w:val="003B4A01"/>
    <w:rsid w:val="003B4A8F"/>
    <w:rsid w:val="003B7963"/>
    <w:rsid w:val="003D4E37"/>
    <w:rsid w:val="003E76EA"/>
    <w:rsid w:val="00401C31"/>
    <w:rsid w:val="00413C88"/>
    <w:rsid w:val="00416F81"/>
    <w:rsid w:val="00422102"/>
    <w:rsid w:val="00424D9B"/>
    <w:rsid w:val="004313CB"/>
    <w:rsid w:val="00440095"/>
    <w:rsid w:val="00443CB6"/>
    <w:rsid w:val="004568A0"/>
    <w:rsid w:val="004712D7"/>
    <w:rsid w:val="004736EC"/>
    <w:rsid w:val="00486B90"/>
    <w:rsid w:val="00487C94"/>
    <w:rsid w:val="004A432B"/>
    <w:rsid w:val="004E2B35"/>
    <w:rsid w:val="004F4DFA"/>
    <w:rsid w:val="004F5750"/>
    <w:rsid w:val="004F57E7"/>
    <w:rsid w:val="004F67C5"/>
    <w:rsid w:val="00500060"/>
    <w:rsid w:val="00501F04"/>
    <w:rsid w:val="00506CDD"/>
    <w:rsid w:val="005155AC"/>
    <w:rsid w:val="005156FE"/>
    <w:rsid w:val="005173CD"/>
    <w:rsid w:val="00520EF0"/>
    <w:rsid w:val="0052719A"/>
    <w:rsid w:val="00530C4C"/>
    <w:rsid w:val="00531039"/>
    <w:rsid w:val="00542C43"/>
    <w:rsid w:val="0054427C"/>
    <w:rsid w:val="005448D5"/>
    <w:rsid w:val="00544C13"/>
    <w:rsid w:val="00553402"/>
    <w:rsid w:val="005558C4"/>
    <w:rsid w:val="00556FA2"/>
    <w:rsid w:val="00560C1A"/>
    <w:rsid w:val="005613A2"/>
    <w:rsid w:val="005619F9"/>
    <w:rsid w:val="00567804"/>
    <w:rsid w:val="00595E4F"/>
    <w:rsid w:val="00597CA4"/>
    <w:rsid w:val="00597F55"/>
    <w:rsid w:val="005A44BA"/>
    <w:rsid w:val="005B0D5A"/>
    <w:rsid w:val="005B2989"/>
    <w:rsid w:val="005B3766"/>
    <w:rsid w:val="005B63C9"/>
    <w:rsid w:val="005C529A"/>
    <w:rsid w:val="005C7B2C"/>
    <w:rsid w:val="005F1B27"/>
    <w:rsid w:val="005F7AD9"/>
    <w:rsid w:val="00601289"/>
    <w:rsid w:val="0061364A"/>
    <w:rsid w:val="0063454C"/>
    <w:rsid w:val="00635FDE"/>
    <w:rsid w:val="0064553D"/>
    <w:rsid w:val="0064672C"/>
    <w:rsid w:val="00653EC0"/>
    <w:rsid w:val="00671517"/>
    <w:rsid w:val="00676EA6"/>
    <w:rsid w:val="0069646A"/>
    <w:rsid w:val="006A7AEE"/>
    <w:rsid w:val="006C5D9A"/>
    <w:rsid w:val="006D4681"/>
    <w:rsid w:val="006D4A36"/>
    <w:rsid w:val="006E2737"/>
    <w:rsid w:val="006E6556"/>
    <w:rsid w:val="006F2F8F"/>
    <w:rsid w:val="006F5D67"/>
    <w:rsid w:val="00700726"/>
    <w:rsid w:val="00700E4E"/>
    <w:rsid w:val="0070173A"/>
    <w:rsid w:val="00706452"/>
    <w:rsid w:val="00707B5D"/>
    <w:rsid w:val="00712460"/>
    <w:rsid w:val="00715AF1"/>
    <w:rsid w:val="007161B4"/>
    <w:rsid w:val="007256DC"/>
    <w:rsid w:val="007266A1"/>
    <w:rsid w:val="00730979"/>
    <w:rsid w:val="00730C98"/>
    <w:rsid w:val="00736C6F"/>
    <w:rsid w:val="00747077"/>
    <w:rsid w:val="00751269"/>
    <w:rsid w:val="00752BB0"/>
    <w:rsid w:val="00753D8E"/>
    <w:rsid w:val="0076095B"/>
    <w:rsid w:val="007804E9"/>
    <w:rsid w:val="00783084"/>
    <w:rsid w:val="00797B7A"/>
    <w:rsid w:val="007A003B"/>
    <w:rsid w:val="007A7CF4"/>
    <w:rsid w:val="007D12F5"/>
    <w:rsid w:val="007E108B"/>
    <w:rsid w:val="007E16CC"/>
    <w:rsid w:val="007E6B90"/>
    <w:rsid w:val="007F46CE"/>
    <w:rsid w:val="00803267"/>
    <w:rsid w:val="0080438C"/>
    <w:rsid w:val="00807DA8"/>
    <w:rsid w:val="008258ED"/>
    <w:rsid w:val="008268BA"/>
    <w:rsid w:val="008421E3"/>
    <w:rsid w:val="00854D31"/>
    <w:rsid w:val="00860DF7"/>
    <w:rsid w:val="00864C21"/>
    <w:rsid w:val="00873D07"/>
    <w:rsid w:val="008831B2"/>
    <w:rsid w:val="0089368F"/>
    <w:rsid w:val="0089607B"/>
    <w:rsid w:val="008A2290"/>
    <w:rsid w:val="008A5C89"/>
    <w:rsid w:val="008A7E9A"/>
    <w:rsid w:val="008B433B"/>
    <w:rsid w:val="008E2DB9"/>
    <w:rsid w:val="008E70E2"/>
    <w:rsid w:val="009021C0"/>
    <w:rsid w:val="00902282"/>
    <w:rsid w:val="0091178C"/>
    <w:rsid w:val="00926AAD"/>
    <w:rsid w:val="00930EDF"/>
    <w:rsid w:val="00932034"/>
    <w:rsid w:val="009347C5"/>
    <w:rsid w:val="00937528"/>
    <w:rsid w:val="009420F8"/>
    <w:rsid w:val="00961F14"/>
    <w:rsid w:val="00967460"/>
    <w:rsid w:val="00971FD0"/>
    <w:rsid w:val="00975BD6"/>
    <w:rsid w:val="0098131A"/>
    <w:rsid w:val="009849B9"/>
    <w:rsid w:val="00992E61"/>
    <w:rsid w:val="00993916"/>
    <w:rsid w:val="00995A56"/>
    <w:rsid w:val="009B0C4F"/>
    <w:rsid w:val="009C2802"/>
    <w:rsid w:val="009C6C4F"/>
    <w:rsid w:val="009D7185"/>
    <w:rsid w:val="009E4056"/>
    <w:rsid w:val="009E4411"/>
    <w:rsid w:val="009E4ED9"/>
    <w:rsid w:val="009E6882"/>
    <w:rsid w:val="009F6827"/>
    <w:rsid w:val="00A06175"/>
    <w:rsid w:val="00A155D0"/>
    <w:rsid w:val="00A1655F"/>
    <w:rsid w:val="00A231FA"/>
    <w:rsid w:val="00A34C3B"/>
    <w:rsid w:val="00A34F71"/>
    <w:rsid w:val="00A40815"/>
    <w:rsid w:val="00A40A05"/>
    <w:rsid w:val="00A4760E"/>
    <w:rsid w:val="00A5003B"/>
    <w:rsid w:val="00A620AF"/>
    <w:rsid w:val="00A64FB8"/>
    <w:rsid w:val="00A74A87"/>
    <w:rsid w:val="00A87523"/>
    <w:rsid w:val="00AA4577"/>
    <w:rsid w:val="00AB24D0"/>
    <w:rsid w:val="00AC2EF7"/>
    <w:rsid w:val="00AC5693"/>
    <w:rsid w:val="00AE06E3"/>
    <w:rsid w:val="00AE2E6F"/>
    <w:rsid w:val="00AE6248"/>
    <w:rsid w:val="00AE7672"/>
    <w:rsid w:val="00AF2604"/>
    <w:rsid w:val="00AF4735"/>
    <w:rsid w:val="00B01BC6"/>
    <w:rsid w:val="00B03FEF"/>
    <w:rsid w:val="00B07B39"/>
    <w:rsid w:val="00B07BD2"/>
    <w:rsid w:val="00B1328B"/>
    <w:rsid w:val="00B148C8"/>
    <w:rsid w:val="00B15DB8"/>
    <w:rsid w:val="00B170A1"/>
    <w:rsid w:val="00B20F38"/>
    <w:rsid w:val="00B26759"/>
    <w:rsid w:val="00B32078"/>
    <w:rsid w:val="00B36913"/>
    <w:rsid w:val="00B36D00"/>
    <w:rsid w:val="00B44CA8"/>
    <w:rsid w:val="00B52633"/>
    <w:rsid w:val="00B53381"/>
    <w:rsid w:val="00B55F1C"/>
    <w:rsid w:val="00B6054E"/>
    <w:rsid w:val="00B75FE7"/>
    <w:rsid w:val="00B77E24"/>
    <w:rsid w:val="00BA35BF"/>
    <w:rsid w:val="00BA7BAF"/>
    <w:rsid w:val="00BA7FA8"/>
    <w:rsid w:val="00BC6DBC"/>
    <w:rsid w:val="00BC7E80"/>
    <w:rsid w:val="00BD6506"/>
    <w:rsid w:val="00BE485F"/>
    <w:rsid w:val="00BE7D72"/>
    <w:rsid w:val="00BF06BA"/>
    <w:rsid w:val="00BF07B5"/>
    <w:rsid w:val="00BF47BB"/>
    <w:rsid w:val="00C03C25"/>
    <w:rsid w:val="00C12E1C"/>
    <w:rsid w:val="00C137E6"/>
    <w:rsid w:val="00C15D64"/>
    <w:rsid w:val="00C16AC5"/>
    <w:rsid w:val="00C20A9B"/>
    <w:rsid w:val="00C20EAF"/>
    <w:rsid w:val="00C221FB"/>
    <w:rsid w:val="00C25DFF"/>
    <w:rsid w:val="00C272D7"/>
    <w:rsid w:val="00C33165"/>
    <w:rsid w:val="00C333B2"/>
    <w:rsid w:val="00C34F64"/>
    <w:rsid w:val="00C36CF7"/>
    <w:rsid w:val="00C44517"/>
    <w:rsid w:val="00C66DC9"/>
    <w:rsid w:val="00C7741F"/>
    <w:rsid w:val="00C82C5D"/>
    <w:rsid w:val="00CA37D6"/>
    <w:rsid w:val="00CB5BED"/>
    <w:rsid w:val="00CB644F"/>
    <w:rsid w:val="00CC34F3"/>
    <w:rsid w:val="00CC505C"/>
    <w:rsid w:val="00CD4737"/>
    <w:rsid w:val="00CE0AD9"/>
    <w:rsid w:val="00CF035F"/>
    <w:rsid w:val="00CF1CA9"/>
    <w:rsid w:val="00CF3842"/>
    <w:rsid w:val="00CF7DB1"/>
    <w:rsid w:val="00D0137B"/>
    <w:rsid w:val="00D033D4"/>
    <w:rsid w:val="00D1005C"/>
    <w:rsid w:val="00D33C7B"/>
    <w:rsid w:val="00D34671"/>
    <w:rsid w:val="00D50D96"/>
    <w:rsid w:val="00D536EF"/>
    <w:rsid w:val="00D55051"/>
    <w:rsid w:val="00D600C8"/>
    <w:rsid w:val="00D63BC5"/>
    <w:rsid w:val="00D64E7F"/>
    <w:rsid w:val="00D73751"/>
    <w:rsid w:val="00D749E5"/>
    <w:rsid w:val="00D74E46"/>
    <w:rsid w:val="00D805C6"/>
    <w:rsid w:val="00D91899"/>
    <w:rsid w:val="00DA1485"/>
    <w:rsid w:val="00DC325C"/>
    <w:rsid w:val="00DC7124"/>
    <w:rsid w:val="00DE29FE"/>
    <w:rsid w:val="00DE4E89"/>
    <w:rsid w:val="00DE7EF8"/>
    <w:rsid w:val="00E13B5F"/>
    <w:rsid w:val="00E15877"/>
    <w:rsid w:val="00E16318"/>
    <w:rsid w:val="00E209E8"/>
    <w:rsid w:val="00E25196"/>
    <w:rsid w:val="00E30795"/>
    <w:rsid w:val="00E35998"/>
    <w:rsid w:val="00E42604"/>
    <w:rsid w:val="00E47B53"/>
    <w:rsid w:val="00E64440"/>
    <w:rsid w:val="00E732A5"/>
    <w:rsid w:val="00E86BF0"/>
    <w:rsid w:val="00E90BEB"/>
    <w:rsid w:val="00E940E2"/>
    <w:rsid w:val="00EA10F9"/>
    <w:rsid w:val="00EA311F"/>
    <w:rsid w:val="00EA372F"/>
    <w:rsid w:val="00EA5804"/>
    <w:rsid w:val="00EB66F9"/>
    <w:rsid w:val="00EC5046"/>
    <w:rsid w:val="00EC7C82"/>
    <w:rsid w:val="00EE26C6"/>
    <w:rsid w:val="00EE29E1"/>
    <w:rsid w:val="00EF1179"/>
    <w:rsid w:val="00EF2714"/>
    <w:rsid w:val="00F01335"/>
    <w:rsid w:val="00F043A1"/>
    <w:rsid w:val="00F1468B"/>
    <w:rsid w:val="00F24541"/>
    <w:rsid w:val="00F3648B"/>
    <w:rsid w:val="00F4793B"/>
    <w:rsid w:val="00F55676"/>
    <w:rsid w:val="00F64E11"/>
    <w:rsid w:val="00F66E5C"/>
    <w:rsid w:val="00F70207"/>
    <w:rsid w:val="00F709E6"/>
    <w:rsid w:val="00F74A58"/>
    <w:rsid w:val="00F76A80"/>
    <w:rsid w:val="00F76D57"/>
    <w:rsid w:val="00F80E57"/>
    <w:rsid w:val="00F92100"/>
    <w:rsid w:val="00F9640C"/>
    <w:rsid w:val="00FA12F3"/>
    <w:rsid w:val="00FA364A"/>
    <w:rsid w:val="00FA6006"/>
    <w:rsid w:val="00FC18EC"/>
    <w:rsid w:val="00FC500B"/>
    <w:rsid w:val="00FD39B8"/>
    <w:rsid w:val="00FD79AC"/>
    <w:rsid w:val="00FE287E"/>
    <w:rsid w:val="00FE4DE0"/>
    <w:rsid w:val="00FE5448"/>
    <w:rsid w:val="03A46A23"/>
    <w:rsid w:val="03D648D7"/>
    <w:rsid w:val="06DE46EF"/>
    <w:rsid w:val="075F22BC"/>
    <w:rsid w:val="078B358F"/>
    <w:rsid w:val="081709C4"/>
    <w:rsid w:val="0ABB1D60"/>
    <w:rsid w:val="0C102777"/>
    <w:rsid w:val="0E5B0345"/>
    <w:rsid w:val="117E09BE"/>
    <w:rsid w:val="14AE78FC"/>
    <w:rsid w:val="16AC25F2"/>
    <w:rsid w:val="170532D4"/>
    <w:rsid w:val="18EF4E45"/>
    <w:rsid w:val="1AB81E7E"/>
    <w:rsid w:val="1B355290"/>
    <w:rsid w:val="1BBB0703"/>
    <w:rsid w:val="1DE22839"/>
    <w:rsid w:val="1E29713E"/>
    <w:rsid w:val="1EB11053"/>
    <w:rsid w:val="1F9D178F"/>
    <w:rsid w:val="20953DFA"/>
    <w:rsid w:val="20B269A7"/>
    <w:rsid w:val="216F1B3A"/>
    <w:rsid w:val="21842486"/>
    <w:rsid w:val="22177DFE"/>
    <w:rsid w:val="22C3481D"/>
    <w:rsid w:val="23057D3D"/>
    <w:rsid w:val="23927A0D"/>
    <w:rsid w:val="23ED3D54"/>
    <w:rsid w:val="23F22B88"/>
    <w:rsid w:val="271550B9"/>
    <w:rsid w:val="277FD624"/>
    <w:rsid w:val="29FB1FF0"/>
    <w:rsid w:val="29FB4325"/>
    <w:rsid w:val="2B295702"/>
    <w:rsid w:val="2B2A646F"/>
    <w:rsid w:val="2B65243A"/>
    <w:rsid w:val="2BEB4504"/>
    <w:rsid w:val="2C27783B"/>
    <w:rsid w:val="2CFA4E04"/>
    <w:rsid w:val="2E8823C8"/>
    <w:rsid w:val="307C26FF"/>
    <w:rsid w:val="308B654F"/>
    <w:rsid w:val="30E4374E"/>
    <w:rsid w:val="31303F97"/>
    <w:rsid w:val="31D7675F"/>
    <w:rsid w:val="3227588C"/>
    <w:rsid w:val="339A10EE"/>
    <w:rsid w:val="350D601C"/>
    <w:rsid w:val="376663A8"/>
    <w:rsid w:val="391630B7"/>
    <w:rsid w:val="39F9444F"/>
    <w:rsid w:val="3AC51570"/>
    <w:rsid w:val="3B95274A"/>
    <w:rsid w:val="3D272681"/>
    <w:rsid w:val="3DD23301"/>
    <w:rsid w:val="3E1D056B"/>
    <w:rsid w:val="3E75253C"/>
    <w:rsid w:val="3E799860"/>
    <w:rsid w:val="3FB62687"/>
    <w:rsid w:val="40505535"/>
    <w:rsid w:val="44951F8B"/>
    <w:rsid w:val="44E4341C"/>
    <w:rsid w:val="45A57C5C"/>
    <w:rsid w:val="47386E65"/>
    <w:rsid w:val="47F85F3C"/>
    <w:rsid w:val="48773A0D"/>
    <w:rsid w:val="48AC74A2"/>
    <w:rsid w:val="4AC5234C"/>
    <w:rsid w:val="4B6A5CD6"/>
    <w:rsid w:val="4BB52B12"/>
    <w:rsid w:val="4FBF5D0D"/>
    <w:rsid w:val="52163191"/>
    <w:rsid w:val="534D70DC"/>
    <w:rsid w:val="544D717E"/>
    <w:rsid w:val="55105C52"/>
    <w:rsid w:val="592119C7"/>
    <w:rsid w:val="59B54B90"/>
    <w:rsid w:val="5B9242D5"/>
    <w:rsid w:val="5DB86A42"/>
    <w:rsid w:val="617B4B44"/>
    <w:rsid w:val="618E661B"/>
    <w:rsid w:val="632C0B1A"/>
    <w:rsid w:val="649436F4"/>
    <w:rsid w:val="6551675D"/>
    <w:rsid w:val="671C704A"/>
    <w:rsid w:val="698A4666"/>
    <w:rsid w:val="6C597C70"/>
    <w:rsid w:val="6E145461"/>
    <w:rsid w:val="6E437CF4"/>
    <w:rsid w:val="6F4F4560"/>
    <w:rsid w:val="6F54601A"/>
    <w:rsid w:val="71D96859"/>
    <w:rsid w:val="72977142"/>
    <w:rsid w:val="735A4016"/>
    <w:rsid w:val="75AD486B"/>
    <w:rsid w:val="76F971C0"/>
    <w:rsid w:val="785C1F6E"/>
    <w:rsid w:val="78BD1D12"/>
    <w:rsid w:val="7A820227"/>
    <w:rsid w:val="7AC06B13"/>
    <w:rsid w:val="7B1320FB"/>
    <w:rsid w:val="7B5E799F"/>
    <w:rsid w:val="7BCE0222"/>
    <w:rsid w:val="7D8349B7"/>
    <w:rsid w:val="7E481FBB"/>
    <w:rsid w:val="7F7676A4"/>
    <w:rsid w:val="7FC424CD"/>
    <w:rsid w:val="7FD62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3">
    <w:name w:val="annotation text"/>
    <w:basedOn w:val="1"/>
    <w:link w:val="24"/>
    <w:semiHidden/>
    <w:unhideWhenUsed/>
    <w:qFormat/>
    <w:uiPriority w:val="99"/>
    <w:pPr>
      <w:jc w:val="left"/>
    </w:pPr>
  </w:style>
  <w:style w:type="paragraph" w:styleId="4">
    <w:name w:val="Body Text"/>
    <w:basedOn w:val="1"/>
    <w:next w:val="1"/>
    <w:link w:val="20"/>
    <w:qFormat/>
    <w:uiPriority w:val="0"/>
    <w:pPr>
      <w:jc w:val="center"/>
    </w:pPr>
    <w:rPr>
      <w:sz w:val="44"/>
    </w:rPr>
  </w:style>
  <w:style w:type="paragraph" w:styleId="5">
    <w:name w:val="Plain Text"/>
    <w:basedOn w:val="1"/>
    <w:next w:val="1"/>
    <w:qFormat/>
    <w:uiPriority w:val="0"/>
    <w:rPr>
      <w:rFonts w:ascii="宋体" w:hAnsi="Courier New"/>
      <w:szCs w:val="20"/>
    </w:rPr>
  </w:style>
  <w:style w:type="paragraph" w:styleId="6">
    <w:name w:val="Date"/>
    <w:basedOn w:val="1"/>
    <w:next w:val="1"/>
    <w:link w:val="22"/>
    <w:qFormat/>
    <w:uiPriority w:val="99"/>
    <w:pPr>
      <w:ind w:left="100" w:leftChars="2500"/>
    </w:pPr>
  </w:style>
  <w:style w:type="paragraph" w:styleId="7">
    <w:name w:val="Body Text Indent 2"/>
    <w:basedOn w:val="1"/>
    <w:next w:val="8"/>
    <w:link w:val="21"/>
    <w:unhideWhenUsed/>
    <w:qFormat/>
    <w:uiPriority w:val="0"/>
    <w:pPr>
      <w:spacing w:after="120" w:line="480" w:lineRule="auto"/>
      <w:ind w:left="420" w:leftChars="200"/>
    </w:pPr>
  </w:style>
  <w:style w:type="paragraph" w:customStyle="1" w:styleId="8">
    <w:name w:val="简单回函地址"/>
    <w:next w:val="9"/>
    <w:qFormat/>
    <w:uiPriority w:val="0"/>
    <w:pPr>
      <w:widowControl w:val="0"/>
      <w:jc w:val="both"/>
    </w:pPr>
    <w:rPr>
      <w:rFonts w:ascii="Calibri" w:hAnsi="Calibri" w:eastAsia="宋体" w:cs="Times New Roman"/>
      <w:kern w:val="2"/>
      <w:sz w:val="21"/>
      <w:szCs w:val="24"/>
      <w:lang w:val="en-US" w:eastAsia="zh-CN" w:bidi="ar-SA"/>
    </w:rPr>
  </w:style>
  <w:style w:type="paragraph" w:customStyle="1" w:styleId="9">
    <w:name w:val="正文2"/>
    <w:basedOn w:val="1"/>
    <w:qFormat/>
    <w:uiPriority w:val="0"/>
    <w:pPr>
      <w:spacing w:line="360" w:lineRule="auto"/>
      <w:ind w:firstLine="200" w:firstLineChars="200"/>
    </w:pPr>
    <w:rPr>
      <w:sz w:val="24"/>
    </w:rPr>
  </w:style>
  <w:style w:type="paragraph" w:styleId="10">
    <w:name w:val="Balloon Text"/>
    <w:basedOn w:val="1"/>
    <w:link w:val="26"/>
    <w:semiHidden/>
    <w:unhideWhenUsed/>
    <w:qFormat/>
    <w:uiPriority w:val="99"/>
    <w:rPr>
      <w:sz w:val="18"/>
      <w:szCs w:val="18"/>
    </w:rPr>
  </w:style>
  <w:style w:type="paragraph" w:styleId="11">
    <w:name w:val="footer"/>
    <w:basedOn w:val="1"/>
    <w:link w:val="1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Normal (Web)"/>
    <w:basedOn w:val="1"/>
    <w:unhideWhenUsed/>
    <w:qFormat/>
    <w:uiPriority w:val="99"/>
    <w:rPr>
      <w:sz w:val="24"/>
    </w:rPr>
  </w:style>
  <w:style w:type="paragraph" w:styleId="13">
    <w:name w:val="Title"/>
    <w:basedOn w:val="1"/>
    <w:qFormat/>
    <w:uiPriority w:val="0"/>
    <w:pPr>
      <w:spacing w:line="440" w:lineRule="atLeast"/>
      <w:jc w:val="left"/>
      <w:outlineLvl w:val="0"/>
    </w:pPr>
    <w:rPr>
      <w:rFonts w:ascii="宋体" w:hAnsi="Arial"/>
      <w:b/>
      <w:sz w:val="24"/>
      <w:szCs w:val="20"/>
    </w:rPr>
  </w:style>
  <w:style w:type="paragraph" w:styleId="14">
    <w:name w:val="annotation subject"/>
    <w:basedOn w:val="3"/>
    <w:next w:val="3"/>
    <w:link w:val="25"/>
    <w:semiHidden/>
    <w:unhideWhenUsed/>
    <w:qFormat/>
    <w:uiPriority w:val="99"/>
    <w:rPr>
      <w:b/>
      <w:bCs/>
    </w:rPr>
  </w:style>
  <w:style w:type="character" w:styleId="17">
    <w:name w:val="annotation reference"/>
    <w:basedOn w:val="16"/>
    <w:semiHidden/>
    <w:unhideWhenUsed/>
    <w:qFormat/>
    <w:uiPriority w:val="99"/>
    <w:rPr>
      <w:sz w:val="21"/>
      <w:szCs w:val="21"/>
    </w:rPr>
  </w:style>
  <w:style w:type="character" w:customStyle="1" w:styleId="18">
    <w:name w:val="页眉 Char"/>
    <w:basedOn w:val="16"/>
    <w:link w:val="2"/>
    <w:qFormat/>
    <w:uiPriority w:val="99"/>
    <w:rPr>
      <w:sz w:val="18"/>
      <w:szCs w:val="18"/>
    </w:rPr>
  </w:style>
  <w:style w:type="character" w:customStyle="1" w:styleId="19">
    <w:name w:val="页脚 Char"/>
    <w:basedOn w:val="16"/>
    <w:link w:val="11"/>
    <w:qFormat/>
    <w:uiPriority w:val="99"/>
    <w:rPr>
      <w:sz w:val="18"/>
      <w:szCs w:val="18"/>
    </w:rPr>
  </w:style>
  <w:style w:type="character" w:customStyle="1" w:styleId="20">
    <w:name w:val="正文文本 Char"/>
    <w:basedOn w:val="16"/>
    <w:link w:val="4"/>
    <w:qFormat/>
    <w:uiPriority w:val="0"/>
    <w:rPr>
      <w:rFonts w:ascii="Times New Roman" w:hAnsi="Times New Roman" w:eastAsia="仿宋_GB2312" w:cs="Times New Roman"/>
      <w:sz w:val="44"/>
      <w:szCs w:val="24"/>
    </w:rPr>
  </w:style>
  <w:style w:type="character" w:customStyle="1" w:styleId="21">
    <w:name w:val="正文文本缩进 2 Char"/>
    <w:basedOn w:val="16"/>
    <w:link w:val="7"/>
    <w:semiHidden/>
    <w:qFormat/>
    <w:uiPriority w:val="99"/>
    <w:rPr>
      <w:rFonts w:ascii="Times New Roman" w:hAnsi="Times New Roman" w:eastAsia="仿宋_GB2312" w:cs="Times New Roman"/>
      <w:sz w:val="32"/>
      <w:szCs w:val="24"/>
    </w:rPr>
  </w:style>
  <w:style w:type="character" w:customStyle="1" w:styleId="22">
    <w:name w:val="日期 Char"/>
    <w:basedOn w:val="16"/>
    <w:link w:val="6"/>
    <w:qFormat/>
    <w:uiPriority w:val="99"/>
    <w:rPr>
      <w:rFonts w:ascii="Times New Roman" w:hAnsi="Times New Roman" w:eastAsia="仿宋_GB2312" w:cs="Times New Roman"/>
      <w:sz w:val="32"/>
      <w:szCs w:val="24"/>
    </w:rPr>
  </w:style>
  <w:style w:type="paragraph" w:styleId="23">
    <w:name w:val="List Paragraph"/>
    <w:basedOn w:val="1"/>
    <w:qFormat/>
    <w:uiPriority w:val="34"/>
    <w:pPr>
      <w:ind w:firstLine="420" w:firstLineChars="200"/>
    </w:pPr>
  </w:style>
  <w:style w:type="character" w:customStyle="1" w:styleId="24">
    <w:name w:val="批注文字 Char"/>
    <w:basedOn w:val="16"/>
    <w:link w:val="3"/>
    <w:semiHidden/>
    <w:qFormat/>
    <w:uiPriority w:val="99"/>
    <w:rPr>
      <w:rFonts w:ascii="Times New Roman" w:hAnsi="Times New Roman" w:eastAsia="仿宋_GB2312" w:cs="Times New Roman"/>
      <w:sz w:val="32"/>
      <w:szCs w:val="24"/>
    </w:rPr>
  </w:style>
  <w:style w:type="character" w:customStyle="1" w:styleId="25">
    <w:name w:val="批注主题 Char"/>
    <w:basedOn w:val="24"/>
    <w:link w:val="14"/>
    <w:semiHidden/>
    <w:qFormat/>
    <w:uiPriority w:val="99"/>
    <w:rPr>
      <w:rFonts w:ascii="Times New Roman" w:hAnsi="Times New Roman" w:eastAsia="仿宋_GB2312" w:cs="Times New Roman"/>
      <w:b/>
      <w:bCs/>
      <w:sz w:val="32"/>
      <w:szCs w:val="24"/>
    </w:rPr>
  </w:style>
  <w:style w:type="character" w:customStyle="1" w:styleId="26">
    <w:name w:val="批注框文本 Char"/>
    <w:basedOn w:val="16"/>
    <w:link w:val="10"/>
    <w:semiHidden/>
    <w:qFormat/>
    <w:uiPriority w:val="99"/>
    <w:rPr>
      <w:rFonts w:ascii="Times New Roman" w:hAnsi="Times New Roman" w:eastAsia="仿宋_GB2312" w:cs="Times New Roman"/>
      <w:sz w:val="18"/>
      <w:szCs w:val="18"/>
    </w:rPr>
  </w:style>
  <w:style w:type="paragraph" w:customStyle="1" w:styleId="27">
    <w:name w:val="表格"/>
    <w:qFormat/>
    <w:uiPriority w:val="0"/>
    <w:pPr>
      <w:spacing w:line="240" w:lineRule="auto"/>
      <w:ind w:left="0" w:right="0" w:firstLine="0" w:firstLineChars="0"/>
      <w:jc w:val="center"/>
    </w:pPr>
    <w:rPr>
      <w:rFonts w:ascii="Times New Roman" w:hAnsi="Times New Roman" w:eastAsia="宋体" w:cs="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43b3f741-7ec8-42ff-956e-7cd06ee47b27</errorID>
      <errorWord xmlns="http://schemas.wps.cn/vas-ai-hub/contract-review">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程中</item>
      </candidateList>
      <explain xmlns="http://schemas.wps.cn/vas-ai-hub/contract-review"/>
      <paraID xmlns="http://schemas.wps.cn/vas-ai-hub/contract-review">109B5CE6</paraID>
      <start xmlns="http://schemas.wps.cn/vas-ai-hub/contract-review">154</start>
      <end xmlns="http://schemas.wps.cn/vas-ai-hub/contract-review">156</end>
      <status xmlns="http://schemas.wps.cn/vas-ai-hub/contract-review">modified</status>
      <modifiedWord xmlns="http://schemas.wps.cn/vas-ai-hub/contract-review">程中</modifiedWord>
      <trackRevisions xmlns="http://schemas.wps.cn/vas-ai-hub/contract-review">false</trackRevisions>
    </reviewItem>
    <reviewItem xmlns="http://schemas.wps.cn/vas-ai-hub/contract-review">
      <errorID xmlns="http://schemas.wps.cn/vas-ai-hub/contract-review">b293657d-e031-4a2f-8985-9a7a959d3fc7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66859A0D</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574e6ea6-a859-4794-8fa9-239b33d9cad2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3ABFDD06</paraID>
      <start xmlns="http://schemas.wps.cn/vas-ai-hub/contract-review">449</start>
      <end xmlns="http://schemas.wps.cn/vas-ai-hub/contract-review">451</end>
      <status xmlns="http://schemas.wps.cn/vas-ai-hub/contract-review">modified</status>
      <modifiedWord xmlns="http://schemas.wps.cn/vas-ai-hub/contract-review">）和</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8fc47e-34cb-4dee-9904-b392d2b037a6}">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2752</Words>
  <Characters>2939</Characters>
  <Lines>20</Lines>
  <Paragraphs>5</Paragraphs>
  <TotalTime>1</TotalTime>
  <ScaleCrop>false</ScaleCrop>
  <LinksUpToDate>false</LinksUpToDate>
  <CharactersWithSpaces>2939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2024-05-24T09:01:00Z</dcterms:created>
  <dc:creator>ASUS</dc:creator>
  <cp:lastModifiedBy>郭丽娜</cp:lastModifiedBy>
  <cp:lastPrinted>2026-07-01T15:40:00Z</cp:lastPrinted>
  <dcterms:modified xsi:type="dcterms:W3CDTF">2026-08-28T02:39:05Z</dcterms:modified>
  <cp:revision>618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eyJoZGlkIjoiYTA0OTFiNTllN2E3YTc2MDc5ZTIwYTg0ZjFlZjFlMWQiLCJ1c2VySWQiOiIzNzMyMDUyODEifQ==</vt:lpwstr>
  </property>
  <property fmtid="{D5CDD505-2E9C-101B-9397-08002B2CF9AE}" pid="4" name="ICV">
    <vt:lpwstr>17E7C1C74C344E60BF214027DBF249C0_13</vt:lpwstr>
  </property>
</Properties>
</file>