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6F72B">
      <w:pPr>
        <w:pStyle w:val="15"/>
        <w:widowControl w:val="0"/>
        <w:adjustRightInd w:val="0"/>
        <w:snapToGrid w:val="0"/>
        <w:spacing w:line="600" w:lineRule="exact"/>
        <w:jc w:val="left"/>
        <w:rPr>
          <w:rFonts w:hint="eastAsia" w:ascii="宋体" w:hAnsi="宋体" w:eastAsia="宋体" w:cs="宋体"/>
          <w:color w:val="auto"/>
          <w:kern w:val="2"/>
          <w:sz w:val="44"/>
          <w:szCs w:val="44"/>
        </w:rPr>
      </w:pPr>
    </w:p>
    <w:p w14:paraId="260DADC0">
      <w:pPr>
        <w:pStyle w:val="15"/>
        <w:widowControl w:val="0"/>
        <w:adjustRightInd w:val="0"/>
        <w:snapToGrid w:val="0"/>
        <w:spacing w:line="600" w:lineRule="exact"/>
        <w:rPr>
          <w:rFonts w:hint="eastAsia" w:ascii="宋体" w:hAnsi="宋体" w:eastAsia="宋体" w:cs="宋体"/>
          <w:color w:val="auto"/>
          <w:kern w:val="2"/>
          <w:sz w:val="44"/>
          <w:szCs w:val="44"/>
        </w:rPr>
      </w:pPr>
      <w:r>
        <w:rPr>
          <w:rFonts w:hint="eastAsia" w:ascii="宋体" w:hAnsi="宋体" w:eastAsia="宋体" w:cs="宋体"/>
          <w:color w:val="auto"/>
          <w:kern w:val="2"/>
          <w:sz w:val="44"/>
          <w:szCs w:val="44"/>
        </w:rPr>
        <w:t>曲靖市人民政府关于废止部分规范性文件和</w:t>
      </w:r>
    </w:p>
    <w:p w14:paraId="1FAA3461">
      <w:pPr>
        <w:pStyle w:val="15"/>
        <w:widowControl w:val="0"/>
        <w:adjustRightInd w:val="0"/>
        <w:snapToGrid w:val="0"/>
        <w:spacing w:line="600" w:lineRule="exact"/>
        <w:rPr>
          <w:rFonts w:hint="eastAsia" w:ascii="宋体" w:hAnsi="宋体" w:eastAsia="宋体" w:cs="宋体"/>
          <w:color w:val="auto"/>
          <w:kern w:val="2"/>
          <w:sz w:val="44"/>
          <w:szCs w:val="44"/>
        </w:rPr>
      </w:pPr>
      <w:r>
        <w:rPr>
          <w:rFonts w:hint="eastAsia" w:ascii="宋体" w:hAnsi="宋体" w:eastAsia="宋体" w:cs="宋体"/>
          <w:color w:val="auto"/>
          <w:kern w:val="2"/>
          <w:sz w:val="44"/>
          <w:szCs w:val="44"/>
        </w:rPr>
        <w:t>政策措施</w:t>
      </w:r>
      <w:r>
        <w:rPr>
          <w:rFonts w:hint="eastAsia" w:ascii="宋体" w:hAnsi="宋体" w:eastAsia="宋体" w:cs="宋体"/>
          <w:color w:val="auto"/>
          <w:kern w:val="2"/>
          <w:sz w:val="44"/>
          <w:szCs w:val="44"/>
          <w:lang w:eastAsia="zh-CN"/>
        </w:rPr>
        <w:t>（第</w:t>
      </w:r>
      <w:r>
        <w:rPr>
          <w:rFonts w:hint="eastAsia" w:ascii="宋体" w:hAnsi="宋体" w:eastAsia="宋体" w:cs="宋体"/>
          <w:color w:val="auto"/>
          <w:kern w:val="2"/>
          <w:sz w:val="44"/>
          <w:szCs w:val="44"/>
        </w:rPr>
        <w:t>二批)的决定</w:t>
      </w:r>
    </w:p>
    <w:p w14:paraId="11F63685">
      <w:pPr>
        <w:pStyle w:val="15"/>
        <w:widowControl w:val="0"/>
        <w:adjustRightInd w:val="0"/>
        <w:snapToGrid w:val="0"/>
        <w:spacing w:line="600" w:lineRule="exact"/>
        <w:rPr>
          <w:rFonts w:hint="eastAsia" w:ascii="仿宋_GB2312" w:hAnsi="仿宋_GB2312" w:eastAsia="仿宋_GB2312" w:cs="仿宋_GB2312"/>
          <w:color w:val="auto"/>
          <w:kern w:val="2"/>
          <w:sz w:val="32"/>
          <w:szCs w:val="32"/>
          <w:shd w:val="clear" w:color="auto" w:fill="FFFFFF"/>
        </w:rPr>
      </w:pPr>
      <w:r>
        <w:rPr>
          <w:rFonts w:hint="eastAsia" w:ascii="仿宋_GB2312" w:hAnsi="仿宋_GB2312" w:eastAsia="仿宋_GB2312" w:cs="仿宋_GB2312"/>
          <w:color w:val="auto"/>
          <w:kern w:val="2"/>
          <w:sz w:val="32"/>
          <w:szCs w:val="32"/>
          <w:shd w:val="clear" w:color="auto" w:fill="FFFFFF"/>
        </w:rPr>
        <w:t>曲靖市人民政府令第18号</w:t>
      </w:r>
    </w:p>
    <w:p w14:paraId="20CC222B">
      <w:pPr>
        <w:pStyle w:val="15"/>
        <w:widowControl w:val="0"/>
        <w:wordWrap w:val="0"/>
        <w:adjustRightInd w:val="0"/>
        <w:snapToGrid w:val="0"/>
        <w:spacing w:line="600" w:lineRule="exact"/>
        <w:ind w:firstLine="620" w:firstLineChars="200"/>
        <w:jc w:val="right"/>
        <w:rPr>
          <w:rFonts w:ascii="Times New Roman" w:hAnsi="Times New Roman" w:eastAsia="仿宋_GB2312"/>
          <w:color w:val="222222"/>
          <w:sz w:val="31"/>
          <w:szCs w:val="31"/>
          <w:shd w:val="clear" w:color="auto" w:fill="FFFFFF"/>
        </w:rPr>
      </w:pPr>
    </w:p>
    <w:p w14:paraId="35F663F1">
      <w:pPr>
        <w:pStyle w:val="15"/>
        <w:widowControl w:val="0"/>
        <w:adjustRightInd w:val="0"/>
        <w:snapToGrid w:val="0"/>
        <w:spacing w:line="600" w:lineRule="exact"/>
        <w:ind w:firstLine="620" w:firstLineChars="200"/>
        <w:jc w:val="left"/>
        <w:rPr>
          <w:rFonts w:ascii="Times New Roman" w:hAnsi="Times New Roman" w:eastAsia="仿宋_GB2312"/>
          <w:color w:val="222222"/>
          <w:sz w:val="31"/>
          <w:szCs w:val="31"/>
          <w:shd w:val="clear" w:color="auto" w:fill="FFFFFF"/>
        </w:rPr>
      </w:pPr>
      <w:r>
        <w:rPr>
          <w:rFonts w:ascii="Times New Roman" w:hAnsi="Times New Roman" w:eastAsia="仿宋_GB2312"/>
          <w:color w:val="222222"/>
          <w:sz w:val="31"/>
          <w:szCs w:val="31"/>
          <w:shd w:val="clear" w:color="auto" w:fill="FFFFFF"/>
        </w:rPr>
        <w:t>《曲靖市人民政府关于废止部分规范性文件和政策措施</w:t>
      </w:r>
      <w:r>
        <w:rPr>
          <w:rFonts w:hint="eastAsia" w:ascii="Times New Roman" w:hAnsi="Times New Roman" w:eastAsia="仿宋_GB2312"/>
          <w:color w:val="222222"/>
          <w:sz w:val="31"/>
          <w:szCs w:val="31"/>
          <w:shd w:val="clear" w:color="auto" w:fill="FFFFFF"/>
          <w:lang w:eastAsia="zh-CN"/>
        </w:rPr>
        <w:t>（第</w:t>
      </w:r>
      <w:r>
        <w:rPr>
          <w:rFonts w:ascii="Times New Roman" w:hAnsi="Times New Roman" w:eastAsia="仿宋_GB2312"/>
          <w:color w:val="222222"/>
          <w:sz w:val="31"/>
          <w:szCs w:val="31"/>
          <w:shd w:val="clear" w:color="auto" w:fill="FFFFFF"/>
        </w:rPr>
        <w:t>二批)的决定》已经2002年8月21日市人民政府第43次常务会议通过，现予公布。</w:t>
      </w:r>
    </w:p>
    <w:p w14:paraId="4C97E746">
      <w:pPr>
        <w:pStyle w:val="15"/>
        <w:widowControl w:val="0"/>
        <w:adjustRightInd w:val="0"/>
        <w:snapToGrid w:val="0"/>
        <w:spacing w:line="600" w:lineRule="exact"/>
        <w:ind w:firstLine="620" w:firstLineChars="200"/>
        <w:jc w:val="left"/>
        <w:rPr>
          <w:rFonts w:ascii="Times New Roman" w:hAnsi="Times New Roman" w:eastAsia="仿宋_GB2312"/>
          <w:color w:val="222222"/>
          <w:sz w:val="31"/>
          <w:szCs w:val="31"/>
          <w:shd w:val="clear" w:color="auto" w:fill="FFFFFF"/>
        </w:rPr>
      </w:pPr>
    </w:p>
    <w:p w14:paraId="12DB2165">
      <w:pPr>
        <w:pStyle w:val="15"/>
        <w:widowControl w:val="0"/>
        <w:adjustRightInd w:val="0"/>
        <w:snapToGrid w:val="0"/>
        <w:spacing w:line="600" w:lineRule="exact"/>
        <w:ind w:firstLine="620" w:firstLineChars="200"/>
        <w:jc w:val="left"/>
        <w:rPr>
          <w:rFonts w:ascii="Times New Roman" w:hAnsi="Times New Roman" w:eastAsia="仿宋_GB2312"/>
          <w:color w:val="222222"/>
          <w:sz w:val="31"/>
          <w:szCs w:val="31"/>
          <w:shd w:val="clear" w:color="auto" w:fill="FFFFFF"/>
        </w:rPr>
      </w:pPr>
    </w:p>
    <w:p w14:paraId="46B95E12">
      <w:pPr>
        <w:pStyle w:val="15"/>
        <w:widowControl w:val="0"/>
        <w:adjustRightInd w:val="0"/>
        <w:snapToGrid w:val="0"/>
        <w:spacing w:line="600" w:lineRule="exact"/>
        <w:ind w:firstLine="640" w:firstLineChars="200"/>
        <w:rPr>
          <w:rFonts w:ascii="Times New Roman" w:hAnsi="Times New Roman" w:eastAsia="仿宋_GB2312"/>
          <w:color w:val="333333"/>
          <w:kern w:val="2"/>
          <w:sz w:val="32"/>
          <w:szCs w:val="32"/>
          <w:shd w:val="clear" w:color="auto" w:fill="FFFFFF"/>
        </w:rPr>
      </w:pPr>
      <w:r>
        <w:rPr>
          <w:rFonts w:hint="eastAsia" w:ascii="Times New Roman" w:hAnsi="Times New Roman" w:eastAsia="仿宋_GB2312"/>
          <w:color w:val="333333"/>
          <w:kern w:val="2"/>
          <w:sz w:val="32"/>
          <w:szCs w:val="32"/>
          <w:shd w:val="clear" w:color="auto" w:fill="FFFFFF"/>
        </w:rPr>
        <w:t xml:space="preserve">                                市  长                 </w:t>
      </w:r>
    </w:p>
    <w:p w14:paraId="3A3F340D">
      <w:pPr>
        <w:pStyle w:val="15"/>
        <w:widowControl w:val="0"/>
        <w:adjustRightInd w:val="0"/>
        <w:snapToGrid w:val="0"/>
        <w:spacing w:line="600" w:lineRule="exact"/>
        <w:ind w:firstLine="640" w:firstLineChars="200"/>
        <w:jc w:val="right"/>
        <w:rPr>
          <w:rFonts w:ascii="Times New Roman" w:hAnsi="Times New Roman" w:eastAsia="仿宋_GB2312"/>
          <w:color w:val="333333"/>
          <w:kern w:val="2"/>
          <w:sz w:val="32"/>
          <w:szCs w:val="32"/>
          <w:shd w:val="clear" w:color="auto" w:fill="FFFFFF"/>
        </w:rPr>
      </w:pPr>
      <w:r>
        <w:rPr>
          <w:rFonts w:hint="eastAsia" w:ascii="Times New Roman" w:hAnsi="Times New Roman" w:eastAsia="仿宋_GB2312"/>
          <w:color w:val="333333"/>
          <w:kern w:val="2"/>
          <w:sz w:val="32"/>
          <w:szCs w:val="32"/>
          <w:shd w:val="clear" w:color="auto" w:fill="FFFFFF"/>
        </w:rPr>
        <w:t xml:space="preserve">                   2</w:t>
      </w:r>
      <w:r>
        <w:rPr>
          <w:rFonts w:ascii="Times New Roman" w:hAnsi="Times New Roman" w:eastAsia="仿宋_GB2312"/>
          <w:color w:val="333333"/>
          <w:kern w:val="2"/>
          <w:sz w:val="32"/>
          <w:szCs w:val="32"/>
          <w:shd w:val="clear" w:color="auto" w:fill="FFFFFF"/>
        </w:rPr>
        <w:t>0</w:t>
      </w:r>
      <w:r>
        <w:rPr>
          <w:rFonts w:hint="eastAsia" w:ascii="Times New Roman" w:hAnsi="Times New Roman" w:eastAsia="仿宋_GB2312"/>
          <w:color w:val="333333"/>
          <w:kern w:val="2"/>
          <w:sz w:val="32"/>
          <w:szCs w:val="32"/>
          <w:shd w:val="clear" w:color="auto" w:fill="FFFFFF"/>
        </w:rPr>
        <w:t>02</w:t>
      </w:r>
      <w:r>
        <w:rPr>
          <w:rFonts w:ascii="Times New Roman" w:hAnsi="Times New Roman" w:eastAsia="仿宋_GB2312"/>
          <w:color w:val="333333"/>
          <w:kern w:val="2"/>
          <w:sz w:val="32"/>
          <w:szCs w:val="32"/>
          <w:shd w:val="clear" w:color="auto" w:fill="FFFFFF"/>
        </w:rPr>
        <w:t>年</w:t>
      </w:r>
      <w:r>
        <w:rPr>
          <w:rFonts w:hint="eastAsia" w:ascii="Times New Roman" w:hAnsi="Times New Roman" w:eastAsia="仿宋_GB2312"/>
          <w:color w:val="333333"/>
          <w:kern w:val="2"/>
          <w:sz w:val="32"/>
          <w:szCs w:val="32"/>
          <w:shd w:val="clear" w:color="auto" w:fill="FFFFFF"/>
        </w:rPr>
        <w:t>12</w:t>
      </w:r>
      <w:r>
        <w:rPr>
          <w:rFonts w:ascii="Times New Roman" w:hAnsi="Times New Roman" w:eastAsia="仿宋_GB2312"/>
          <w:color w:val="333333"/>
          <w:kern w:val="2"/>
          <w:sz w:val="32"/>
          <w:szCs w:val="32"/>
          <w:shd w:val="clear" w:color="auto" w:fill="FFFFFF"/>
        </w:rPr>
        <w:t>月</w:t>
      </w:r>
      <w:r>
        <w:rPr>
          <w:rFonts w:hint="eastAsia" w:ascii="Times New Roman" w:hAnsi="Times New Roman" w:eastAsia="仿宋_GB2312"/>
          <w:color w:val="333333"/>
          <w:kern w:val="2"/>
          <w:sz w:val="32"/>
          <w:szCs w:val="32"/>
          <w:shd w:val="clear" w:color="auto" w:fill="FFFFFF"/>
        </w:rPr>
        <w:t>22</w:t>
      </w:r>
      <w:r>
        <w:rPr>
          <w:rFonts w:ascii="Times New Roman" w:hAnsi="Times New Roman" w:eastAsia="仿宋_GB2312"/>
          <w:color w:val="333333"/>
          <w:kern w:val="2"/>
          <w:sz w:val="32"/>
          <w:szCs w:val="32"/>
          <w:shd w:val="clear" w:color="auto" w:fill="FFFFFF"/>
        </w:rPr>
        <w:t>日</w:t>
      </w:r>
      <w:r>
        <w:rPr>
          <w:rFonts w:hint="eastAsia" w:ascii="Times New Roman" w:hAnsi="Times New Roman" w:eastAsia="仿宋_GB2312"/>
          <w:color w:val="333333"/>
          <w:kern w:val="2"/>
          <w:sz w:val="32"/>
          <w:szCs w:val="32"/>
          <w:shd w:val="clear" w:color="auto" w:fill="FFFFFF"/>
        </w:rPr>
        <w:t xml:space="preserve">        </w:t>
      </w:r>
    </w:p>
    <w:p w14:paraId="220EAD35">
      <w:pPr>
        <w:pStyle w:val="16"/>
        <w:widowControl w:val="0"/>
        <w:snapToGrid w:val="0"/>
        <w:spacing w:line="580" w:lineRule="exact"/>
        <w:ind w:firstLine="640" w:firstLineChars="200"/>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（此件公开发布）</w:t>
      </w:r>
    </w:p>
    <w:p w14:paraId="32955C30">
      <w:pPr>
        <w:pStyle w:val="16"/>
        <w:widowControl w:val="0"/>
        <w:snapToGrid w:val="0"/>
        <w:spacing w:line="580" w:lineRule="exact"/>
        <w:jc w:val="center"/>
        <w:rPr>
          <w:rFonts w:hint="eastAsia" w:ascii="仿宋_GB2312" w:hAnsi="仿宋_GB2312" w:eastAsia="仿宋_GB2312" w:cs="仿宋_GB2312"/>
          <w:color w:val="333333"/>
          <w:kern w:val="2"/>
          <w:sz w:val="32"/>
          <w:szCs w:val="32"/>
          <w:shd w:val="clear" w:color="auto" w:fill="FFFFFF"/>
        </w:rPr>
      </w:pPr>
    </w:p>
    <w:p w14:paraId="4BEAB86D">
      <w:pPr>
        <w:pStyle w:val="16"/>
        <w:widowControl w:val="0"/>
        <w:snapToGrid w:val="0"/>
        <w:spacing w:line="580" w:lineRule="exact"/>
        <w:jc w:val="center"/>
        <w:rPr>
          <w:rFonts w:hint="eastAsia" w:ascii="宋体" w:hAnsi="宋体" w:cs="宋体"/>
          <w:kern w:val="2"/>
          <w:sz w:val="44"/>
          <w:szCs w:val="44"/>
        </w:rPr>
      </w:pPr>
    </w:p>
    <w:p w14:paraId="30CE7539">
      <w:pPr>
        <w:pStyle w:val="16"/>
        <w:widowControl w:val="0"/>
        <w:snapToGrid w:val="0"/>
        <w:spacing w:line="580" w:lineRule="exact"/>
        <w:jc w:val="center"/>
        <w:rPr>
          <w:rFonts w:hint="eastAsia" w:ascii="宋体" w:hAnsi="宋体" w:cs="宋体"/>
          <w:kern w:val="2"/>
          <w:sz w:val="44"/>
          <w:szCs w:val="44"/>
        </w:rPr>
      </w:pPr>
    </w:p>
    <w:p w14:paraId="39AAB878">
      <w:pPr>
        <w:pStyle w:val="16"/>
        <w:widowControl w:val="0"/>
        <w:snapToGrid w:val="0"/>
        <w:spacing w:line="580" w:lineRule="exact"/>
        <w:jc w:val="center"/>
        <w:rPr>
          <w:rFonts w:hint="eastAsia" w:ascii="宋体" w:hAnsi="宋体" w:cs="宋体"/>
          <w:kern w:val="2"/>
          <w:sz w:val="44"/>
          <w:szCs w:val="44"/>
        </w:rPr>
      </w:pPr>
    </w:p>
    <w:p w14:paraId="0BA206B4">
      <w:pPr>
        <w:pStyle w:val="16"/>
        <w:widowControl w:val="0"/>
        <w:snapToGrid w:val="0"/>
        <w:spacing w:line="580" w:lineRule="exact"/>
        <w:jc w:val="center"/>
        <w:rPr>
          <w:rFonts w:hint="eastAsia" w:ascii="宋体" w:hAnsi="宋体" w:cs="宋体"/>
          <w:kern w:val="2"/>
          <w:sz w:val="44"/>
          <w:szCs w:val="44"/>
        </w:rPr>
      </w:pPr>
    </w:p>
    <w:p w14:paraId="037D3F99">
      <w:pPr>
        <w:pStyle w:val="16"/>
        <w:widowControl w:val="0"/>
        <w:snapToGrid w:val="0"/>
        <w:spacing w:line="580" w:lineRule="exact"/>
        <w:jc w:val="center"/>
        <w:rPr>
          <w:rFonts w:hint="eastAsia" w:ascii="宋体" w:hAnsi="宋体" w:cs="宋体"/>
          <w:kern w:val="2"/>
          <w:sz w:val="44"/>
          <w:szCs w:val="44"/>
        </w:rPr>
      </w:pPr>
    </w:p>
    <w:p w14:paraId="0FC30B16">
      <w:pPr>
        <w:pStyle w:val="16"/>
        <w:widowControl w:val="0"/>
        <w:snapToGrid w:val="0"/>
        <w:spacing w:line="580" w:lineRule="exact"/>
        <w:jc w:val="center"/>
        <w:rPr>
          <w:rFonts w:hint="eastAsia" w:ascii="宋体" w:hAnsi="宋体" w:cs="宋体"/>
          <w:kern w:val="2"/>
          <w:sz w:val="44"/>
          <w:szCs w:val="44"/>
        </w:rPr>
      </w:pPr>
    </w:p>
    <w:p w14:paraId="2C5F4F77">
      <w:pPr>
        <w:pStyle w:val="16"/>
        <w:widowControl w:val="0"/>
        <w:snapToGrid w:val="0"/>
        <w:spacing w:line="580" w:lineRule="exact"/>
        <w:jc w:val="center"/>
        <w:rPr>
          <w:rFonts w:hint="eastAsia" w:ascii="宋体" w:hAnsi="宋体" w:cs="宋体"/>
          <w:kern w:val="2"/>
          <w:sz w:val="44"/>
          <w:szCs w:val="44"/>
        </w:rPr>
      </w:pPr>
    </w:p>
    <w:p w14:paraId="736059D5">
      <w:pPr>
        <w:pStyle w:val="16"/>
        <w:widowControl w:val="0"/>
        <w:snapToGrid w:val="0"/>
        <w:spacing w:line="580" w:lineRule="exact"/>
        <w:jc w:val="both"/>
        <w:rPr>
          <w:rFonts w:hint="eastAsia" w:ascii="宋体" w:hAnsi="宋体" w:cs="宋体"/>
          <w:kern w:val="2"/>
          <w:sz w:val="44"/>
          <w:szCs w:val="44"/>
        </w:rPr>
      </w:pPr>
    </w:p>
    <w:p w14:paraId="4EE852F0">
      <w:pPr>
        <w:pStyle w:val="16"/>
        <w:widowControl w:val="0"/>
        <w:snapToGrid w:val="0"/>
        <w:spacing w:line="580" w:lineRule="exact"/>
        <w:jc w:val="center"/>
        <w:rPr>
          <w:rFonts w:hint="eastAsia" w:ascii="宋体" w:hAnsi="宋体" w:cs="宋体"/>
          <w:kern w:val="2"/>
          <w:sz w:val="44"/>
          <w:szCs w:val="44"/>
        </w:rPr>
      </w:pPr>
      <w:r>
        <w:rPr>
          <w:rFonts w:hint="eastAsia" w:ascii="宋体" w:hAnsi="宋体" w:cs="宋体"/>
          <w:kern w:val="2"/>
          <w:sz w:val="44"/>
          <w:szCs w:val="44"/>
        </w:rPr>
        <w:t>曲靖市人民政府关于废止部分规范性文件和</w:t>
      </w:r>
    </w:p>
    <w:p w14:paraId="682C9C46">
      <w:pPr>
        <w:pStyle w:val="16"/>
        <w:widowControl w:val="0"/>
        <w:snapToGrid w:val="0"/>
        <w:spacing w:line="580" w:lineRule="exact"/>
        <w:jc w:val="center"/>
        <w:rPr>
          <w:rFonts w:hint="eastAsia" w:ascii="宋体" w:hAnsi="宋体" w:cs="宋体"/>
          <w:kern w:val="2"/>
          <w:sz w:val="44"/>
          <w:szCs w:val="44"/>
        </w:rPr>
      </w:pPr>
      <w:r>
        <w:rPr>
          <w:rFonts w:hint="eastAsia" w:ascii="宋体" w:hAnsi="宋体" w:cs="宋体"/>
          <w:kern w:val="2"/>
          <w:sz w:val="44"/>
          <w:szCs w:val="44"/>
        </w:rPr>
        <w:t>政策措施</w:t>
      </w:r>
      <w:r>
        <w:rPr>
          <w:rFonts w:hint="eastAsia" w:ascii="宋体" w:hAnsi="宋体" w:cs="宋体"/>
          <w:kern w:val="2"/>
          <w:sz w:val="44"/>
          <w:szCs w:val="44"/>
          <w:lang w:eastAsia="zh-CN"/>
        </w:rPr>
        <w:t>（第</w:t>
      </w:r>
      <w:r>
        <w:rPr>
          <w:rFonts w:hint="eastAsia" w:ascii="宋体" w:hAnsi="宋体" w:cs="宋体"/>
          <w:kern w:val="2"/>
          <w:sz w:val="44"/>
          <w:szCs w:val="44"/>
        </w:rPr>
        <w:t>二批)的决定</w:t>
      </w:r>
    </w:p>
    <w:p w14:paraId="1069E738">
      <w:pPr>
        <w:ind w:firstLine="640" w:firstLineChars="200"/>
        <w:rPr>
          <w:rFonts w:hint="eastAsia" w:ascii="仿宋_GB2312" w:eastAsia="仿宋_GB2312"/>
          <w:sz w:val="32"/>
          <w:szCs w:val="38"/>
        </w:rPr>
      </w:pPr>
    </w:p>
    <w:p w14:paraId="28E30F9F">
      <w:pPr>
        <w:ind w:firstLine="640" w:firstLineChars="200"/>
        <w:rPr>
          <w:rFonts w:ascii="Times New Roman" w:hAnsi="Times New Roman" w:eastAsia="仿宋_GB2312"/>
          <w:sz w:val="32"/>
          <w:szCs w:val="38"/>
        </w:rPr>
      </w:pPr>
      <w:r>
        <w:rPr>
          <w:rFonts w:ascii="Times New Roman" w:hAnsi="Times New Roman" w:eastAsia="仿宋_GB2312"/>
          <w:sz w:val="32"/>
          <w:szCs w:val="38"/>
        </w:rPr>
        <w:t>为了适应加入世贸组织、整顿和规范市场经济秩序及全面实施西部大开发的需要，维护法制的统一和尊严，经进一步审查，市人民政府决定对10件规范性文件和政策措施予以废止。</w:t>
      </w:r>
    </w:p>
    <w:p w14:paraId="4AAC8050">
      <w:pPr>
        <w:ind w:firstLine="640" w:firstLineChars="200"/>
        <w:rPr>
          <w:rFonts w:ascii="Times New Roman" w:hAnsi="Times New Roman" w:eastAsia="仿宋_GB2312"/>
          <w:sz w:val="32"/>
          <w:szCs w:val="38"/>
        </w:rPr>
      </w:pPr>
    </w:p>
    <w:p w14:paraId="02406DA6">
      <w:pPr>
        <w:ind w:firstLine="640" w:firstLineChars="200"/>
        <w:rPr>
          <w:rFonts w:ascii="Times New Roman" w:hAnsi="Times New Roman" w:eastAsia="仿宋_GB2312"/>
          <w:sz w:val="32"/>
          <w:szCs w:val="38"/>
        </w:rPr>
      </w:pPr>
      <w:r>
        <w:rPr>
          <w:rFonts w:ascii="Times New Roman" w:hAnsi="Times New Roman" w:eastAsia="仿宋_GB2312"/>
          <w:sz w:val="32"/>
          <w:szCs w:val="38"/>
        </w:rPr>
        <w:t>附：曲靖市人民政府予以废止的规范性文件和政策措施</w:t>
      </w:r>
      <w:r>
        <w:rPr>
          <w:rFonts w:hint="eastAsia" w:ascii="Times New Roman" w:hAnsi="Times New Roman" w:eastAsia="仿宋_GB2312"/>
          <w:sz w:val="32"/>
          <w:szCs w:val="38"/>
          <w:lang w:eastAsia="zh-CN"/>
        </w:rPr>
        <w:t>（第</w:t>
      </w:r>
      <w:r>
        <w:rPr>
          <w:rFonts w:ascii="Times New Roman" w:hAnsi="Times New Roman" w:eastAsia="仿宋_GB2312"/>
          <w:sz w:val="32"/>
          <w:szCs w:val="38"/>
        </w:rPr>
        <w:t>二批)目录</w:t>
      </w:r>
    </w:p>
    <w:p w14:paraId="5AAD815E">
      <w:pPr>
        <w:ind w:firstLine="640" w:firstLineChars="200"/>
        <w:rPr>
          <w:rFonts w:hint="eastAsia" w:ascii="仿宋_GB2312" w:eastAsia="仿宋_GB2312"/>
          <w:sz w:val="32"/>
          <w:szCs w:val="38"/>
        </w:rPr>
      </w:pPr>
    </w:p>
    <w:p w14:paraId="3ACA405E">
      <w:pPr>
        <w:ind w:firstLine="640" w:firstLineChars="200"/>
        <w:rPr>
          <w:rFonts w:hint="eastAsia" w:ascii="仿宋_GB2312" w:eastAsia="仿宋_GB2312"/>
          <w:sz w:val="32"/>
          <w:szCs w:val="38"/>
        </w:rPr>
      </w:pPr>
    </w:p>
    <w:p w14:paraId="0E247D20">
      <w:pPr>
        <w:ind w:firstLine="640" w:firstLineChars="200"/>
        <w:rPr>
          <w:rFonts w:hint="eastAsia" w:ascii="仿宋_GB2312" w:eastAsia="仿宋_GB2312"/>
          <w:sz w:val="32"/>
          <w:szCs w:val="38"/>
        </w:rPr>
      </w:pPr>
    </w:p>
    <w:p w14:paraId="04E14427">
      <w:pPr>
        <w:ind w:firstLine="640" w:firstLineChars="200"/>
        <w:rPr>
          <w:rFonts w:hint="eastAsia" w:ascii="仿宋_GB2312" w:eastAsia="仿宋_GB2312"/>
          <w:sz w:val="32"/>
          <w:szCs w:val="38"/>
        </w:rPr>
      </w:pPr>
    </w:p>
    <w:p w14:paraId="5DA828AC">
      <w:pPr>
        <w:ind w:firstLine="640" w:firstLineChars="200"/>
        <w:rPr>
          <w:rFonts w:hint="eastAsia" w:ascii="仿宋_GB2312" w:eastAsia="仿宋_GB2312"/>
          <w:sz w:val="32"/>
          <w:szCs w:val="38"/>
        </w:rPr>
      </w:pPr>
    </w:p>
    <w:p w14:paraId="163442AF">
      <w:pPr>
        <w:ind w:firstLine="640" w:firstLineChars="200"/>
        <w:rPr>
          <w:rFonts w:hint="eastAsia" w:ascii="仿宋_GB2312" w:eastAsia="仿宋_GB2312"/>
          <w:sz w:val="32"/>
          <w:szCs w:val="38"/>
        </w:rPr>
      </w:pPr>
    </w:p>
    <w:p w14:paraId="16912A70">
      <w:pPr>
        <w:ind w:firstLine="640" w:firstLineChars="200"/>
        <w:rPr>
          <w:rFonts w:hint="eastAsia" w:ascii="仿宋_GB2312" w:eastAsia="仿宋_GB2312"/>
          <w:sz w:val="32"/>
          <w:szCs w:val="38"/>
        </w:rPr>
      </w:pPr>
    </w:p>
    <w:p w14:paraId="7BCD7DD2">
      <w:pPr>
        <w:ind w:firstLine="640" w:firstLineChars="200"/>
        <w:rPr>
          <w:rFonts w:hint="eastAsia" w:ascii="仿宋_GB2312" w:eastAsia="仿宋_GB2312"/>
          <w:sz w:val="32"/>
          <w:szCs w:val="38"/>
        </w:rPr>
      </w:pPr>
    </w:p>
    <w:p w14:paraId="5E9BC0DA">
      <w:pPr>
        <w:ind w:firstLine="640" w:firstLineChars="200"/>
        <w:rPr>
          <w:rFonts w:hint="eastAsia" w:ascii="仿宋_GB2312" w:eastAsia="仿宋_GB2312"/>
          <w:sz w:val="32"/>
          <w:szCs w:val="38"/>
        </w:rPr>
      </w:pPr>
    </w:p>
    <w:p w14:paraId="121666BA">
      <w:pPr>
        <w:ind w:firstLine="640" w:firstLineChars="200"/>
        <w:rPr>
          <w:rFonts w:hint="eastAsia" w:ascii="仿宋_GB2312" w:eastAsia="仿宋_GB2312"/>
          <w:sz w:val="32"/>
          <w:szCs w:val="38"/>
        </w:rPr>
      </w:pPr>
    </w:p>
    <w:p w14:paraId="0E7EEB12">
      <w:pPr>
        <w:jc w:val="center"/>
        <w:rPr>
          <w:rFonts w:hint="eastAsia" w:ascii="宋体" w:hAnsi="宋体" w:cs="宋体"/>
          <w:sz w:val="44"/>
          <w:szCs w:val="44"/>
        </w:rPr>
      </w:pPr>
      <w:r>
        <w:rPr>
          <w:rFonts w:hint="eastAsia" w:ascii="宋体" w:hAnsi="宋体" w:cs="宋体"/>
          <w:sz w:val="44"/>
          <w:szCs w:val="44"/>
        </w:rPr>
        <w:t>曲靖市人民政府予以废止的规范性文件和政策措施</w:t>
      </w:r>
      <w:r>
        <w:rPr>
          <w:rFonts w:hint="eastAsia" w:ascii="宋体" w:hAnsi="宋体" w:cs="宋体"/>
          <w:sz w:val="44"/>
          <w:szCs w:val="44"/>
          <w:lang w:eastAsia="zh-CN"/>
        </w:rPr>
        <w:t>（第</w:t>
      </w:r>
      <w:r>
        <w:rPr>
          <w:rFonts w:hint="eastAsia" w:ascii="宋体" w:hAnsi="宋体" w:cs="宋体"/>
          <w:sz w:val="44"/>
          <w:szCs w:val="44"/>
        </w:rPr>
        <w:t>二批)目录</w:t>
      </w:r>
    </w:p>
    <w:p w14:paraId="0F50A1D0">
      <w:pPr>
        <w:ind w:firstLine="1600" w:firstLineChars="500"/>
        <w:rPr>
          <w:rFonts w:hint="eastAsia" w:ascii="仿宋_GB2312" w:eastAsia="仿宋_GB2312"/>
          <w:sz w:val="32"/>
          <w:szCs w:val="38"/>
        </w:rPr>
      </w:pPr>
    </w:p>
    <w:tbl>
      <w:tblPr>
        <w:tblStyle w:val="10"/>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5295"/>
        <w:gridCol w:w="3105"/>
      </w:tblGrid>
      <w:tr w14:paraId="442B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205D52EE">
            <w:pPr>
              <w:widowControl/>
              <w:spacing w:line="600" w:lineRule="exact"/>
              <w:jc w:val="center"/>
              <w:rPr>
                <w:rFonts w:hint="eastAsia" w:ascii="仿宋_GB2312" w:eastAsia="仿宋_GB2312"/>
                <w:sz w:val="32"/>
                <w:szCs w:val="38"/>
              </w:rPr>
            </w:pPr>
            <w:r>
              <w:rPr>
                <w:rFonts w:hint="eastAsia" w:ascii="仿宋_GB2312" w:eastAsia="仿宋_GB2312"/>
                <w:sz w:val="32"/>
                <w:szCs w:val="38"/>
              </w:rPr>
              <w:t>序号</w:t>
            </w:r>
          </w:p>
        </w:tc>
        <w:tc>
          <w:tcPr>
            <w:tcW w:w="5295" w:type="dxa"/>
          </w:tcPr>
          <w:p w14:paraId="1E6D68B1">
            <w:pPr>
              <w:widowControl/>
              <w:spacing w:line="600" w:lineRule="exact"/>
              <w:jc w:val="center"/>
              <w:rPr>
                <w:rFonts w:hint="eastAsia" w:ascii="仿宋_GB2312" w:eastAsia="仿宋_GB2312"/>
                <w:sz w:val="32"/>
                <w:szCs w:val="38"/>
              </w:rPr>
            </w:pPr>
            <w:r>
              <w:rPr>
                <w:rFonts w:hint="eastAsia" w:ascii="仿宋_GB2312" w:eastAsia="仿宋_GB2312"/>
                <w:sz w:val="32"/>
                <w:szCs w:val="38"/>
              </w:rPr>
              <w:t>规范性文件名称</w:t>
            </w:r>
          </w:p>
        </w:tc>
        <w:tc>
          <w:tcPr>
            <w:tcW w:w="3105" w:type="dxa"/>
          </w:tcPr>
          <w:p w14:paraId="4F395B27">
            <w:pPr>
              <w:widowControl/>
              <w:spacing w:line="600" w:lineRule="exact"/>
              <w:jc w:val="center"/>
              <w:rPr>
                <w:rFonts w:hint="eastAsia" w:ascii="仿宋_GB2312" w:eastAsia="仿宋_GB2312"/>
                <w:sz w:val="32"/>
                <w:szCs w:val="38"/>
              </w:rPr>
            </w:pPr>
            <w:r>
              <w:rPr>
                <w:rFonts w:hint="eastAsia" w:ascii="仿宋_GB2312" w:eastAsia="仿宋_GB2312"/>
                <w:sz w:val="32"/>
                <w:szCs w:val="38"/>
              </w:rPr>
              <w:t>文号</w:t>
            </w:r>
          </w:p>
        </w:tc>
      </w:tr>
      <w:tr w14:paraId="30B8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3EB6ECEB">
            <w:pPr>
              <w:widowControl/>
              <w:spacing w:line="600" w:lineRule="exact"/>
              <w:jc w:val="left"/>
              <w:rPr>
                <w:rFonts w:hint="eastAsia" w:ascii="仿宋_GB2312" w:eastAsia="仿宋_GB2312"/>
                <w:sz w:val="32"/>
                <w:szCs w:val="38"/>
              </w:rPr>
            </w:pPr>
            <w:r>
              <w:rPr>
                <w:rFonts w:hint="eastAsia" w:ascii="仿宋_GB2312" w:eastAsia="仿宋_GB2312"/>
                <w:sz w:val="32"/>
                <w:szCs w:val="38"/>
              </w:rPr>
              <w:t>1</w:t>
            </w:r>
          </w:p>
        </w:tc>
        <w:tc>
          <w:tcPr>
            <w:tcW w:w="5295" w:type="dxa"/>
          </w:tcPr>
          <w:p w14:paraId="6AC7758D">
            <w:pPr>
              <w:widowControl/>
              <w:spacing w:line="600" w:lineRule="exact"/>
              <w:jc w:val="left"/>
              <w:rPr>
                <w:rFonts w:hint="eastAsia" w:ascii="仿宋_GB2312" w:eastAsia="仿宋_GB2312"/>
                <w:sz w:val="32"/>
                <w:szCs w:val="38"/>
              </w:rPr>
            </w:pPr>
            <w:r>
              <w:rPr>
                <w:rFonts w:hint="eastAsia" w:ascii="仿宋_GB2312" w:eastAsia="仿宋_GB2312"/>
                <w:sz w:val="32"/>
                <w:szCs w:val="38"/>
              </w:rPr>
              <w:t>关于大力发展畜牧业生产的决定</w:t>
            </w:r>
          </w:p>
        </w:tc>
        <w:tc>
          <w:tcPr>
            <w:tcW w:w="3105" w:type="dxa"/>
          </w:tcPr>
          <w:p w14:paraId="531CC081">
            <w:pPr>
              <w:widowControl/>
              <w:spacing w:line="600" w:lineRule="exact"/>
              <w:jc w:val="both"/>
              <w:rPr>
                <w:rFonts w:hint="eastAsia" w:ascii="仿宋_GB2312" w:eastAsia="仿宋_GB2312"/>
                <w:sz w:val="32"/>
                <w:szCs w:val="38"/>
              </w:rPr>
            </w:pPr>
            <w:r>
              <w:rPr>
                <w:rFonts w:hint="eastAsia" w:ascii="仿宋_GB2312" w:eastAsia="仿宋_GB2312"/>
                <w:sz w:val="32"/>
                <w:szCs w:val="38"/>
              </w:rPr>
              <w:t>署发[1992]10号</w:t>
            </w:r>
          </w:p>
        </w:tc>
      </w:tr>
      <w:tr w14:paraId="6897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4B014134">
            <w:pPr>
              <w:widowControl/>
              <w:spacing w:line="600" w:lineRule="exact"/>
              <w:jc w:val="left"/>
              <w:rPr>
                <w:rFonts w:hint="eastAsia" w:ascii="仿宋_GB2312" w:eastAsia="仿宋_GB2312"/>
                <w:sz w:val="32"/>
                <w:szCs w:val="38"/>
              </w:rPr>
            </w:pPr>
            <w:r>
              <w:rPr>
                <w:rFonts w:hint="eastAsia" w:ascii="仿宋_GB2312" w:eastAsia="仿宋_GB2312"/>
                <w:sz w:val="32"/>
                <w:szCs w:val="38"/>
              </w:rPr>
              <w:t>2</w:t>
            </w:r>
          </w:p>
        </w:tc>
        <w:tc>
          <w:tcPr>
            <w:tcW w:w="5295" w:type="dxa"/>
          </w:tcPr>
          <w:p w14:paraId="5D8E2FC9">
            <w:pPr>
              <w:widowControl/>
              <w:spacing w:line="600" w:lineRule="exact"/>
              <w:jc w:val="left"/>
              <w:rPr>
                <w:rFonts w:hint="eastAsia" w:ascii="仿宋_GB2312" w:eastAsia="仿宋_GB2312"/>
                <w:sz w:val="32"/>
                <w:szCs w:val="38"/>
              </w:rPr>
            </w:pPr>
            <w:r>
              <w:rPr>
                <w:rFonts w:hint="eastAsia" w:ascii="仿宋_GB2312" w:eastAsia="仿宋_GB2312"/>
                <w:sz w:val="32"/>
                <w:szCs w:val="38"/>
              </w:rPr>
              <w:t>曲靖地区技术市场金桥奖奖励</w:t>
            </w:r>
            <w:bookmarkStart w:id="0" w:name="_GoBack"/>
            <w:r>
              <w:rPr>
                <w:rFonts w:hint="eastAsia" w:ascii="仿宋_GB2312" w:eastAsia="仿宋_GB2312"/>
                <w:sz w:val="32"/>
                <w:szCs w:val="38"/>
              </w:rPr>
              <w:t>试行</w:t>
            </w:r>
            <w:bookmarkEnd w:id="0"/>
            <w:r>
              <w:rPr>
                <w:rFonts w:hint="eastAsia" w:ascii="仿宋_GB2312" w:eastAsia="仿宋_GB2312"/>
                <w:sz w:val="32"/>
                <w:szCs w:val="38"/>
              </w:rPr>
              <w:t>办法</w:t>
            </w:r>
          </w:p>
        </w:tc>
        <w:tc>
          <w:tcPr>
            <w:tcW w:w="3105" w:type="dxa"/>
          </w:tcPr>
          <w:p w14:paraId="2CBCD581">
            <w:pPr>
              <w:widowControl/>
              <w:spacing w:line="600" w:lineRule="exact"/>
              <w:jc w:val="both"/>
              <w:rPr>
                <w:rFonts w:hint="eastAsia" w:ascii="仿宋_GB2312" w:eastAsia="仿宋_GB2312"/>
                <w:sz w:val="32"/>
                <w:szCs w:val="38"/>
              </w:rPr>
            </w:pPr>
            <w:r>
              <w:rPr>
                <w:rFonts w:hint="eastAsia" w:ascii="仿宋_GB2312" w:eastAsia="仿宋_GB2312"/>
                <w:sz w:val="32"/>
                <w:szCs w:val="38"/>
              </w:rPr>
              <w:t>署发[1993]65号</w:t>
            </w:r>
          </w:p>
          <w:p w14:paraId="39C32CC7">
            <w:pPr>
              <w:widowControl/>
              <w:spacing w:line="600" w:lineRule="exact"/>
              <w:jc w:val="both"/>
              <w:rPr>
                <w:rFonts w:hint="eastAsia" w:ascii="仿宋_GB2312" w:eastAsia="仿宋_GB2312"/>
                <w:sz w:val="32"/>
                <w:szCs w:val="38"/>
              </w:rPr>
            </w:pPr>
          </w:p>
        </w:tc>
      </w:tr>
      <w:tr w14:paraId="779A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41BD0F96">
            <w:pPr>
              <w:widowControl/>
              <w:spacing w:line="600" w:lineRule="exact"/>
              <w:jc w:val="left"/>
              <w:rPr>
                <w:rFonts w:hint="eastAsia" w:ascii="仿宋_GB2312" w:eastAsia="仿宋_GB2312"/>
                <w:sz w:val="32"/>
                <w:szCs w:val="38"/>
              </w:rPr>
            </w:pPr>
            <w:r>
              <w:rPr>
                <w:rFonts w:hint="eastAsia" w:ascii="仿宋_GB2312" w:eastAsia="仿宋_GB2312"/>
                <w:sz w:val="32"/>
                <w:szCs w:val="38"/>
              </w:rPr>
              <w:t>3</w:t>
            </w:r>
          </w:p>
        </w:tc>
        <w:tc>
          <w:tcPr>
            <w:tcW w:w="5295" w:type="dxa"/>
          </w:tcPr>
          <w:p w14:paraId="305ECD0C">
            <w:pPr>
              <w:widowControl/>
              <w:spacing w:line="600" w:lineRule="exact"/>
              <w:jc w:val="left"/>
              <w:rPr>
                <w:rFonts w:hint="eastAsia" w:ascii="仿宋_GB2312" w:eastAsia="仿宋_GB2312"/>
                <w:sz w:val="32"/>
                <w:szCs w:val="38"/>
              </w:rPr>
            </w:pPr>
            <w:r>
              <w:rPr>
                <w:rFonts w:hint="eastAsia" w:ascii="仿宋_GB2312" w:eastAsia="仿宋_GB2312"/>
                <w:sz w:val="32"/>
                <w:szCs w:val="38"/>
              </w:rPr>
              <w:t>靖地区城市规划、建设行政处罚程序</w:t>
            </w:r>
          </w:p>
        </w:tc>
        <w:tc>
          <w:tcPr>
            <w:tcW w:w="3105" w:type="dxa"/>
          </w:tcPr>
          <w:p w14:paraId="64BCFE97">
            <w:pPr>
              <w:widowControl/>
              <w:spacing w:line="600" w:lineRule="exact"/>
              <w:jc w:val="both"/>
              <w:rPr>
                <w:rFonts w:hint="eastAsia" w:ascii="仿宋_GB2312" w:eastAsia="仿宋_GB2312"/>
                <w:sz w:val="32"/>
                <w:szCs w:val="38"/>
              </w:rPr>
            </w:pPr>
            <w:r>
              <w:rPr>
                <w:rFonts w:hint="eastAsia" w:ascii="仿宋_GB2312" w:eastAsia="仿宋_GB2312"/>
                <w:sz w:val="32"/>
                <w:szCs w:val="38"/>
              </w:rPr>
              <w:t>署发[1994]91号</w:t>
            </w:r>
          </w:p>
        </w:tc>
      </w:tr>
      <w:tr w14:paraId="54CB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3F826169">
            <w:pPr>
              <w:widowControl/>
              <w:spacing w:line="600" w:lineRule="exact"/>
              <w:jc w:val="left"/>
              <w:rPr>
                <w:rFonts w:hint="eastAsia" w:ascii="仿宋_GB2312" w:eastAsia="仿宋_GB2312"/>
                <w:sz w:val="32"/>
                <w:szCs w:val="38"/>
              </w:rPr>
            </w:pPr>
            <w:r>
              <w:rPr>
                <w:rFonts w:hint="eastAsia" w:ascii="仿宋_GB2312" w:eastAsia="仿宋_GB2312"/>
                <w:sz w:val="32"/>
                <w:szCs w:val="38"/>
              </w:rPr>
              <w:t>4</w:t>
            </w:r>
          </w:p>
        </w:tc>
        <w:tc>
          <w:tcPr>
            <w:tcW w:w="5295" w:type="dxa"/>
          </w:tcPr>
          <w:p w14:paraId="5EC6464B">
            <w:pPr>
              <w:widowControl/>
              <w:spacing w:line="600" w:lineRule="exact"/>
              <w:jc w:val="left"/>
              <w:rPr>
                <w:rFonts w:hint="eastAsia" w:ascii="仿宋_GB2312" w:eastAsia="仿宋_GB2312"/>
                <w:sz w:val="32"/>
                <w:szCs w:val="38"/>
                <w:lang w:eastAsia="zh-CN"/>
              </w:rPr>
            </w:pPr>
            <w:r>
              <w:rPr>
                <w:rFonts w:hint="eastAsia" w:ascii="仿宋_GB2312" w:eastAsia="仿宋_GB2312"/>
                <w:sz w:val="32"/>
                <w:szCs w:val="38"/>
              </w:rPr>
              <w:t>曲靖地区农业项目管理若干规定</w:t>
            </w:r>
            <w:r>
              <w:rPr>
                <w:rFonts w:hint="eastAsia" w:ascii="仿宋_GB2312" w:eastAsia="仿宋_GB2312"/>
                <w:sz w:val="32"/>
                <w:szCs w:val="38"/>
                <w:lang w:eastAsia="zh-CN"/>
              </w:rPr>
              <w:t>（试行）</w:t>
            </w:r>
          </w:p>
        </w:tc>
        <w:tc>
          <w:tcPr>
            <w:tcW w:w="3105" w:type="dxa"/>
          </w:tcPr>
          <w:p w14:paraId="2475D3B6">
            <w:pPr>
              <w:widowControl/>
              <w:spacing w:line="600" w:lineRule="exact"/>
              <w:jc w:val="both"/>
              <w:rPr>
                <w:rFonts w:hint="eastAsia" w:ascii="仿宋_GB2312" w:eastAsia="仿宋_GB2312"/>
                <w:sz w:val="32"/>
                <w:szCs w:val="38"/>
              </w:rPr>
            </w:pPr>
            <w:r>
              <w:rPr>
                <w:rFonts w:hint="eastAsia" w:ascii="仿宋_GB2312" w:eastAsia="仿宋_GB2312"/>
                <w:sz w:val="32"/>
                <w:szCs w:val="38"/>
              </w:rPr>
              <w:t>曲署发[1995]126号</w:t>
            </w:r>
          </w:p>
        </w:tc>
      </w:tr>
      <w:tr w14:paraId="6B84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78627113">
            <w:pPr>
              <w:widowControl/>
              <w:spacing w:line="600" w:lineRule="exact"/>
              <w:jc w:val="left"/>
              <w:rPr>
                <w:rFonts w:hint="eastAsia" w:ascii="仿宋_GB2312" w:eastAsia="仿宋_GB2312"/>
                <w:sz w:val="32"/>
                <w:szCs w:val="38"/>
              </w:rPr>
            </w:pPr>
            <w:r>
              <w:rPr>
                <w:rFonts w:hint="eastAsia" w:ascii="仿宋_GB2312" w:eastAsia="仿宋_GB2312"/>
                <w:sz w:val="32"/>
                <w:szCs w:val="38"/>
              </w:rPr>
              <w:t>5</w:t>
            </w:r>
          </w:p>
        </w:tc>
        <w:tc>
          <w:tcPr>
            <w:tcW w:w="5295" w:type="dxa"/>
          </w:tcPr>
          <w:p w14:paraId="3AD071E8">
            <w:pPr>
              <w:widowControl/>
              <w:spacing w:line="600" w:lineRule="exact"/>
              <w:jc w:val="left"/>
              <w:rPr>
                <w:rFonts w:hint="eastAsia" w:ascii="仿宋_GB2312" w:eastAsia="仿宋_GB2312"/>
                <w:sz w:val="32"/>
                <w:szCs w:val="38"/>
              </w:rPr>
            </w:pPr>
            <w:r>
              <w:rPr>
                <w:rFonts w:hint="eastAsia" w:ascii="仿宋_GB2312" w:eastAsia="仿宋_GB2312"/>
                <w:sz w:val="32"/>
                <w:szCs w:val="38"/>
              </w:rPr>
              <w:t>关于加强建设工程项目管理的暂行规定</w:t>
            </w:r>
          </w:p>
        </w:tc>
        <w:tc>
          <w:tcPr>
            <w:tcW w:w="3105" w:type="dxa"/>
          </w:tcPr>
          <w:p w14:paraId="4011B10E">
            <w:pPr>
              <w:widowControl/>
              <w:spacing w:line="600" w:lineRule="exact"/>
              <w:jc w:val="left"/>
              <w:rPr>
                <w:rFonts w:hint="eastAsia" w:ascii="仿宋_GB2312" w:eastAsia="仿宋_GB2312"/>
                <w:sz w:val="32"/>
                <w:szCs w:val="38"/>
              </w:rPr>
            </w:pPr>
            <w:r>
              <w:rPr>
                <w:rFonts w:hint="eastAsia" w:ascii="仿宋_GB2312" w:eastAsia="仿宋_GB2312"/>
                <w:sz w:val="32"/>
                <w:szCs w:val="38"/>
              </w:rPr>
              <w:t>曲署发[1996]39号</w:t>
            </w:r>
          </w:p>
        </w:tc>
      </w:tr>
      <w:tr w14:paraId="431C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35F9BB2B">
            <w:pPr>
              <w:widowControl/>
              <w:spacing w:line="600" w:lineRule="exact"/>
              <w:jc w:val="left"/>
              <w:rPr>
                <w:rFonts w:hint="eastAsia" w:ascii="仿宋_GB2312" w:eastAsia="仿宋_GB2312"/>
                <w:sz w:val="32"/>
                <w:szCs w:val="38"/>
              </w:rPr>
            </w:pPr>
            <w:r>
              <w:rPr>
                <w:rFonts w:hint="eastAsia" w:ascii="仿宋_GB2312" w:eastAsia="仿宋_GB2312"/>
                <w:sz w:val="32"/>
                <w:szCs w:val="38"/>
              </w:rPr>
              <w:t>6</w:t>
            </w:r>
          </w:p>
        </w:tc>
        <w:tc>
          <w:tcPr>
            <w:tcW w:w="5295" w:type="dxa"/>
          </w:tcPr>
          <w:p w14:paraId="226A16F0">
            <w:pPr>
              <w:widowControl/>
              <w:spacing w:line="600" w:lineRule="exact"/>
              <w:jc w:val="left"/>
              <w:rPr>
                <w:rFonts w:hint="eastAsia" w:ascii="仿宋_GB2312" w:eastAsia="仿宋_GB2312"/>
                <w:sz w:val="32"/>
                <w:szCs w:val="38"/>
              </w:rPr>
            </w:pPr>
            <w:r>
              <w:rPr>
                <w:rFonts w:hint="eastAsia" w:ascii="仿宋_GB2312" w:eastAsia="仿宋_GB2312"/>
                <w:sz w:val="32"/>
                <w:szCs w:val="38"/>
              </w:rPr>
              <w:t>关于加强固定资产投资管理的暂行规定</w:t>
            </w:r>
          </w:p>
        </w:tc>
        <w:tc>
          <w:tcPr>
            <w:tcW w:w="3105" w:type="dxa"/>
          </w:tcPr>
          <w:p w14:paraId="6217DEB7">
            <w:pPr>
              <w:widowControl/>
              <w:spacing w:line="600" w:lineRule="exact"/>
              <w:jc w:val="left"/>
              <w:rPr>
                <w:rFonts w:hint="eastAsia" w:ascii="仿宋_GB2312" w:eastAsia="仿宋_GB2312"/>
                <w:sz w:val="32"/>
                <w:szCs w:val="38"/>
              </w:rPr>
            </w:pPr>
            <w:r>
              <w:rPr>
                <w:rFonts w:hint="eastAsia" w:ascii="仿宋_GB2312" w:eastAsia="仿宋_GB2312"/>
                <w:sz w:val="32"/>
                <w:szCs w:val="38"/>
              </w:rPr>
              <w:t>曲政发[1998]43号</w:t>
            </w:r>
          </w:p>
        </w:tc>
      </w:tr>
      <w:tr w14:paraId="5831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6F7CCD40">
            <w:pPr>
              <w:widowControl/>
              <w:spacing w:line="600" w:lineRule="exact"/>
              <w:jc w:val="left"/>
              <w:rPr>
                <w:rFonts w:hint="eastAsia" w:ascii="仿宋_GB2312" w:eastAsia="仿宋_GB2312"/>
                <w:sz w:val="32"/>
                <w:szCs w:val="38"/>
              </w:rPr>
            </w:pPr>
            <w:r>
              <w:rPr>
                <w:rFonts w:hint="eastAsia" w:ascii="仿宋_GB2312" w:eastAsia="仿宋_GB2312"/>
                <w:sz w:val="32"/>
                <w:szCs w:val="38"/>
              </w:rPr>
              <w:t>7</w:t>
            </w:r>
          </w:p>
        </w:tc>
        <w:tc>
          <w:tcPr>
            <w:tcW w:w="5295" w:type="dxa"/>
          </w:tcPr>
          <w:p w14:paraId="4A8F551D">
            <w:pPr>
              <w:widowControl/>
              <w:spacing w:line="600" w:lineRule="exact"/>
              <w:jc w:val="left"/>
              <w:rPr>
                <w:rFonts w:hint="eastAsia" w:ascii="仿宋_GB2312" w:eastAsia="仿宋_GB2312"/>
                <w:sz w:val="32"/>
                <w:szCs w:val="38"/>
              </w:rPr>
            </w:pPr>
            <w:r>
              <w:rPr>
                <w:rFonts w:hint="eastAsia" w:ascii="仿宋_GB2312" w:eastAsia="仿宋_GB2312"/>
                <w:sz w:val="32"/>
                <w:szCs w:val="38"/>
              </w:rPr>
              <w:t>于加强粮食市场管理的通告</w:t>
            </w:r>
          </w:p>
        </w:tc>
        <w:tc>
          <w:tcPr>
            <w:tcW w:w="3105" w:type="dxa"/>
          </w:tcPr>
          <w:p w14:paraId="2A2326CC">
            <w:pPr>
              <w:widowControl/>
              <w:spacing w:line="600" w:lineRule="exact"/>
              <w:jc w:val="left"/>
              <w:rPr>
                <w:rFonts w:hint="eastAsia" w:ascii="仿宋_GB2312" w:eastAsia="仿宋_GB2312"/>
                <w:sz w:val="32"/>
                <w:szCs w:val="38"/>
              </w:rPr>
            </w:pPr>
            <w:r>
              <w:rPr>
                <w:rFonts w:hint="eastAsia" w:ascii="仿宋_GB2312" w:eastAsia="仿宋_GB2312"/>
                <w:sz w:val="32"/>
                <w:szCs w:val="38"/>
              </w:rPr>
              <w:t>曲政通[1998]8号</w:t>
            </w:r>
          </w:p>
          <w:p w14:paraId="2DA0503F">
            <w:pPr>
              <w:widowControl/>
              <w:spacing w:line="600" w:lineRule="exact"/>
              <w:jc w:val="left"/>
              <w:rPr>
                <w:rFonts w:hint="eastAsia" w:ascii="仿宋_GB2312" w:eastAsia="仿宋_GB2312"/>
                <w:sz w:val="32"/>
                <w:szCs w:val="38"/>
              </w:rPr>
            </w:pPr>
          </w:p>
        </w:tc>
      </w:tr>
      <w:tr w14:paraId="61C9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45C55C92">
            <w:pPr>
              <w:widowControl/>
              <w:spacing w:line="600" w:lineRule="exact"/>
              <w:jc w:val="left"/>
              <w:rPr>
                <w:rFonts w:hint="eastAsia" w:ascii="仿宋_GB2312" w:eastAsia="仿宋_GB2312"/>
                <w:sz w:val="32"/>
                <w:szCs w:val="38"/>
              </w:rPr>
            </w:pPr>
            <w:r>
              <w:rPr>
                <w:rFonts w:hint="eastAsia" w:ascii="仿宋_GB2312" w:eastAsia="仿宋_GB2312"/>
                <w:sz w:val="32"/>
                <w:szCs w:val="38"/>
              </w:rPr>
              <w:t>8</w:t>
            </w:r>
          </w:p>
        </w:tc>
        <w:tc>
          <w:tcPr>
            <w:tcW w:w="5295" w:type="dxa"/>
          </w:tcPr>
          <w:p w14:paraId="1EC3A1C6">
            <w:pPr>
              <w:widowControl/>
              <w:spacing w:line="600" w:lineRule="exact"/>
              <w:jc w:val="left"/>
              <w:rPr>
                <w:rFonts w:hint="eastAsia" w:ascii="仿宋_GB2312" w:eastAsia="仿宋_GB2312"/>
                <w:sz w:val="32"/>
                <w:szCs w:val="38"/>
                <w:lang w:eastAsia="zh-CN"/>
              </w:rPr>
            </w:pPr>
            <w:r>
              <w:rPr>
                <w:rFonts w:hint="eastAsia" w:ascii="仿宋_GB2312" w:eastAsia="仿宋_GB2312"/>
                <w:sz w:val="32"/>
                <w:szCs w:val="38"/>
              </w:rPr>
              <w:t>曲靖市推进素质教育的决定</w:t>
            </w:r>
            <w:r>
              <w:rPr>
                <w:rFonts w:hint="eastAsia" w:ascii="仿宋_GB2312" w:eastAsia="仿宋_GB2312"/>
                <w:sz w:val="32"/>
                <w:szCs w:val="38"/>
                <w:lang w:eastAsia="zh-CN"/>
              </w:rPr>
              <w:t>（试行）</w:t>
            </w:r>
          </w:p>
        </w:tc>
        <w:tc>
          <w:tcPr>
            <w:tcW w:w="3105" w:type="dxa"/>
          </w:tcPr>
          <w:p w14:paraId="0C734E6C">
            <w:pPr>
              <w:widowControl/>
              <w:spacing w:line="600" w:lineRule="exact"/>
              <w:jc w:val="left"/>
              <w:rPr>
                <w:rFonts w:hint="eastAsia" w:ascii="仿宋_GB2312" w:eastAsia="仿宋_GB2312"/>
                <w:sz w:val="32"/>
                <w:szCs w:val="38"/>
              </w:rPr>
            </w:pPr>
            <w:r>
              <w:rPr>
                <w:rFonts w:hint="eastAsia" w:ascii="仿宋_GB2312" w:eastAsia="仿宋_GB2312"/>
                <w:sz w:val="32"/>
                <w:szCs w:val="38"/>
              </w:rPr>
              <w:t>曲政办发[1998]80号</w:t>
            </w:r>
          </w:p>
          <w:p w14:paraId="0748A698">
            <w:pPr>
              <w:widowControl/>
              <w:spacing w:line="600" w:lineRule="exact"/>
              <w:jc w:val="left"/>
              <w:rPr>
                <w:rFonts w:hint="eastAsia" w:ascii="仿宋_GB2312" w:eastAsia="仿宋_GB2312"/>
                <w:sz w:val="32"/>
                <w:szCs w:val="38"/>
              </w:rPr>
            </w:pPr>
          </w:p>
        </w:tc>
      </w:tr>
      <w:tr w14:paraId="7086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3DCE56F0">
            <w:pPr>
              <w:widowControl/>
              <w:spacing w:line="600" w:lineRule="exact"/>
              <w:jc w:val="left"/>
              <w:rPr>
                <w:rFonts w:hint="eastAsia" w:ascii="仿宋_GB2312" w:eastAsia="仿宋_GB2312"/>
                <w:sz w:val="32"/>
                <w:szCs w:val="38"/>
              </w:rPr>
            </w:pPr>
            <w:r>
              <w:rPr>
                <w:rFonts w:hint="eastAsia" w:ascii="仿宋_GB2312" w:eastAsia="仿宋_GB2312"/>
                <w:sz w:val="32"/>
                <w:szCs w:val="38"/>
              </w:rPr>
              <w:t>9</w:t>
            </w:r>
          </w:p>
        </w:tc>
        <w:tc>
          <w:tcPr>
            <w:tcW w:w="5295" w:type="dxa"/>
          </w:tcPr>
          <w:p w14:paraId="7EBD46F3">
            <w:pPr>
              <w:widowControl/>
              <w:spacing w:line="600" w:lineRule="exact"/>
              <w:jc w:val="left"/>
              <w:rPr>
                <w:rFonts w:hint="eastAsia" w:ascii="仿宋_GB2312" w:eastAsia="仿宋_GB2312"/>
                <w:sz w:val="32"/>
                <w:szCs w:val="38"/>
              </w:rPr>
            </w:pPr>
            <w:r>
              <w:rPr>
                <w:rFonts w:hint="eastAsia" w:ascii="仿宋_GB2312" w:eastAsia="仿宋_GB2312"/>
                <w:sz w:val="32"/>
                <w:szCs w:val="38"/>
              </w:rPr>
              <w:t>关于加强有线广播电视设施保护的规定</w:t>
            </w:r>
          </w:p>
        </w:tc>
        <w:tc>
          <w:tcPr>
            <w:tcW w:w="3105" w:type="dxa"/>
          </w:tcPr>
          <w:p w14:paraId="15E2F630">
            <w:pPr>
              <w:widowControl/>
              <w:spacing w:line="600" w:lineRule="exact"/>
              <w:jc w:val="left"/>
              <w:rPr>
                <w:rFonts w:hint="eastAsia" w:ascii="仿宋_GB2312" w:eastAsia="仿宋_GB2312"/>
                <w:sz w:val="32"/>
                <w:szCs w:val="38"/>
              </w:rPr>
            </w:pPr>
            <w:r>
              <w:rPr>
                <w:rFonts w:hint="eastAsia" w:ascii="仿宋_GB2312" w:eastAsia="仿宋_GB2312"/>
                <w:sz w:val="32"/>
                <w:szCs w:val="38"/>
              </w:rPr>
              <w:t>市政府令第5号</w:t>
            </w:r>
          </w:p>
          <w:p w14:paraId="596CCB43">
            <w:pPr>
              <w:widowControl/>
              <w:spacing w:line="600" w:lineRule="exact"/>
              <w:jc w:val="left"/>
              <w:rPr>
                <w:rFonts w:hint="eastAsia" w:ascii="仿宋_GB2312" w:eastAsia="仿宋_GB2312"/>
                <w:sz w:val="32"/>
                <w:szCs w:val="38"/>
              </w:rPr>
            </w:pPr>
          </w:p>
        </w:tc>
      </w:tr>
      <w:tr w14:paraId="2A5D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Pr>
          <w:p w14:paraId="64F1724E">
            <w:pPr>
              <w:widowControl/>
              <w:spacing w:line="600" w:lineRule="exact"/>
              <w:jc w:val="left"/>
              <w:rPr>
                <w:rFonts w:hint="eastAsia" w:ascii="仿宋_GB2312" w:eastAsia="仿宋_GB2312"/>
                <w:sz w:val="32"/>
                <w:szCs w:val="38"/>
              </w:rPr>
            </w:pPr>
            <w:r>
              <w:rPr>
                <w:rFonts w:hint="eastAsia" w:ascii="仿宋_GB2312" w:eastAsia="仿宋_GB2312"/>
                <w:sz w:val="32"/>
                <w:szCs w:val="38"/>
              </w:rPr>
              <w:t>10</w:t>
            </w:r>
          </w:p>
        </w:tc>
        <w:tc>
          <w:tcPr>
            <w:tcW w:w="5295" w:type="dxa"/>
          </w:tcPr>
          <w:p w14:paraId="1ED369C4">
            <w:pPr>
              <w:widowControl/>
              <w:spacing w:line="600" w:lineRule="exact"/>
              <w:jc w:val="left"/>
              <w:rPr>
                <w:rFonts w:hint="eastAsia" w:ascii="仿宋_GB2312" w:eastAsia="仿宋_GB2312"/>
                <w:sz w:val="32"/>
                <w:szCs w:val="38"/>
              </w:rPr>
            </w:pPr>
            <w:r>
              <w:rPr>
                <w:rFonts w:hint="eastAsia" w:ascii="仿宋_GB2312" w:eastAsia="仿宋_GB2312"/>
                <w:sz w:val="32"/>
                <w:szCs w:val="38"/>
              </w:rPr>
              <w:t>关于贯彻实施《云南省人民政府转发省教委等三部门关于教育收费管理实施暂行办法的通知》的补充通知</w:t>
            </w:r>
          </w:p>
        </w:tc>
        <w:tc>
          <w:tcPr>
            <w:tcW w:w="3105" w:type="dxa"/>
          </w:tcPr>
          <w:p w14:paraId="39A6FB55">
            <w:pPr>
              <w:widowControl/>
              <w:spacing w:line="600" w:lineRule="exact"/>
              <w:jc w:val="left"/>
              <w:rPr>
                <w:rFonts w:hint="eastAsia" w:ascii="仿宋_GB2312" w:eastAsia="仿宋_GB2312"/>
                <w:sz w:val="32"/>
                <w:szCs w:val="38"/>
              </w:rPr>
            </w:pPr>
            <w:r>
              <w:rPr>
                <w:rFonts w:hint="eastAsia" w:ascii="仿宋_GB2312" w:eastAsia="仿宋_GB2312"/>
                <w:sz w:val="32"/>
                <w:szCs w:val="38"/>
              </w:rPr>
              <w:t>曲政发[1997]6号</w:t>
            </w:r>
          </w:p>
          <w:p w14:paraId="677979BF">
            <w:pPr>
              <w:widowControl/>
              <w:spacing w:line="600" w:lineRule="exact"/>
              <w:jc w:val="left"/>
              <w:rPr>
                <w:rFonts w:hint="eastAsia" w:ascii="仿宋_GB2312" w:eastAsia="仿宋_GB2312"/>
                <w:sz w:val="32"/>
                <w:szCs w:val="38"/>
              </w:rPr>
            </w:pPr>
          </w:p>
        </w:tc>
      </w:tr>
    </w:tbl>
    <w:p w14:paraId="4CB7308B">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规范性文件修改有关情况：</w:t>
      </w:r>
    </w:p>
    <w:p w14:paraId="353B4306">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1、需修改文件数：77件  (曲政办发[2002]8号)《关于修改规范性文件和政策措施的通知》</w:t>
      </w:r>
    </w:p>
    <w:p w14:paraId="4AC42E82">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2、拟废止文件数：10件(拟废止规范性文件情况汇报)</w:t>
      </w:r>
    </w:p>
    <w:p w14:paraId="2787169B">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3、部门提交修改文稿件数：20件</w:t>
      </w:r>
    </w:p>
    <w:p w14:paraId="15CA8D5A">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4、还应提交修改文稿件数：47件</w:t>
      </w:r>
    </w:p>
    <w:p w14:paraId="2946EF44">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说明：</w:t>
      </w:r>
    </w:p>
    <w:p w14:paraId="33B46920">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尚未提交修改文稿的原因较为复杂，有的认为和国家法律法规和政策不冲突，不需要修改(6件)；有的认为不属于本部门修改范畴，应由其他部门修改(4件)；有的认为待国家和省出台修改文件后再行修改(12件)；有的正在修改中或没有进行修改的</w:t>
      </w:r>
    </w:p>
    <w:p w14:paraId="48D8D687">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(有初步修改意见或认为应当修改，但未提交修改文稿)(25件)；</w:t>
      </w:r>
    </w:p>
    <w:p w14:paraId="7462076F">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建议：</w:t>
      </w:r>
    </w:p>
    <w:p w14:paraId="6B4D2C1A">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1、已提交修改文稿的，建议由市政府办公室相应科室就文字方面及需不需要出台进行修改和把关后，由市政府法制办公室就法律问题审查后，按有关程序出台文件；</w:t>
      </w:r>
    </w:p>
    <w:p w14:paraId="439BB66B">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2、因国务院和省尚未出台修改文件，市级不好把握修改内容的文件，待上级规定出台后再行修改；</w:t>
      </w:r>
    </w:p>
    <w:p w14:paraId="369A699A">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3、对部门认为不需修改或认为应由其他部门修改的，由市清规办审查后决定如何处理；</w:t>
      </w:r>
    </w:p>
    <w:p w14:paraId="5F72ACB3">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4、对未提交修改文稿的单位，请分管领导在一定场合或召开一次小型会议，督促部门落实。</w:t>
      </w:r>
    </w:p>
    <w:p w14:paraId="239299C1">
      <w:pPr>
        <w:spacing w:line="600" w:lineRule="exact"/>
        <w:ind w:firstLine="640" w:firstLineChars="200"/>
        <w:rPr>
          <w:rFonts w:ascii="Times New Roman" w:hAnsi="Times New Roman" w:eastAsia="仿宋_GB2312"/>
          <w:sz w:val="32"/>
          <w:szCs w:val="38"/>
        </w:rPr>
      </w:pPr>
    </w:p>
    <w:p w14:paraId="0DF43313">
      <w:pPr>
        <w:spacing w:line="600" w:lineRule="exact"/>
        <w:ind w:firstLine="640" w:firstLineChars="200"/>
        <w:rPr>
          <w:rFonts w:hint="eastAsia" w:ascii="黑体" w:hAnsi="黑体" w:eastAsia="黑体" w:cs="黑体"/>
          <w:sz w:val="32"/>
          <w:szCs w:val="38"/>
        </w:rPr>
      </w:pPr>
      <w:r>
        <w:rPr>
          <w:rFonts w:hint="eastAsia" w:ascii="黑体" w:hAnsi="黑体" w:eastAsia="黑体" w:cs="黑体"/>
          <w:sz w:val="32"/>
          <w:szCs w:val="38"/>
        </w:rPr>
        <w:t>拟废止规范性文件情况汇报</w:t>
      </w:r>
    </w:p>
    <w:p w14:paraId="16F93F0C">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在去年年底规范性文件审查的基础上，经进一步认真审查，下列规范性文件提交常务会研究，请予以废止。</w:t>
      </w:r>
    </w:p>
    <w:p w14:paraId="75DA0698">
      <w:pPr>
        <w:spacing w:line="600" w:lineRule="exact"/>
        <w:ind w:firstLine="640" w:firstLineChars="200"/>
        <w:rPr>
          <w:rFonts w:hint="eastAsia" w:ascii="黑体" w:hAnsi="黑体" w:eastAsia="黑体" w:cs="黑体"/>
          <w:sz w:val="32"/>
          <w:szCs w:val="38"/>
        </w:rPr>
      </w:pPr>
      <w:r>
        <w:rPr>
          <w:rFonts w:ascii="Times New Roman" w:hAnsi="Times New Roman" w:eastAsia="仿宋_GB2312"/>
          <w:sz w:val="32"/>
          <w:szCs w:val="38"/>
        </w:rPr>
        <w:t xml:space="preserve">  </w:t>
      </w:r>
      <w:r>
        <w:rPr>
          <w:rFonts w:hint="eastAsia" w:ascii="黑体" w:hAnsi="黑体" w:eastAsia="黑体" w:cs="黑体"/>
          <w:sz w:val="32"/>
          <w:szCs w:val="38"/>
        </w:rPr>
        <w:t>一、关于大力发展畜牧业生产的决定(署发[1992]10号)</w:t>
      </w:r>
    </w:p>
    <w:p w14:paraId="660F9545">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该文件第四条“逐步改善乡(镇)畜牧兽医站的工作条件”中，</w:t>
      </w:r>
    </w:p>
    <w:p w14:paraId="7384ABC2">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对无工作用房和住房，过去又未安排过建设经费的乡(镇)畜牧兽医站，继续由地、县、乡三级投资，每站投资6万元，其中地级2.5万元，县级2.5万元，乡级1万元”的规定，属特定时期的投资方式，现已没有执行。</w:t>
      </w:r>
    </w:p>
    <w:p w14:paraId="56CBB54B">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第五条、第六条中制定了若干奖励措施，如“饲养良种公猪户，开展人工授精配种，山区以100头、坝区以300头为奖励起点，受胎率在85%以上奖300元，每超配一头，山区增0.5元，坝期增0.2元”，以及饲养公牛户、公羊户的奖励等等，现已未执行。</w:t>
      </w:r>
    </w:p>
    <w:p w14:paraId="62807FA9">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560C91F6">
      <w:pPr>
        <w:spacing w:line="600" w:lineRule="exact"/>
        <w:ind w:firstLine="640" w:firstLineChars="200"/>
        <w:rPr>
          <w:rFonts w:ascii="Times New Roman" w:hAnsi="Times New Roman" w:eastAsia="仿宋_GB2312"/>
          <w:sz w:val="32"/>
          <w:szCs w:val="38"/>
        </w:rPr>
      </w:pPr>
    </w:p>
    <w:p w14:paraId="1CBADE4B">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二、曲靖地区技术市场金桥奖奖励试行办法(署发[1993]65号)</w:t>
      </w:r>
    </w:p>
    <w:p w14:paraId="036313F0">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技术市场金桥奖自1993年设立后，近几年并未组织表彰，原规定“技术市场金桥奖每两年表彰奖励一次”未能得以落实。曲靖在此领域共设立三类奖，即科学技术进步奖、星火奖及金桥奖，随着国家科技奖励制度改革的深入，市人民政府只需设立一项科技奖励，不再分别搞科技进步奖、星火奖、技术市场金桥奖等。去年年底技术进步奖和星火奖的规定已被废止，市科委已草拟了《曲靖市科技奖励办法》，提交法制办审查，具体工作正在进行中。</w:t>
      </w:r>
    </w:p>
    <w:p w14:paraId="30C8239F">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603CF2F6">
      <w:pPr>
        <w:spacing w:line="600" w:lineRule="exact"/>
        <w:ind w:firstLine="640" w:firstLineChars="200"/>
        <w:rPr>
          <w:rFonts w:ascii="Times New Roman" w:hAnsi="Times New Roman" w:eastAsia="仿宋_GB2312"/>
          <w:sz w:val="32"/>
          <w:szCs w:val="38"/>
        </w:rPr>
      </w:pPr>
    </w:p>
    <w:p w14:paraId="5745AD91">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三、曲靖地区城市规划、建设行政处罚程序暂行规定(署发[1994]91号)</w:t>
      </w:r>
    </w:p>
    <w:p w14:paraId="40DC041F">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该文件实为城市规划、建设行政处罚程序方面的规范性文件，具体制订时间是1994年，先于《中华人民共和国行政处罚法》之前，因而在处罚程序上存在许多和</w:t>
      </w:r>
      <w:r>
        <w:rPr>
          <w:rFonts w:hint="eastAsia" w:ascii="Times New Roman" w:hAnsi="Times New Roman" w:eastAsia="仿宋_GB2312"/>
          <w:sz w:val="32"/>
          <w:szCs w:val="38"/>
        </w:rPr>
        <w:t>《中华人民共和国行政处罚法》</w:t>
      </w:r>
      <w:r>
        <w:rPr>
          <w:rFonts w:ascii="Times New Roman" w:hAnsi="Times New Roman" w:eastAsia="仿宋_GB2312"/>
          <w:sz w:val="32"/>
          <w:szCs w:val="38"/>
        </w:rPr>
        <w:t>相悖的规定，如本应区分为简易程序和普通程序的，区分为一般程序和重大案件程序，也没有听证程序的规定；诉权交待复议期限为15日，和现行规定60日不符等等。市政府不必对程序性规定另行发文。</w:t>
      </w:r>
    </w:p>
    <w:p w14:paraId="15002ACF">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4E3189CA">
      <w:pPr>
        <w:spacing w:line="600" w:lineRule="exact"/>
        <w:ind w:firstLine="640" w:firstLineChars="200"/>
        <w:rPr>
          <w:rFonts w:ascii="Times New Roman" w:hAnsi="Times New Roman" w:eastAsia="仿宋_GB2312"/>
          <w:sz w:val="32"/>
          <w:szCs w:val="38"/>
        </w:rPr>
      </w:pPr>
    </w:p>
    <w:p w14:paraId="1B524C72">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四、曲靖地区农业项目管理若干规定</w:t>
      </w:r>
      <w:r>
        <w:rPr>
          <w:rFonts w:hint="eastAsia" w:ascii="黑体" w:hAnsi="黑体" w:eastAsia="黑体" w:cs="黑体"/>
          <w:sz w:val="32"/>
          <w:szCs w:val="38"/>
          <w:lang w:eastAsia="zh-CN"/>
        </w:rPr>
        <w:t>（试行）</w:t>
      </w:r>
      <w:r>
        <w:rPr>
          <w:rFonts w:ascii="黑体" w:hAnsi="黑体" w:eastAsia="黑体" w:cs="黑体"/>
          <w:sz w:val="32"/>
          <w:szCs w:val="38"/>
        </w:rPr>
        <w:t>(曲署发[1995]126号)</w:t>
      </w:r>
    </w:p>
    <w:p w14:paraId="34F49327">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五、关于加强建设工程项目管理的暂行规定(曲署发[1996]39号)</w:t>
      </w:r>
    </w:p>
    <w:p w14:paraId="08F122B7">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两个文件是项目管理方面的规范性文件，都属于较早期项目管理的规定，在审批程序和权限、招投标等许多方面，国家和省已有新的规定，两文件的许多关键性内容和现实政策不吻合。</w:t>
      </w:r>
    </w:p>
    <w:p w14:paraId="47FDBE70">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清规办意见：废止     部门意见：废止</w:t>
      </w:r>
    </w:p>
    <w:p w14:paraId="1E8FC6B1">
      <w:pPr>
        <w:spacing w:line="600" w:lineRule="exact"/>
        <w:ind w:firstLine="640" w:firstLineChars="200"/>
        <w:rPr>
          <w:rFonts w:ascii="Times New Roman" w:hAnsi="Times New Roman" w:eastAsia="仿宋_GB2312"/>
          <w:sz w:val="32"/>
          <w:szCs w:val="38"/>
        </w:rPr>
      </w:pPr>
    </w:p>
    <w:p w14:paraId="330EF12F">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六、关于加强固定资产投资管理的暂行规定(曲政发[1998]43号)</w:t>
      </w:r>
    </w:p>
    <w:p w14:paraId="7EF71A52">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曲靖市人民政府已于2001年发布了《关于改革投资项目审批制度决定》(曲政发[2001]40号)，原规定应予以废止。</w:t>
      </w:r>
    </w:p>
    <w:p w14:paraId="59CD2C36">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3BCC99F9">
      <w:pPr>
        <w:spacing w:line="600" w:lineRule="exact"/>
        <w:ind w:firstLine="640" w:firstLineChars="200"/>
        <w:rPr>
          <w:rFonts w:ascii="Times New Roman" w:hAnsi="Times New Roman" w:eastAsia="仿宋_GB2312"/>
          <w:sz w:val="32"/>
          <w:szCs w:val="38"/>
        </w:rPr>
      </w:pPr>
    </w:p>
    <w:p w14:paraId="14BEFAE0">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七、关于加强粮食市场管理的通告(曲政通[1998]8号)</w:t>
      </w:r>
    </w:p>
    <w:p w14:paraId="36B90869">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该通告是国家粮食流通体制改革的产物，当时的政策是敞开收购、顺价销售、资金封闭运行。通过实践，2001年国务院出台了国发[2001]28号文，主要内容是“三放开”，即收购放开、价格放开、市场放开。1998年出台的政府公告和2001年国务院的“三放开”政策有抵触的内容。</w:t>
      </w:r>
    </w:p>
    <w:p w14:paraId="56A62273">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w:t>
      </w:r>
    </w:p>
    <w:p w14:paraId="2EAB46C7">
      <w:pPr>
        <w:spacing w:line="600" w:lineRule="exact"/>
        <w:ind w:firstLine="640" w:firstLineChars="200"/>
        <w:rPr>
          <w:rFonts w:ascii="Times New Roman" w:hAnsi="Times New Roman" w:eastAsia="仿宋_GB2312"/>
          <w:sz w:val="32"/>
          <w:szCs w:val="38"/>
        </w:rPr>
      </w:pPr>
    </w:p>
    <w:p w14:paraId="7B8A39C3">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八、曲靖市推进素质教育的决定</w:t>
      </w:r>
      <w:r>
        <w:rPr>
          <w:rFonts w:hint="eastAsia" w:ascii="黑体" w:hAnsi="黑体" w:eastAsia="黑体" w:cs="黑体"/>
          <w:sz w:val="32"/>
          <w:szCs w:val="38"/>
          <w:lang w:eastAsia="zh-CN"/>
        </w:rPr>
        <w:t>（试行）</w:t>
      </w:r>
      <w:r>
        <w:rPr>
          <w:rFonts w:ascii="黑体" w:hAnsi="黑体" w:eastAsia="黑体" w:cs="黑体"/>
          <w:sz w:val="32"/>
          <w:szCs w:val="38"/>
        </w:rPr>
        <w:t>(曲政办发[1998]80号)</w:t>
      </w:r>
    </w:p>
    <w:p w14:paraId="0B26152D">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该决定中对素质教育的理解仅仅局限于中小学教育教学范围内，不够全面；2001年，曲靖市委、市政府出台了《关于深化改革全面推进素质教育的意见》(曲发[2001]12号)，较为系统、全面、深入地提出了我市全面实施素质教育的意见，正在贯彻执行中，该文件涵盖了曲政办发[1998]80号文的主要精神。</w:t>
      </w:r>
    </w:p>
    <w:p w14:paraId="3D7C74EE">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61DAB4AA">
      <w:pPr>
        <w:spacing w:line="600" w:lineRule="exact"/>
        <w:ind w:firstLine="640" w:firstLineChars="200"/>
        <w:rPr>
          <w:rFonts w:ascii="黑体" w:hAnsi="黑体" w:eastAsia="黑体" w:cs="黑体"/>
          <w:sz w:val="32"/>
          <w:szCs w:val="38"/>
        </w:rPr>
      </w:pPr>
      <w:r>
        <w:rPr>
          <w:rFonts w:ascii="Times New Roman" w:hAnsi="Times New Roman" w:eastAsia="仿宋_GB2312"/>
          <w:sz w:val="32"/>
          <w:szCs w:val="38"/>
        </w:rPr>
        <w:t xml:space="preserve">  </w:t>
      </w:r>
      <w:r>
        <w:rPr>
          <w:rFonts w:ascii="黑体" w:hAnsi="黑体" w:eastAsia="黑体" w:cs="黑体"/>
          <w:sz w:val="32"/>
          <w:szCs w:val="38"/>
        </w:rPr>
        <w:t>九、《关于加强有线广播电视设施保护的规定》(市政府令第5号)(1999.1.9)</w:t>
      </w:r>
    </w:p>
    <w:p w14:paraId="6CD9C7D2">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市政府5号令下发之后，国务院于2000年11月5日发布了《广播电视设施保护条例》，《条例》包括了市政府5号令的内容，广电部门以《条例》作为实施依据。</w:t>
      </w:r>
    </w:p>
    <w:p w14:paraId="4C65EDF7">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清规办意见：废止      部门意见：废止</w:t>
      </w:r>
    </w:p>
    <w:p w14:paraId="1BEA0E7F">
      <w:pPr>
        <w:spacing w:line="600" w:lineRule="exact"/>
        <w:ind w:firstLine="640" w:firstLineChars="200"/>
        <w:rPr>
          <w:rFonts w:ascii="Times New Roman" w:hAnsi="Times New Roman" w:eastAsia="仿宋_GB2312"/>
          <w:sz w:val="32"/>
          <w:szCs w:val="38"/>
        </w:rPr>
      </w:pPr>
    </w:p>
    <w:p w14:paraId="20A14AEB">
      <w:pPr>
        <w:spacing w:line="600" w:lineRule="exact"/>
        <w:ind w:firstLine="640" w:firstLineChars="200"/>
        <w:rPr>
          <w:rFonts w:ascii="黑体" w:hAnsi="黑体" w:eastAsia="黑体" w:cs="黑体"/>
          <w:sz w:val="32"/>
          <w:szCs w:val="38"/>
        </w:rPr>
      </w:pPr>
      <w:r>
        <w:rPr>
          <w:rFonts w:ascii="黑体" w:hAnsi="黑体" w:eastAsia="黑体" w:cs="黑体"/>
          <w:sz w:val="32"/>
          <w:szCs w:val="38"/>
        </w:rPr>
        <w:t xml:space="preserve">  十、关于贯彻实施《云南省人民政府转发省教委等三部门关于教育收费管理实施暂行办法的通知》的补充通知(曲政发[1997]6号)</w:t>
      </w:r>
    </w:p>
    <w:p w14:paraId="125DA4C9">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 xml:space="preserve">  该文被《云南省人民政府转发四个教育收费管理实施暂行办法的通知》(云政发[1998]225号)文代替。</w:t>
      </w:r>
    </w:p>
    <w:p w14:paraId="4B8A6935">
      <w:pPr>
        <w:spacing w:line="600" w:lineRule="exact"/>
        <w:ind w:firstLine="640" w:firstLineChars="200"/>
        <w:rPr>
          <w:rFonts w:ascii="Times New Roman" w:hAnsi="Times New Roman" w:eastAsia="仿宋_GB2312"/>
          <w:sz w:val="32"/>
          <w:szCs w:val="38"/>
        </w:rPr>
      </w:pPr>
      <w:r>
        <w:rPr>
          <w:rFonts w:ascii="Times New Roman" w:hAnsi="Times New Roman" w:eastAsia="仿宋_GB2312"/>
          <w:sz w:val="32"/>
          <w:szCs w:val="38"/>
        </w:rPr>
        <w:t>清规办意见：废止      部门意见：废止</w:t>
      </w:r>
    </w:p>
    <w:p w14:paraId="15E7271E">
      <w:pPr>
        <w:spacing w:line="600" w:lineRule="exact"/>
        <w:ind w:firstLine="640" w:firstLineChars="200"/>
        <w:rPr>
          <w:rFonts w:hint="eastAsia" w:ascii="仿宋_GB2312" w:eastAsia="仿宋_GB2312"/>
          <w:sz w:val="32"/>
          <w:szCs w:val="38"/>
        </w:rPr>
      </w:pPr>
    </w:p>
    <w:p w14:paraId="49FE6B0E">
      <w:pPr>
        <w:pStyle w:val="15"/>
        <w:widowControl w:val="0"/>
        <w:adjustRightInd w:val="0"/>
        <w:snapToGrid w:val="0"/>
        <w:spacing w:line="600" w:lineRule="exact"/>
        <w:ind w:firstLine="640" w:firstLineChars="200"/>
        <w:jc w:val="left"/>
        <w:rPr>
          <w:rFonts w:ascii="Times New Roman" w:hAnsi="Times New Roman" w:eastAsia="仿宋_GB2312"/>
          <w:sz w:val="32"/>
          <w:szCs w:val="32"/>
        </w:rPr>
      </w:pPr>
    </w:p>
    <w:sectPr>
      <w:headerReference r:id="rId3" w:type="default"/>
      <w:footerReference r:id="rId4" w:type="default"/>
      <w:pgSz w:w="11906" w:h="16838"/>
      <w:pgMar w:top="1962" w:right="1474" w:bottom="1848"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方正书宋简体">
    <w:altName w:val="宋体"/>
    <w:panose1 w:val="02010601030101010101"/>
    <w:charset w:val="86"/>
    <w:family w:val="auto"/>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67928">
    <w:pPr>
      <w:pStyle w:val="7"/>
      <w:ind w:left="5016" w:leftChars="2280" w:firstLine="6400" w:firstLineChars="2000"/>
      <w:rPr>
        <w:rFonts w:hint="eastAsia" w:eastAsia="仿宋"/>
        <w:sz w:val="32"/>
        <w:szCs w:val="48"/>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FD7B8F">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8FD7B8F">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14:paraId="01B0E579">
    <w:pPr>
      <w:pStyle w:val="7"/>
      <w:wordWrap w:val="0"/>
      <w:ind w:left="5016" w:leftChars="2280" w:firstLine="6400" w:firstLineChars="2000"/>
      <w:jc w:val="right"/>
      <w:rPr>
        <w:rFonts w:hint="eastAsia"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sz w:val="32"/>
        <w:szCs w:val="48"/>
      </w:rPr>
      <w:t>X</w:t>
    </w:r>
    <w:r>
      <w:rPr>
        <w:rFonts w:hint="eastAsia" w:ascii="宋体" w:hAnsi="宋体" w:cs="宋体"/>
        <w:b/>
        <w:bCs/>
        <w:color w:val="005192"/>
        <w:sz w:val="28"/>
        <w:szCs w:val="44"/>
      </w:rPr>
      <w:t xml:space="preserve">曲靖市人民政府发布     </w:t>
    </w:r>
  </w:p>
  <w:p w14:paraId="573682F1">
    <w:pPr>
      <w:pStyle w:val="7"/>
      <w:wordWrap w:val="0"/>
      <w:ind w:left="5016" w:leftChars="2280" w:firstLine="5622" w:firstLineChars="2000"/>
      <w:jc w:val="right"/>
      <w:rPr>
        <w:rFonts w:hint="eastAsia"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31F2F">
    <w:pPr>
      <w:pStyle w:val="7"/>
      <w:widowControl w:val="0"/>
      <w:textAlignment w:val="center"/>
      <w:rPr>
        <w:rFonts w:hint="eastAsia"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14:paraId="121D7D0D">
    <w:pPr>
      <w:pStyle w:val="7"/>
      <w:widowControl w:val="0"/>
      <w:textAlignment w:val="center"/>
      <w:rPr>
        <w:rFonts w:hint="eastAsia" w:ascii="宋体" w:hAnsi="宋体" w:cs="宋体"/>
        <w:b/>
        <w:bCs/>
        <w:color w:val="005192"/>
        <w:sz w:val="32"/>
        <w:szCs w:val="32"/>
      </w:rPr>
    </w:pPr>
    <w:r>
      <w:rPr>
        <w:rFonts w:hint="eastAsia" w:ascii="宋体" w:hAnsi="宋体" w:cs="宋体"/>
        <w:b/>
        <w:bCs/>
        <w:color w:val="005192"/>
        <w:sz w:val="32"/>
      </w:rPr>
      <w:drawing>
        <wp:inline distT="0" distB="0" distL="114300" distR="114300">
          <wp:extent cx="304800" cy="304800"/>
          <wp:effectExtent l="0" t="0" r="0" b="0"/>
          <wp:docPr id="1"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1"/>
                  </pic:cNvPicPr>
                </pic:nvPicPr>
                <pic:blipFill>
                  <a:blip r:embed="rId1"/>
                  <a:stretch>
                    <a:fillRect/>
                  </a:stretch>
                </pic:blipFill>
                <pic:spPr>
                  <a:xfrm>
                    <a:off x="0" y="0"/>
                    <a:ext cx="304800" cy="304800"/>
                  </a:xfrm>
                  <a:prstGeom prst="rect">
                    <a:avLst/>
                  </a:prstGeom>
                  <a:noFill/>
                  <a:ln>
                    <a:noFill/>
                  </a:ln>
                </pic:spPr>
              </pic:pic>
            </a:graphicData>
          </a:graphic>
        </wp:inline>
      </w:drawing>
    </w:r>
    <w:r>
      <w:rPr>
        <w:rFonts w:hint="eastAsia" w:ascii="宋体" w:hAnsi="宋体" w:cs="宋体"/>
        <w:b/>
        <w:bCs/>
        <w:color w:val="005192"/>
        <w:sz w:val="32"/>
      </w:rPr>
      <w:t>曲靖市</w:t>
    </w:r>
    <w:r>
      <w:rPr>
        <w:rFonts w:hint="eastAsia" w:ascii="宋体" w:hAnsi="宋体" w:cs="宋体"/>
        <w:b/>
        <w:bCs/>
        <w:color w:val="005192"/>
        <w:sz w:val="32"/>
        <w:szCs w:val="32"/>
      </w:rPr>
      <w:t>人民政府行政规范性文件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0672E49"/>
    <w:rsid w:val="00D45C32"/>
    <w:rsid w:val="019E71BD"/>
    <w:rsid w:val="01FF4141"/>
    <w:rsid w:val="052D2952"/>
    <w:rsid w:val="06A67E67"/>
    <w:rsid w:val="07B75F38"/>
    <w:rsid w:val="080F63D8"/>
    <w:rsid w:val="08160CDC"/>
    <w:rsid w:val="08CE1E5E"/>
    <w:rsid w:val="09341458"/>
    <w:rsid w:val="09ED279D"/>
    <w:rsid w:val="0C360E94"/>
    <w:rsid w:val="0D336F35"/>
    <w:rsid w:val="0E834745"/>
    <w:rsid w:val="12E47851"/>
    <w:rsid w:val="13D221E3"/>
    <w:rsid w:val="14284C52"/>
    <w:rsid w:val="14315C5F"/>
    <w:rsid w:val="149A4376"/>
    <w:rsid w:val="14FB1C51"/>
    <w:rsid w:val="152D2DCA"/>
    <w:rsid w:val="1686190B"/>
    <w:rsid w:val="173073DC"/>
    <w:rsid w:val="188F1247"/>
    <w:rsid w:val="1C666C80"/>
    <w:rsid w:val="22440422"/>
    <w:rsid w:val="245D0A8D"/>
    <w:rsid w:val="245E1201"/>
    <w:rsid w:val="25952A7C"/>
    <w:rsid w:val="269E1109"/>
    <w:rsid w:val="28E944BF"/>
    <w:rsid w:val="299603D7"/>
    <w:rsid w:val="2A63669C"/>
    <w:rsid w:val="2B10179F"/>
    <w:rsid w:val="2BD14452"/>
    <w:rsid w:val="3165291E"/>
    <w:rsid w:val="31A15F24"/>
    <w:rsid w:val="33660BC3"/>
    <w:rsid w:val="33B55A25"/>
    <w:rsid w:val="340560FB"/>
    <w:rsid w:val="358F038F"/>
    <w:rsid w:val="39422152"/>
    <w:rsid w:val="39A232A0"/>
    <w:rsid w:val="3B5A6BBB"/>
    <w:rsid w:val="3CDC3508"/>
    <w:rsid w:val="3ECE3FE8"/>
    <w:rsid w:val="3EDA13A6"/>
    <w:rsid w:val="3FA63153"/>
    <w:rsid w:val="414801D4"/>
    <w:rsid w:val="41583876"/>
    <w:rsid w:val="426E51AF"/>
    <w:rsid w:val="42F058B7"/>
    <w:rsid w:val="432E7A4D"/>
    <w:rsid w:val="436109F6"/>
    <w:rsid w:val="43CC15C1"/>
    <w:rsid w:val="43E2666C"/>
    <w:rsid w:val="441A38D4"/>
    <w:rsid w:val="45BE5862"/>
    <w:rsid w:val="4695723A"/>
    <w:rsid w:val="47880693"/>
    <w:rsid w:val="49C050BB"/>
    <w:rsid w:val="4A5A0F9A"/>
    <w:rsid w:val="4A6B6EAE"/>
    <w:rsid w:val="4B1575F7"/>
    <w:rsid w:val="4B6658E2"/>
    <w:rsid w:val="4BC77339"/>
    <w:rsid w:val="4C9236C5"/>
    <w:rsid w:val="4D3C2FCE"/>
    <w:rsid w:val="4D492532"/>
    <w:rsid w:val="4E333DCA"/>
    <w:rsid w:val="4F5C2681"/>
    <w:rsid w:val="4FD71124"/>
    <w:rsid w:val="50525EFF"/>
    <w:rsid w:val="50C54DC4"/>
    <w:rsid w:val="51FF0657"/>
    <w:rsid w:val="52547F10"/>
    <w:rsid w:val="52F46F0B"/>
    <w:rsid w:val="54213B2B"/>
    <w:rsid w:val="5482143F"/>
    <w:rsid w:val="54EB4981"/>
    <w:rsid w:val="5578369C"/>
    <w:rsid w:val="5592049E"/>
    <w:rsid w:val="55E064E0"/>
    <w:rsid w:val="58C72E4D"/>
    <w:rsid w:val="5AFB5E26"/>
    <w:rsid w:val="5B8011B2"/>
    <w:rsid w:val="5B940D21"/>
    <w:rsid w:val="5C685FF8"/>
    <w:rsid w:val="5CDD1E3D"/>
    <w:rsid w:val="5F475420"/>
    <w:rsid w:val="608816D1"/>
    <w:rsid w:val="60B47026"/>
    <w:rsid w:val="63985D4A"/>
    <w:rsid w:val="67966C5C"/>
    <w:rsid w:val="68561F72"/>
    <w:rsid w:val="6ACD77A1"/>
    <w:rsid w:val="6D0E3F22"/>
    <w:rsid w:val="6FB529CC"/>
    <w:rsid w:val="74D70B17"/>
    <w:rsid w:val="787D38A8"/>
    <w:rsid w:val="7C0D6DF1"/>
    <w:rsid w:val="7C9011D9"/>
    <w:rsid w:val="7CB024AA"/>
    <w:rsid w:val="7D491FCA"/>
    <w:rsid w:val="7DC651C5"/>
    <w:rsid w:val="7FE04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NEU-BZ" w:eastAsia="宋体" w:cs="Times New Roman"/>
      <w:sz w:val="22"/>
      <w:szCs w:val="22"/>
      <w:lang w:val="en-US" w:eastAsia="zh-CN" w:bidi="ar-SA"/>
    </w:rPr>
  </w:style>
  <w:style w:type="paragraph" w:styleId="2">
    <w:name w:val="heading 1"/>
    <w:basedOn w:val="1"/>
    <w:next w:val="1"/>
    <w:qFormat/>
    <w:uiPriority w:val="0"/>
    <w:pPr>
      <w:spacing w:before="100" w:beforeAutospacing="1" w:after="100" w:afterAutospacing="1"/>
      <w:outlineLvl w:val="0"/>
    </w:pPr>
    <w:rPr>
      <w:rFonts w:hint="eastAsia" w:ascii="宋体" w:hAnsi="宋体"/>
      <w:b/>
      <w:bCs/>
      <w:kern w:val="44"/>
      <w:sz w:val="48"/>
      <w:szCs w:val="48"/>
    </w:rPr>
  </w:style>
  <w:style w:type="paragraph" w:styleId="3">
    <w:name w:val="heading 2"/>
    <w:basedOn w:val="1"/>
    <w:next w:val="1"/>
    <w:qFormat/>
    <w:uiPriority w:val="0"/>
    <w:pPr>
      <w:keepNext/>
      <w:keepLines/>
      <w:spacing w:before="312" w:beforeLines="100" w:after="312" w:afterLines="100" w:line="600" w:lineRule="exact"/>
      <w:jc w:val="center"/>
      <w:outlineLvl w:val="1"/>
    </w:pPr>
    <w:rPr>
      <w:rFonts w:ascii="黑体" w:hAnsi="Arial" w:eastAsia="黑体"/>
      <w:bCs/>
      <w:sz w:val="32"/>
      <w:szCs w:val="32"/>
    </w:rPr>
  </w:style>
  <w:style w:type="paragraph" w:styleId="4">
    <w:name w:val="heading 3"/>
    <w:basedOn w:val="1"/>
    <w:next w:val="1"/>
    <w:qFormat/>
    <w:uiPriority w:val="0"/>
    <w:pPr>
      <w:spacing w:before="100" w:beforeAutospacing="1" w:after="100" w:afterAutospacing="1"/>
      <w:outlineLvl w:val="2"/>
    </w:pPr>
    <w:rPr>
      <w:rFonts w:hint="eastAsia" w:ascii="宋体" w:hAnsi="宋体"/>
      <w:b/>
      <w:bCs/>
      <w:sz w:val="27"/>
      <w:szCs w:val="27"/>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0"/>
    <w:pPr>
      <w:spacing w:before="100" w:beforeAutospacing="1" w:after="100" w:afterAutospacing="1"/>
    </w:pPr>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styleId="14">
    <w:name w:val="Hyperlink"/>
    <w:basedOn w:val="11"/>
    <w:qFormat/>
    <w:uiPriority w:val="0"/>
    <w:rPr>
      <w:color w:val="0000FF"/>
      <w:u w:val="single"/>
    </w:rPr>
  </w:style>
  <w:style w:type="paragraph" w:customStyle="1" w:styleId="15">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6">
    <w:name w:val="p0"/>
    <w:basedOn w:val="1"/>
    <w:qFormat/>
    <w:uiPriority w:val="0"/>
    <w:rPr>
      <w:szCs w:val="21"/>
    </w:rPr>
  </w:style>
  <w:style w:type="paragraph" w:customStyle="1" w:styleId="17">
    <w:name w:val="样式3"/>
    <w:basedOn w:val="1"/>
    <w:qFormat/>
    <w:uiPriority w:val="0"/>
    <w:pPr>
      <w:widowControl w:val="0"/>
      <w:adjustRightInd w:val="0"/>
      <w:snapToGrid w:val="0"/>
      <w:spacing w:before="100" w:beforeLines="100" w:after="150" w:afterLines="150" w:line="600" w:lineRule="exact"/>
      <w:jc w:val="center"/>
    </w:pPr>
    <w:rPr>
      <w:rFonts w:ascii="方正书宋简体" w:hAnsi="方正书宋简体" w:eastAsia="楷体_GB2312"/>
      <w:color w:val="000000"/>
      <w:sz w:val="31"/>
      <w:szCs w:val="31"/>
    </w:rPr>
  </w:style>
  <w:style w:type="paragraph" w:customStyle="1" w:styleId="18">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19">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20">
    <w:name w:val="15.5正文（黑体） 章节"/>
    <w:basedOn w:val="1"/>
    <w:qFormat/>
    <w:uiPriority w:val="0"/>
    <w:pPr>
      <w:jc w:val="center"/>
    </w:pPr>
    <w:rPr>
      <w:rFonts w:ascii="方正书宋简体" w:hAnsi="方正书宋简体" w:eastAsia="黑体"/>
      <w:color w:val="000000"/>
      <w:sz w:val="31"/>
      <w:szCs w:val="31"/>
    </w:rPr>
  </w:style>
  <w:style w:type="paragraph" w:customStyle="1" w:styleId="21">
    <w:name w:val="样式 样式3 + 段前: 1 行 段后: 1.5 行"/>
    <w:basedOn w:val="17"/>
    <w:qFormat/>
    <w:uiPriority w:val="0"/>
    <w:pPr>
      <w:spacing w:after="100" w:afterLines="100"/>
    </w:pPr>
    <w:rPr>
      <w:rFonts w:cs="宋体"/>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2557</Words>
  <Characters>2802</Characters>
  <Lines>22</Lines>
  <Paragraphs>6</Paragraphs>
  <TotalTime>1</TotalTime>
  <ScaleCrop>false</ScaleCrop>
  <LinksUpToDate>false</LinksUpToDate>
  <CharactersWithSpaces>3015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2025-01-09T10:58:00Z</dcterms:created>
  <dc:creator>t</dc:creator>
  <cp:lastModifiedBy>郭丽娜</cp:lastModifiedBy>
  <cp:lastPrinted>2021-11-17T09:54:00Z</cp:lastPrinted>
  <dcterms:modified xsi:type="dcterms:W3CDTF">2026-08-26T02:03:23Z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82059EA81536479BB70A1635B6100DCC_13</vt:lpwstr>
  </property>
  <property fmtid="{D5CDD505-2E9C-101B-9397-08002B2CF9AE}" pid="4" name="KSOTemplateDocerSaveRecord">
    <vt:lpwstr>eyJoZGlkIjoiYTA0OTFiNTllN2E3YTc2MDc5ZTIwYTg0ZjFlZjFlMWQiLCJ1c2VySWQiOiIzNzMyMDUyODEifQ==</vt:lpwstr>
  </property>
</Properties>
</file>