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1"/>
        <w:tblW w:w="0" w:type="auto"/>
        <w:tblInd w:w="-208" w:type="dxa"/>
        <w:tblLayout w:type="fixed"/>
        <w:tblCellMar>
          <w:top w:w="0" w:type="dxa"/>
          <w:left w:w="108" w:type="dxa"/>
          <w:bottom w:w="0" w:type="dxa"/>
          <w:right w:w="108" w:type="dxa"/>
        </w:tblCellMar>
      </w:tblPr>
      <w:tblGrid>
        <w:gridCol w:w="1756"/>
        <w:gridCol w:w="2246"/>
        <w:gridCol w:w="1276"/>
        <w:gridCol w:w="1559"/>
        <w:gridCol w:w="1276"/>
        <w:gridCol w:w="1701"/>
      </w:tblGrid>
      <w:tr w14:paraId="2E6E6376">
        <w:trPr>
          <w:trHeight w:val="711" w:hRule="atLeast"/>
        </w:trPr>
        <w:tc>
          <w:tcPr>
            <w:tcW w:w="1756" w:type="dxa"/>
            <w:tcBorders>
              <w:top w:val="single" w:color="auto" w:sz="4" w:space="0"/>
              <w:left w:val="single" w:color="auto" w:sz="4" w:space="0"/>
              <w:bottom w:val="single" w:color="auto" w:sz="4" w:space="0"/>
              <w:right w:val="single" w:color="auto" w:sz="4" w:space="0"/>
            </w:tcBorders>
            <w:shd w:val="clear" w:color="auto" w:fill="C0C0C0"/>
            <w:vAlign w:val="center"/>
          </w:tcPr>
          <w:p w14:paraId="1D8569AF">
            <w:pPr>
              <w:widowControl/>
              <w:spacing w:line="280" w:lineRule="exact"/>
              <w:jc w:val="center"/>
              <w:rPr>
                <w:rFonts w:ascii="宋体"/>
                <w:kern w:val="0"/>
                <w:sz w:val="24"/>
                <w:szCs w:val="24"/>
              </w:rPr>
            </w:pPr>
            <w:bookmarkStart w:id="1" w:name="_GoBack"/>
            <w:bookmarkEnd w:id="1"/>
            <w:r>
              <w:rPr>
                <w:rFonts w:hint="eastAsia" w:ascii="宋体" w:hAnsi="宋体"/>
                <w:kern w:val="0"/>
                <w:sz w:val="24"/>
                <w:szCs w:val="24"/>
              </w:rPr>
              <w:t>项目名称</w:t>
            </w:r>
          </w:p>
        </w:tc>
        <w:tc>
          <w:tcPr>
            <w:tcW w:w="2246" w:type="dxa"/>
            <w:tcBorders>
              <w:top w:val="single" w:color="auto" w:sz="4" w:space="0"/>
              <w:left w:val="nil"/>
              <w:bottom w:val="single" w:color="auto" w:sz="4" w:space="0"/>
              <w:right w:val="single" w:color="auto" w:sz="4" w:space="0"/>
            </w:tcBorders>
            <w:shd w:val="clear" w:color="auto" w:fill="auto"/>
            <w:vAlign w:val="center"/>
          </w:tcPr>
          <w:p w14:paraId="4937C58A">
            <w:pPr>
              <w:widowControl/>
              <w:spacing w:line="280" w:lineRule="exact"/>
              <w:jc w:val="center"/>
              <w:rPr>
                <w:rFonts w:ascii="Times New Roman" w:hAnsi="Times New Roman"/>
                <w:sz w:val="24"/>
                <w:szCs w:val="24"/>
              </w:rPr>
            </w:pPr>
            <w:bookmarkStart w:id="0" w:name="OLE_LINK39"/>
            <w:r>
              <w:rPr>
                <w:rFonts w:hint="eastAsia" w:ascii="Times New Roman" w:hAnsi="Times New Roman"/>
                <w:sz w:val="24"/>
                <w:szCs w:val="24"/>
              </w:rPr>
              <w:t>绿坪村光伏发电项目</w:t>
            </w:r>
            <w:bookmarkEnd w:id="0"/>
          </w:p>
        </w:tc>
        <w:tc>
          <w:tcPr>
            <w:tcW w:w="1276" w:type="dxa"/>
            <w:tcBorders>
              <w:top w:val="single" w:color="auto" w:sz="4" w:space="0"/>
              <w:left w:val="nil"/>
              <w:bottom w:val="single" w:color="auto" w:sz="4" w:space="0"/>
              <w:right w:val="single" w:color="auto" w:sz="4" w:space="0"/>
            </w:tcBorders>
            <w:shd w:val="clear" w:color="auto" w:fill="C0C0C0"/>
            <w:vAlign w:val="center"/>
          </w:tcPr>
          <w:p w14:paraId="557EA87A">
            <w:pPr>
              <w:widowControl/>
              <w:spacing w:line="280" w:lineRule="exact"/>
              <w:jc w:val="center"/>
              <w:rPr>
                <w:rFonts w:ascii="宋体"/>
                <w:kern w:val="0"/>
                <w:sz w:val="24"/>
                <w:szCs w:val="24"/>
              </w:rPr>
            </w:pPr>
            <w:r>
              <w:rPr>
                <w:rFonts w:hint="eastAsia" w:ascii="宋体" w:hAnsi="宋体"/>
                <w:kern w:val="0"/>
                <w:sz w:val="24"/>
                <w:szCs w:val="24"/>
              </w:rPr>
              <w:t>建设地点</w:t>
            </w:r>
          </w:p>
        </w:tc>
        <w:tc>
          <w:tcPr>
            <w:tcW w:w="1559" w:type="dxa"/>
            <w:tcBorders>
              <w:top w:val="single" w:color="auto" w:sz="4" w:space="0"/>
              <w:left w:val="nil"/>
              <w:bottom w:val="single" w:color="auto" w:sz="4" w:space="0"/>
              <w:right w:val="single" w:color="auto" w:sz="4" w:space="0"/>
            </w:tcBorders>
            <w:shd w:val="clear" w:color="auto" w:fill="auto"/>
            <w:vAlign w:val="center"/>
          </w:tcPr>
          <w:p w14:paraId="5B3ECEF6">
            <w:pPr>
              <w:widowControl/>
              <w:spacing w:line="280" w:lineRule="exact"/>
              <w:jc w:val="center"/>
              <w:rPr>
                <w:rFonts w:hint="eastAsia" w:ascii="Times New Roman" w:hAnsi="Times New Roman" w:eastAsia="方正仿宋_GBK"/>
                <w:sz w:val="24"/>
                <w:szCs w:val="24"/>
                <w:lang w:eastAsia="zh-CN"/>
              </w:rPr>
            </w:pPr>
            <w:r>
              <w:rPr>
                <w:rFonts w:hint="eastAsia" w:ascii="Times New Roman" w:hAnsi="Times New Roman"/>
                <w:sz w:val="24"/>
                <w:szCs w:val="24"/>
              </w:rPr>
              <w:t>会泽县娜姑镇</w:t>
            </w:r>
            <w:r>
              <w:rPr>
                <w:rFonts w:hint="eastAsia" w:ascii="Times New Roman" w:hAnsi="Times New Roman"/>
                <w:sz w:val="24"/>
                <w:szCs w:val="24"/>
                <w:lang w:eastAsia="zh-CN"/>
              </w:rPr>
              <w:t>境内</w:t>
            </w:r>
          </w:p>
        </w:tc>
        <w:tc>
          <w:tcPr>
            <w:tcW w:w="1276" w:type="dxa"/>
            <w:tcBorders>
              <w:top w:val="single" w:color="auto" w:sz="4" w:space="0"/>
              <w:left w:val="nil"/>
              <w:bottom w:val="single" w:color="auto" w:sz="4" w:space="0"/>
              <w:right w:val="single" w:color="auto" w:sz="4" w:space="0"/>
            </w:tcBorders>
            <w:shd w:val="clear" w:color="auto" w:fill="C0C0C0"/>
            <w:vAlign w:val="center"/>
          </w:tcPr>
          <w:p w14:paraId="30375919">
            <w:pPr>
              <w:widowControl/>
              <w:spacing w:line="280" w:lineRule="exact"/>
              <w:jc w:val="center"/>
              <w:rPr>
                <w:rFonts w:ascii="宋体"/>
                <w:kern w:val="0"/>
                <w:sz w:val="24"/>
                <w:szCs w:val="24"/>
              </w:rPr>
            </w:pPr>
            <w:r>
              <w:rPr>
                <w:rFonts w:hint="eastAsia" w:ascii="宋体" w:hAnsi="宋体"/>
                <w:kern w:val="0"/>
                <w:sz w:val="24"/>
                <w:szCs w:val="24"/>
              </w:rPr>
              <w:t>建设单位</w:t>
            </w:r>
          </w:p>
        </w:tc>
        <w:tc>
          <w:tcPr>
            <w:tcW w:w="1701" w:type="dxa"/>
            <w:tcBorders>
              <w:top w:val="single" w:color="auto" w:sz="4" w:space="0"/>
              <w:left w:val="nil"/>
              <w:bottom w:val="single" w:color="auto" w:sz="4" w:space="0"/>
              <w:right w:val="single" w:color="auto" w:sz="4" w:space="0"/>
            </w:tcBorders>
            <w:vAlign w:val="center"/>
          </w:tcPr>
          <w:p w14:paraId="7FAC3FEA">
            <w:pPr>
              <w:widowControl/>
              <w:spacing w:line="280" w:lineRule="exact"/>
              <w:jc w:val="center"/>
              <w:rPr>
                <w:rFonts w:ascii="Times New Roman" w:hAnsi="Times New Roman"/>
                <w:sz w:val="24"/>
                <w:szCs w:val="24"/>
              </w:rPr>
            </w:pPr>
            <w:r>
              <w:rPr>
                <w:rFonts w:hint="eastAsia" w:ascii="Times New Roman" w:hAnsi="Times New Roman"/>
                <w:sz w:val="24"/>
                <w:szCs w:val="24"/>
              </w:rPr>
              <w:t>华电云南发电有限公司</w:t>
            </w:r>
          </w:p>
        </w:tc>
      </w:tr>
      <w:tr w14:paraId="0C28C87D">
        <w:tblPrEx>
          <w:tblCellMar>
            <w:top w:w="0" w:type="dxa"/>
            <w:left w:w="108" w:type="dxa"/>
            <w:bottom w:w="0" w:type="dxa"/>
            <w:right w:w="108" w:type="dxa"/>
          </w:tblCellMar>
        </w:tblPrEx>
        <w:trPr>
          <w:trHeight w:val="762" w:hRule="atLeast"/>
        </w:trPr>
        <w:tc>
          <w:tcPr>
            <w:tcW w:w="1756" w:type="dxa"/>
            <w:tcBorders>
              <w:top w:val="nil"/>
              <w:left w:val="single" w:color="auto" w:sz="4" w:space="0"/>
              <w:bottom w:val="single" w:color="auto" w:sz="4" w:space="0"/>
              <w:right w:val="single" w:color="auto" w:sz="4" w:space="0"/>
            </w:tcBorders>
            <w:shd w:val="clear" w:color="auto" w:fill="C0C0C0"/>
            <w:vAlign w:val="center"/>
          </w:tcPr>
          <w:p w14:paraId="285487F0">
            <w:pPr>
              <w:widowControl/>
              <w:spacing w:line="280" w:lineRule="exact"/>
              <w:jc w:val="center"/>
              <w:rPr>
                <w:rFonts w:ascii="宋体"/>
                <w:kern w:val="0"/>
                <w:sz w:val="24"/>
                <w:szCs w:val="24"/>
              </w:rPr>
            </w:pPr>
            <w:r>
              <w:rPr>
                <w:rFonts w:hint="eastAsia" w:ascii="宋体" w:hAnsi="宋体"/>
                <w:kern w:val="0"/>
                <w:sz w:val="24"/>
                <w:szCs w:val="24"/>
              </w:rPr>
              <w:t>环评文件类型</w:t>
            </w:r>
          </w:p>
        </w:tc>
        <w:tc>
          <w:tcPr>
            <w:tcW w:w="2246" w:type="dxa"/>
            <w:tcBorders>
              <w:top w:val="nil"/>
              <w:left w:val="nil"/>
              <w:bottom w:val="single" w:color="auto" w:sz="4" w:space="0"/>
              <w:right w:val="single" w:color="auto" w:sz="4" w:space="0"/>
            </w:tcBorders>
            <w:shd w:val="clear" w:color="auto" w:fill="auto"/>
            <w:vAlign w:val="center"/>
          </w:tcPr>
          <w:p w14:paraId="001E7694">
            <w:pPr>
              <w:widowControl/>
              <w:spacing w:line="280" w:lineRule="exact"/>
              <w:jc w:val="center"/>
              <w:rPr>
                <w:rFonts w:ascii="宋体" w:hAnsi="宋体" w:eastAsia="宋体" w:cs="华文仿宋"/>
                <w:kern w:val="0"/>
                <w:sz w:val="24"/>
                <w:szCs w:val="24"/>
              </w:rPr>
            </w:pPr>
            <w:r>
              <w:rPr>
                <w:rFonts w:hint="eastAsia" w:ascii="Times New Roman" w:hAnsi="Times New Roman"/>
                <w:sz w:val="24"/>
                <w:szCs w:val="24"/>
              </w:rPr>
              <w:t>报告表</w:t>
            </w:r>
          </w:p>
        </w:tc>
        <w:tc>
          <w:tcPr>
            <w:tcW w:w="1276" w:type="dxa"/>
            <w:tcBorders>
              <w:top w:val="nil"/>
              <w:left w:val="nil"/>
              <w:bottom w:val="single" w:color="auto" w:sz="4" w:space="0"/>
              <w:right w:val="single" w:color="auto" w:sz="4" w:space="0"/>
            </w:tcBorders>
            <w:shd w:val="clear" w:color="auto" w:fill="C0C0C0"/>
            <w:vAlign w:val="center"/>
          </w:tcPr>
          <w:p w14:paraId="63FD5744">
            <w:pPr>
              <w:widowControl/>
              <w:spacing w:line="280" w:lineRule="exact"/>
              <w:jc w:val="center"/>
              <w:rPr>
                <w:rFonts w:ascii="宋体"/>
                <w:kern w:val="0"/>
                <w:sz w:val="24"/>
                <w:szCs w:val="24"/>
              </w:rPr>
            </w:pPr>
            <w:r>
              <w:rPr>
                <w:rFonts w:hint="eastAsia" w:ascii="宋体" w:hAnsi="宋体"/>
                <w:kern w:val="0"/>
                <w:sz w:val="24"/>
                <w:szCs w:val="24"/>
              </w:rPr>
              <w:t>环境影响评价机构</w:t>
            </w:r>
          </w:p>
        </w:tc>
        <w:tc>
          <w:tcPr>
            <w:tcW w:w="4536" w:type="dxa"/>
            <w:gridSpan w:val="3"/>
            <w:tcBorders>
              <w:top w:val="single" w:color="auto" w:sz="4" w:space="0"/>
              <w:left w:val="nil"/>
              <w:bottom w:val="single" w:color="auto" w:sz="4" w:space="0"/>
              <w:right w:val="single" w:color="000000" w:sz="4" w:space="0"/>
            </w:tcBorders>
            <w:vAlign w:val="center"/>
          </w:tcPr>
          <w:p w14:paraId="70CD292A">
            <w:pPr>
              <w:widowControl/>
              <w:spacing w:line="280" w:lineRule="exact"/>
              <w:jc w:val="center"/>
              <w:rPr>
                <w:rFonts w:hint="eastAsia" w:ascii="宋体"/>
                <w:kern w:val="0"/>
                <w:sz w:val="24"/>
                <w:szCs w:val="24"/>
              </w:rPr>
            </w:pPr>
            <w:r>
              <w:rPr>
                <w:rFonts w:hint="eastAsia" w:ascii="宋体"/>
                <w:kern w:val="0"/>
                <w:sz w:val="24"/>
                <w:szCs w:val="24"/>
              </w:rPr>
              <w:t>中国电建集团昆明勘测设计研究院有限公司</w:t>
            </w:r>
          </w:p>
        </w:tc>
      </w:tr>
      <w:tr w14:paraId="45D43C84">
        <w:tblPrEx>
          <w:tblCellMar>
            <w:top w:w="0" w:type="dxa"/>
            <w:left w:w="108" w:type="dxa"/>
            <w:bottom w:w="0" w:type="dxa"/>
            <w:right w:w="108" w:type="dxa"/>
          </w:tblCellMar>
        </w:tblPrEx>
        <w:trPr>
          <w:trHeight w:val="46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4017439E">
            <w:pPr>
              <w:widowControl/>
              <w:spacing w:line="280" w:lineRule="exact"/>
              <w:jc w:val="center"/>
              <w:rPr>
                <w:rFonts w:ascii="宋体"/>
                <w:kern w:val="0"/>
                <w:sz w:val="24"/>
                <w:szCs w:val="24"/>
              </w:rPr>
            </w:pPr>
            <w:r>
              <w:rPr>
                <w:rFonts w:hint="eastAsia" w:ascii="宋体" w:hAnsi="宋体"/>
                <w:kern w:val="0"/>
                <w:sz w:val="24"/>
                <w:szCs w:val="24"/>
              </w:rPr>
              <w:t>项目概况</w:t>
            </w:r>
          </w:p>
        </w:tc>
      </w:tr>
      <w:tr w14:paraId="6CBE06D0">
        <w:tblPrEx>
          <w:tblCellMar>
            <w:top w:w="0" w:type="dxa"/>
            <w:left w:w="108" w:type="dxa"/>
            <w:bottom w:w="0" w:type="dxa"/>
            <w:right w:w="108" w:type="dxa"/>
          </w:tblCellMar>
        </w:tblPrEx>
        <w:trPr>
          <w:trHeight w:val="606"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143A24BC">
            <w:pPr>
              <w:keepNext w:val="0"/>
              <w:keepLines w:val="0"/>
              <w:pageBreakBefore w:val="0"/>
              <w:widowControl/>
              <w:kinsoku/>
              <w:wordWrap/>
              <w:overflowPunct/>
              <w:topLinePunct w:val="0"/>
              <w:autoSpaceDE/>
              <w:autoSpaceDN/>
              <w:bidi w:val="0"/>
              <w:adjustRightInd/>
              <w:snapToGrid/>
              <w:spacing w:line="360" w:lineRule="exact"/>
              <w:ind w:firstLine="480" w:firstLineChars="200"/>
              <w:jc w:val="left"/>
              <w:textAlignment w:val="auto"/>
            </w:pPr>
            <w:r>
              <w:rPr>
                <w:rFonts w:ascii="Times New Roman" w:hAnsi="Times New Roman" w:eastAsia="仿宋"/>
                <w:sz w:val="24"/>
                <w:szCs w:val="24"/>
              </w:rPr>
              <w:t>绿坪村光伏发电项目额定容量50MW，安装容量61.71984MWp，容配比1.23，多年平均上网电量8531万kW·h，年平均等效满负荷小时数1382h。由光伏方阵区（太阳能电池组件、支架基础、箱变及分支箱、光伏方阵空地）、集电线路区（架空线路、直埋电缆）、道路工程区（场内新建道路及场内改扩建道路）、施工生产生活区及升压站区等组成。</w:t>
            </w:r>
          </w:p>
        </w:tc>
      </w:tr>
      <w:tr w14:paraId="088DA8D9">
        <w:tblPrEx>
          <w:tblCellMar>
            <w:top w:w="0" w:type="dxa"/>
            <w:left w:w="108" w:type="dxa"/>
            <w:bottom w:w="0" w:type="dxa"/>
            <w:right w:w="108" w:type="dxa"/>
          </w:tblCellMar>
        </w:tblPrEx>
        <w:trPr>
          <w:trHeight w:val="448"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1AD5ADA0">
            <w:pPr>
              <w:widowControl/>
              <w:spacing w:line="280" w:lineRule="exact"/>
              <w:jc w:val="center"/>
              <w:rPr>
                <w:rFonts w:ascii="宋体"/>
                <w:kern w:val="0"/>
                <w:sz w:val="24"/>
                <w:szCs w:val="24"/>
              </w:rPr>
            </w:pPr>
            <w:r>
              <w:rPr>
                <w:rFonts w:hint="eastAsia" w:ascii="宋体" w:hAnsi="宋体"/>
                <w:kern w:val="0"/>
                <w:sz w:val="24"/>
                <w:szCs w:val="24"/>
              </w:rPr>
              <w:t>项目主要环境影响</w:t>
            </w:r>
          </w:p>
        </w:tc>
      </w:tr>
      <w:tr w14:paraId="6AD1242C">
        <w:tblPrEx>
          <w:tblCellMar>
            <w:top w:w="0" w:type="dxa"/>
            <w:left w:w="108" w:type="dxa"/>
            <w:bottom w:w="0" w:type="dxa"/>
            <w:right w:w="108" w:type="dxa"/>
          </w:tblCellMar>
        </w:tblPrEx>
        <w:trPr>
          <w:trHeight w:val="535"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6C248E6D">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（1）声环境</w:t>
            </w:r>
          </w:p>
          <w:p w14:paraId="5178CB0E">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项目施工期噪声主要为打桩机、挖掘机等施工设备噪声和工程运输车辆交通噪声。</w:t>
            </w:r>
          </w:p>
          <w:p w14:paraId="2212C1D0">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项目运营期噪声主要为光伏发电区的箱式变压器及逆变器，新建升压站的主变及水泵房水泵运行时产生的噪声。</w:t>
            </w:r>
          </w:p>
          <w:p w14:paraId="44A2075A">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（2）大气环境</w:t>
            </w:r>
          </w:p>
          <w:p w14:paraId="1700E9C7">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项目施工期大气环境影响主要为施工作业、施工物料运输扬尘影响及燃油废气影响。</w:t>
            </w:r>
          </w:p>
          <w:p w14:paraId="19154838">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项目运营期产生的废气主要为食堂油烟、汽车尾气、污水处理设施异味及光伏阵列区清洗车辆扬尘。</w:t>
            </w:r>
          </w:p>
          <w:p w14:paraId="60804669">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（3）水环境</w:t>
            </w:r>
          </w:p>
          <w:p w14:paraId="341A2195">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项目施工期废水主要包括施工废水、施工人员生活污水以及雨季地表径流。</w:t>
            </w:r>
          </w:p>
          <w:p w14:paraId="69871922">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项目运营期产生的废水为生活污水和太阳能电池清洗废水。</w:t>
            </w:r>
          </w:p>
          <w:p w14:paraId="7EDC1C8B">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（4）固体废物</w:t>
            </w:r>
          </w:p>
          <w:p w14:paraId="5D3FEF9D">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项目施工期固体废物主要为废弃土石方、建筑垃圾、生活垃圾、旱厕粪便、沉淀池泥沙等。</w:t>
            </w:r>
          </w:p>
          <w:p w14:paraId="78D84242">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运营期固体废物主要为生活垃圾、污水处理设施污泥、废电池板、废铅蓄电池、废矿物油、含油抹布等。</w:t>
            </w:r>
          </w:p>
          <w:p w14:paraId="1B72D138">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（5）生态环境</w:t>
            </w:r>
          </w:p>
          <w:p w14:paraId="1ED112E9">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施工期生态环境影响主要为工程占地导致占用区域土地利用类型发生改变，施工过程中场地平整、地表清理等对地表植被和植株造成破坏，施工机械作业及人为活动等对区域野生动物产生干扰，以及施工期间地表裸露、土石方开挖回填和临时堆存等导致的水土流失。</w:t>
            </w:r>
          </w:p>
          <w:p w14:paraId="55EFB702">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项目运营期主要为光伏板遮挡阳光对植物生长的影响，以及架空线路对鸟类的飞行会产生一定的不利影响。</w:t>
            </w:r>
          </w:p>
          <w:p w14:paraId="40CBE982">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（6）电磁环境</w:t>
            </w:r>
          </w:p>
          <w:p w14:paraId="0882FE55">
            <w:pPr>
              <w:widowControl/>
              <w:ind w:firstLine="480" w:firstLineChars="200"/>
              <w:rPr>
                <w:rFonts w:ascii="Times New Roman" w:hAnsi="Times New Roman" w:eastAsia="仿宋"/>
                <w:kern w:val="0"/>
                <w:sz w:val="24"/>
                <w:szCs w:val="24"/>
              </w:rPr>
            </w:pPr>
            <w:r>
              <w:rPr>
                <w:rFonts w:ascii="Times New Roman" w:hAnsi="Times New Roman" w:eastAsia="仿宋"/>
                <w:kern w:val="0"/>
                <w:sz w:val="24"/>
                <w:szCs w:val="24"/>
              </w:rPr>
              <w:t>本项目110kV升压站建设完成后，运营期产生的工频电场、工频磁感应强度值在围墙外均满足《电磁环境控制限值》（GB 8702-2014）标准中工频电场4000V/m、工频磁感应强度100μT的要求。</w:t>
            </w:r>
          </w:p>
        </w:tc>
      </w:tr>
      <w:tr w14:paraId="77157C98">
        <w:tblPrEx>
          <w:tblCellMar>
            <w:top w:w="0" w:type="dxa"/>
            <w:left w:w="108" w:type="dxa"/>
            <w:bottom w:w="0" w:type="dxa"/>
            <w:right w:w="108" w:type="dxa"/>
          </w:tblCellMar>
        </w:tblPrEx>
        <w:trPr>
          <w:trHeight w:val="381"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3730556A">
            <w:pPr>
              <w:widowControl/>
              <w:spacing w:line="280" w:lineRule="exact"/>
              <w:jc w:val="center"/>
              <w:rPr>
                <w:rFonts w:ascii="宋体"/>
                <w:kern w:val="0"/>
                <w:sz w:val="24"/>
                <w:szCs w:val="24"/>
              </w:rPr>
            </w:pPr>
            <w:r>
              <w:rPr>
                <w:rFonts w:hint="eastAsia" w:ascii="宋体" w:hAnsi="宋体"/>
                <w:kern w:val="0"/>
                <w:sz w:val="24"/>
                <w:szCs w:val="24"/>
              </w:rPr>
              <w:t>项目预防及减轻不良环境影响的对策和措施</w:t>
            </w:r>
          </w:p>
        </w:tc>
      </w:tr>
      <w:tr w14:paraId="4D28A8A1">
        <w:tblPrEx>
          <w:tblCellMar>
            <w:top w:w="0" w:type="dxa"/>
            <w:left w:w="108" w:type="dxa"/>
            <w:bottom w:w="0" w:type="dxa"/>
            <w:right w:w="108" w:type="dxa"/>
          </w:tblCellMar>
        </w:tblPrEx>
        <w:trPr>
          <w:trHeight w:val="437"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3DAC1D2C">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（1）声环境</w:t>
            </w:r>
          </w:p>
          <w:p w14:paraId="213B8119">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施工期尽量采用低噪声施工机械，工程施工所用的施工机械设备应事先对其常规工作状态下的噪声进行测量，超过国家标准的机械应禁止入场施工。按照要求设置隔声围挡，保护目标周围施工地的围挡采用高度不小于2m，长度不小于20m的彩钢瓦按照地形进行围挡，针对昼间施工期噪声超标的居民点一侧设置隔声屏障。</w:t>
            </w:r>
          </w:p>
          <w:p w14:paraId="4D256FEE">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运行期选用低噪声设备，并加强设备维护，避免带病运营；加强巡视主变、逆变器、箱变等设备，对散热风扇等产生噪声设备进行特殊巡检，发现问题或故障，应及时对散热风扇等零部件进行维护更换，避免因设备老化或故障产生故障噪声，影响周围声环境质量。</w:t>
            </w:r>
          </w:p>
          <w:p w14:paraId="0F1C035B">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（2）大气环境</w:t>
            </w:r>
          </w:p>
          <w:p w14:paraId="78F19D3D">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施工期制定施工扬尘污染防治和文明施工方案，根据施工工序编制施工期内扬尘污染防治任务书，实施扬尘防治全过程管理，责任到每个施工工序。在靠近敏感点一侧设置防尘网，高2.5m，避免粉尘扰民。尽量缩小施工范围，分段进行施工，夜间不施工。配备洒水车1辆，对各施工场地经常洒水，一般每天可洒水4～5次。</w:t>
            </w:r>
          </w:p>
          <w:p w14:paraId="27E87C82">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运营期保持项目区内环境卫生，减少运营期地面扬尘和飘散物对环境空气质量的影响；生活垃圾及时清运并对垃圾收集及时清运，定时清掏化粪池及污水处理设施。</w:t>
            </w:r>
          </w:p>
          <w:p w14:paraId="2876C968">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（3）水环境</w:t>
            </w:r>
          </w:p>
          <w:p w14:paraId="3D512B12">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本项目施工期不设置施工营地，施工人员的生活污水依托租住村庄的现有污水处理设施处理。项目区内设置排水沟与沉沙池，确保排水设施和沉淀设施连续、通畅，发现堵塞或损坏，应当立即疏通或修复。</w:t>
            </w:r>
          </w:p>
          <w:p w14:paraId="63484DD3">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运行期以礼河三级电站厂区食堂废水经油水分离器隔油后经过化粪池预处理，进入地埋式一体化污水处理。光伏板在旱季进行清洗，由于采用擦洗的方式，产生废水量很少，收集后散排于光伏板下。定期检查光伏场区的排水沟及清掏排水沟末端的沉沙池。</w:t>
            </w:r>
          </w:p>
          <w:p w14:paraId="14616C6C">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（4）固体废物</w:t>
            </w:r>
          </w:p>
          <w:p w14:paraId="5EC29D44">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施工期生活垃圾“日产日清”，能利用部分外售收购商进行回收利用，不可回收部分由施工现场设置的临时垃圾桶收集后，交附近村庄垃圾收集点由环卫部门处理。施工期生产生活区旱厕产生的粪便，定期委托当地村民定期清掏用作农肥。</w:t>
            </w:r>
          </w:p>
          <w:p w14:paraId="1A1F1A37">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运营期生活垃圾能回用的尽量回收利用，不能回用的定期运至附近村庄垃圾收集点，由当地环卫部门处置。废矿物油和含油抹布等危险废物定期委托具备相应危废处置资质的单位进行处置。在升压站内主变压器处设置1个集油坑和1个事故油池。</w:t>
            </w:r>
          </w:p>
          <w:p w14:paraId="79D0134E">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（5）生态环境</w:t>
            </w:r>
          </w:p>
          <w:p w14:paraId="6FEEA534">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工程施工区无珍稀保护植物和生态敏感目标，但在施工工程中，应严格控制施工范围，禁止超范围和超计划毁坏植物和植被，保护植物的生境条件，注意防止外来物种的入侵，有效保护生态环境和物种资源。</w:t>
            </w:r>
          </w:p>
          <w:p w14:paraId="31DD19E7">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光伏场区等临时用地区域在植被恢复过程中，应加强初期、中期的植被抚育工作。尽量采取场地封禁自然恢复，并辅以适当的人工手段：如选取乡土物种补种补植；项目区较为干旱，必要时可进行适当的洒水浇灌，以保障植被的恢复存活。</w:t>
            </w:r>
          </w:p>
          <w:p w14:paraId="0DD83A68">
            <w:pPr>
              <w:widowControl/>
              <w:ind w:firstLine="480" w:firstLineChars="200"/>
              <w:rPr>
                <w:rFonts w:ascii="Times New Roman" w:hAnsi="Times New Roman" w:eastAsia="仿宋"/>
                <w:kern w:val="0"/>
                <w:sz w:val="24"/>
                <w:szCs w:val="24"/>
              </w:rPr>
            </w:pPr>
            <w:r>
              <w:rPr>
                <w:rFonts w:hint="eastAsia" w:ascii="Times New Roman" w:hAnsi="Times New Roman" w:eastAsia="仿宋"/>
                <w:kern w:val="0"/>
                <w:sz w:val="24"/>
                <w:szCs w:val="24"/>
              </w:rPr>
              <w:t>（6）电磁环境</w:t>
            </w:r>
          </w:p>
          <w:p w14:paraId="53E96855">
            <w:pPr>
              <w:widowControl/>
              <w:ind w:firstLine="480" w:firstLineChars="200"/>
              <w:rPr>
                <w:rFonts w:hint="eastAsia" w:ascii="Times New Roman" w:hAnsi="Times New Roman" w:eastAsia="仿宋"/>
                <w:kern w:val="0"/>
                <w:sz w:val="24"/>
                <w:szCs w:val="24"/>
              </w:rPr>
            </w:pPr>
            <w:r>
              <w:rPr>
                <w:rFonts w:hint="eastAsia" w:ascii="Times New Roman" w:hAnsi="Times New Roman" w:eastAsia="仿宋"/>
                <w:kern w:val="0"/>
                <w:sz w:val="24"/>
                <w:szCs w:val="24"/>
              </w:rPr>
              <w:t>运营期对周边环境保护目标，宣传可能产生的辐射环境影响不会对身体健康造成不利影响，消除周边民众担忧，增强环境保护意识和安全意识。升压站内电气设备采取集中布置方式，在设计中应按有关规程采取一系列的控制过电压、电磁感应场强水平的措施，如保证导体和电气设备之间的电气安全距离，选用具有低辐射、抗干扰能力的设备，设置防雷接地保护装置，选用带屏蔽层的电缆、屏蔽层接地等，将可以有效地降低电磁环境影响。</w:t>
            </w:r>
          </w:p>
        </w:tc>
      </w:tr>
      <w:tr w14:paraId="7F1660CA">
        <w:tblPrEx>
          <w:tblCellMar>
            <w:top w:w="0" w:type="dxa"/>
            <w:left w:w="108" w:type="dxa"/>
            <w:bottom w:w="0" w:type="dxa"/>
            <w:right w:w="108" w:type="dxa"/>
          </w:tblCellMar>
        </w:tblPrEx>
        <w:trPr>
          <w:trHeight w:val="386" w:hRule="atLeast"/>
        </w:trPr>
        <w:tc>
          <w:tcPr>
            <w:tcW w:w="9814" w:type="dxa"/>
            <w:gridSpan w:val="6"/>
            <w:tcBorders>
              <w:top w:val="single" w:color="auto" w:sz="4" w:space="0"/>
              <w:left w:val="single" w:color="auto" w:sz="4" w:space="0"/>
              <w:bottom w:val="single" w:color="auto" w:sz="4" w:space="0"/>
              <w:right w:val="single" w:color="auto" w:sz="4" w:space="0"/>
            </w:tcBorders>
            <w:shd w:val="clear" w:color="auto" w:fill="C0C0C0"/>
            <w:vAlign w:val="center"/>
          </w:tcPr>
          <w:p w14:paraId="06646DF2">
            <w:pPr>
              <w:widowControl/>
              <w:spacing w:line="280" w:lineRule="exact"/>
              <w:jc w:val="center"/>
              <w:rPr>
                <w:rFonts w:ascii="宋体"/>
                <w:kern w:val="0"/>
                <w:sz w:val="24"/>
                <w:szCs w:val="24"/>
              </w:rPr>
            </w:pPr>
            <w:r>
              <w:rPr>
                <w:rFonts w:hint="eastAsia" w:ascii="宋体" w:hAnsi="宋体"/>
                <w:kern w:val="0"/>
                <w:sz w:val="24"/>
                <w:szCs w:val="24"/>
              </w:rPr>
              <w:t>公众参与情况</w:t>
            </w:r>
          </w:p>
        </w:tc>
      </w:tr>
      <w:tr w14:paraId="5330ABFA">
        <w:tblPrEx>
          <w:tblCellMar>
            <w:top w:w="0" w:type="dxa"/>
            <w:left w:w="108" w:type="dxa"/>
            <w:bottom w:w="0" w:type="dxa"/>
            <w:right w:w="108" w:type="dxa"/>
          </w:tblCellMar>
        </w:tblPrEx>
        <w:trPr>
          <w:trHeight w:val="449" w:hRule="atLeast"/>
        </w:trPr>
        <w:tc>
          <w:tcPr>
            <w:tcW w:w="9814" w:type="dxa"/>
            <w:gridSpan w:val="6"/>
            <w:tcBorders>
              <w:top w:val="single" w:color="auto" w:sz="4" w:space="0"/>
              <w:left w:val="single" w:color="auto" w:sz="4" w:space="0"/>
              <w:bottom w:val="single" w:color="auto" w:sz="4" w:space="0"/>
              <w:right w:val="single" w:color="auto" w:sz="4" w:space="0"/>
            </w:tcBorders>
            <w:vAlign w:val="center"/>
          </w:tcPr>
          <w:p w14:paraId="3CAE985A">
            <w:pPr>
              <w:widowControl/>
              <w:ind w:firstLine="480" w:firstLineChars="200"/>
              <w:rPr>
                <w:rFonts w:hint="eastAsia" w:ascii="Times New Roman" w:hAnsi="Times New Roman" w:eastAsia="仿宋"/>
                <w:kern w:val="0"/>
                <w:sz w:val="24"/>
                <w:szCs w:val="24"/>
              </w:rPr>
            </w:pPr>
            <w:r>
              <w:rPr>
                <w:rFonts w:hint="eastAsia" w:ascii="Times New Roman" w:hAnsi="Times New Roman" w:eastAsia="仿宋"/>
                <w:kern w:val="0"/>
                <w:sz w:val="24"/>
                <w:szCs w:val="24"/>
              </w:rPr>
              <w:t>本项目公众参与调查工作于2026年6月26日至27日进行，调查范围为项目用地边界外扩50m范围内的居民点。调查组采用发放公众参与调查文件的形式，向受项目施工影响较大的居民进行意见征询。本次调查共发放调查问卷21份。</w:t>
            </w:r>
          </w:p>
          <w:p w14:paraId="111781CD">
            <w:pPr>
              <w:widowControl/>
              <w:ind w:firstLine="480" w:firstLineChars="200"/>
              <w:rPr>
                <w:rFonts w:hint="eastAsia" w:ascii="Times New Roman" w:hAnsi="Times New Roman" w:eastAsia="仿宋"/>
                <w:kern w:val="0"/>
                <w:sz w:val="24"/>
                <w:szCs w:val="24"/>
              </w:rPr>
            </w:pPr>
            <w:r>
              <w:rPr>
                <w:rFonts w:hint="eastAsia" w:ascii="Times New Roman" w:hAnsi="Times New Roman" w:eastAsia="仿宋"/>
                <w:kern w:val="0"/>
                <w:sz w:val="24"/>
                <w:szCs w:val="24"/>
              </w:rPr>
              <w:t>经统计汇总，公众反馈意见主要集中在以下四个方面：（1）施工期间应保障村内道路通畅，避免因运输车辆进出造成交通堵塞，影响居民日常出行；（2）施工场地内生活垃圾及建筑垃圾应及时清理，做到日产日清，保持周边环境卫生；（3）严格落实扬尘防治措施，减少土方作业及物料运输过程中产生的粉尘对居民生活及空气质量的影响；（4）施工过程中应注意保护村民种植的石榴树，不得侵占、损伤已有果树。</w:t>
            </w:r>
          </w:p>
          <w:p w14:paraId="5FEEC31F">
            <w:pPr>
              <w:widowControl/>
              <w:ind w:firstLine="480" w:firstLineChars="200"/>
            </w:pPr>
            <w:r>
              <w:rPr>
                <w:rFonts w:hint="eastAsia" w:ascii="Times New Roman" w:hAnsi="Times New Roman" w:eastAsia="仿宋"/>
                <w:kern w:val="0"/>
                <w:sz w:val="24"/>
                <w:szCs w:val="24"/>
              </w:rPr>
              <w:t>针对上述公众意见，将并在施工过程中全面落实，具体措施包括：设置封闭式垃圾收集及日产日清制度、安装围挡及洒水降尘设施、对影响范围内的石榴树实施围栏防护等。同时，将设立公众投诉反馈热线，接受沿线居民监督，确保各项措施执行到位。</w:t>
            </w:r>
          </w:p>
        </w:tc>
      </w:tr>
      <w:tr w14:paraId="44773E70">
        <w:tblPrEx>
          <w:tblCellMar>
            <w:top w:w="0" w:type="dxa"/>
            <w:left w:w="108" w:type="dxa"/>
            <w:bottom w:w="0" w:type="dxa"/>
            <w:right w:w="108" w:type="dxa"/>
          </w:tblCellMar>
        </w:tblPrEx>
        <w:trPr>
          <w:trHeight w:val="429" w:hRule="atLeast"/>
        </w:trPr>
        <w:tc>
          <w:tcPr>
            <w:tcW w:w="4002" w:type="dxa"/>
            <w:gridSpan w:val="2"/>
            <w:tcBorders>
              <w:top w:val="single" w:color="auto" w:sz="4" w:space="0"/>
              <w:left w:val="single" w:color="auto" w:sz="4" w:space="0"/>
              <w:bottom w:val="single" w:color="auto" w:sz="4" w:space="0"/>
              <w:right w:val="single" w:color="auto" w:sz="4" w:space="0"/>
            </w:tcBorders>
            <w:shd w:val="clear" w:color="auto" w:fill="C0C0C0"/>
            <w:vAlign w:val="center"/>
          </w:tcPr>
          <w:p w14:paraId="3CDF5342">
            <w:pPr>
              <w:widowControl/>
              <w:spacing w:line="280" w:lineRule="exact"/>
              <w:jc w:val="left"/>
              <w:rPr>
                <w:rFonts w:ascii="宋体"/>
                <w:kern w:val="0"/>
                <w:sz w:val="24"/>
                <w:szCs w:val="24"/>
              </w:rPr>
            </w:pPr>
            <w:r>
              <w:rPr>
                <w:rFonts w:hint="eastAsia" w:ascii="宋体" w:hAnsi="宋体"/>
                <w:kern w:val="0"/>
                <w:sz w:val="24"/>
                <w:szCs w:val="24"/>
              </w:rPr>
              <w:t>建设单位或地方政府所作出的相关承诺文件</w:t>
            </w:r>
          </w:p>
        </w:tc>
        <w:tc>
          <w:tcPr>
            <w:tcW w:w="5812" w:type="dxa"/>
            <w:gridSpan w:val="4"/>
            <w:tcBorders>
              <w:top w:val="single" w:color="auto" w:sz="4" w:space="0"/>
              <w:left w:val="nil"/>
              <w:bottom w:val="single" w:color="auto" w:sz="4" w:space="0"/>
              <w:right w:val="single" w:color="auto" w:sz="4" w:space="0"/>
            </w:tcBorders>
            <w:vAlign w:val="center"/>
          </w:tcPr>
          <w:p w14:paraId="2EFC629B">
            <w:pPr>
              <w:widowControl/>
              <w:jc w:val="center"/>
              <w:rPr>
                <w:rFonts w:hint="eastAsia" w:eastAsia="仿宋"/>
                <w:lang w:val="en-US" w:eastAsia="zh-CN"/>
              </w:rPr>
            </w:pPr>
            <w:r>
              <w:rPr>
                <w:rFonts w:hint="eastAsia" w:ascii="Times New Roman" w:hAnsi="Times New Roman" w:eastAsia="仿宋"/>
                <w:kern w:val="0"/>
                <w:sz w:val="24"/>
                <w:szCs w:val="24"/>
              </w:rPr>
              <w:t>同意公开承诺函</w:t>
            </w:r>
            <w:r>
              <w:rPr>
                <w:rFonts w:hint="eastAsia" w:ascii="Times New Roman" w:hAnsi="Times New Roman" w:eastAsia="仿宋"/>
                <w:kern w:val="0"/>
                <w:sz w:val="24"/>
                <w:szCs w:val="24"/>
                <w:lang w:eastAsia="zh-CN"/>
              </w:rPr>
              <w:t>。</w:t>
            </w:r>
          </w:p>
        </w:tc>
      </w:tr>
      <w:tr w14:paraId="3D890382">
        <w:tblPrEx>
          <w:tblCellMar>
            <w:top w:w="0" w:type="dxa"/>
            <w:left w:w="108" w:type="dxa"/>
            <w:bottom w:w="0" w:type="dxa"/>
            <w:right w:w="108" w:type="dxa"/>
          </w:tblCellMar>
        </w:tblPrEx>
        <w:trPr>
          <w:trHeight w:val="1110" w:hRule="atLeast"/>
        </w:trPr>
        <w:tc>
          <w:tcPr>
            <w:tcW w:w="9814" w:type="dxa"/>
            <w:gridSpan w:val="6"/>
            <w:tcBorders>
              <w:top w:val="single" w:color="auto" w:sz="4" w:space="0"/>
              <w:left w:val="nil"/>
              <w:bottom w:val="nil"/>
              <w:right w:val="nil"/>
            </w:tcBorders>
            <w:vAlign w:val="center"/>
          </w:tcPr>
          <w:p w14:paraId="06A54C2A">
            <w:pPr>
              <w:widowControl/>
              <w:spacing w:line="280" w:lineRule="exact"/>
              <w:jc w:val="left"/>
              <w:rPr>
                <w:rFonts w:ascii="宋体"/>
                <w:kern w:val="0"/>
                <w:sz w:val="24"/>
                <w:szCs w:val="24"/>
              </w:rPr>
            </w:pPr>
            <w:r>
              <w:rPr>
                <w:rFonts w:hint="eastAsia" w:ascii="宋体" w:hAnsi="宋体"/>
                <w:kern w:val="0"/>
                <w:sz w:val="24"/>
                <w:szCs w:val="24"/>
              </w:rPr>
              <w:t>注:项目概况、项目主要环境影响、项目预防及减轻不良环境影响的对策和措施、公众参与情况、建设单位或地方政府所作出的相关承诺文件部分由建设单位填写。公众反馈意见联系方式部分由行政审批机关填写。</w:t>
            </w:r>
          </w:p>
        </w:tc>
      </w:tr>
    </w:tbl>
    <w:p w14:paraId="6983C216">
      <w:pPr>
        <w:rPr>
          <w:color w:val="FF0000"/>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_GBK">
    <w:altName w:val="Arial Unicode MS"/>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方正小标宋_GBK">
    <w:altName w:val="Arial Unicode MS"/>
    <w:panose1 w:val="03000509000000000000"/>
    <w:charset w:val="86"/>
    <w:family w:val="script"/>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仿宋">
    <w:panose1 w:val="02010600040101010101"/>
    <w:charset w:val="86"/>
    <w:family w:val="auto"/>
    <w:pitch w:val="default"/>
    <w:sig w:usb0="00000287" w:usb1="080F0000" w:usb2="00000000" w:usb3="00000000" w:csb0="0004009F" w:csb1="DFD70000"/>
  </w:font>
  <w:font w:name="Arial Unicode MS">
    <w:panose1 w:val="020B0604020202020204"/>
    <w:charset w:val="86"/>
    <w:family w:val="auto"/>
    <w:pitch w:val="default"/>
    <w:sig w:usb0="FFFFFFFF" w:usb1="E9FFFFFF" w:usb2="0000003F" w:usb3="00000000" w:csb0="603F01FF" w:csb1="FFFF0000"/>
  </w:font>
  <w:font w:name="KSOF51D5AD36">
    <w:panose1 w:val="020B0604020202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BiYzQ1NDY1YjQ0MjBjMWNmZDQyYjE1NzJjMWYwMDcifQ=="/>
  </w:docVars>
  <w:rsids>
    <w:rsidRoot w:val="392E2078"/>
    <w:rsid w:val="0007389C"/>
    <w:rsid w:val="00150BE9"/>
    <w:rsid w:val="00156B39"/>
    <w:rsid w:val="001A0782"/>
    <w:rsid w:val="001A6B62"/>
    <w:rsid w:val="001B3A2B"/>
    <w:rsid w:val="001F034E"/>
    <w:rsid w:val="001F679B"/>
    <w:rsid w:val="00294DBA"/>
    <w:rsid w:val="002B6C2D"/>
    <w:rsid w:val="002C62B4"/>
    <w:rsid w:val="00322D57"/>
    <w:rsid w:val="00327286"/>
    <w:rsid w:val="00330F90"/>
    <w:rsid w:val="00335349"/>
    <w:rsid w:val="003C1AD7"/>
    <w:rsid w:val="003C4CF8"/>
    <w:rsid w:val="003C6F96"/>
    <w:rsid w:val="003E6693"/>
    <w:rsid w:val="00473C47"/>
    <w:rsid w:val="00485878"/>
    <w:rsid w:val="004A6061"/>
    <w:rsid w:val="004D701F"/>
    <w:rsid w:val="004E159E"/>
    <w:rsid w:val="005010C4"/>
    <w:rsid w:val="005107E1"/>
    <w:rsid w:val="005370B8"/>
    <w:rsid w:val="00542698"/>
    <w:rsid w:val="005A0DCF"/>
    <w:rsid w:val="005B283A"/>
    <w:rsid w:val="0060088D"/>
    <w:rsid w:val="0061485D"/>
    <w:rsid w:val="0062265A"/>
    <w:rsid w:val="006C6412"/>
    <w:rsid w:val="006D5270"/>
    <w:rsid w:val="006E4B40"/>
    <w:rsid w:val="006E5771"/>
    <w:rsid w:val="00702618"/>
    <w:rsid w:val="00705F2D"/>
    <w:rsid w:val="00773626"/>
    <w:rsid w:val="007A0516"/>
    <w:rsid w:val="007C11E2"/>
    <w:rsid w:val="0081762D"/>
    <w:rsid w:val="00833B43"/>
    <w:rsid w:val="00841044"/>
    <w:rsid w:val="00863CCD"/>
    <w:rsid w:val="00871427"/>
    <w:rsid w:val="00872120"/>
    <w:rsid w:val="00873527"/>
    <w:rsid w:val="008A3643"/>
    <w:rsid w:val="008A7183"/>
    <w:rsid w:val="008C224E"/>
    <w:rsid w:val="008C796D"/>
    <w:rsid w:val="008C7996"/>
    <w:rsid w:val="008C7D47"/>
    <w:rsid w:val="008D6010"/>
    <w:rsid w:val="00906E2D"/>
    <w:rsid w:val="009B5EE1"/>
    <w:rsid w:val="009D1793"/>
    <w:rsid w:val="009D3485"/>
    <w:rsid w:val="009D5CDC"/>
    <w:rsid w:val="00A560A2"/>
    <w:rsid w:val="00A7390A"/>
    <w:rsid w:val="00A752B3"/>
    <w:rsid w:val="00A84CD0"/>
    <w:rsid w:val="00AA08DA"/>
    <w:rsid w:val="00B22E4F"/>
    <w:rsid w:val="00B4670A"/>
    <w:rsid w:val="00B547C9"/>
    <w:rsid w:val="00B55F2A"/>
    <w:rsid w:val="00BA1007"/>
    <w:rsid w:val="00BA59BE"/>
    <w:rsid w:val="00BA7231"/>
    <w:rsid w:val="00BC32D8"/>
    <w:rsid w:val="00BD0857"/>
    <w:rsid w:val="00BD1407"/>
    <w:rsid w:val="00C36231"/>
    <w:rsid w:val="00C71183"/>
    <w:rsid w:val="00C96052"/>
    <w:rsid w:val="00CC1BB9"/>
    <w:rsid w:val="00CD2BAA"/>
    <w:rsid w:val="00CD608E"/>
    <w:rsid w:val="00D233CF"/>
    <w:rsid w:val="00DA65D2"/>
    <w:rsid w:val="00DC4E67"/>
    <w:rsid w:val="00DC7CEE"/>
    <w:rsid w:val="00E46C95"/>
    <w:rsid w:val="00E90C9E"/>
    <w:rsid w:val="00ED0EFF"/>
    <w:rsid w:val="00EE1F18"/>
    <w:rsid w:val="00EE5CE6"/>
    <w:rsid w:val="00F530BA"/>
    <w:rsid w:val="00F86E32"/>
    <w:rsid w:val="00FD24C7"/>
    <w:rsid w:val="00FD5740"/>
    <w:rsid w:val="00FF23D3"/>
    <w:rsid w:val="013830D2"/>
    <w:rsid w:val="01437794"/>
    <w:rsid w:val="03344A05"/>
    <w:rsid w:val="05275651"/>
    <w:rsid w:val="05B86C53"/>
    <w:rsid w:val="081E3E37"/>
    <w:rsid w:val="13B34670"/>
    <w:rsid w:val="173013AD"/>
    <w:rsid w:val="1A3C46BC"/>
    <w:rsid w:val="1B020E5E"/>
    <w:rsid w:val="1C8733A0"/>
    <w:rsid w:val="201D4921"/>
    <w:rsid w:val="20547DB6"/>
    <w:rsid w:val="21602F6F"/>
    <w:rsid w:val="22862C6A"/>
    <w:rsid w:val="245D4345"/>
    <w:rsid w:val="24694EB2"/>
    <w:rsid w:val="25502092"/>
    <w:rsid w:val="26751547"/>
    <w:rsid w:val="2B002CE4"/>
    <w:rsid w:val="2CA10B4F"/>
    <w:rsid w:val="2CAD1D69"/>
    <w:rsid w:val="2EE11733"/>
    <w:rsid w:val="2F923676"/>
    <w:rsid w:val="2FC57EA9"/>
    <w:rsid w:val="301D5EC7"/>
    <w:rsid w:val="33682ACB"/>
    <w:rsid w:val="34185686"/>
    <w:rsid w:val="35313D1A"/>
    <w:rsid w:val="38002C65"/>
    <w:rsid w:val="392E2078"/>
    <w:rsid w:val="39984AC7"/>
    <w:rsid w:val="3B020811"/>
    <w:rsid w:val="3B2E26FF"/>
    <w:rsid w:val="3C272C37"/>
    <w:rsid w:val="3EDD372A"/>
    <w:rsid w:val="4155672C"/>
    <w:rsid w:val="43BD5ED1"/>
    <w:rsid w:val="449625B7"/>
    <w:rsid w:val="45BD33BC"/>
    <w:rsid w:val="47F24AD5"/>
    <w:rsid w:val="4866291F"/>
    <w:rsid w:val="4B402719"/>
    <w:rsid w:val="4B9C7ABA"/>
    <w:rsid w:val="4C985FBF"/>
    <w:rsid w:val="4D2F5EED"/>
    <w:rsid w:val="4DC60339"/>
    <w:rsid w:val="4EC40453"/>
    <w:rsid w:val="4F7B2ACC"/>
    <w:rsid w:val="50153BC8"/>
    <w:rsid w:val="51E81108"/>
    <w:rsid w:val="52385E17"/>
    <w:rsid w:val="54752240"/>
    <w:rsid w:val="55367ECE"/>
    <w:rsid w:val="555D267C"/>
    <w:rsid w:val="5653575C"/>
    <w:rsid w:val="577942AD"/>
    <w:rsid w:val="58FF0EBE"/>
    <w:rsid w:val="5998453C"/>
    <w:rsid w:val="5A834766"/>
    <w:rsid w:val="5BED57C7"/>
    <w:rsid w:val="5D2E69AB"/>
    <w:rsid w:val="5DCC4393"/>
    <w:rsid w:val="5F257633"/>
    <w:rsid w:val="60EA0DC0"/>
    <w:rsid w:val="614E3CA3"/>
    <w:rsid w:val="64CE0A00"/>
    <w:rsid w:val="66B00A67"/>
    <w:rsid w:val="6AB93F9D"/>
    <w:rsid w:val="6C044E5F"/>
    <w:rsid w:val="6C8A7DA4"/>
    <w:rsid w:val="70AA332D"/>
    <w:rsid w:val="714078D6"/>
    <w:rsid w:val="715F713D"/>
    <w:rsid w:val="747E39E9"/>
    <w:rsid w:val="74857523"/>
    <w:rsid w:val="77533B6A"/>
    <w:rsid w:val="78CD4DAD"/>
    <w:rsid w:val="79377A43"/>
    <w:rsid w:val="79CC62C5"/>
    <w:rsid w:val="79EF4D86"/>
    <w:rsid w:val="7E5F22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方正仿宋_GBK" w:cs="Times New Roman"/>
      <w:kern w:val="32"/>
      <w:sz w:val="32"/>
      <w:szCs w:val="32"/>
      <w:lang w:val="en-US" w:eastAsia="zh-CN" w:bidi="ar-SA"/>
    </w:rPr>
  </w:style>
  <w:style w:type="paragraph" w:styleId="4">
    <w:name w:val="heading 2"/>
    <w:basedOn w:val="1"/>
    <w:next w:val="1"/>
    <w:link w:val="24"/>
    <w:qFormat/>
    <w:uiPriority w:val="0"/>
    <w:pPr>
      <w:tabs>
        <w:tab w:val="left" w:pos="5882"/>
      </w:tabs>
      <w:adjustRightInd w:val="0"/>
      <w:snapToGrid w:val="0"/>
      <w:spacing w:beforeLines="50"/>
      <w:jc w:val="left"/>
      <w:outlineLvl w:val="1"/>
    </w:pPr>
    <w:rPr>
      <w:rFonts w:ascii="Times New Roman" w:hAnsi="Times New Roman" w:eastAsia="宋体"/>
      <w:b/>
      <w:kern w:val="0"/>
      <w:sz w:val="24"/>
      <w:szCs w:val="24"/>
    </w:rPr>
  </w:style>
  <w:style w:type="paragraph" w:styleId="5">
    <w:name w:val="heading 3"/>
    <w:basedOn w:val="1"/>
    <w:next w:val="1"/>
    <w:link w:val="19"/>
    <w:qFormat/>
    <w:uiPriority w:val="0"/>
    <w:pPr>
      <w:topLinePunct/>
      <w:spacing w:before="120" w:line="480" w:lineRule="exact"/>
      <w:outlineLvl w:val="2"/>
    </w:pPr>
    <w:rPr>
      <w:rFonts w:ascii="Times New Roman" w:hAnsi="Times New Roman" w:eastAsia="楷体_GB2312"/>
      <w:b/>
      <w:bCs/>
      <w:color w:val="000000"/>
      <w:kern w:val="2"/>
      <w:sz w:val="28"/>
      <w:szCs w:val="28"/>
    </w:rPr>
  </w:style>
  <w:style w:type="paragraph" w:styleId="6">
    <w:name w:val="heading 4"/>
    <w:basedOn w:val="1"/>
    <w:next w:val="1"/>
    <w:link w:val="22"/>
    <w:qFormat/>
    <w:uiPriority w:val="0"/>
    <w:pPr>
      <w:keepNext/>
      <w:keepLines/>
      <w:spacing w:before="280" w:after="290" w:line="376" w:lineRule="auto"/>
      <w:outlineLvl w:val="3"/>
    </w:pPr>
    <w:rPr>
      <w:rFonts w:ascii="Arial" w:hAnsi="Arial" w:eastAsia="黑体"/>
      <w:b/>
      <w:bCs/>
      <w:kern w:val="2"/>
      <w:sz w:val="28"/>
      <w:szCs w:val="28"/>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w:basedOn w:val="3"/>
    <w:next w:val="3"/>
    <w:qFormat/>
    <w:uiPriority w:val="1"/>
    <w:rPr>
      <w:sz w:val="24"/>
      <w:szCs w:val="24"/>
    </w:rPr>
  </w:style>
  <w:style w:type="paragraph" w:styleId="3">
    <w:name w:val="Title"/>
    <w:basedOn w:val="1"/>
    <w:qFormat/>
    <w:uiPriority w:val="0"/>
    <w:pPr>
      <w:adjustRightInd w:val="0"/>
      <w:snapToGrid w:val="0"/>
      <w:spacing w:before="240" w:after="60" w:line="360" w:lineRule="auto"/>
      <w:ind w:firstLine="200" w:firstLineChars="200"/>
      <w:jc w:val="center"/>
      <w:outlineLvl w:val="0"/>
    </w:pPr>
    <w:rPr>
      <w:rFonts w:ascii="Cambria" w:hAnsi="Cambria"/>
      <w:b/>
      <w:bCs/>
    </w:rPr>
  </w:style>
  <w:style w:type="paragraph" w:styleId="7">
    <w:name w:val="Plain Text"/>
    <w:basedOn w:val="1"/>
    <w:qFormat/>
    <w:uiPriority w:val="0"/>
    <w:rPr>
      <w:rFonts w:ascii="宋体"/>
      <w:snapToGrid w:val="0"/>
      <w:kern w:val="0"/>
      <w:szCs w:val="20"/>
    </w:rPr>
  </w:style>
  <w:style w:type="paragraph" w:styleId="8">
    <w:name w:val="footer"/>
    <w:basedOn w:val="1"/>
    <w:link w:val="23"/>
    <w:qFormat/>
    <w:uiPriority w:val="0"/>
    <w:pPr>
      <w:tabs>
        <w:tab w:val="center" w:pos="4153"/>
        <w:tab w:val="right" w:pos="8306"/>
      </w:tabs>
      <w:snapToGrid w:val="0"/>
      <w:jc w:val="left"/>
    </w:pPr>
    <w:rPr>
      <w:sz w:val="18"/>
      <w:szCs w:val="18"/>
    </w:rPr>
  </w:style>
  <w:style w:type="paragraph" w:styleId="9">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0">
    <w:name w:val="Normal (Web)"/>
    <w:basedOn w:val="1"/>
    <w:qFormat/>
    <w:uiPriority w:val="0"/>
    <w:pPr>
      <w:jc w:val="left"/>
    </w:pPr>
    <w:rPr>
      <w:rFonts w:eastAsia="宋体"/>
      <w:kern w:val="0"/>
      <w:sz w:val="24"/>
    </w:rPr>
  </w:style>
  <w:style w:type="character" w:styleId="13">
    <w:name w:val="Strong"/>
    <w:basedOn w:val="12"/>
    <w:qFormat/>
    <w:uiPriority w:val="0"/>
    <w:rPr>
      <w:b/>
    </w:rPr>
  </w:style>
  <w:style w:type="character" w:styleId="14">
    <w:name w:val="annotation reference"/>
    <w:basedOn w:val="12"/>
    <w:qFormat/>
    <w:uiPriority w:val="0"/>
    <w:rPr>
      <w:sz w:val="21"/>
      <w:szCs w:val="21"/>
    </w:rPr>
  </w:style>
  <w:style w:type="paragraph" w:customStyle="1" w:styleId="15">
    <w:name w:val="Normal Indent1"/>
    <w:basedOn w:val="1"/>
    <w:next w:val="1"/>
    <w:qFormat/>
    <w:uiPriority w:val="99"/>
    <w:pPr>
      <w:ind w:firstLine="420"/>
    </w:pPr>
  </w:style>
  <w:style w:type="paragraph" w:customStyle="1" w:styleId="16">
    <w:name w:val="Default"/>
    <w:basedOn w:val="17"/>
    <w:qFormat/>
    <w:uiPriority w:val="99"/>
    <w:pPr>
      <w:widowControl w:val="0"/>
      <w:autoSpaceDE w:val="0"/>
      <w:autoSpaceDN w:val="0"/>
      <w:adjustRightInd w:val="0"/>
    </w:pPr>
    <w:rPr>
      <w:rFonts w:ascii="宋体" w:cs="宋体"/>
      <w:color w:val="000000"/>
      <w:sz w:val="24"/>
      <w:szCs w:val="24"/>
      <w:lang w:val="en-US" w:eastAsia="zh-CN" w:bidi="ar-SA"/>
    </w:rPr>
  </w:style>
  <w:style w:type="paragraph" w:customStyle="1" w:styleId="17">
    <w:name w:val="纯文本1"/>
    <w:basedOn w:val="1"/>
    <w:qFormat/>
    <w:uiPriority w:val="0"/>
    <w:pPr>
      <w:suppressAutoHyphens/>
    </w:pPr>
    <w:rPr>
      <w:rFonts w:ascii="宋体" w:hAnsi="宋体" w:eastAsia="宋体" w:cs="Times New Roman"/>
      <w:kern w:val="1"/>
      <w:sz w:val="28"/>
      <w:lang w:eastAsia="ar-SA"/>
    </w:rPr>
  </w:style>
  <w:style w:type="paragraph" w:customStyle="1" w:styleId="18">
    <w:name w:val="正本文字"/>
    <w:basedOn w:val="1"/>
    <w:autoRedefine/>
    <w:qFormat/>
    <w:uiPriority w:val="0"/>
    <w:pPr>
      <w:adjustRightInd w:val="0"/>
      <w:snapToGrid w:val="0"/>
      <w:spacing w:line="360" w:lineRule="auto"/>
      <w:ind w:firstLine="480" w:firstLineChars="200"/>
      <w:jc w:val="left"/>
    </w:pPr>
    <w:rPr>
      <w:rFonts w:cs="宋体"/>
      <w:kern w:val="18"/>
      <w:sz w:val="24"/>
    </w:rPr>
  </w:style>
  <w:style w:type="character" w:customStyle="1" w:styleId="19">
    <w:name w:val="标题 3 字符"/>
    <w:link w:val="5"/>
    <w:qFormat/>
    <w:uiPriority w:val="0"/>
    <w:rPr>
      <w:rFonts w:eastAsia="楷体_GB2312"/>
      <w:b/>
      <w:bCs/>
      <w:color w:val="000000"/>
      <w:kern w:val="2"/>
      <w:sz w:val="28"/>
      <w:szCs w:val="28"/>
    </w:rPr>
  </w:style>
  <w:style w:type="character" w:customStyle="1" w:styleId="20">
    <w:name w:val="标题 3 Char"/>
    <w:semiHidden/>
    <w:qFormat/>
    <w:uiPriority w:val="0"/>
    <w:rPr>
      <w:rFonts w:ascii="Calibri" w:hAnsi="Calibri" w:eastAsia="方正仿宋_GBK"/>
      <w:b/>
      <w:bCs/>
      <w:kern w:val="32"/>
      <w:sz w:val="32"/>
      <w:szCs w:val="32"/>
    </w:rPr>
  </w:style>
  <w:style w:type="character" w:customStyle="1" w:styleId="21">
    <w:name w:val="页眉 字符"/>
    <w:link w:val="9"/>
    <w:qFormat/>
    <w:uiPriority w:val="0"/>
    <w:rPr>
      <w:rFonts w:ascii="Calibri" w:hAnsi="Calibri" w:eastAsia="方正仿宋_GBK"/>
      <w:kern w:val="32"/>
      <w:sz w:val="18"/>
      <w:szCs w:val="18"/>
    </w:rPr>
  </w:style>
  <w:style w:type="character" w:customStyle="1" w:styleId="22">
    <w:name w:val="标题 4 字符"/>
    <w:link w:val="6"/>
    <w:qFormat/>
    <w:uiPriority w:val="0"/>
    <w:rPr>
      <w:rFonts w:ascii="Arial" w:hAnsi="Arial" w:eastAsia="黑体"/>
      <w:b/>
      <w:bCs/>
      <w:kern w:val="2"/>
      <w:sz w:val="28"/>
      <w:szCs w:val="28"/>
    </w:rPr>
  </w:style>
  <w:style w:type="character" w:customStyle="1" w:styleId="23">
    <w:name w:val="页脚 字符"/>
    <w:link w:val="8"/>
    <w:qFormat/>
    <w:uiPriority w:val="0"/>
    <w:rPr>
      <w:rFonts w:ascii="Calibri" w:hAnsi="Calibri" w:eastAsia="方正仿宋_GBK"/>
      <w:kern w:val="32"/>
      <w:sz w:val="18"/>
      <w:szCs w:val="18"/>
    </w:rPr>
  </w:style>
  <w:style w:type="character" w:customStyle="1" w:styleId="24">
    <w:name w:val="标题 2 字符"/>
    <w:link w:val="4"/>
    <w:qFormat/>
    <w:uiPriority w:val="0"/>
    <w:rPr>
      <w:rFonts w:eastAsia="宋体"/>
      <w:b/>
      <w:sz w:val="24"/>
      <w:szCs w:val="24"/>
    </w:rPr>
  </w:style>
  <w:style w:type="character" w:customStyle="1" w:styleId="25">
    <w:name w:val="标题 4 Char"/>
    <w:semiHidden/>
    <w:qFormat/>
    <w:uiPriority w:val="0"/>
    <w:rPr>
      <w:rFonts w:ascii="Cambria" w:hAnsi="Cambria" w:eastAsia="宋体" w:cs="Times New Roman"/>
      <w:b/>
      <w:bCs/>
      <w:kern w:val="32"/>
      <w:sz w:val="28"/>
      <w:szCs w:val="28"/>
    </w:rPr>
  </w:style>
  <w:style w:type="character" w:customStyle="1" w:styleId="26">
    <w:name w:val="正文 旺源文字段落 Char"/>
    <w:link w:val="27"/>
    <w:qFormat/>
    <w:uiPriority w:val="0"/>
    <w:rPr>
      <w:rFonts w:ascii="宋体" w:hAnsi="宋体" w:cs="宋体"/>
      <w:kern w:val="24"/>
      <w:sz w:val="24"/>
      <w:szCs w:val="24"/>
    </w:rPr>
  </w:style>
  <w:style w:type="paragraph" w:customStyle="1" w:styleId="27">
    <w:name w:val="正文 旺源文字段落"/>
    <w:basedOn w:val="1"/>
    <w:link w:val="26"/>
    <w:qFormat/>
    <w:uiPriority w:val="0"/>
    <w:pPr>
      <w:spacing w:line="500" w:lineRule="exact"/>
      <w:ind w:firstLine="420"/>
    </w:pPr>
    <w:rPr>
      <w:rFonts w:ascii="宋体" w:hAnsi="宋体" w:eastAsia="宋体"/>
      <w:kern w:val="24"/>
      <w:sz w:val="24"/>
      <w:szCs w:val="24"/>
    </w:rPr>
  </w:style>
  <w:style w:type="paragraph" w:customStyle="1" w:styleId="28">
    <w:name w:val="LH样式"/>
    <w:basedOn w:val="1"/>
    <w:qFormat/>
    <w:uiPriority w:val="0"/>
    <w:pPr>
      <w:spacing w:line="480" w:lineRule="exact"/>
      <w:ind w:firstLine="520" w:firstLineChars="200"/>
    </w:pPr>
    <w:rPr>
      <w:rFonts w:ascii="Times New Roman" w:hAnsi="Times New Roman" w:eastAsia="宋体"/>
      <w:color w:val="00B0F0"/>
      <w:kern w:val="2"/>
      <w:sz w:val="26"/>
      <w:szCs w:val="26"/>
    </w:rPr>
  </w:style>
  <w:style w:type="paragraph" w:customStyle="1" w:styleId="29">
    <w:name w:val="正文2"/>
    <w:basedOn w:val="1"/>
    <w:qFormat/>
    <w:uiPriority w:val="0"/>
    <w:pPr>
      <w:spacing w:line="360" w:lineRule="auto"/>
      <w:ind w:firstLine="200" w:firstLineChars="200"/>
    </w:pPr>
    <w:rPr>
      <w:rFonts w:ascii="Times New Roman" w:hAnsi="Times New Roman" w:eastAsia="宋体"/>
      <w:sz w:val="24"/>
      <w:szCs w:val="20"/>
    </w:rPr>
  </w:style>
  <w:style w:type="paragraph" w:customStyle="1" w:styleId="30">
    <w:name w:val="Table Text"/>
    <w:basedOn w:val="1"/>
    <w:semiHidden/>
    <w:qFormat/>
    <w:uiPriority w:val="0"/>
    <w:rPr>
      <w:rFonts w:ascii="宋体" w:hAnsi="宋体" w:eastAsia="宋体" w:cs="宋体"/>
      <w:sz w:val="21"/>
      <w:szCs w:val="21"/>
      <w:lang w:val="en-US" w:eastAsia="en-US" w:bidi="ar-SA"/>
    </w:rPr>
  </w:style>
  <w:style w:type="paragraph" w:customStyle="1" w:styleId="31">
    <w:name w:val="H正文"/>
    <w:basedOn w:val="1"/>
    <w:qFormat/>
    <w:uiPriority w:val="0"/>
    <w:pPr>
      <w:adjustRightInd w:val="0"/>
      <w:spacing w:line="400" w:lineRule="exact"/>
      <w:ind w:firstLine="200" w:firstLineChars="200"/>
      <w:textAlignment w:val="baseline"/>
    </w:pPr>
    <w:rPr>
      <w:rFonts w:ascii="Times New Roman" w:hAnsi="Times New Roman" w:eastAsia="宋体"/>
      <w:snapToGrid w:val="0"/>
      <w:spacing w:val="6"/>
      <w:kern w:val="2"/>
      <w:sz w:val="21"/>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china</Company>
  <Pages>3</Pages>
  <Words>2916</Words>
  <Characters>3009</Characters>
  <Lines>97</Lines>
  <Paragraphs>85</Paragraphs>
  <TotalTime>6</TotalTime>
  <ScaleCrop>false</ScaleCrop>
  <LinksUpToDate>false</LinksUpToDate>
  <CharactersWithSpaces>3011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2019-10-22T01:39:00Z</dcterms:created>
  <dc:creator>lenovo</dc:creator>
  <cp:lastModifiedBy>郭丽娜</cp:lastModifiedBy>
  <cp:lastPrinted>2016-09-13T03:08:00Z</cp:lastPrinted>
  <dcterms:modified xsi:type="dcterms:W3CDTF">2026-08-20T08:52:25Z</dcterms:modified>
  <dc:title>曲靖市环境保护局</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8B87C382F7AC439AA59166E7869FEF08_13</vt:lpwstr>
  </property>
  <property fmtid="{D5CDD505-2E9C-101B-9397-08002B2CF9AE}" pid="4" name="KSOTemplateDocerSaveRecord">
    <vt:lpwstr>eyJoZGlkIjoiYTA0OTFiNTllN2E3YTc2MDc5ZTIwYTg0ZjFlZjFlMWQiLCJ1c2VySWQiOiIzNzMyMDUyODEifQ==</vt:lpwstr>
  </property>
</Properties>
</file>