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1"/>
        <w:tblW w:w="0" w:type="auto"/>
        <w:tblInd w:w="-208" w:type="dxa"/>
        <w:tblLayout w:type="fixed"/>
        <w:tblCellMar>
          <w:top w:w="0" w:type="dxa"/>
          <w:left w:w="108" w:type="dxa"/>
          <w:bottom w:w="0" w:type="dxa"/>
          <w:right w:w="108" w:type="dxa"/>
        </w:tblCellMar>
      </w:tblPr>
      <w:tblGrid>
        <w:gridCol w:w="1756"/>
        <w:gridCol w:w="2246"/>
        <w:gridCol w:w="1276"/>
        <w:gridCol w:w="1559"/>
        <w:gridCol w:w="1276"/>
        <w:gridCol w:w="1701"/>
      </w:tblGrid>
      <w:tr w14:paraId="01824B5D">
        <w:tblPrEx>
          <w:tblCellMar>
            <w:top w:w="0" w:type="dxa"/>
            <w:left w:w="108" w:type="dxa"/>
            <w:bottom w:w="0" w:type="dxa"/>
            <w:right w:w="108" w:type="dxa"/>
          </w:tblCellMar>
        </w:tblPrEx>
        <w:trPr>
          <w:trHeight w:val="1275" w:hRule="atLeast"/>
        </w:trPr>
        <w:tc>
          <w:tcPr>
            <w:tcW w:w="1756" w:type="dxa"/>
            <w:tcBorders>
              <w:top w:val="single" w:color="auto" w:sz="4" w:space="0"/>
              <w:left w:val="single" w:color="auto" w:sz="4" w:space="0"/>
              <w:bottom w:val="single" w:color="auto" w:sz="4" w:space="0"/>
              <w:right w:val="single" w:color="auto" w:sz="4" w:space="0"/>
            </w:tcBorders>
            <w:shd w:val="clear" w:color="auto" w:fill="C0C0C0"/>
            <w:vAlign w:val="center"/>
          </w:tcPr>
          <w:p w14:paraId="5D1AC0FA">
            <w:pPr>
              <w:widowControl/>
              <w:spacing w:line="280" w:lineRule="exact"/>
              <w:jc w:val="left"/>
              <w:rPr>
                <w:rFonts w:ascii="宋体"/>
                <w:kern w:val="0"/>
                <w:sz w:val="24"/>
                <w:szCs w:val="24"/>
              </w:rPr>
            </w:pPr>
            <w:r>
              <w:rPr>
                <w:rFonts w:hint="eastAsia" w:ascii="宋体"/>
                <w:sz w:val="24"/>
                <w:szCs w:val="24"/>
              </w:rPr>
              <w:t xml:space="preserve"> </w:t>
            </w:r>
            <w:r>
              <w:rPr>
                <w:rFonts w:hint="eastAsia" w:ascii="宋体" w:hAnsi="宋体"/>
                <w:kern w:val="0"/>
                <w:sz w:val="24"/>
                <w:szCs w:val="24"/>
              </w:rPr>
              <w:t>项目名称</w:t>
            </w:r>
          </w:p>
        </w:tc>
        <w:tc>
          <w:tcPr>
            <w:tcW w:w="2246" w:type="dxa"/>
            <w:tcBorders>
              <w:top w:val="single" w:color="auto" w:sz="4" w:space="0"/>
              <w:left w:val="nil"/>
              <w:bottom w:val="single" w:color="auto" w:sz="4" w:space="0"/>
              <w:right w:val="single" w:color="auto" w:sz="4" w:space="0"/>
            </w:tcBorders>
            <w:shd w:val="clear" w:color="auto" w:fill="auto"/>
            <w:vAlign w:val="center"/>
          </w:tcPr>
          <w:p w14:paraId="6C5F7F0B">
            <w:pPr>
              <w:widowControl/>
              <w:spacing w:line="280" w:lineRule="exact"/>
              <w:jc w:val="left"/>
              <w:rPr>
                <w:rFonts w:hint="eastAsia" w:ascii="Times New Roman" w:hAnsi="Times New Roman"/>
                <w:sz w:val="24"/>
                <w:szCs w:val="24"/>
              </w:rPr>
            </w:pPr>
            <w:bookmarkStart w:id="0" w:name="OLE_LINK1"/>
            <w:r>
              <w:rPr>
                <w:rFonts w:hint="eastAsia" w:ascii="Times New Roman" w:hAnsi="Times New Roman"/>
                <w:sz w:val="24"/>
                <w:szCs w:val="24"/>
              </w:rPr>
              <w:t>迤车镇中寨村委会竹子箐光伏项目（复合型光伏发电项目）（重新报批）</w:t>
            </w:r>
            <w:bookmarkEnd w:id="0"/>
          </w:p>
        </w:tc>
        <w:tc>
          <w:tcPr>
            <w:tcW w:w="1276" w:type="dxa"/>
            <w:tcBorders>
              <w:top w:val="single" w:color="auto" w:sz="4" w:space="0"/>
              <w:left w:val="nil"/>
              <w:bottom w:val="single" w:color="auto" w:sz="4" w:space="0"/>
              <w:right w:val="single" w:color="auto" w:sz="4" w:space="0"/>
            </w:tcBorders>
            <w:shd w:val="clear" w:color="auto" w:fill="C0C0C0"/>
            <w:vAlign w:val="center"/>
          </w:tcPr>
          <w:p w14:paraId="0E054FE8">
            <w:pPr>
              <w:widowControl/>
              <w:spacing w:line="280" w:lineRule="exact"/>
              <w:jc w:val="left"/>
              <w:rPr>
                <w:rFonts w:ascii="宋体"/>
                <w:kern w:val="0"/>
                <w:sz w:val="24"/>
                <w:szCs w:val="24"/>
              </w:rPr>
            </w:pPr>
            <w:r>
              <w:rPr>
                <w:rFonts w:hint="eastAsia" w:ascii="宋体" w:hAnsi="宋体"/>
                <w:kern w:val="0"/>
                <w:sz w:val="24"/>
                <w:szCs w:val="24"/>
              </w:rPr>
              <w:t>建设地点</w:t>
            </w:r>
          </w:p>
        </w:tc>
        <w:tc>
          <w:tcPr>
            <w:tcW w:w="1559" w:type="dxa"/>
            <w:tcBorders>
              <w:top w:val="single" w:color="auto" w:sz="4" w:space="0"/>
              <w:left w:val="nil"/>
              <w:bottom w:val="single" w:color="auto" w:sz="4" w:space="0"/>
              <w:right w:val="single" w:color="auto" w:sz="4" w:space="0"/>
            </w:tcBorders>
            <w:shd w:val="clear" w:color="auto" w:fill="auto"/>
            <w:vAlign w:val="center"/>
          </w:tcPr>
          <w:p w14:paraId="761D66DA">
            <w:pPr>
              <w:widowControl/>
              <w:spacing w:line="280" w:lineRule="exact"/>
              <w:jc w:val="left"/>
              <w:rPr>
                <w:rFonts w:hint="eastAsia" w:ascii="Times New Roman" w:hAnsi="Times New Roman" w:eastAsia="方正仿宋_GBK"/>
                <w:sz w:val="24"/>
                <w:szCs w:val="24"/>
                <w:lang w:eastAsia="zh-CN"/>
              </w:rPr>
            </w:pPr>
            <w:r>
              <w:rPr>
                <w:rFonts w:hint="eastAsia" w:ascii="Times New Roman" w:hAnsi="Times New Roman"/>
                <w:sz w:val="24"/>
                <w:szCs w:val="24"/>
              </w:rPr>
              <w:t>会泽县迤车镇、马路乡、纸厂乡</w:t>
            </w:r>
            <w:r>
              <w:rPr>
                <w:rFonts w:hint="eastAsia" w:ascii="Times New Roman" w:hAnsi="Times New Roman"/>
                <w:sz w:val="24"/>
                <w:szCs w:val="24"/>
                <w:lang w:eastAsia="zh-CN"/>
              </w:rPr>
              <w:t>境内</w:t>
            </w:r>
          </w:p>
        </w:tc>
        <w:tc>
          <w:tcPr>
            <w:tcW w:w="1276" w:type="dxa"/>
            <w:tcBorders>
              <w:top w:val="single" w:color="auto" w:sz="4" w:space="0"/>
              <w:left w:val="nil"/>
              <w:bottom w:val="single" w:color="auto" w:sz="4" w:space="0"/>
              <w:right w:val="single" w:color="auto" w:sz="4" w:space="0"/>
            </w:tcBorders>
            <w:shd w:val="clear" w:color="auto" w:fill="C0C0C0"/>
            <w:vAlign w:val="center"/>
          </w:tcPr>
          <w:p w14:paraId="558A2458">
            <w:pPr>
              <w:widowControl/>
              <w:spacing w:line="280" w:lineRule="exact"/>
              <w:jc w:val="left"/>
              <w:rPr>
                <w:rFonts w:ascii="宋体"/>
                <w:kern w:val="0"/>
                <w:sz w:val="24"/>
                <w:szCs w:val="24"/>
              </w:rPr>
            </w:pPr>
            <w:r>
              <w:rPr>
                <w:rFonts w:hint="eastAsia" w:ascii="宋体" w:hAnsi="宋体"/>
                <w:kern w:val="0"/>
                <w:sz w:val="24"/>
                <w:szCs w:val="24"/>
              </w:rPr>
              <w:t>建设单位</w:t>
            </w:r>
          </w:p>
        </w:tc>
        <w:tc>
          <w:tcPr>
            <w:tcW w:w="1701" w:type="dxa"/>
            <w:tcBorders>
              <w:top w:val="single" w:color="auto" w:sz="4" w:space="0"/>
              <w:left w:val="nil"/>
              <w:bottom w:val="single" w:color="auto" w:sz="4" w:space="0"/>
              <w:right w:val="single" w:color="auto" w:sz="4" w:space="0"/>
            </w:tcBorders>
            <w:vAlign w:val="center"/>
          </w:tcPr>
          <w:p w14:paraId="35604CF5">
            <w:pPr>
              <w:widowControl/>
              <w:spacing w:line="280" w:lineRule="exact"/>
              <w:jc w:val="center"/>
              <w:rPr>
                <w:rFonts w:hint="eastAsia" w:ascii="Times New Roman" w:hAnsi="Times New Roman"/>
                <w:sz w:val="24"/>
                <w:szCs w:val="24"/>
              </w:rPr>
            </w:pPr>
            <w:r>
              <w:rPr>
                <w:rFonts w:hint="eastAsia" w:ascii="Times New Roman" w:hAnsi="Times New Roman"/>
                <w:sz w:val="24"/>
                <w:szCs w:val="24"/>
              </w:rPr>
              <w:t>会泽华电道成清洁能源开发有限公司</w:t>
            </w:r>
          </w:p>
        </w:tc>
      </w:tr>
      <w:tr w14:paraId="126D22B4">
        <w:tblPrEx>
          <w:tblCellMar>
            <w:top w:w="0" w:type="dxa"/>
            <w:left w:w="108" w:type="dxa"/>
            <w:bottom w:w="0" w:type="dxa"/>
            <w:right w:w="108" w:type="dxa"/>
          </w:tblCellMar>
        </w:tblPrEx>
        <w:trPr>
          <w:trHeight w:val="762" w:hRule="atLeast"/>
        </w:trPr>
        <w:tc>
          <w:tcPr>
            <w:tcW w:w="1756" w:type="dxa"/>
            <w:tcBorders>
              <w:top w:val="nil"/>
              <w:left w:val="single" w:color="auto" w:sz="4" w:space="0"/>
              <w:bottom w:val="single" w:color="auto" w:sz="4" w:space="0"/>
              <w:right w:val="single" w:color="auto" w:sz="4" w:space="0"/>
            </w:tcBorders>
            <w:shd w:val="clear" w:color="auto" w:fill="C0C0C0"/>
            <w:vAlign w:val="center"/>
          </w:tcPr>
          <w:p w14:paraId="006AB19A">
            <w:pPr>
              <w:widowControl/>
              <w:spacing w:line="280" w:lineRule="exact"/>
              <w:jc w:val="left"/>
              <w:rPr>
                <w:rFonts w:ascii="宋体"/>
                <w:kern w:val="0"/>
                <w:sz w:val="24"/>
                <w:szCs w:val="24"/>
              </w:rPr>
            </w:pPr>
            <w:r>
              <w:rPr>
                <w:rFonts w:hint="eastAsia" w:ascii="宋体" w:hAnsi="宋体"/>
                <w:kern w:val="0"/>
                <w:sz w:val="24"/>
                <w:szCs w:val="24"/>
              </w:rPr>
              <w:t>环评文件类型</w:t>
            </w:r>
          </w:p>
        </w:tc>
        <w:tc>
          <w:tcPr>
            <w:tcW w:w="2246" w:type="dxa"/>
            <w:tcBorders>
              <w:top w:val="nil"/>
              <w:left w:val="nil"/>
              <w:bottom w:val="single" w:color="auto" w:sz="4" w:space="0"/>
              <w:right w:val="single" w:color="auto" w:sz="4" w:space="0"/>
            </w:tcBorders>
            <w:shd w:val="clear" w:color="auto" w:fill="auto"/>
            <w:vAlign w:val="center"/>
          </w:tcPr>
          <w:p w14:paraId="17FDDE08">
            <w:pPr>
              <w:widowControl/>
              <w:spacing w:line="280" w:lineRule="exact"/>
              <w:jc w:val="center"/>
              <w:rPr>
                <w:rFonts w:ascii="宋体" w:hAnsi="宋体" w:eastAsia="宋体" w:cs="华文仿宋"/>
                <w:kern w:val="0"/>
                <w:sz w:val="24"/>
                <w:szCs w:val="24"/>
              </w:rPr>
            </w:pPr>
            <w:r>
              <w:rPr>
                <w:rFonts w:hint="eastAsia" w:ascii="宋体" w:hAnsi="宋体"/>
                <w:kern w:val="0"/>
                <w:sz w:val="24"/>
                <w:szCs w:val="24"/>
                <w:lang w:val="en-US" w:eastAsia="zh-CN"/>
              </w:rPr>
              <w:t>环境影响报告表</w:t>
            </w:r>
            <w:r>
              <w:rPr>
                <w:rFonts w:hint="eastAsia" w:ascii="宋体" w:hAnsi="宋体"/>
                <w:kern w:val="0"/>
                <w:sz w:val="24"/>
                <w:szCs w:val="24"/>
              </w:rPr>
              <w:t xml:space="preserve"> </w:t>
            </w:r>
          </w:p>
        </w:tc>
        <w:tc>
          <w:tcPr>
            <w:tcW w:w="1276" w:type="dxa"/>
            <w:tcBorders>
              <w:top w:val="nil"/>
              <w:left w:val="nil"/>
              <w:bottom w:val="single" w:color="auto" w:sz="4" w:space="0"/>
              <w:right w:val="single" w:color="auto" w:sz="4" w:space="0"/>
            </w:tcBorders>
            <w:shd w:val="clear" w:color="auto" w:fill="C0C0C0"/>
            <w:vAlign w:val="center"/>
          </w:tcPr>
          <w:p w14:paraId="22452F5A">
            <w:pPr>
              <w:widowControl/>
              <w:spacing w:line="280" w:lineRule="exact"/>
              <w:jc w:val="left"/>
              <w:rPr>
                <w:rFonts w:ascii="宋体"/>
                <w:kern w:val="0"/>
                <w:sz w:val="24"/>
                <w:szCs w:val="24"/>
              </w:rPr>
            </w:pPr>
            <w:r>
              <w:rPr>
                <w:rFonts w:hint="eastAsia" w:ascii="宋体" w:hAnsi="宋体"/>
                <w:kern w:val="0"/>
                <w:sz w:val="24"/>
                <w:szCs w:val="24"/>
              </w:rPr>
              <w:t>环境影响评价机构</w:t>
            </w:r>
          </w:p>
        </w:tc>
        <w:tc>
          <w:tcPr>
            <w:tcW w:w="4536" w:type="dxa"/>
            <w:gridSpan w:val="3"/>
            <w:tcBorders>
              <w:top w:val="single" w:color="auto" w:sz="4" w:space="0"/>
              <w:left w:val="nil"/>
              <w:bottom w:val="single" w:color="auto" w:sz="4" w:space="0"/>
              <w:right w:val="single" w:color="000000" w:sz="4" w:space="0"/>
            </w:tcBorders>
            <w:vAlign w:val="center"/>
          </w:tcPr>
          <w:p w14:paraId="03543F0B">
            <w:pPr>
              <w:widowControl/>
              <w:spacing w:line="280" w:lineRule="exact"/>
              <w:jc w:val="center"/>
              <w:rPr>
                <w:rFonts w:ascii="宋体"/>
                <w:kern w:val="0"/>
                <w:sz w:val="24"/>
                <w:szCs w:val="24"/>
              </w:rPr>
            </w:pPr>
            <w:r>
              <w:rPr>
                <w:rFonts w:hint="eastAsia" w:ascii="宋体"/>
                <w:kern w:val="0"/>
                <w:sz w:val="24"/>
                <w:szCs w:val="24"/>
              </w:rPr>
              <w:t>云南恒诚科技有限公司</w:t>
            </w:r>
          </w:p>
        </w:tc>
      </w:tr>
      <w:tr w14:paraId="3F629C0A">
        <w:tblPrEx>
          <w:tblCellMar>
            <w:top w:w="0" w:type="dxa"/>
            <w:left w:w="108" w:type="dxa"/>
            <w:bottom w:w="0" w:type="dxa"/>
            <w:right w:w="108" w:type="dxa"/>
          </w:tblCellMar>
        </w:tblPrEx>
        <w:trPr>
          <w:trHeight w:val="461"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37387C51">
            <w:pPr>
              <w:widowControl/>
              <w:spacing w:line="280" w:lineRule="exact"/>
              <w:jc w:val="center"/>
              <w:rPr>
                <w:rFonts w:ascii="宋体"/>
                <w:kern w:val="0"/>
                <w:sz w:val="24"/>
                <w:szCs w:val="24"/>
              </w:rPr>
            </w:pPr>
            <w:r>
              <w:rPr>
                <w:rFonts w:hint="eastAsia" w:ascii="宋体" w:hAnsi="宋体"/>
                <w:kern w:val="0"/>
                <w:sz w:val="24"/>
                <w:szCs w:val="24"/>
              </w:rPr>
              <w:t>项目概况</w:t>
            </w:r>
          </w:p>
        </w:tc>
      </w:tr>
      <w:tr w14:paraId="5080572B">
        <w:tblPrEx>
          <w:tblCellMar>
            <w:top w:w="0" w:type="dxa"/>
            <w:left w:w="108" w:type="dxa"/>
            <w:bottom w:w="0" w:type="dxa"/>
            <w:right w:w="108" w:type="dxa"/>
          </w:tblCellMar>
        </w:tblPrEx>
        <w:trPr>
          <w:trHeight w:val="606"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7B4402C3">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both"/>
              <w:textAlignment w:val="auto"/>
              <w:rPr>
                <w:rFonts w:hint="eastAsia"/>
              </w:rPr>
            </w:pPr>
            <w:r>
              <w:rPr>
                <w:rFonts w:hint="eastAsia"/>
                <w:sz w:val="24"/>
                <w:szCs w:val="24"/>
                <w:lang w:val="en-US" w:eastAsia="zh-CN"/>
              </w:rPr>
              <w:t>迤车镇中寨村委会竹子箐光伏项目（复合型光伏发电项目）场址位于会泽县迤车镇、马路乡、纸厂乡境内。共布设37个光伏阵列共52个发电子单元，总装机规模为交流侧148MW、直流侧176.18MWp，建设升压站1座，站内设置1台230MVA主变和1台210MVA主变。光伏阵列产生的电能通过6回35kV集电线路接至220kV升压站，集电线路采用电缆直埋敷设+架空形式（线路总长120.34km，其中直埋敷设长度22km、单回架空线路51.34km、双回架空线路47km）。升压站配套建设生活污水处理设施、事故油池、危废暂存间等环保工程。</w:t>
            </w:r>
          </w:p>
        </w:tc>
      </w:tr>
      <w:tr w14:paraId="7DE9571D">
        <w:tblPrEx>
          <w:tblCellMar>
            <w:top w:w="0" w:type="dxa"/>
            <w:left w:w="108" w:type="dxa"/>
            <w:bottom w:w="0" w:type="dxa"/>
            <w:right w:w="108" w:type="dxa"/>
          </w:tblCellMar>
        </w:tblPrEx>
        <w:trPr>
          <w:trHeight w:val="448"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18BE4184">
            <w:pPr>
              <w:widowControl/>
              <w:spacing w:line="280" w:lineRule="exact"/>
              <w:jc w:val="center"/>
              <w:rPr>
                <w:rFonts w:ascii="宋体"/>
                <w:kern w:val="0"/>
                <w:sz w:val="24"/>
                <w:szCs w:val="24"/>
              </w:rPr>
            </w:pPr>
            <w:r>
              <w:rPr>
                <w:rFonts w:hint="eastAsia" w:ascii="宋体" w:hAnsi="宋体"/>
                <w:kern w:val="0"/>
                <w:sz w:val="24"/>
                <w:szCs w:val="24"/>
              </w:rPr>
              <w:t>项目主要环境影响</w:t>
            </w:r>
          </w:p>
        </w:tc>
      </w:tr>
      <w:tr w14:paraId="1138326E">
        <w:tblPrEx>
          <w:tblCellMar>
            <w:top w:w="0" w:type="dxa"/>
            <w:left w:w="108" w:type="dxa"/>
            <w:bottom w:w="0" w:type="dxa"/>
            <w:right w:w="108" w:type="dxa"/>
          </w:tblCellMar>
        </w:tblPrEx>
        <w:trPr>
          <w:trHeight w:val="535"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2FFFB3C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方正仿宋_GBK"/>
                <w:b/>
                <w:bCs/>
                <w:color w:val="auto"/>
                <w:kern w:val="0"/>
                <w:sz w:val="24"/>
                <w:szCs w:val="24"/>
                <w:lang w:eastAsia="zh-CN"/>
              </w:rPr>
            </w:pPr>
            <w:r>
              <w:rPr>
                <w:rFonts w:hint="eastAsia" w:ascii="宋体" w:hAnsi="宋体"/>
                <w:b/>
                <w:bCs/>
                <w:color w:val="auto"/>
                <w:kern w:val="0"/>
                <w:sz w:val="24"/>
                <w:szCs w:val="24"/>
              </w:rPr>
              <w:t>（1）施工期</w:t>
            </w:r>
            <w:r>
              <w:rPr>
                <w:rFonts w:hint="eastAsia" w:ascii="宋体" w:hAnsi="宋体"/>
                <w:b/>
                <w:bCs/>
                <w:color w:val="auto"/>
                <w:kern w:val="0"/>
                <w:sz w:val="24"/>
                <w:szCs w:val="24"/>
                <w:lang w:eastAsia="zh-CN"/>
              </w:rPr>
              <w:t>：</w:t>
            </w:r>
          </w:p>
          <w:p w14:paraId="646325FE">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ascii="宋体" w:hAnsi="宋体"/>
                <w:color w:val="auto"/>
                <w:kern w:val="0"/>
                <w:sz w:val="24"/>
                <w:szCs w:val="24"/>
              </w:rPr>
            </w:pPr>
            <w:r>
              <w:rPr>
                <w:rFonts w:hint="eastAsia" w:ascii="宋体" w:hAnsi="宋体"/>
                <w:color w:val="auto"/>
                <w:kern w:val="0"/>
                <w:sz w:val="24"/>
                <w:szCs w:val="24"/>
              </w:rPr>
              <w:t>①</w:t>
            </w:r>
            <w:r>
              <w:rPr>
                <w:color w:val="auto"/>
                <w:sz w:val="24"/>
                <w:highlight w:val="none"/>
              </w:rPr>
              <w:t>项目区内主要的占地类型</w:t>
            </w:r>
            <w:r>
              <w:rPr>
                <w:rFonts w:hint="eastAsia"/>
                <w:color w:val="auto"/>
                <w:sz w:val="24"/>
                <w:highlight w:val="none"/>
                <w:lang w:val="en-US" w:eastAsia="zh-CN"/>
              </w:rPr>
              <w:t>为</w:t>
            </w:r>
            <w:r>
              <w:rPr>
                <w:rFonts w:hint="eastAsia"/>
                <w:color w:val="auto"/>
                <w:sz w:val="24"/>
                <w:szCs w:val="28"/>
                <w:highlight w:val="none"/>
              </w:rPr>
              <w:t>灌木草丛</w:t>
            </w:r>
            <w:r>
              <w:rPr>
                <w:rFonts w:hint="eastAsia"/>
                <w:color w:val="auto"/>
                <w:sz w:val="24"/>
                <w:highlight w:val="none"/>
              </w:rPr>
              <w:t>。</w:t>
            </w:r>
            <w:r>
              <w:rPr>
                <w:color w:val="auto"/>
                <w:sz w:val="24"/>
                <w:highlight w:val="none"/>
              </w:rPr>
              <w:t>项目建设伴随着土石方开挖、项目区场地平整等施工活动，这些活动都将占用一定面积的土地，破坏原有地貌，使原来生态防护体系遭到破坏，势必造</w:t>
            </w:r>
            <w:r>
              <w:rPr>
                <w:color w:val="auto"/>
                <w:sz w:val="24"/>
              </w:rPr>
              <w:t>成加大水土流失的潜在危险性</w:t>
            </w:r>
            <w:r>
              <w:rPr>
                <w:rFonts w:hint="eastAsia" w:ascii="宋体" w:hAnsi="宋体"/>
                <w:color w:val="auto"/>
                <w:kern w:val="0"/>
                <w:sz w:val="24"/>
                <w:szCs w:val="24"/>
              </w:rPr>
              <w:t>。</w:t>
            </w:r>
          </w:p>
          <w:p w14:paraId="71943AD9">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olor w:val="auto"/>
                <w:kern w:val="0"/>
                <w:sz w:val="24"/>
                <w:szCs w:val="24"/>
              </w:rPr>
            </w:pPr>
            <w:r>
              <w:rPr>
                <w:rFonts w:hint="eastAsia" w:ascii="宋体" w:hAnsi="宋体"/>
                <w:color w:val="auto"/>
                <w:kern w:val="0"/>
                <w:sz w:val="24"/>
                <w:szCs w:val="24"/>
              </w:rPr>
              <w:t>②施工期废气主要包括</w:t>
            </w:r>
            <w:r>
              <w:rPr>
                <w:color w:val="auto"/>
                <w:sz w:val="24"/>
                <w:szCs w:val="32"/>
                <w:highlight w:val="none"/>
              </w:rPr>
              <w:t>施工扬尘、运输车辆尾气等</w:t>
            </w:r>
            <w:r>
              <w:rPr>
                <w:rFonts w:hint="eastAsia" w:ascii="宋体" w:hAnsi="宋体"/>
                <w:color w:val="auto"/>
                <w:kern w:val="0"/>
                <w:sz w:val="24"/>
                <w:szCs w:val="24"/>
              </w:rPr>
              <w:t>。</w:t>
            </w:r>
          </w:p>
          <w:p w14:paraId="680B75E1">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ascii="宋体" w:hAnsi="宋体"/>
                <w:color w:val="auto"/>
                <w:kern w:val="0"/>
                <w:sz w:val="24"/>
                <w:szCs w:val="24"/>
              </w:rPr>
            </w:pPr>
            <w:r>
              <w:rPr>
                <w:rFonts w:hint="eastAsia" w:ascii="宋体" w:hAnsi="宋体"/>
                <w:color w:val="auto"/>
                <w:kern w:val="0"/>
                <w:sz w:val="24"/>
                <w:szCs w:val="24"/>
              </w:rPr>
              <w:t>③施工期间产生的废水主要为施工废水、施工人员生活污水。</w:t>
            </w:r>
          </w:p>
          <w:p w14:paraId="742A4EDB">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ascii="宋体" w:hAnsi="宋体"/>
                <w:color w:val="auto"/>
                <w:kern w:val="0"/>
                <w:sz w:val="24"/>
                <w:szCs w:val="24"/>
              </w:rPr>
            </w:pPr>
            <w:r>
              <w:rPr>
                <w:rFonts w:hint="eastAsia" w:ascii="宋体" w:hAnsi="宋体"/>
                <w:color w:val="auto"/>
                <w:kern w:val="0"/>
                <w:sz w:val="24"/>
                <w:szCs w:val="24"/>
              </w:rPr>
              <w:t>④施工噪声主要来源于升压站场地平整、基础开挖、光伏方阵设备安装、箱变/逆变基础施工、电缆沟施工、架空线路及塔基建设等施工行为。</w:t>
            </w:r>
          </w:p>
          <w:p w14:paraId="66E450C7">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ascii="宋体" w:hAnsi="宋体"/>
                <w:color w:val="auto"/>
                <w:kern w:val="0"/>
                <w:sz w:val="24"/>
                <w:szCs w:val="24"/>
              </w:rPr>
            </w:pPr>
            <w:r>
              <w:rPr>
                <w:rFonts w:hint="eastAsia" w:ascii="宋体" w:hAnsi="宋体"/>
                <w:color w:val="auto"/>
                <w:kern w:val="0"/>
                <w:sz w:val="24"/>
                <w:szCs w:val="24"/>
              </w:rPr>
              <w:t>⑤项目施工期固体废物主要为施工人员的生活垃圾，土石方、建筑垃圾等。</w:t>
            </w:r>
          </w:p>
          <w:p w14:paraId="39A8856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方正仿宋_GBK"/>
                <w:b/>
                <w:bCs/>
                <w:color w:val="auto"/>
                <w:kern w:val="0"/>
                <w:sz w:val="24"/>
                <w:szCs w:val="24"/>
                <w:lang w:eastAsia="zh-CN"/>
              </w:rPr>
            </w:pPr>
            <w:r>
              <w:rPr>
                <w:rFonts w:hint="eastAsia" w:ascii="宋体" w:hAnsi="宋体"/>
                <w:b/>
                <w:bCs/>
                <w:color w:val="auto"/>
                <w:kern w:val="0"/>
                <w:sz w:val="24"/>
                <w:szCs w:val="24"/>
              </w:rPr>
              <w:t>（2）营运期</w:t>
            </w:r>
            <w:r>
              <w:rPr>
                <w:rFonts w:hint="eastAsia" w:ascii="宋体" w:hAnsi="宋体"/>
                <w:b/>
                <w:bCs/>
                <w:color w:val="auto"/>
                <w:kern w:val="0"/>
                <w:sz w:val="24"/>
                <w:szCs w:val="24"/>
                <w:lang w:eastAsia="zh-CN"/>
              </w:rPr>
              <w:t>：</w:t>
            </w:r>
          </w:p>
          <w:p w14:paraId="38E0E383">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ascii="宋体" w:hAnsi="宋体"/>
                <w:color w:val="FF0000"/>
                <w:kern w:val="0"/>
                <w:sz w:val="24"/>
                <w:szCs w:val="24"/>
              </w:rPr>
            </w:pPr>
            <w:r>
              <w:rPr>
                <w:rFonts w:hint="eastAsia" w:ascii="宋体" w:hAnsi="宋体"/>
                <w:color w:val="auto"/>
                <w:kern w:val="0"/>
                <w:sz w:val="24"/>
                <w:szCs w:val="24"/>
              </w:rPr>
              <w:t>①本项目</w:t>
            </w:r>
            <w:r>
              <w:rPr>
                <w:rFonts w:hint="eastAsia"/>
                <w:color w:val="auto"/>
                <w:sz w:val="24"/>
                <w:highlight w:val="none"/>
              </w:rPr>
              <w:t>运营期项目使用清洁能源电、液化气，产生的废气主要为食堂油烟、汽车尾气以及污水处理设施产生的异味</w:t>
            </w:r>
            <w:r>
              <w:rPr>
                <w:rFonts w:hint="eastAsia" w:ascii="宋体" w:hAnsi="宋体"/>
                <w:color w:val="auto"/>
                <w:kern w:val="0"/>
                <w:sz w:val="24"/>
                <w:szCs w:val="24"/>
              </w:rPr>
              <w:t>。</w:t>
            </w:r>
          </w:p>
          <w:p w14:paraId="3E63EB22">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olor w:val="auto"/>
                <w:kern w:val="0"/>
                <w:sz w:val="24"/>
                <w:szCs w:val="24"/>
              </w:rPr>
            </w:pPr>
            <w:r>
              <w:rPr>
                <w:rFonts w:hint="eastAsia" w:ascii="宋体" w:hAnsi="宋体"/>
                <w:color w:val="auto"/>
                <w:kern w:val="0"/>
                <w:sz w:val="24"/>
                <w:szCs w:val="24"/>
              </w:rPr>
              <w:t>②</w:t>
            </w:r>
            <w:bookmarkStart w:id="1" w:name="_Hlk93392787"/>
            <w:r>
              <w:rPr>
                <w:rFonts w:hint="eastAsia" w:ascii="宋体" w:hAnsi="宋体"/>
                <w:color w:val="auto"/>
                <w:kern w:val="0"/>
                <w:sz w:val="24"/>
                <w:szCs w:val="24"/>
              </w:rPr>
              <w:t>项目运营期主要产生的废水为生活污水。</w:t>
            </w:r>
            <w:bookmarkEnd w:id="1"/>
          </w:p>
          <w:p w14:paraId="5E070BDC">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olor w:val="auto"/>
                <w:kern w:val="0"/>
                <w:sz w:val="24"/>
                <w:szCs w:val="24"/>
              </w:rPr>
            </w:pPr>
            <w:r>
              <w:rPr>
                <w:rFonts w:hint="eastAsia" w:ascii="宋体" w:hAnsi="宋体"/>
                <w:color w:val="auto"/>
                <w:kern w:val="0"/>
                <w:sz w:val="24"/>
                <w:szCs w:val="24"/>
              </w:rPr>
              <w:t>③项目运营期的噪声源主要为</w:t>
            </w:r>
            <w:r>
              <w:rPr>
                <w:rFonts w:hint="eastAsia" w:ascii="宋体" w:hAnsi="宋体"/>
                <w:color w:val="auto"/>
                <w:kern w:val="0"/>
                <w:sz w:val="24"/>
                <w:szCs w:val="24"/>
                <w:lang w:val="en-US" w:eastAsia="zh-CN"/>
              </w:rPr>
              <w:t>箱变</w:t>
            </w:r>
            <w:r>
              <w:rPr>
                <w:rFonts w:hint="eastAsia" w:ascii="宋体" w:hAnsi="宋体"/>
                <w:color w:val="auto"/>
                <w:kern w:val="0"/>
                <w:sz w:val="24"/>
                <w:szCs w:val="24"/>
              </w:rPr>
              <w:t>噪声、升压站噪声。</w:t>
            </w:r>
          </w:p>
          <w:p w14:paraId="1F7C82E7">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olor w:val="auto"/>
                <w:kern w:val="0"/>
                <w:sz w:val="24"/>
                <w:szCs w:val="24"/>
              </w:rPr>
            </w:pPr>
            <w:r>
              <w:rPr>
                <w:rFonts w:hint="eastAsia" w:ascii="宋体" w:hAnsi="宋体"/>
                <w:color w:val="auto"/>
                <w:kern w:val="0"/>
                <w:sz w:val="24"/>
                <w:szCs w:val="24"/>
              </w:rPr>
              <w:t>④项目运营期的固体废物主要为生活垃圾、污泥、废光伏板、废变压器油、废铅酸电池等。</w:t>
            </w:r>
          </w:p>
          <w:p w14:paraId="3B78BBB0">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rPr>
            </w:pPr>
            <w:r>
              <w:rPr>
                <w:rFonts w:hint="eastAsia" w:ascii="宋体" w:hAnsi="宋体"/>
                <w:color w:val="auto"/>
                <w:kern w:val="0"/>
                <w:sz w:val="24"/>
                <w:szCs w:val="24"/>
              </w:rPr>
              <w:t>⑤</w:t>
            </w:r>
            <w:r>
              <w:rPr>
                <w:rFonts w:hint="eastAsia" w:ascii="宋体" w:hAnsi="宋体"/>
                <w:color w:val="auto"/>
                <w:kern w:val="0"/>
                <w:sz w:val="24"/>
                <w:szCs w:val="24"/>
                <w:lang w:val="en-US" w:eastAsia="zh-CN"/>
              </w:rPr>
              <w:t>项目运营期的电磁污染主要是升压站的工频电场和工频磁场。</w:t>
            </w:r>
          </w:p>
        </w:tc>
      </w:tr>
      <w:tr w14:paraId="75BA2E17">
        <w:tblPrEx>
          <w:tblCellMar>
            <w:top w:w="0" w:type="dxa"/>
            <w:left w:w="108" w:type="dxa"/>
            <w:bottom w:w="0" w:type="dxa"/>
            <w:right w:w="108" w:type="dxa"/>
          </w:tblCellMar>
        </w:tblPrEx>
        <w:trPr>
          <w:trHeight w:val="381"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14EB43E5">
            <w:pPr>
              <w:widowControl/>
              <w:spacing w:line="280" w:lineRule="exact"/>
              <w:jc w:val="center"/>
              <w:rPr>
                <w:rFonts w:ascii="宋体"/>
                <w:kern w:val="0"/>
                <w:sz w:val="24"/>
                <w:szCs w:val="24"/>
              </w:rPr>
            </w:pPr>
            <w:r>
              <w:rPr>
                <w:rFonts w:hint="eastAsia" w:ascii="宋体" w:hAnsi="宋体"/>
                <w:kern w:val="0"/>
                <w:sz w:val="24"/>
                <w:szCs w:val="24"/>
              </w:rPr>
              <w:t>项目预防及减轻不良环境影响的对策和措施</w:t>
            </w:r>
          </w:p>
        </w:tc>
      </w:tr>
      <w:tr w14:paraId="2604CAF1">
        <w:tblPrEx>
          <w:tblCellMar>
            <w:top w:w="0" w:type="dxa"/>
            <w:left w:w="108" w:type="dxa"/>
            <w:bottom w:w="0" w:type="dxa"/>
            <w:right w:w="108" w:type="dxa"/>
          </w:tblCellMar>
        </w:tblPrEx>
        <w:trPr>
          <w:trHeight w:val="4154"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1C1C959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cs="Times New Roman"/>
                <w:b/>
                <w:bCs/>
                <w:color w:val="auto"/>
                <w:kern w:val="0"/>
                <w:sz w:val="24"/>
                <w:szCs w:val="24"/>
              </w:rPr>
            </w:pPr>
            <w:r>
              <w:rPr>
                <w:rFonts w:hint="eastAsia" w:ascii="宋体" w:hAnsi="宋体" w:cs="Times New Roman"/>
                <w:b/>
                <w:bCs/>
                <w:color w:val="auto"/>
                <w:kern w:val="0"/>
                <w:sz w:val="24"/>
                <w:szCs w:val="24"/>
                <w:lang w:eastAsia="zh-CN"/>
              </w:rPr>
              <w:t>（</w:t>
            </w:r>
            <w:r>
              <w:rPr>
                <w:rFonts w:hint="eastAsia" w:ascii="宋体" w:hAnsi="宋体" w:cs="Times New Roman"/>
                <w:b/>
                <w:bCs/>
                <w:color w:val="auto"/>
                <w:kern w:val="0"/>
                <w:sz w:val="24"/>
                <w:szCs w:val="24"/>
                <w:lang w:val="en-US" w:eastAsia="zh-CN"/>
              </w:rPr>
              <w:t>1</w:t>
            </w:r>
            <w:r>
              <w:rPr>
                <w:rFonts w:hint="eastAsia" w:ascii="宋体" w:hAnsi="宋体" w:cs="Times New Roman"/>
                <w:b/>
                <w:bCs/>
                <w:color w:val="auto"/>
                <w:kern w:val="0"/>
                <w:sz w:val="24"/>
                <w:szCs w:val="24"/>
                <w:lang w:eastAsia="zh-CN"/>
              </w:rPr>
              <w:t>）</w:t>
            </w:r>
            <w:r>
              <w:rPr>
                <w:rFonts w:hint="eastAsia" w:ascii="宋体" w:hAnsi="宋体" w:cs="Times New Roman"/>
                <w:b/>
                <w:bCs/>
                <w:color w:val="auto"/>
                <w:kern w:val="0"/>
                <w:sz w:val="24"/>
                <w:szCs w:val="24"/>
              </w:rPr>
              <w:t>施工期措施：</w:t>
            </w:r>
          </w:p>
          <w:p w14:paraId="1EBC2665">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s="Times New Roman"/>
                <w:color w:val="auto"/>
                <w:kern w:val="0"/>
                <w:sz w:val="24"/>
                <w:szCs w:val="24"/>
                <w:lang w:val="en-US" w:eastAsia="zh-CN"/>
              </w:rPr>
            </w:pPr>
            <w:r>
              <w:rPr>
                <w:rFonts w:hint="eastAsia" w:ascii="宋体" w:hAnsi="宋体" w:cs="Times New Roman"/>
                <w:color w:val="auto"/>
                <w:kern w:val="0"/>
                <w:sz w:val="24"/>
                <w:szCs w:val="24"/>
                <w:lang w:val="en-US" w:eastAsia="zh-CN"/>
              </w:rPr>
              <w:t>1、施工过程中应严格按照施工线施工，禁止占用生态红线和基本农田，并接受和配合主管部门或环保部门的检查和监督。</w:t>
            </w:r>
          </w:p>
          <w:p w14:paraId="737B02FC">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s="Times New Roman"/>
                <w:color w:val="auto"/>
                <w:kern w:val="0"/>
                <w:sz w:val="24"/>
                <w:szCs w:val="24"/>
                <w:lang w:val="en-US" w:eastAsia="zh-CN"/>
              </w:rPr>
            </w:pPr>
            <w:r>
              <w:rPr>
                <w:rFonts w:hint="eastAsia" w:ascii="宋体" w:hAnsi="宋体" w:cs="Times New Roman"/>
                <w:color w:val="auto"/>
                <w:kern w:val="0"/>
                <w:sz w:val="24"/>
                <w:szCs w:val="24"/>
                <w:lang w:val="en-US" w:eastAsia="zh-CN"/>
              </w:rPr>
              <w:t>2、施工期制定生态环境管理，通过管理规定和制度化，禁止施工人员砍伐树木，禁止到非施工区活动，施工区严格烟火管理，以杜绝施工人员对施工区和其他</w:t>
            </w:r>
            <w:bookmarkStart w:id="2" w:name="_GoBack"/>
            <w:bookmarkEnd w:id="2"/>
            <w:r>
              <w:rPr>
                <w:rFonts w:hint="eastAsia" w:ascii="宋体" w:hAnsi="宋体" w:cs="Times New Roman"/>
                <w:color w:val="auto"/>
                <w:kern w:val="0"/>
                <w:sz w:val="24"/>
                <w:szCs w:val="24"/>
                <w:lang w:val="en-US" w:eastAsia="zh-CN"/>
              </w:rPr>
              <w:t>地区植物的破坏，减轻工程施工对野生生物的影响。</w:t>
            </w:r>
          </w:p>
          <w:p w14:paraId="183B259D">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宋体" w:hAnsi="宋体" w:cs="Times New Roman"/>
                <w:color w:val="auto"/>
                <w:kern w:val="0"/>
                <w:sz w:val="24"/>
                <w:szCs w:val="24"/>
                <w:lang w:val="en-US" w:eastAsia="zh-CN"/>
              </w:rPr>
            </w:pPr>
            <w:r>
              <w:rPr>
                <w:rFonts w:hint="eastAsia" w:ascii="宋体" w:hAnsi="宋体" w:cs="Times New Roman"/>
                <w:color w:val="auto"/>
                <w:kern w:val="0"/>
                <w:sz w:val="24"/>
                <w:szCs w:val="24"/>
                <w:lang w:val="en-US" w:eastAsia="zh-CN"/>
              </w:rPr>
              <w:t>3、施工期间按林草地植被保护方案对植被进行恢复</w:t>
            </w:r>
          </w:p>
          <w:p w14:paraId="2B2AE12B">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s="Times New Roman"/>
                <w:color w:val="auto"/>
                <w:kern w:val="0"/>
                <w:sz w:val="24"/>
                <w:szCs w:val="24"/>
                <w:lang w:val="en-US" w:eastAsia="zh-CN"/>
              </w:rPr>
            </w:pPr>
            <w:r>
              <w:rPr>
                <w:rFonts w:hint="eastAsia" w:ascii="宋体" w:hAnsi="宋体" w:cs="Times New Roman"/>
                <w:color w:val="auto"/>
                <w:kern w:val="0"/>
                <w:sz w:val="24"/>
                <w:szCs w:val="24"/>
                <w:lang w:val="en-US" w:eastAsia="zh-CN"/>
              </w:rPr>
              <w:t>4、合理安排工期，避免在雨天进行土方作业。施工场地废水经临时沉淀池沉淀处理后，回用于施工、洒水抑尘及周边绿化，不外排。施工场地材料堆场四周设置挡墙，防止散料被雨水冲刷流失到地表水体中；施工材料中如化学建材等不得堆放在地表水体附近，并加设土工布围挡，防止被雨水冲刷进入地表水体。</w:t>
            </w:r>
          </w:p>
          <w:p w14:paraId="722DB692">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s="Times New Roman"/>
                <w:color w:val="auto"/>
                <w:kern w:val="0"/>
                <w:sz w:val="24"/>
                <w:szCs w:val="24"/>
                <w:lang w:val="zh-CN" w:eastAsia="zh-CN"/>
              </w:rPr>
            </w:pPr>
            <w:r>
              <w:rPr>
                <w:rFonts w:hint="eastAsia" w:ascii="宋体" w:hAnsi="宋体" w:cs="Times New Roman"/>
                <w:color w:val="auto"/>
                <w:kern w:val="0"/>
                <w:sz w:val="24"/>
                <w:szCs w:val="24"/>
                <w:lang w:val="en-US" w:eastAsia="zh-CN"/>
              </w:rPr>
              <w:t>5、选用性能良好的低噪声施工机械设备，加强施工机械的维修、管理，保证施工机械处于低噪声、高效率的良好工作状态；</w:t>
            </w:r>
            <w:r>
              <w:rPr>
                <w:rFonts w:hint="eastAsia" w:ascii="宋体" w:hAnsi="宋体" w:cs="Times New Roman"/>
                <w:color w:val="auto"/>
                <w:kern w:val="0"/>
                <w:sz w:val="24"/>
                <w:szCs w:val="24"/>
                <w:lang w:val="zh-CN" w:eastAsia="zh-CN"/>
              </w:rPr>
              <w:t>运输材料过程中应合理安排时间，避免在休息时间通过周围村庄，</w:t>
            </w:r>
            <w:r>
              <w:rPr>
                <w:rFonts w:hint="eastAsia" w:ascii="宋体" w:hAnsi="宋体" w:cs="Times New Roman"/>
                <w:color w:val="auto"/>
                <w:kern w:val="0"/>
                <w:sz w:val="24"/>
                <w:szCs w:val="24"/>
                <w:lang w:val="en-US" w:eastAsia="zh-CN"/>
              </w:rPr>
              <w:t>减</w:t>
            </w:r>
            <w:r>
              <w:rPr>
                <w:rFonts w:hint="eastAsia" w:ascii="宋体" w:hAnsi="宋体" w:cs="Times New Roman"/>
                <w:color w:val="auto"/>
                <w:kern w:val="0"/>
                <w:sz w:val="24"/>
                <w:szCs w:val="24"/>
                <w:lang w:val="zh-CN" w:eastAsia="zh-CN"/>
              </w:rPr>
              <w:t>少对运输沿线村庄的影响。</w:t>
            </w:r>
          </w:p>
          <w:p w14:paraId="26798AB1">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s="Times New Roman"/>
                <w:color w:val="auto"/>
                <w:kern w:val="0"/>
                <w:sz w:val="24"/>
                <w:szCs w:val="24"/>
                <w:lang w:val="en-US" w:eastAsia="zh-CN"/>
              </w:rPr>
            </w:pPr>
            <w:r>
              <w:rPr>
                <w:rFonts w:hint="eastAsia" w:ascii="宋体" w:hAnsi="宋体" w:cs="Times New Roman"/>
                <w:color w:val="auto"/>
                <w:kern w:val="0"/>
                <w:sz w:val="24"/>
                <w:szCs w:val="24"/>
                <w:lang w:val="en-US" w:eastAsia="zh-CN"/>
              </w:rPr>
              <w:t>6、建筑垃圾能回收利用的回收利用，不能回收利用的运送至当地合法 的建筑垃圾消纳场进行规范处置。生活垃圾以及废包装物等收集后当地委托环卫部门清运处理。</w:t>
            </w:r>
          </w:p>
          <w:p w14:paraId="5083B1EF">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宋体" w:hAnsi="宋体" w:cs="Times New Roman"/>
                <w:color w:val="auto"/>
                <w:kern w:val="0"/>
                <w:sz w:val="24"/>
                <w:szCs w:val="24"/>
                <w:lang w:val="en-US" w:eastAsia="zh-CN"/>
              </w:rPr>
            </w:pPr>
            <w:r>
              <w:rPr>
                <w:rFonts w:hint="eastAsia" w:ascii="宋体" w:hAnsi="宋体" w:cs="Times New Roman"/>
                <w:color w:val="auto"/>
                <w:kern w:val="0"/>
                <w:sz w:val="24"/>
                <w:szCs w:val="24"/>
                <w:lang w:val="en-US" w:eastAsia="zh-CN"/>
              </w:rPr>
              <w:t>7、</w:t>
            </w:r>
            <w:r>
              <w:rPr>
                <w:rFonts w:hint="default" w:ascii="宋体" w:hAnsi="宋体" w:cs="Times New Roman"/>
                <w:color w:val="auto"/>
                <w:kern w:val="0"/>
                <w:sz w:val="24"/>
                <w:szCs w:val="24"/>
                <w:lang w:val="en-US" w:eastAsia="zh-CN"/>
              </w:rPr>
              <w:t>应该在醒目地</w:t>
            </w:r>
            <w:r>
              <w:rPr>
                <w:rFonts w:hint="eastAsia" w:ascii="宋体" w:hAnsi="宋体" w:cs="Times New Roman"/>
                <w:color w:val="auto"/>
                <w:kern w:val="0"/>
                <w:sz w:val="24"/>
                <w:szCs w:val="24"/>
                <w:lang w:val="en-US" w:eastAsia="zh-CN"/>
              </w:rPr>
              <w:t>方设</w:t>
            </w:r>
            <w:r>
              <w:rPr>
                <w:rFonts w:hint="default" w:ascii="宋体" w:hAnsi="宋体" w:cs="Times New Roman"/>
                <w:color w:val="auto"/>
                <w:kern w:val="0"/>
                <w:sz w:val="24"/>
                <w:szCs w:val="24"/>
                <w:lang w:val="en-US" w:eastAsia="zh-CN"/>
              </w:rPr>
              <w:t>立警示牌</w:t>
            </w:r>
            <w:r>
              <w:rPr>
                <w:rFonts w:hint="eastAsia" w:ascii="宋体" w:hAnsi="宋体" w:cs="Times New Roman"/>
                <w:color w:val="auto"/>
                <w:kern w:val="0"/>
                <w:sz w:val="24"/>
                <w:szCs w:val="24"/>
                <w:lang w:val="en-US" w:eastAsia="zh-CN"/>
              </w:rPr>
              <w:t>，</w:t>
            </w:r>
            <w:r>
              <w:rPr>
                <w:rFonts w:hint="default" w:ascii="宋体" w:hAnsi="宋体" w:cs="Times New Roman"/>
                <w:color w:val="auto"/>
                <w:kern w:val="0"/>
                <w:sz w:val="24"/>
                <w:szCs w:val="24"/>
                <w:lang w:val="en-US" w:eastAsia="zh-CN"/>
              </w:rPr>
              <w:t>严格占用征地红线范围外的土地。对靠近生态保护红线的区域，施工扰动范围应退后5m，禁止贴线开发行为。禁止任何施工人员、施工机械进入生态保护红线区域。禁止生态保护红线区域内发生一切人为活动。</w:t>
            </w:r>
          </w:p>
          <w:p w14:paraId="292ACB5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cs="Times New Roman"/>
                <w:b/>
                <w:bCs/>
                <w:color w:val="auto"/>
                <w:kern w:val="0"/>
                <w:sz w:val="24"/>
                <w:szCs w:val="24"/>
                <w:lang w:val="en-US" w:eastAsia="zh-CN"/>
              </w:rPr>
            </w:pPr>
            <w:r>
              <w:rPr>
                <w:rFonts w:hint="eastAsia" w:ascii="宋体" w:hAnsi="宋体" w:cs="Times New Roman"/>
                <w:b/>
                <w:bCs/>
                <w:color w:val="auto"/>
                <w:kern w:val="0"/>
                <w:sz w:val="24"/>
                <w:szCs w:val="24"/>
                <w:lang w:val="en-US" w:eastAsia="zh-CN"/>
              </w:rPr>
              <w:t>（2）运营期措施：</w:t>
            </w:r>
          </w:p>
          <w:p w14:paraId="17F77953">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s="Times New Roman"/>
                <w:color w:val="auto"/>
                <w:kern w:val="0"/>
                <w:sz w:val="24"/>
                <w:szCs w:val="24"/>
                <w:lang w:val="en-US" w:eastAsia="zh-CN"/>
              </w:rPr>
            </w:pPr>
            <w:r>
              <w:rPr>
                <w:rFonts w:hint="eastAsia" w:ascii="宋体" w:hAnsi="宋体" w:cs="Times New Roman"/>
                <w:color w:val="auto"/>
                <w:kern w:val="0"/>
                <w:sz w:val="24"/>
                <w:szCs w:val="24"/>
                <w:lang w:val="en-US" w:eastAsia="zh-CN"/>
              </w:rPr>
              <w:t>1、项目内使用电、太阳能等清洁能源。食堂油烟安装抽油烟机。在化粪池、一体化污水处理站周边进行绿化，并及时清掏，以减少化粪池异味。</w:t>
            </w:r>
          </w:p>
          <w:p w14:paraId="76F7F5B6">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s="Times New Roman"/>
                <w:color w:val="auto"/>
                <w:kern w:val="0"/>
                <w:sz w:val="24"/>
                <w:szCs w:val="24"/>
                <w:lang w:val="en-US" w:eastAsia="zh-CN"/>
              </w:rPr>
            </w:pPr>
            <w:r>
              <w:rPr>
                <w:rFonts w:hint="eastAsia" w:ascii="宋体" w:hAnsi="宋体" w:cs="Times New Roman"/>
                <w:color w:val="auto"/>
                <w:kern w:val="0"/>
                <w:sz w:val="24"/>
                <w:szCs w:val="24"/>
                <w:lang w:val="en-US" w:eastAsia="zh-CN"/>
              </w:rPr>
              <w:t>2、升压站周边种植绿化带；升压站设置实体围墙；箱变、逆变选用低噪声型号。</w:t>
            </w:r>
          </w:p>
          <w:p w14:paraId="66282594">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s="Times New Roman"/>
                <w:color w:val="auto"/>
                <w:kern w:val="0"/>
                <w:sz w:val="24"/>
                <w:szCs w:val="24"/>
                <w:lang w:val="en-US" w:eastAsia="zh-CN"/>
              </w:rPr>
            </w:pPr>
            <w:r>
              <w:rPr>
                <w:rFonts w:hint="eastAsia" w:ascii="宋体" w:hAnsi="宋体" w:cs="Times New Roman"/>
                <w:color w:val="auto"/>
                <w:kern w:val="0"/>
                <w:sz w:val="24"/>
                <w:szCs w:val="24"/>
                <w:lang w:val="en-US" w:eastAsia="zh-CN"/>
              </w:rPr>
              <w:t>3、升压站实行雨污分流，食堂废水经隔油池隔油后，连同其他生活污水经化粪池处理后经一体化污水处理设备处理处理达到《城市污水再生利用 城市杂用水水质》（GB/T18920-2020）中的城市绿化标准后全部回用于升压站绿化，不外排。</w:t>
            </w:r>
          </w:p>
          <w:p w14:paraId="36D2E0FD">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s="Times New Roman"/>
                <w:color w:val="auto"/>
                <w:kern w:val="0"/>
                <w:sz w:val="24"/>
                <w:szCs w:val="24"/>
                <w:lang w:val="en-US" w:eastAsia="zh-CN"/>
              </w:rPr>
            </w:pPr>
            <w:r>
              <w:rPr>
                <w:rFonts w:hint="eastAsia" w:ascii="宋体" w:hAnsi="宋体" w:cs="Times New Roman"/>
                <w:color w:val="auto"/>
                <w:kern w:val="0"/>
                <w:sz w:val="24"/>
                <w:szCs w:val="24"/>
                <w:lang w:val="en-US" w:eastAsia="zh-CN"/>
              </w:rPr>
              <w:t>4、生活垃圾集中收集后定期自行转运至周边村庄垃圾收集点统一处置；升压站内设置一座危废贮存库，项目危险废物需统一收储在危废贮存库，定期由有资质的单位回收处理，危废贮存库防渗措施应满足《危险废物贮存污染控制标准》（GB18597-2023）相关要求；危险废物定期委托具备相应危废处置资质的单位进行处置，其转移严格按照《危险废物转移管理办法》要求执行，建立危险废物产生记录台账。</w:t>
            </w:r>
          </w:p>
          <w:p w14:paraId="092FF4DA">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pPr>
            <w:r>
              <w:rPr>
                <w:rFonts w:hint="eastAsia" w:ascii="宋体" w:hAnsi="宋体" w:cs="Times New Roman"/>
                <w:color w:val="auto"/>
                <w:kern w:val="0"/>
                <w:sz w:val="24"/>
                <w:szCs w:val="24"/>
                <w:lang w:val="en-US" w:eastAsia="zh-CN"/>
              </w:rPr>
              <w:t>5、在植被恢复期，树种、草种的选择应以当地优良的乡土树种草种为主，并通过建立外来物种环境影响评价制度和加强外来物种引进的监管工作等来防止外来物种的入侵，保护本地物种。</w:t>
            </w:r>
          </w:p>
        </w:tc>
      </w:tr>
      <w:tr w14:paraId="7C1427DA">
        <w:tblPrEx>
          <w:tblCellMar>
            <w:top w:w="0" w:type="dxa"/>
            <w:left w:w="108" w:type="dxa"/>
            <w:bottom w:w="0" w:type="dxa"/>
            <w:right w:w="108" w:type="dxa"/>
          </w:tblCellMar>
        </w:tblPrEx>
        <w:trPr>
          <w:trHeight w:val="386"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0D2FC8B9">
            <w:pPr>
              <w:widowControl/>
              <w:spacing w:line="280" w:lineRule="exact"/>
              <w:jc w:val="center"/>
              <w:rPr>
                <w:rFonts w:ascii="宋体"/>
                <w:kern w:val="0"/>
                <w:sz w:val="24"/>
                <w:szCs w:val="24"/>
              </w:rPr>
            </w:pPr>
            <w:r>
              <w:rPr>
                <w:rFonts w:hint="eastAsia" w:ascii="宋体" w:hAnsi="宋体"/>
                <w:kern w:val="0"/>
                <w:sz w:val="24"/>
                <w:szCs w:val="24"/>
              </w:rPr>
              <w:t>公众参与情况</w:t>
            </w:r>
          </w:p>
        </w:tc>
      </w:tr>
      <w:tr w14:paraId="081C02EF">
        <w:tblPrEx>
          <w:tblCellMar>
            <w:top w:w="0" w:type="dxa"/>
            <w:left w:w="108" w:type="dxa"/>
            <w:bottom w:w="0" w:type="dxa"/>
            <w:right w:w="108" w:type="dxa"/>
          </w:tblCellMar>
        </w:tblPrEx>
        <w:trPr>
          <w:trHeight w:val="804"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41E2678D">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pPr>
            <w:r>
              <w:rPr>
                <w:rFonts w:hint="eastAsia" w:ascii="宋体" w:hAnsi="宋体" w:cs="Times New Roman"/>
                <w:color w:val="auto"/>
                <w:kern w:val="0"/>
                <w:sz w:val="24"/>
                <w:szCs w:val="24"/>
                <w:lang w:val="en-US" w:eastAsia="zh-CN"/>
              </w:rPr>
              <w:t>无。</w:t>
            </w:r>
          </w:p>
        </w:tc>
      </w:tr>
      <w:tr w14:paraId="5D2B61A7">
        <w:tblPrEx>
          <w:tblCellMar>
            <w:top w:w="0" w:type="dxa"/>
            <w:left w:w="108" w:type="dxa"/>
            <w:bottom w:w="0" w:type="dxa"/>
            <w:right w:w="108" w:type="dxa"/>
          </w:tblCellMar>
        </w:tblPrEx>
        <w:trPr>
          <w:trHeight w:val="429" w:hRule="atLeast"/>
        </w:trPr>
        <w:tc>
          <w:tcPr>
            <w:tcW w:w="4002" w:type="dxa"/>
            <w:gridSpan w:val="2"/>
            <w:tcBorders>
              <w:top w:val="single" w:color="auto" w:sz="4" w:space="0"/>
              <w:left w:val="single" w:color="auto" w:sz="4" w:space="0"/>
              <w:bottom w:val="single" w:color="auto" w:sz="4" w:space="0"/>
              <w:right w:val="single" w:color="auto" w:sz="4" w:space="0"/>
            </w:tcBorders>
            <w:shd w:val="clear" w:color="auto" w:fill="C0C0C0"/>
            <w:vAlign w:val="center"/>
          </w:tcPr>
          <w:p w14:paraId="7395BAFC">
            <w:pPr>
              <w:widowControl/>
              <w:spacing w:line="280" w:lineRule="exact"/>
              <w:jc w:val="left"/>
              <w:rPr>
                <w:rFonts w:ascii="宋体"/>
                <w:kern w:val="0"/>
                <w:sz w:val="24"/>
                <w:szCs w:val="24"/>
              </w:rPr>
            </w:pPr>
            <w:r>
              <w:rPr>
                <w:rFonts w:hint="eastAsia" w:ascii="宋体" w:hAnsi="宋体"/>
                <w:kern w:val="0"/>
                <w:sz w:val="24"/>
                <w:szCs w:val="24"/>
              </w:rPr>
              <w:t>建设单位或地方政府所作出的相关承诺文件</w:t>
            </w:r>
          </w:p>
        </w:tc>
        <w:tc>
          <w:tcPr>
            <w:tcW w:w="5812" w:type="dxa"/>
            <w:gridSpan w:val="4"/>
            <w:tcBorders>
              <w:top w:val="single" w:color="auto" w:sz="4" w:space="0"/>
              <w:left w:val="nil"/>
              <w:bottom w:val="single" w:color="auto" w:sz="4" w:space="0"/>
              <w:right w:val="single" w:color="auto" w:sz="4" w:space="0"/>
            </w:tcBorders>
            <w:vAlign w:val="center"/>
          </w:tcPr>
          <w:p w14:paraId="621E3F6E">
            <w:pPr>
              <w:pStyle w:val="7"/>
            </w:pPr>
            <w:r>
              <w:rPr>
                <w:rFonts w:hint="eastAsia" w:ascii="宋体" w:hAnsi="宋体" w:cs="Times New Roman"/>
                <w:color w:val="auto"/>
                <w:kern w:val="0"/>
                <w:sz w:val="24"/>
                <w:szCs w:val="24"/>
                <w:lang w:val="en-US" w:eastAsia="zh-CN"/>
              </w:rPr>
              <w:t>同意全本公开承诺。</w:t>
            </w:r>
          </w:p>
        </w:tc>
      </w:tr>
      <w:tr w14:paraId="458644AB">
        <w:tblPrEx>
          <w:tblCellMar>
            <w:top w:w="0" w:type="dxa"/>
            <w:left w:w="108" w:type="dxa"/>
            <w:bottom w:w="0" w:type="dxa"/>
            <w:right w:w="108" w:type="dxa"/>
          </w:tblCellMar>
        </w:tblPrEx>
        <w:trPr>
          <w:trHeight w:val="1110" w:hRule="atLeast"/>
        </w:trPr>
        <w:tc>
          <w:tcPr>
            <w:tcW w:w="9814" w:type="dxa"/>
            <w:gridSpan w:val="6"/>
            <w:tcBorders>
              <w:top w:val="single" w:color="auto" w:sz="4" w:space="0"/>
              <w:left w:val="nil"/>
              <w:bottom w:val="nil"/>
              <w:right w:val="nil"/>
            </w:tcBorders>
            <w:vAlign w:val="center"/>
          </w:tcPr>
          <w:p w14:paraId="32D63471">
            <w:pPr>
              <w:widowControl/>
              <w:spacing w:line="280" w:lineRule="exact"/>
              <w:jc w:val="left"/>
              <w:rPr>
                <w:rFonts w:ascii="宋体"/>
                <w:kern w:val="0"/>
                <w:sz w:val="24"/>
                <w:szCs w:val="24"/>
              </w:rPr>
            </w:pPr>
            <w:r>
              <w:rPr>
                <w:rFonts w:hint="eastAsia" w:ascii="宋体" w:hAnsi="宋体"/>
                <w:kern w:val="0"/>
                <w:sz w:val="24"/>
                <w:szCs w:val="24"/>
              </w:rPr>
              <w:t>注:项目概况、项目主要环境影响、项目预防及减轻不良环境影响的对策和措施、公众参与情况、建设单位或地方政府所作出的相关承诺文件部分由建设单位填写。公众反馈意见联系方式部分由行政审批机关填写。</w:t>
            </w:r>
          </w:p>
        </w:tc>
      </w:tr>
    </w:tbl>
    <w:p w14:paraId="366E06E1">
      <w:pPr>
        <w:rPr>
          <w:color w:val="FF000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iYzQ1NDY1YjQ0MjBjMWNmZDQyYjE1NzJjMWYwMDcifQ=="/>
  </w:docVars>
  <w:rsids>
    <w:rsidRoot w:val="392E2078"/>
    <w:rsid w:val="0007389C"/>
    <w:rsid w:val="00150BE9"/>
    <w:rsid w:val="00156B39"/>
    <w:rsid w:val="001A0782"/>
    <w:rsid w:val="001A6B62"/>
    <w:rsid w:val="001B3A2B"/>
    <w:rsid w:val="001F034E"/>
    <w:rsid w:val="001F679B"/>
    <w:rsid w:val="00294DBA"/>
    <w:rsid w:val="002B6C2D"/>
    <w:rsid w:val="002C62B4"/>
    <w:rsid w:val="00322D57"/>
    <w:rsid w:val="00327286"/>
    <w:rsid w:val="00330F90"/>
    <w:rsid w:val="00335349"/>
    <w:rsid w:val="003C1AD7"/>
    <w:rsid w:val="003C4CF8"/>
    <w:rsid w:val="003C6F96"/>
    <w:rsid w:val="003E6693"/>
    <w:rsid w:val="00473C47"/>
    <w:rsid w:val="00485878"/>
    <w:rsid w:val="004A6061"/>
    <w:rsid w:val="004D701F"/>
    <w:rsid w:val="004E159E"/>
    <w:rsid w:val="005010C4"/>
    <w:rsid w:val="005107E1"/>
    <w:rsid w:val="005370B8"/>
    <w:rsid w:val="00542698"/>
    <w:rsid w:val="005A0DCF"/>
    <w:rsid w:val="005B283A"/>
    <w:rsid w:val="0060088D"/>
    <w:rsid w:val="0061485D"/>
    <w:rsid w:val="0062265A"/>
    <w:rsid w:val="006C6412"/>
    <w:rsid w:val="006D5270"/>
    <w:rsid w:val="006E4B40"/>
    <w:rsid w:val="006E5771"/>
    <w:rsid w:val="00702618"/>
    <w:rsid w:val="00705F2D"/>
    <w:rsid w:val="00773626"/>
    <w:rsid w:val="007A0516"/>
    <w:rsid w:val="007C11E2"/>
    <w:rsid w:val="0081762D"/>
    <w:rsid w:val="00833B43"/>
    <w:rsid w:val="00841044"/>
    <w:rsid w:val="00863CCD"/>
    <w:rsid w:val="00871427"/>
    <w:rsid w:val="00872120"/>
    <w:rsid w:val="00873527"/>
    <w:rsid w:val="008A3643"/>
    <w:rsid w:val="008A7183"/>
    <w:rsid w:val="008C224E"/>
    <w:rsid w:val="008C796D"/>
    <w:rsid w:val="008C7996"/>
    <w:rsid w:val="008C7D47"/>
    <w:rsid w:val="008D6010"/>
    <w:rsid w:val="00906E2D"/>
    <w:rsid w:val="009B5EE1"/>
    <w:rsid w:val="009D1793"/>
    <w:rsid w:val="009D3485"/>
    <w:rsid w:val="009D5CDC"/>
    <w:rsid w:val="00A560A2"/>
    <w:rsid w:val="00A7390A"/>
    <w:rsid w:val="00A752B3"/>
    <w:rsid w:val="00A84CD0"/>
    <w:rsid w:val="00AA08DA"/>
    <w:rsid w:val="00B22E4F"/>
    <w:rsid w:val="00B4670A"/>
    <w:rsid w:val="00B547C9"/>
    <w:rsid w:val="00B55F2A"/>
    <w:rsid w:val="00BA1007"/>
    <w:rsid w:val="00BA59BE"/>
    <w:rsid w:val="00BA7231"/>
    <w:rsid w:val="00BC32D8"/>
    <w:rsid w:val="00BD0857"/>
    <w:rsid w:val="00BD1407"/>
    <w:rsid w:val="00C36231"/>
    <w:rsid w:val="00C71183"/>
    <w:rsid w:val="00C96052"/>
    <w:rsid w:val="00CC1BB9"/>
    <w:rsid w:val="00CD2BAA"/>
    <w:rsid w:val="00CD608E"/>
    <w:rsid w:val="00D233CF"/>
    <w:rsid w:val="00DA65D2"/>
    <w:rsid w:val="00DC4E67"/>
    <w:rsid w:val="00DC7CEE"/>
    <w:rsid w:val="00E46C95"/>
    <w:rsid w:val="00E90C9E"/>
    <w:rsid w:val="00ED0EFF"/>
    <w:rsid w:val="00EE1F18"/>
    <w:rsid w:val="00EE5CE6"/>
    <w:rsid w:val="00F530BA"/>
    <w:rsid w:val="00F86E32"/>
    <w:rsid w:val="00FD24C7"/>
    <w:rsid w:val="00FD5740"/>
    <w:rsid w:val="00FF23D3"/>
    <w:rsid w:val="013830D2"/>
    <w:rsid w:val="01437794"/>
    <w:rsid w:val="03344A05"/>
    <w:rsid w:val="05275651"/>
    <w:rsid w:val="05B86C53"/>
    <w:rsid w:val="081E3E37"/>
    <w:rsid w:val="13B34670"/>
    <w:rsid w:val="1835276E"/>
    <w:rsid w:val="1A3C46BC"/>
    <w:rsid w:val="1B020E5E"/>
    <w:rsid w:val="1C8733A0"/>
    <w:rsid w:val="201D4921"/>
    <w:rsid w:val="20547DB6"/>
    <w:rsid w:val="21602F6F"/>
    <w:rsid w:val="22862C6A"/>
    <w:rsid w:val="245D4345"/>
    <w:rsid w:val="24694EB2"/>
    <w:rsid w:val="25502092"/>
    <w:rsid w:val="2B002CE4"/>
    <w:rsid w:val="2CA10B4F"/>
    <w:rsid w:val="2CAD1D69"/>
    <w:rsid w:val="2EE11733"/>
    <w:rsid w:val="2F923676"/>
    <w:rsid w:val="2FC57EA9"/>
    <w:rsid w:val="301D5EC7"/>
    <w:rsid w:val="33682ACB"/>
    <w:rsid w:val="34185686"/>
    <w:rsid w:val="35313D1A"/>
    <w:rsid w:val="38002C65"/>
    <w:rsid w:val="392E2078"/>
    <w:rsid w:val="39984AC7"/>
    <w:rsid w:val="3B020811"/>
    <w:rsid w:val="3B1F2F96"/>
    <w:rsid w:val="3B2E26FF"/>
    <w:rsid w:val="3C272C37"/>
    <w:rsid w:val="3EDD372A"/>
    <w:rsid w:val="4155672C"/>
    <w:rsid w:val="43BD5ED1"/>
    <w:rsid w:val="449625B7"/>
    <w:rsid w:val="45BD33BC"/>
    <w:rsid w:val="47F24AD5"/>
    <w:rsid w:val="4866291F"/>
    <w:rsid w:val="4B402719"/>
    <w:rsid w:val="4B9C7ABA"/>
    <w:rsid w:val="4C985FBF"/>
    <w:rsid w:val="4D2F5EED"/>
    <w:rsid w:val="4DC60339"/>
    <w:rsid w:val="4EC40453"/>
    <w:rsid w:val="4F7B2ACC"/>
    <w:rsid w:val="50153BC8"/>
    <w:rsid w:val="51E81108"/>
    <w:rsid w:val="52385E17"/>
    <w:rsid w:val="54752240"/>
    <w:rsid w:val="55367ECE"/>
    <w:rsid w:val="555D267C"/>
    <w:rsid w:val="5653575C"/>
    <w:rsid w:val="577942AD"/>
    <w:rsid w:val="58FF0EBE"/>
    <w:rsid w:val="5998453C"/>
    <w:rsid w:val="5A834766"/>
    <w:rsid w:val="5BED57C7"/>
    <w:rsid w:val="5D2E69AB"/>
    <w:rsid w:val="5DCC4393"/>
    <w:rsid w:val="5F257633"/>
    <w:rsid w:val="60EA0DC0"/>
    <w:rsid w:val="614E3CA3"/>
    <w:rsid w:val="64CE0A00"/>
    <w:rsid w:val="66B00A67"/>
    <w:rsid w:val="6AB93F9D"/>
    <w:rsid w:val="6C044E5F"/>
    <w:rsid w:val="6C8A7DA4"/>
    <w:rsid w:val="70AA332D"/>
    <w:rsid w:val="714078D6"/>
    <w:rsid w:val="715F713D"/>
    <w:rsid w:val="747E39E9"/>
    <w:rsid w:val="74857523"/>
    <w:rsid w:val="77533B6A"/>
    <w:rsid w:val="78CD4DAD"/>
    <w:rsid w:val="79377A43"/>
    <w:rsid w:val="79CC62C5"/>
    <w:rsid w:val="79EF4D86"/>
    <w:rsid w:val="7E5F22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方正仿宋_GBK" w:cs="Times New Roman"/>
      <w:kern w:val="32"/>
      <w:sz w:val="32"/>
      <w:szCs w:val="32"/>
      <w:lang w:val="en-US" w:eastAsia="zh-CN" w:bidi="ar-SA"/>
    </w:rPr>
  </w:style>
  <w:style w:type="paragraph" w:styleId="2">
    <w:name w:val="heading 2"/>
    <w:basedOn w:val="1"/>
    <w:next w:val="1"/>
    <w:link w:val="24"/>
    <w:qFormat/>
    <w:uiPriority w:val="0"/>
    <w:pPr>
      <w:tabs>
        <w:tab w:val="left" w:pos="5882"/>
      </w:tabs>
      <w:adjustRightInd w:val="0"/>
      <w:snapToGrid w:val="0"/>
      <w:spacing w:beforeLines="50"/>
      <w:jc w:val="left"/>
      <w:outlineLvl w:val="1"/>
    </w:pPr>
    <w:rPr>
      <w:rFonts w:ascii="Times New Roman" w:hAnsi="Times New Roman" w:eastAsia="宋体"/>
      <w:b/>
      <w:kern w:val="0"/>
      <w:sz w:val="24"/>
      <w:szCs w:val="24"/>
    </w:rPr>
  </w:style>
  <w:style w:type="paragraph" w:styleId="3">
    <w:name w:val="heading 3"/>
    <w:basedOn w:val="1"/>
    <w:next w:val="1"/>
    <w:link w:val="19"/>
    <w:qFormat/>
    <w:uiPriority w:val="0"/>
    <w:pPr>
      <w:topLinePunct/>
      <w:spacing w:before="120" w:line="480" w:lineRule="exact"/>
      <w:outlineLvl w:val="2"/>
    </w:pPr>
    <w:rPr>
      <w:rFonts w:ascii="Times New Roman" w:hAnsi="Times New Roman" w:eastAsia="楷体_GB2312"/>
      <w:b/>
      <w:bCs/>
      <w:color w:val="000000"/>
      <w:kern w:val="2"/>
      <w:sz w:val="28"/>
      <w:szCs w:val="28"/>
    </w:rPr>
  </w:style>
  <w:style w:type="paragraph" w:styleId="4">
    <w:name w:val="heading 4"/>
    <w:basedOn w:val="1"/>
    <w:next w:val="1"/>
    <w:link w:val="22"/>
    <w:qFormat/>
    <w:uiPriority w:val="0"/>
    <w:pPr>
      <w:keepNext/>
      <w:keepLines/>
      <w:spacing w:before="280" w:after="290" w:line="376" w:lineRule="auto"/>
      <w:outlineLvl w:val="3"/>
    </w:pPr>
    <w:rPr>
      <w:rFonts w:ascii="Arial" w:hAnsi="Arial" w:eastAsia="黑体"/>
      <w:b/>
      <w:bCs/>
      <w:kern w:val="2"/>
      <w:sz w:val="28"/>
      <w:szCs w:val="28"/>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Body Text"/>
    <w:basedOn w:val="6"/>
    <w:next w:val="6"/>
    <w:qFormat/>
    <w:uiPriority w:val="1"/>
    <w:rPr>
      <w:sz w:val="24"/>
      <w:szCs w:val="24"/>
    </w:rPr>
  </w:style>
  <w:style w:type="paragraph" w:styleId="6">
    <w:name w:val="Title"/>
    <w:basedOn w:val="1"/>
    <w:qFormat/>
    <w:uiPriority w:val="0"/>
    <w:pPr>
      <w:adjustRightInd w:val="0"/>
      <w:snapToGrid w:val="0"/>
      <w:spacing w:before="240" w:after="60" w:line="360" w:lineRule="auto"/>
      <w:ind w:firstLine="200" w:firstLineChars="200"/>
      <w:jc w:val="center"/>
      <w:outlineLvl w:val="0"/>
    </w:pPr>
    <w:rPr>
      <w:rFonts w:ascii="Cambria" w:hAnsi="Cambria"/>
      <w:b/>
      <w:bCs/>
    </w:rPr>
  </w:style>
  <w:style w:type="paragraph" w:styleId="7">
    <w:name w:val="Plain Text"/>
    <w:basedOn w:val="1"/>
    <w:qFormat/>
    <w:uiPriority w:val="0"/>
    <w:rPr>
      <w:rFonts w:ascii="宋体"/>
      <w:snapToGrid w:val="0"/>
      <w:kern w:val="0"/>
      <w:szCs w:val="20"/>
    </w:rPr>
  </w:style>
  <w:style w:type="paragraph" w:styleId="8">
    <w:name w:val="footer"/>
    <w:basedOn w:val="1"/>
    <w:link w:val="23"/>
    <w:qFormat/>
    <w:uiPriority w:val="0"/>
    <w:pPr>
      <w:tabs>
        <w:tab w:val="center" w:pos="4153"/>
        <w:tab w:val="right" w:pos="8306"/>
      </w:tabs>
      <w:snapToGrid w:val="0"/>
      <w:jc w:val="left"/>
    </w:pPr>
    <w:rPr>
      <w:sz w:val="18"/>
      <w:szCs w:val="18"/>
    </w:rPr>
  </w:style>
  <w:style w:type="paragraph" w:styleId="9">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jc w:val="left"/>
    </w:pPr>
    <w:rPr>
      <w:rFonts w:eastAsia="宋体"/>
      <w:kern w:val="0"/>
      <w:sz w:val="24"/>
    </w:rPr>
  </w:style>
  <w:style w:type="character" w:styleId="13">
    <w:name w:val="Strong"/>
    <w:basedOn w:val="12"/>
    <w:qFormat/>
    <w:uiPriority w:val="0"/>
    <w:rPr>
      <w:b/>
    </w:rPr>
  </w:style>
  <w:style w:type="character" w:styleId="14">
    <w:name w:val="annotation reference"/>
    <w:basedOn w:val="12"/>
    <w:qFormat/>
    <w:uiPriority w:val="0"/>
    <w:rPr>
      <w:sz w:val="21"/>
      <w:szCs w:val="21"/>
    </w:rPr>
  </w:style>
  <w:style w:type="paragraph" w:customStyle="1" w:styleId="15">
    <w:name w:val="Normal Indent1"/>
    <w:basedOn w:val="1"/>
    <w:next w:val="1"/>
    <w:qFormat/>
    <w:uiPriority w:val="99"/>
    <w:pPr>
      <w:ind w:firstLine="420"/>
    </w:pPr>
  </w:style>
  <w:style w:type="paragraph" w:customStyle="1" w:styleId="16">
    <w:name w:val="Default"/>
    <w:basedOn w:val="17"/>
    <w:qFormat/>
    <w:uiPriority w:val="99"/>
    <w:pPr>
      <w:widowControl w:val="0"/>
      <w:autoSpaceDE w:val="0"/>
      <w:autoSpaceDN w:val="0"/>
      <w:adjustRightInd w:val="0"/>
    </w:pPr>
    <w:rPr>
      <w:rFonts w:ascii="宋体" w:cs="宋体"/>
      <w:color w:val="000000"/>
      <w:sz w:val="24"/>
      <w:szCs w:val="24"/>
      <w:lang w:val="en-US" w:eastAsia="zh-CN" w:bidi="ar-SA"/>
    </w:rPr>
  </w:style>
  <w:style w:type="paragraph" w:customStyle="1" w:styleId="17">
    <w:name w:val="纯文本1"/>
    <w:basedOn w:val="1"/>
    <w:qFormat/>
    <w:uiPriority w:val="0"/>
    <w:pPr>
      <w:suppressAutoHyphens/>
    </w:pPr>
    <w:rPr>
      <w:rFonts w:ascii="宋体" w:hAnsi="宋体" w:eastAsia="宋体" w:cs="Times New Roman"/>
      <w:kern w:val="1"/>
      <w:sz w:val="28"/>
      <w:lang w:eastAsia="ar-SA"/>
    </w:rPr>
  </w:style>
  <w:style w:type="paragraph" w:customStyle="1" w:styleId="18">
    <w:name w:val="正本文字"/>
    <w:basedOn w:val="1"/>
    <w:autoRedefine/>
    <w:qFormat/>
    <w:uiPriority w:val="0"/>
    <w:pPr>
      <w:adjustRightInd w:val="0"/>
      <w:snapToGrid w:val="0"/>
      <w:spacing w:line="360" w:lineRule="auto"/>
      <w:ind w:firstLine="480" w:firstLineChars="200"/>
      <w:jc w:val="left"/>
    </w:pPr>
    <w:rPr>
      <w:rFonts w:cs="宋体"/>
      <w:kern w:val="18"/>
      <w:sz w:val="24"/>
    </w:rPr>
  </w:style>
  <w:style w:type="character" w:customStyle="1" w:styleId="19">
    <w:name w:val="标题 3 字符"/>
    <w:link w:val="3"/>
    <w:qFormat/>
    <w:uiPriority w:val="0"/>
    <w:rPr>
      <w:rFonts w:eastAsia="楷体_GB2312"/>
      <w:b/>
      <w:bCs/>
      <w:color w:val="000000"/>
      <w:kern w:val="2"/>
      <w:sz w:val="28"/>
      <w:szCs w:val="28"/>
    </w:rPr>
  </w:style>
  <w:style w:type="character" w:customStyle="1" w:styleId="20">
    <w:name w:val="标题 3 Char"/>
    <w:semiHidden/>
    <w:qFormat/>
    <w:uiPriority w:val="0"/>
    <w:rPr>
      <w:rFonts w:ascii="Calibri" w:hAnsi="Calibri" w:eastAsia="方正仿宋_GBK"/>
      <w:b/>
      <w:bCs/>
      <w:kern w:val="32"/>
      <w:sz w:val="32"/>
      <w:szCs w:val="32"/>
    </w:rPr>
  </w:style>
  <w:style w:type="character" w:customStyle="1" w:styleId="21">
    <w:name w:val="页眉 字符"/>
    <w:link w:val="9"/>
    <w:qFormat/>
    <w:uiPriority w:val="0"/>
    <w:rPr>
      <w:rFonts w:ascii="Calibri" w:hAnsi="Calibri" w:eastAsia="方正仿宋_GBK"/>
      <w:kern w:val="32"/>
      <w:sz w:val="18"/>
      <w:szCs w:val="18"/>
    </w:rPr>
  </w:style>
  <w:style w:type="character" w:customStyle="1" w:styleId="22">
    <w:name w:val="标题 4 字符"/>
    <w:link w:val="4"/>
    <w:qFormat/>
    <w:uiPriority w:val="0"/>
    <w:rPr>
      <w:rFonts w:ascii="Arial" w:hAnsi="Arial" w:eastAsia="黑体"/>
      <w:b/>
      <w:bCs/>
      <w:kern w:val="2"/>
      <w:sz w:val="28"/>
      <w:szCs w:val="28"/>
    </w:rPr>
  </w:style>
  <w:style w:type="character" w:customStyle="1" w:styleId="23">
    <w:name w:val="页脚 字符"/>
    <w:link w:val="8"/>
    <w:qFormat/>
    <w:uiPriority w:val="0"/>
    <w:rPr>
      <w:rFonts w:ascii="Calibri" w:hAnsi="Calibri" w:eastAsia="方正仿宋_GBK"/>
      <w:kern w:val="32"/>
      <w:sz w:val="18"/>
      <w:szCs w:val="18"/>
    </w:rPr>
  </w:style>
  <w:style w:type="character" w:customStyle="1" w:styleId="24">
    <w:name w:val="标题 2 字符"/>
    <w:link w:val="2"/>
    <w:qFormat/>
    <w:uiPriority w:val="0"/>
    <w:rPr>
      <w:rFonts w:eastAsia="宋体"/>
      <w:b/>
      <w:sz w:val="24"/>
      <w:szCs w:val="24"/>
    </w:rPr>
  </w:style>
  <w:style w:type="character" w:customStyle="1" w:styleId="25">
    <w:name w:val="标题 4 Char"/>
    <w:semiHidden/>
    <w:qFormat/>
    <w:uiPriority w:val="0"/>
    <w:rPr>
      <w:rFonts w:ascii="Cambria" w:hAnsi="Cambria" w:eastAsia="宋体" w:cs="Times New Roman"/>
      <w:b/>
      <w:bCs/>
      <w:kern w:val="32"/>
      <w:sz w:val="28"/>
      <w:szCs w:val="28"/>
    </w:rPr>
  </w:style>
  <w:style w:type="character" w:customStyle="1" w:styleId="26">
    <w:name w:val="正文 旺源文字段落 Char"/>
    <w:link w:val="27"/>
    <w:qFormat/>
    <w:uiPriority w:val="0"/>
    <w:rPr>
      <w:rFonts w:ascii="宋体" w:hAnsi="宋体" w:cs="宋体"/>
      <w:kern w:val="24"/>
      <w:sz w:val="24"/>
      <w:szCs w:val="24"/>
    </w:rPr>
  </w:style>
  <w:style w:type="paragraph" w:customStyle="1" w:styleId="27">
    <w:name w:val="正文 旺源文字段落"/>
    <w:basedOn w:val="1"/>
    <w:link w:val="26"/>
    <w:qFormat/>
    <w:uiPriority w:val="0"/>
    <w:pPr>
      <w:spacing w:line="500" w:lineRule="exact"/>
      <w:ind w:firstLine="420"/>
    </w:pPr>
    <w:rPr>
      <w:rFonts w:ascii="宋体" w:hAnsi="宋体" w:eastAsia="宋体"/>
      <w:kern w:val="24"/>
      <w:sz w:val="24"/>
      <w:szCs w:val="24"/>
    </w:rPr>
  </w:style>
  <w:style w:type="paragraph" w:customStyle="1" w:styleId="28">
    <w:name w:val="LH样式"/>
    <w:basedOn w:val="1"/>
    <w:qFormat/>
    <w:uiPriority w:val="0"/>
    <w:pPr>
      <w:spacing w:line="480" w:lineRule="exact"/>
      <w:ind w:firstLine="520" w:firstLineChars="200"/>
    </w:pPr>
    <w:rPr>
      <w:rFonts w:ascii="Times New Roman" w:hAnsi="Times New Roman" w:eastAsia="宋体"/>
      <w:color w:val="00B0F0"/>
      <w:kern w:val="2"/>
      <w:sz w:val="26"/>
      <w:szCs w:val="26"/>
    </w:rPr>
  </w:style>
  <w:style w:type="paragraph" w:customStyle="1" w:styleId="29">
    <w:name w:val="正文2"/>
    <w:basedOn w:val="1"/>
    <w:qFormat/>
    <w:uiPriority w:val="0"/>
    <w:pPr>
      <w:spacing w:line="360" w:lineRule="auto"/>
      <w:ind w:firstLine="200" w:firstLineChars="200"/>
    </w:pPr>
    <w:rPr>
      <w:rFonts w:ascii="Times New Roman" w:hAnsi="Times New Roman" w:eastAsia="宋体"/>
      <w:sz w:val="24"/>
      <w:szCs w:val="20"/>
    </w:rPr>
  </w:style>
  <w:style w:type="paragraph" w:customStyle="1" w:styleId="30">
    <w:name w:val="Table Text"/>
    <w:basedOn w:val="1"/>
    <w:semiHidden/>
    <w:qFormat/>
    <w:uiPriority w:val="0"/>
    <w:rPr>
      <w:rFonts w:ascii="宋体" w:hAnsi="宋体" w:eastAsia="宋体" w:cs="宋体"/>
      <w:sz w:val="21"/>
      <w:szCs w:val="21"/>
      <w:lang w:val="en-US" w:eastAsia="en-US" w:bidi="ar-SA"/>
    </w:rPr>
  </w:style>
  <w:style w:type="paragraph" w:customStyle="1" w:styleId="31">
    <w:name w:val="H正文"/>
    <w:basedOn w:val="1"/>
    <w:qFormat/>
    <w:uiPriority w:val="0"/>
    <w:pPr>
      <w:adjustRightInd w:val="0"/>
      <w:spacing w:line="400" w:lineRule="exact"/>
      <w:ind w:firstLine="200" w:firstLineChars="200"/>
      <w:textAlignment w:val="baseline"/>
    </w:pPr>
    <w:rPr>
      <w:rFonts w:ascii="Times New Roman" w:hAnsi="Times New Roman" w:eastAsia="宋体"/>
      <w:snapToGrid w:val="0"/>
      <w:spacing w:val="6"/>
      <w:kern w:val="2"/>
      <w:sz w:val="21"/>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3</Pages>
  <Words>1962</Words>
  <Characters>2037</Characters>
  <Lines>97</Lines>
  <Paragraphs>85</Paragraphs>
  <TotalTime>12</TotalTime>
  <ScaleCrop>false</ScaleCrop>
  <LinksUpToDate>false</LinksUpToDate>
  <CharactersWithSpaces>2041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2019-10-22T01:39:00Z</dcterms:created>
  <dc:creator>lenovo</dc:creator>
  <cp:lastModifiedBy>郭丽娜</cp:lastModifiedBy>
  <cp:lastPrinted>2016-09-13T03:08:00Z</cp:lastPrinted>
  <dcterms:modified xsi:type="dcterms:W3CDTF">2026-08-20T08:49:26Z</dcterms:modified>
  <dc:title>曲靖市环境保护局</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128218B489894962ACF776BB5D2B5D67_13</vt:lpwstr>
  </property>
  <property fmtid="{D5CDD505-2E9C-101B-9397-08002B2CF9AE}" pid="4" name="KSOTemplateDocerSaveRecord">
    <vt:lpwstr>eyJoZGlkIjoiYTA0OTFiNTllN2E3YTc2MDc5ZTIwYTg0ZjFlZjFlMWQiLCJ1c2VySWQiOiIzNzMyMDUyODEifQ==</vt:lpwstr>
  </property>
</Properties>
</file>