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1"/>
        <w:tblW w:w="0" w:type="auto"/>
        <w:tblInd w:w="-208" w:type="dxa"/>
        <w:tblLayout w:type="fixed"/>
        <w:tblCellMar>
          <w:top w:w="0" w:type="dxa"/>
          <w:left w:w="108" w:type="dxa"/>
          <w:bottom w:w="0" w:type="dxa"/>
          <w:right w:w="108" w:type="dxa"/>
        </w:tblCellMar>
      </w:tblPr>
      <w:tblGrid>
        <w:gridCol w:w="1756"/>
        <w:gridCol w:w="2246"/>
        <w:gridCol w:w="1276"/>
        <w:gridCol w:w="1559"/>
        <w:gridCol w:w="1276"/>
        <w:gridCol w:w="1701"/>
      </w:tblGrid>
      <w:tr w14:paraId="2E6E6376">
        <w:tblPrEx>
          <w:tblCellMar>
            <w:top w:w="0" w:type="dxa"/>
            <w:left w:w="108" w:type="dxa"/>
            <w:bottom w:w="0" w:type="dxa"/>
            <w:right w:w="108" w:type="dxa"/>
          </w:tblCellMar>
        </w:tblPrEx>
        <w:trPr>
          <w:trHeight w:val="995" w:hRule="atLeast"/>
        </w:trPr>
        <w:tc>
          <w:tcPr>
            <w:tcW w:w="1756" w:type="dxa"/>
            <w:tcBorders>
              <w:top w:val="single" w:color="auto" w:sz="4" w:space="0"/>
              <w:left w:val="single" w:color="auto" w:sz="4" w:space="0"/>
              <w:bottom w:val="single" w:color="auto" w:sz="4" w:space="0"/>
              <w:right w:val="single" w:color="auto" w:sz="4" w:space="0"/>
            </w:tcBorders>
            <w:shd w:val="clear" w:color="auto" w:fill="C0C0C0"/>
            <w:vAlign w:val="center"/>
          </w:tcPr>
          <w:p w14:paraId="1D8569AF">
            <w:pPr>
              <w:widowControl/>
              <w:spacing w:line="280" w:lineRule="exact"/>
              <w:jc w:val="left"/>
              <w:rPr>
                <w:rFonts w:hint="default" w:ascii="Times New Roman" w:hAnsi="Times New Roman" w:cs="Times New Roman"/>
                <w:kern w:val="0"/>
                <w:sz w:val="24"/>
                <w:szCs w:val="24"/>
              </w:rPr>
            </w:pPr>
            <w:bookmarkStart w:id="0" w:name="_GoBack"/>
            <w:bookmarkEnd w:id="0"/>
            <w:r>
              <w:rPr>
                <w:rFonts w:hint="default" w:ascii="Times New Roman" w:hAnsi="Times New Roman" w:cs="Times New Roman"/>
                <w:sz w:val="24"/>
                <w:szCs w:val="24"/>
              </w:rPr>
              <w:t xml:space="preserve"> </w:t>
            </w:r>
            <w:r>
              <w:rPr>
                <w:rFonts w:hint="default" w:ascii="Times New Roman" w:hAnsi="Times New Roman" w:cs="Times New Roman"/>
                <w:kern w:val="0"/>
                <w:sz w:val="24"/>
                <w:szCs w:val="24"/>
              </w:rPr>
              <w:t>项目名称</w:t>
            </w:r>
          </w:p>
        </w:tc>
        <w:tc>
          <w:tcPr>
            <w:tcW w:w="2246" w:type="dxa"/>
            <w:tcBorders>
              <w:top w:val="single" w:color="auto" w:sz="4" w:space="0"/>
              <w:left w:val="nil"/>
              <w:bottom w:val="single" w:color="auto" w:sz="4" w:space="0"/>
              <w:right w:val="single" w:color="auto" w:sz="4" w:space="0"/>
            </w:tcBorders>
            <w:shd w:val="clear" w:color="auto" w:fill="auto"/>
            <w:vAlign w:val="center"/>
          </w:tcPr>
          <w:p w14:paraId="4937C58A">
            <w:pPr>
              <w:widowControl/>
              <w:spacing w:line="280" w:lineRule="exact"/>
              <w:jc w:val="left"/>
              <w:rPr>
                <w:rFonts w:hint="default" w:ascii="Times New Roman" w:hAnsi="Times New Roman" w:cs="Times New Roman"/>
                <w:sz w:val="24"/>
                <w:szCs w:val="24"/>
              </w:rPr>
            </w:pPr>
            <w:r>
              <w:rPr>
                <w:rFonts w:hint="eastAsia" w:ascii="Times New Roman" w:hAnsi="Times New Roman" w:cs="Times New Roman"/>
                <w:kern w:val="0"/>
                <w:sz w:val="24"/>
                <w:szCs w:val="24"/>
                <w:lang w:val="en-US" w:eastAsia="zh-CN"/>
              </w:rPr>
              <w:t>大营山至乐业变220kV送出线路工程</w:t>
            </w:r>
          </w:p>
        </w:tc>
        <w:tc>
          <w:tcPr>
            <w:tcW w:w="1276" w:type="dxa"/>
            <w:tcBorders>
              <w:top w:val="single" w:color="auto" w:sz="4" w:space="0"/>
              <w:left w:val="nil"/>
              <w:bottom w:val="single" w:color="auto" w:sz="4" w:space="0"/>
              <w:right w:val="single" w:color="auto" w:sz="4" w:space="0"/>
            </w:tcBorders>
            <w:shd w:val="clear" w:color="auto" w:fill="C0C0C0"/>
            <w:vAlign w:val="center"/>
          </w:tcPr>
          <w:p w14:paraId="557EA87A">
            <w:pPr>
              <w:widowControl/>
              <w:spacing w:line="280" w:lineRule="exact"/>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建设地点</w:t>
            </w:r>
          </w:p>
        </w:tc>
        <w:tc>
          <w:tcPr>
            <w:tcW w:w="1559" w:type="dxa"/>
            <w:tcBorders>
              <w:top w:val="single" w:color="auto" w:sz="4" w:space="0"/>
              <w:left w:val="nil"/>
              <w:bottom w:val="single" w:color="auto" w:sz="4" w:space="0"/>
              <w:right w:val="single" w:color="auto" w:sz="4" w:space="0"/>
            </w:tcBorders>
            <w:shd w:val="clear" w:color="auto" w:fill="auto"/>
            <w:vAlign w:val="center"/>
          </w:tcPr>
          <w:p w14:paraId="5B3ECEF6">
            <w:pPr>
              <w:widowControl/>
              <w:spacing w:line="280" w:lineRule="exact"/>
              <w:jc w:val="left"/>
              <w:rPr>
                <w:rFonts w:hint="default" w:ascii="Times New Roman" w:hAnsi="Times New Roman" w:cs="Times New Roman"/>
                <w:sz w:val="24"/>
                <w:szCs w:val="24"/>
              </w:rPr>
            </w:pPr>
            <w:r>
              <w:rPr>
                <w:rFonts w:hint="default" w:ascii="Times New Roman" w:hAnsi="Times New Roman" w:cs="Times New Roman"/>
                <w:kern w:val="0"/>
                <w:sz w:val="24"/>
                <w:szCs w:val="24"/>
                <w:lang w:val="en-US" w:eastAsia="zh-CN"/>
              </w:rPr>
              <w:t>会泽县乐业镇、马路乡、火红乡境内</w:t>
            </w:r>
          </w:p>
        </w:tc>
        <w:tc>
          <w:tcPr>
            <w:tcW w:w="1276" w:type="dxa"/>
            <w:tcBorders>
              <w:top w:val="single" w:color="auto" w:sz="4" w:space="0"/>
              <w:left w:val="nil"/>
              <w:bottom w:val="single" w:color="auto" w:sz="4" w:space="0"/>
              <w:right w:val="single" w:color="auto" w:sz="4" w:space="0"/>
            </w:tcBorders>
            <w:shd w:val="clear" w:color="auto" w:fill="C0C0C0"/>
            <w:vAlign w:val="center"/>
          </w:tcPr>
          <w:p w14:paraId="30375919">
            <w:pPr>
              <w:widowControl/>
              <w:spacing w:line="280" w:lineRule="exact"/>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建设单位</w:t>
            </w:r>
          </w:p>
        </w:tc>
        <w:tc>
          <w:tcPr>
            <w:tcW w:w="1701" w:type="dxa"/>
            <w:tcBorders>
              <w:top w:val="single" w:color="auto" w:sz="4" w:space="0"/>
              <w:left w:val="nil"/>
              <w:bottom w:val="single" w:color="auto" w:sz="4" w:space="0"/>
              <w:right w:val="single" w:color="auto" w:sz="4" w:space="0"/>
            </w:tcBorders>
            <w:vAlign w:val="center"/>
          </w:tcPr>
          <w:p w14:paraId="7FAC3FEA">
            <w:pPr>
              <w:widowControl/>
              <w:spacing w:line="280" w:lineRule="exact"/>
              <w:jc w:val="center"/>
              <w:rPr>
                <w:rFonts w:hint="default" w:ascii="Times New Roman" w:hAnsi="Times New Roman" w:cs="Times New Roman"/>
                <w:sz w:val="24"/>
                <w:szCs w:val="24"/>
              </w:rPr>
            </w:pPr>
            <w:r>
              <w:rPr>
                <w:rFonts w:hint="eastAsia" w:ascii="Times New Roman" w:hAnsi="Times New Roman" w:cs="Times New Roman"/>
                <w:kern w:val="0"/>
                <w:sz w:val="24"/>
                <w:szCs w:val="24"/>
                <w:lang w:val="en-US" w:eastAsia="zh-CN"/>
              </w:rPr>
              <w:t>会泽华电道成清洁能源开发有限公司</w:t>
            </w:r>
          </w:p>
        </w:tc>
      </w:tr>
      <w:tr w14:paraId="0C28C87D">
        <w:tblPrEx>
          <w:tblCellMar>
            <w:top w:w="0" w:type="dxa"/>
            <w:left w:w="108" w:type="dxa"/>
            <w:bottom w:w="0" w:type="dxa"/>
            <w:right w:w="108" w:type="dxa"/>
          </w:tblCellMar>
        </w:tblPrEx>
        <w:trPr>
          <w:trHeight w:val="762" w:hRule="atLeast"/>
        </w:trPr>
        <w:tc>
          <w:tcPr>
            <w:tcW w:w="1756" w:type="dxa"/>
            <w:tcBorders>
              <w:top w:val="nil"/>
              <w:left w:val="single" w:color="auto" w:sz="4" w:space="0"/>
              <w:bottom w:val="single" w:color="auto" w:sz="4" w:space="0"/>
              <w:right w:val="single" w:color="auto" w:sz="4" w:space="0"/>
            </w:tcBorders>
            <w:shd w:val="clear" w:color="auto" w:fill="C0C0C0"/>
            <w:vAlign w:val="center"/>
          </w:tcPr>
          <w:p w14:paraId="285487F0">
            <w:pPr>
              <w:widowControl/>
              <w:spacing w:line="280" w:lineRule="exact"/>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环评文件类型</w:t>
            </w:r>
          </w:p>
        </w:tc>
        <w:tc>
          <w:tcPr>
            <w:tcW w:w="2246" w:type="dxa"/>
            <w:tcBorders>
              <w:top w:val="nil"/>
              <w:left w:val="nil"/>
              <w:bottom w:val="single" w:color="auto" w:sz="4" w:space="0"/>
              <w:right w:val="single" w:color="auto" w:sz="4" w:space="0"/>
            </w:tcBorders>
            <w:shd w:val="clear" w:color="auto" w:fill="auto"/>
            <w:vAlign w:val="center"/>
          </w:tcPr>
          <w:p w14:paraId="001E7694">
            <w:pPr>
              <w:widowControl/>
              <w:spacing w:line="280" w:lineRule="exact"/>
              <w:jc w:val="center"/>
              <w:rPr>
                <w:rFonts w:hint="default" w:ascii="Times New Roman" w:hAnsi="Times New Roman" w:eastAsia="宋体" w:cs="Times New Roman"/>
                <w:kern w:val="0"/>
                <w:sz w:val="24"/>
                <w:szCs w:val="24"/>
                <w:lang w:val="en-US" w:eastAsia="zh-CN"/>
              </w:rPr>
            </w:pPr>
            <w:r>
              <w:rPr>
                <w:rFonts w:hint="default" w:ascii="Times New Roman" w:hAnsi="Times New Roman" w:cs="Times New Roman"/>
                <w:kern w:val="0"/>
                <w:sz w:val="24"/>
                <w:szCs w:val="24"/>
                <w:lang w:val="en-US" w:eastAsia="zh-CN"/>
              </w:rPr>
              <w:t>报告表</w:t>
            </w:r>
          </w:p>
        </w:tc>
        <w:tc>
          <w:tcPr>
            <w:tcW w:w="1276" w:type="dxa"/>
            <w:tcBorders>
              <w:top w:val="nil"/>
              <w:left w:val="nil"/>
              <w:bottom w:val="single" w:color="auto" w:sz="4" w:space="0"/>
              <w:right w:val="single" w:color="auto" w:sz="4" w:space="0"/>
            </w:tcBorders>
            <w:shd w:val="clear" w:color="auto" w:fill="C0C0C0"/>
            <w:vAlign w:val="center"/>
          </w:tcPr>
          <w:p w14:paraId="63FD5744">
            <w:pPr>
              <w:widowControl/>
              <w:spacing w:line="280" w:lineRule="exact"/>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环境影响评价机构</w:t>
            </w:r>
          </w:p>
        </w:tc>
        <w:tc>
          <w:tcPr>
            <w:tcW w:w="4536" w:type="dxa"/>
            <w:gridSpan w:val="3"/>
            <w:tcBorders>
              <w:top w:val="single" w:color="auto" w:sz="4" w:space="0"/>
              <w:left w:val="nil"/>
              <w:bottom w:val="single" w:color="auto" w:sz="4" w:space="0"/>
              <w:right w:val="single" w:color="000000" w:sz="4" w:space="0"/>
            </w:tcBorders>
            <w:vAlign w:val="center"/>
          </w:tcPr>
          <w:p w14:paraId="70CD292A">
            <w:pPr>
              <w:widowControl/>
              <w:spacing w:line="280" w:lineRule="exact"/>
              <w:jc w:val="center"/>
              <w:rPr>
                <w:rFonts w:hint="default" w:ascii="Times New Roman" w:hAnsi="Times New Roman" w:eastAsia="方正仿宋_GBK" w:cs="Times New Roman"/>
                <w:kern w:val="0"/>
                <w:sz w:val="24"/>
                <w:szCs w:val="24"/>
                <w:lang w:val="en-US" w:eastAsia="zh-CN"/>
              </w:rPr>
            </w:pPr>
            <w:r>
              <w:rPr>
                <w:rFonts w:hint="default" w:ascii="Times New Roman" w:hAnsi="Times New Roman" w:cs="Times New Roman"/>
                <w:kern w:val="0"/>
                <w:sz w:val="24"/>
                <w:szCs w:val="24"/>
                <w:lang w:val="en-US" w:eastAsia="zh-CN"/>
              </w:rPr>
              <w:t>云南江楚环保科技有限公司</w:t>
            </w:r>
          </w:p>
        </w:tc>
      </w:tr>
      <w:tr w14:paraId="45D43C84">
        <w:tblPrEx>
          <w:tblCellMar>
            <w:top w:w="0" w:type="dxa"/>
            <w:left w:w="108" w:type="dxa"/>
            <w:bottom w:w="0" w:type="dxa"/>
            <w:right w:w="108" w:type="dxa"/>
          </w:tblCellMar>
        </w:tblPrEx>
        <w:trPr>
          <w:trHeight w:val="461" w:hRule="atLeast"/>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4017439E">
            <w:pPr>
              <w:widowControl/>
              <w:spacing w:line="280" w:lineRule="exact"/>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项目概况</w:t>
            </w:r>
          </w:p>
        </w:tc>
      </w:tr>
      <w:tr w14:paraId="6CBE06D0">
        <w:tblPrEx>
          <w:tblCellMar>
            <w:top w:w="0" w:type="dxa"/>
            <w:left w:w="108" w:type="dxa"/>
            <w:bottom w:w="0" w:type="dxa"/>
            <w:right w:w="108" w:type="dxa"/>
          </w:tblCellMar>
        </w:tblPrEx>
        <w:trPr>
          <w:trHeight w:val="1530" w:hRule="atLeast"/>
        </w:trPr>
        <w:tc>
          <w:tcPr>
            <w:tcW w:w="9814" w:type="dxa"/>
            <w:gridSpan w:val="6"/>
            <w:tcBorders>
              <w:top w:val="single" w:color="auto" w:sz="4" w:space="0"/>
              <w:left w:val="single" w:color="auto" w:sz="4" w:space="0"/>
              <w:bottom w:val="single" w:color="auto" w:sz="4" w:space="0"/>
              <w:right w:val="single" w:color="auto" w:sz="4" w:space="0"/>
            </w:tcBorders>
            <w:vAlign w:val="center"/>
          </w:tcPr>
          <w:p w14:paraId="143A24BC">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cs="Times New Roman"/>
              </w:rPr>
            </w:pPr>
            <w:r>
              <w:rPr>
                <w:rFonts w:hint="eastAsia" w:ascii="方正仿宋_GBK" w:hAnsi="方正仿宋_GBK" w:eastAsia="方正仿宋_GBK" w:cs="方正仿宋_GBK"/>
                <w:sz w:val="24"/>
                <w:szCs w:val="24"/>
                <w:lang w:val="en-US" w:eastAsia="zh-CN"/>
              </w:rPr>
              <w:t>新建1回220kV架空线路，线路总长12km。线路起于大营山光伏发电项目220kV升压站出线构架，迄于500kV乐业变220kV侧构架，采用单回路架设，其中，500kV乐业变侧终端塔为双回路塔基（与220kV“π”接者迤I回线同塔双回架设），本次双回路单边挂线。共新建铁塔32基，其中直线塔21基，耐张塔11基（双回路塔基1基），采用三角、垂直排列</w:t>
            </w:r>
            <w:r>
              <w:rPr>
                <w:rFonts w:hint="eastAsia" w:ascii="方正仿宋_GBK" w:hAnsi="方正仿宋_GBK" w:eastAsia="方正仿宋_GBK" w:cs="方正仿宋_GBK"/>
                <w:sz w:val="24"/>
                <w:szCs w:val="24"/>
              </w:rPr>
              <w:t>。</w:t>
            </w:r>
          </w:p>
        </w:tc>
      </w:tr>
      <w:tr w14:paraId="088DA8D9">
        <w:tblPrEx>
          <w:tblCellMar>
            <w:top w:w="0" w:type="dxa"/>
            <w:left w:w="108" w:type="dxa"/>
            <w:bottom w:w="0" w:type="dxa"/>
            <w:right w:w="108" w:type="dxa"/>
          </w:tblCellMar>
        </w:tblPrEx>
        <w:trPr>
          <w:trHeight w:val="448" w:hRule="atLeast"/>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1AD5ADA0">
            <w:pPr>
              <w:widowControl/>
              <w:spacing w:line="360" w:lineRule="auto"/>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项目主要环境影响</w:t>
            </w:r>
          </w:p>
        </w:tc>
      </w:tr>
      <w:tr w14:paraId="6AD1242C">
        <w:tblPrEx>
          <w:tblCellMar>
            <w:top w:w="0" w:type="dxa"/>
            <w:left w:w="108" w:type="dxa"/>
            <w:bottom w:w="0" w:type="dxa"/>
            <w:right w:w="108" w:type="dxa"/>
          </w:tblCellMar>
        </w:tblPrEx>
        <w:trPr>
          <w:trHeight w:val="1070" w:hRule="atLeast"/>
        </w:trPr>
        <w:tc>
          <w:tcPr>
            <w:tcW w:w="9814" w:type="dxa"/>
            <w:gridSpan w:val="6"/>
            <w:tcBorders>
              <w:top w:val="single" w:color="auto" w:sz="4" w:space="0"/>
              <w:left w:val="single" w:color="auto" w:sz="4" w:space="0"/>
              <w:bottom w:val="single" w:color="auto" w:sz="4" w:space="0"/>
              <w:right w:val="single" w:color="auto" w:sz="4" w:space="0"/>
            </w:tcBorders>
            <w:vAlign w:val="center"/>
          </w:tcPr>
          <w:p w14:paraId="6E9C5CEB">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方正仿宋_GBK" w:hAnsi="方正仿宋_GBK" w:eastAsia="方正仿宋_GBK" w:cs="方正仿宋_GBK"/>
                <w:color w:val="auto"/>
                <w:kern w:val="0"/>
                <w:sz w:val="24"/>
                <w:szCs w:val="24"/>
              </w:rPr>
            </w:pPr>
            <w:r>
              <w:rPr>
                <w:rFonts w:hint="eastAsia" w:ascii="方正仿宋_GBK" w:hAnsi="方正仿宋_GBK" w:cs="方正仿宋_GBK"/>
                <w:b/>
                <w:bCs/>
                <w:color w:val="auto"/>
                <w:kern w:val="0"/>
                <w:sz w:val="24"/>
                <w:szCs w:val="24"/>
                <w:lang w:eastAsia="zh-CN"/>
              </w:rPr>
              <w:t>一、</w:t>
            </w:r>
            <w:r>
              <w:rPr>
                <w:rFonts w:hint="eastAsia" w:ascii="方正仿宋_GBK" w:hAnsi="方正仿宋_GBK" w:eastAsia="方正仿宋_GBK" w:cs="方正仿宋_GBK"/>
                <w:b/>
                <w:bCs/>
                <w:color w:val="auto"/>
                <w:kern w:val="0"/>
                <w:sz w:val="24"/>
                <w:szCs w:val="24"/>
              </w:rPr>
              <w:t>施工期影响：</w:t>
            </w:r>
            <w:r>
              <w:rPr>
                <w:rFonts w:hint="eastAsia" w:ascii="方正仿宋_GBK" w:hAnsi="方正仿宋_GBK" w:eastAsia="方正仿宋_GBK" w:cs="方正仿宋_GBK"/>
                <w:color w:val="auto"/>
                <w:kern w:val="0"/>
                <w:sz w:val="24"/>
                <w:szCs w:val="24"/>
              </w:rPr>
              <w:t>①噪声：施工机械和运输车辆</w:t>
            </w:r>
            <w:r>
              <w:rPr>
                <w:rFonts w:hint="eastAsia" w:ascii="方正仿宋_GBK" w:hAnsi="方正仿宋_GBK" w:eastAsia="方正仿宋_GBK" w:cs="方正仿宋_GBK"/>
                <w:color w:val="auto"/>
                <w:kern w:val="0"/>
                <w:sz w:val="24"/>
                <w:szCs w:val="24"/>
                <w:lang w:val="en-US" w:eastAsia="zh-CN"/>
              </w:rPr>
              <w:t>噪声</w:t>
            </w:r>
            <w:r>
              <w:rPr>
                <w:rFonts w:hint="eastAsia" w:ascii="方正仿宋_GBK" w:hAnsi="方正仿宋_GBK" w:eastAsia="方正仿宋_GBK" w:cs="方正仿宋_GBK"/>
                <w:color w:val="auto"/>
                <w:kern w:val="0"/>
                <w:sz w:val="24"/>
                <w:szCs w:val="24"/>
              </w:rPr>
              <w:t>；</w:t>
            </w:r>
          </w:p>
          <w:p w14:paraId="28AEC144">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②固体废物：土石方，建筑垃圾及生活垃圾；</w:t>
            </w:r>
          </w:p>
          <w:p w14:paraId="5772519D">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③废水：施工废水及生活污水；</w:t>
            </w:r>
          </w:p>
          <w:p w14:paraId="73C6C646">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④废气：扬尘。</w:t>
            </w:r>
          </w:p>
          <w:p w14:paraId="3D40CBEB">
            <w:pPr>
              <w:pStyle w:val="7"/>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方正仿宋_GBK" w:hAnsi="方正仿宋_GBK" w:eastAsia="方正仿宋_GBK" w:cs="方正仿宋_GBK"/>
                <w:color w:val="auto"/>
                <w:kern w:val="0"/>
                <w:sz w:val="24"/>
                <w:szCs w:val="24"/>
              </w:rPr>
            </w:pPr>
            <w:r>
              <w:rPr>
                <w:rFonts w:hint="eastAsia" w:ascii="方正仿宋_GBK" w:hAnsi="方正仿宋_GBK" w:cs="方正仿宋_GBK"/>
                <w:b/>
                <w:bCs/>
                <w:color w:val="auto"/>
                <w:kern w:val="0"/>
                <w:sz w:val="24"/>
                <w:szCs w:val="24"/>
                <w:lang w:eastAsia="zh-CN"/>
              </w:rPr>
              <w:t>二、</w:t>
            </w:r>
            <w:r>
              <w:rPr>
                <w:rFonts w:hint="eastAsia" w:ascii="方正仿宋_GBK" w:hAnsi="方正仿宋_GBK" w:eastAsia="方正仿宋_GBK" w:cs="方正仿宋_GBK"/>
                <w:b/>
                <w:bCs/>
                <w:color w:val="auto"/>
                <w:kern w:val="0"/>
                <w:sz w:val="24"/>
                <w:szCs w:val="24"/>
              </w:rPr>
              <w:t>运营期影响：</w:t>
            </w:r>
            <w:r>
              <w:rPr>
                <w:rFonts w:hint="eastAsia" w:ascii="方正仿宋_GBK" w:hAnsi="方正仿宋_GBK" w:eastAsia="方正仿宋_GBK" w:cs="方正仿宋_GBK"/>
                <w:color w:val="auto"/>
                <w:kern w:val="0"/>
                <w:sz w:val="24"/>
                <w:szCs w:val="24"/>
              </w:rPr>
              <w:t>①噪声：</w:t>
            </w:r>
            <w:r>
              <w:rPr>
                <w:rFonts w:hint="eastAsia" w:ascii="方正仿宋_GBK" w:hAnsi="方正仿宋_GBK" w:eastAsia="方正仿宋_GBK" w:cs="方正仿宋_GBK"/>
                <w:color w:val="auto"/>
                <w:kern w:val="0"/>
                <w:sz w:val="24"/>
                <w:szCs w:val="24"/>
                <w:lang w:eastAsia="zh-CN"/>
              </w:rPr>
              <w:t>设备</w:t>
            </w:r>
            <w:r>
              <w:rPr>
                <w:rFonts w:hint="eastAsia" w:ascii="方正仿宋_GBK" w:hAnsi="方正仿宋_GBK" w:eastAsia="方正仿宋_GBK" w:cs="方正仿宋_GBK"/>
                <w:color w:val="auto"/>
                <w:kern w:val="0"/>
                <w:sz w:val="24"/>
                <w:szCs w:val="24"/>
              </w:rPr>
              <w:t>噪声；</w:t>
            </w:r>
          </w:p>
          <w:p w14:paraId="414F4B5F">
            <w:pPr>
              <w:pStyle w:val="7"/>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②固体废物：</w:t>
            </w:r>
            <w:r>
              <w:rPr>
                <w:rFonts w:hint="eastAsia" w:ascii="方正仿宋_GBK" w:hAnsi="方正仿宋_GBK" w:eastAsia="方正仿宋_GBK" w:cs="方正仿宋_GBK"/>
                <w:color w:val="auto"/>
                <w:kern w:val="0"/>
                <w:sz w:val="24"/>
                <w:szCs w:val="24"/>
                <w:lang w:val="en-US" w:eastAsia="zh-CN"/>
              </w:rPr>
              <w:t>废旧设备及生活垃圾</w:t>
            </w:r>
            <w:r>
              <w:rPr>
                <w:rFonts w:hint="eastAsia" w:ascii="方正仿宋_GBK" w:hAnsi="方正仿宋_GBK" w:eastAsia="方正仿宋_GBK" w:cs="方正仿宋_GBK"/>
                <w:color w:val="auto"/>
                <w:kern w:val="0"/>
                <w:sz w:val="24"/>
                <w:szCs w:val="24"/>
                <w:lang w:eastAsia="zh-CN"/>
              </w:rPr>
              <w:t>等</w:t>
            </w:r>
            <w:r>
              <w:rPr>
                <w:rFonts w:hint="eastAsia" w:ascii="方正仿宋_GBK" w:hAnsi="方正仿宋_GBK" w:eastAsia="方正仿宋_GBK" w:cs="方正仿宋_GBK"/>
                <w:color w:val="auto"/>
                <w:kern w:val="0"/>
                <w:sz w:val="24"/>
                <w:szCs w:val="24"/>
              </w:rPr>
              <w:t>。</w:t>
            </w:r>
          </w:p>
          <w:p w14:paraId="0B5C8A33">
            <w:pPr>
              <w:pStyle w:val="7"/>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方正仿宋_GBK" w:hAnsi="方正仿宋_GBK" w:eastAsia="方正仿宋_GBK" w:cs="方正仿宋_GBK"/>
                <w:color w:val="auto"/>
                <w:kern w:val="0"/>
                <w:sz w:val="24"/>
                <w:szCs w:val="24"/>
                <w:lang w:val="en-US" w:eastAsia="zh-CN"/>
              </w:rPr>
            </w:pPr>
            <w:r>
              <w:rPr>
                <w:rFonts w:hint="eastAsia" w:ascii="方正仿宋_GBK" w:hAnsi="方正仿宋_GBK" w:eastAsia="方正仿宋_GBK" w:cs="方正仿宋_GBK"/>
                <w:color w:val="auto"/>
                <w:kern w:val="0"/>
                <w:sz w:val="24"/>
                <w:szCs w:val="24"/>
              </w:rPr>
              <w:t>③</w:t>
            </w:r>
            <w:r>
              <w:rPr>
                <w:rFonts w:hint="eastAsia" w:ascii="方正仿宋_GBK" w:hAnsi="方正仿宋_GBK" w:eastAsia="方正仿宋_GBK" w:cs="方正仿宋_GBK"/>
                <w:color w:val="auto"/>
                <w:kern w:val="0"/>
                <w:sz w:val="24"/>
                <w:szCs w:val="24"/>
                <w:lang w:val="en-US" w:eastAsia="zh-CN"/>
              </w:rPr>
              <w:t>电磁：工频电场、工频磁场；</w:t>
            </w:r>
          </w:p>
          <w:p w14:paraId="460D4BFB">
            <w:pPr>
              <w:pStyle w:val="7"/>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cs="Times New Roman"/>
                <w:kern w:val="0"/>
                <w:sz w:val="24"/>
                <w:szCs w:val="24"/>
                <w:lang w:val="en-US" w:eastAsia="zh-CN"/>
              </w:rPr>
            </w:pPr>
            <w:r>
              <w:rPr>
                <w:rFonts w:hint="eastAsia" w:ascii="方正仿宋_GBK" w:hAnsi="方正仿宋_GBK" w:eastAsia="方正仿宋_GBK" w:cs="方正仿宋_GBK"/>
                <w:color w:val="auto"/>
                <w:kern w:val="0"/>
                <w:sz w:val="24"/>
                <w:szCs w:val="24"/>
              </w:rPr>
              <w:t>④</w:t>
            </w:r>
            <w:r>
              <w:rPr>
                <w:rFonts w:hint="eastAsia" w:ascii="方正仿宋_GBK" w:hAnsi="方正仿宋_GBK" w:eastAsia="方正仿宋_GBK" w:cs="方正仿宋_GBK"/>
                <w:color w:val="auto"/>
                <w:kern w:val="0"/>
                <w:sz w:val="24"/>
                <w:szCs w:val="24"/>
                <w:lang w:val="en-US" w:eastAsia="zh-CN"/>
              </w:rPr>
              <w:t>环境风险：事故油。</w:t>
            </w:r>
          </w:p>
        </w:tc>
      </w:tr>
      <w:tr w14:paraId="77157C98">
        <w:tblPrEx>
          <w:tblCellMar>
            <w:top w:w="0" w:type="dxa"/>
            <w:left w:w="108" w:type="dxa"/>
            <w:bottom w:w="0" w:type="dxa"/>
            <w:right w:w="108" w:type="dxa"/>
          </w:tblCellMar>
        </w:tblPrEx>
        <w:trPr>
          <w:trHeight w:val="381" w:hRule="atLeast"/>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3730556A">
            <w:pPr>
              <w:widowControl/>
              <w:spacing w:line="360" w:lineRule="auto"/>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项目预防及减轻不良环境影响的对策和措施</w:t>
            </w:r>
          </w:p>
        </w:tc>
      </w:tr>
      <w:tr w14:paraId="4D28A8A1">
        <w:tblPrEx>
          <w:tblCellMar>
            <w:top w:w="0" w:type="dxa"/>
            <w:left w:w="108" w:type="dxa"/>
            <w:bottom w:w="0" w:type="dxa"/>
            <w:right w:w="108" w:type="dxa"/>
          </w:tblCellMar>
        </w:tblPrEx>
        <w:trPr>
          <w:trHeight w:val="437" w:hRule="atLeast"/>
        </w:trPr>
        <w:tc>
          <w:tcPr>
            <w:tcW w:w="9814" w:type="dxa"/>
            <w:gridSpan w:val="6"/>
            <w:tcBorders>
              <w:top w:val="single" w:color="auto" w:sz="4" w:space="0"/>
              <w:left w:val="single" w:color="auto" w:sz="4" w:space="0"/>
              <w:bottom w:val="single" w:color="auto" w:sz="4" w:space="0"/>
              <w:right w:val="single" w:color="auto" w:sz="4" w:space="0"/>
            </w:tcBorders>
            <w:vAlign w:val="center"/>
          </w:tcPr>
          <w:p w14:paraId="60253669">
            <w:pPr>
              <w:keepNext w:val="0"/>
              <w:keepLines w:val="0"/>
              <w:pageBreakBefore w:val="0"/>
              <w:widowControl/>
              <w:kinsoku/>
              <w:wordWrap/>
              <w:overflowPunct/>
              <w:topLinePunct w:val="0"/>
              <w:autoSpaceDE/>
              <w:autoSpaceDN/>
              <w:bidi w:val="0"/>
              <w:adjustRightInd w:val="0"/>
              <w:snapToGrid w:val="0"/>
              <w:spacing w:line="360" w:lineRule="exact"/>
              <w:ind w:leftChars="0" w:firstLine="0" w:firstLineChars="0"/>
              <w:jc w:val="both"/>
              <w:textAlignment w:val="auto"/>
              <w:rPr>
                <w:rFonts w:hint="default" w:ascii="Times New Roman" w:hAnsi="Times New Roman" w:eastAsia="方正仿宋_GBK" w:cs="Times New Roman"/>
                <w:b/>
                <w:bCs/>
                <w:sz w:val="24"/>
                <w:szCs w:val="24"/>
                <w:lang w:val="en-US" w:eastAsia="zh-CN"/>
              </w:rPr>
            </w:pPr>
            <w:r>
              <w:rPr>
                <w:rFonts w:hint="default" w:ascii="Times New Roman" w:hAnsi="Times New Roman" w:eastAsia="方正仿宋_GBK" w:cs="Times New Roman"/>
                <w:b/>
                <w:bCs/>
                <w:sz w:val="24"/>
                <w:szCs w:val="24"/>
              </w:rPr>
              <w:t>一</w:t>
            </w:r>
            <w:r>
              <w:rPr>
                <w:rFonts w:hint="default" w:ascii="Times New Roman" w:hAnsi="Times New Roman" w:eastAsia="方正仿宋_GBK" w:cs="Times New Roman"/>
                <w:b/>
                <w:bCs/>
                <w:sz w:val="24"/>
                <w:szCs w:val="24"/>
                <w:lang w:eastAsia="zh-CN"/>
              </w:rPr>
              <w:t>、施工</w:t>
            </w:r>
            <w:r>
              <w:rPr>
                <w:rFonts w:hint="default" w:ascii="Times New Roman" w:hAnsi="Times New Roman" w:eastAsia="方正仿宋_GBK" w:cs="Times New Roman"/>
                <w:b/>
                <w:bCs/>
                <w:sz w:val="24"/>
                <w:szCs w:val="24"/>
              </w:rPr>
              <w:t>期</w:t>
            </w:r>
            <w:r>
              <w:rPr>
                <w:rFonts w:hint="default" w:ascii="Times New Roman" w:hAnsi="Times New Roman" w:eastAsia="方正仿宋_GBK" w:cs="Times New Roman"/>
                <w:b/>
                <w:bCs/>
                <w:sz w:val="24"/>
                <w:szCs w:val="24"/>
                <w:lang w:val="en-US" w:eastAsia="zh-CN"/>
              </w:rPr>
              <w:t>措施</w:t>
            </w:r>
          </w:p>
          <w:p w14:paraId="0D86FDB8">
            <w:pPr>
              <w:keepNext w:val="0"/>
              <w:keepLines w:val="0"/>
              <w:pageBreakBefore w:val="0"/>
              <w:widowControl/>
              <w:kinsoku/>
              <w:wordWrap/>
              <w:overflowPunct/>
              <w:topLinePunct w:val="0"/>
              <w:autoSpaceDE/>
              <w:autoSpaceDN/>
              <w:bidi w:val="0"/>
              <w:adjustRightInd w:val="0"/>
              <w:snapToGrid w:val="0"/>
              <w:spacing w:line="360" w:lineRule="exact"/>
              <w:ind w:left="240" w:leftChars="0" w:firstLine="0" w:firstLineChars="0"/>
              <w:jc w:val="both"/>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1</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废气：加强对施工现场和物料运输的管理，临时堆土遮盖、洒水降尘等抑尘措施。</w:t>
            </w:r>
          </w:p>
          <w:p w14:paraId="0440BF2C">
            <w:pPr>
              <w:keepNext w:val="0"/>
              <w:keepLines w:val="0"/>
              <w:pageBreakBefore w:val="0"/>
              <w:widowControl/>
              <w:kinsoku/>
              <w:wordWrap/>
              <w:overflowPunct/>
              <w:topLinePunct w:val="0"/>
              <w:autoSpaceDE/>
              <w:autoSpaceDN/>
              <w:bidi w:val="0"/>
              <w:adjustRightInd w:val="0"/>
              <w:snapToGrid w:val="0"/>
              <w:spacing w:line="360" w:lineRule="exact"/>
              <w:ind w:left="240" w:leftChars="0" w:firstLine="0" w:firstLineChars="0"/>
              <w:jc w:val="both"/>
              <w:textAlignment w:val="auto"/>
              <w:rPr>
                <w:rFonts w:hint="default" w:ascii="Times New Roman" w:hAnsi="Times New Roman" w:eastAsia="方正仿宋_GBK" w:cs="Times New Roman"/>
                <w:color w:val="auto"/>
                <w:kern w:val="0"/>
                <w:sz w:val="24"/>
                <w:szCs w:val="24"/>
                <w:lang w:eastAsia="zh-CN"/>
              </w:rPr>
            </w:pP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2</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噪声：合理安排施工时间；选用符合国家标准施工机械和车辆，尽量采用低噪声的施工机械和工艺</w:t>
            </w:r>
            <w:r>
              <w:rPr>
                <w:rFonts w:hint="default" w:ascii="Times New Roman" w:hAnsi="Times New Roman" w:eastAsia="方正仿宋_GBK" w:cs="Times New Roman"/>
                <w:color w:val="auto"/>
                <w:kern w:val="0"/>
                <w:sz w:val="24"/>
                <w:szCs w:val="24"/>
                <w:lang w:eastAsia="zh-CN"/>
              </w:rPr>
              <w:t>，限制夜间施工；确需夜间施工须办理手续并公告。</w:t>
            </w:r>
          </w:p>
          <w:p w14:paraId="45355289">
            <w:pPr>
              <w:keepNext w:val="0"/>
              <w:keepLines w:val="0"/>
              <w:pageBreakBefore w:val="0"/>
              <w:widowControl/>
              <w:kinsoku/>
              <w:wordWrap/>
              <w:overflowPunct/>
              <w:topLinePunct w:val="0"/>
              <w:autoSpaceDE/>
              <w:autoSpaceDN/>
              <w:bidi w:val="0"/>
              <w:adjustRightInd w:val="0"/>
              <w:snapToGrid w:val="0"/>
              <w:spacing w:line="360" w:lineRule="exact"/>
              <w:ind w:left="240" w:leftChars="0" w:firstLine="0" w:firstLineChars="0"/>
              <w:jc w:val="both"/>
              <w:textAlignment w:val="auto"/>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val="en-US" w:eastAsia="zh-CN"/>
              </w:rPr>
              <w:t>（3）</w:t>
            </w:r>
            <w:r>
              <w:rPr>
                <w:rFonts w:hint="default" w:ascii="Times New Roman" w:hAnsi="Times New Roman" w:eastAsia="方正仿宋_GBK" w:cs="Times New Roman"/>
                <w:color w:val="auto"/>
                <w:kern w:val="0"/>
                <w:sz w:val="24"/>
                <w:szCs w:val="24"/>
              </w:rPr>
              <w:t>废水：</w:t>
            </w:r>
            <w:r>
              <w:rPr>
                <w:rFonts w:hint="default" w:ascii="Times New Roman" w:hAnsi="Times New Roman" w:eastAsia="方正仿宋_GBK" w:cs="Times New Roman"/>
                <w:color w:val="auto"/>
                <w:kern w:val="0"/>
                <w:sz w:val="24"/>
                <w:szCs w:val="24"/>
                <w:lang w:val="en-US" w:eastAsia="zh-CN"/>
              </w:rPr>
              <w:t>设置车辆清洗池；施工废水产生量较小，回用于施工作业和洒水降尘等，不外排。</w:t>
            </w:r>
          </w:p>
          <w:p w14:paraId="4AFCD532">
            <w:pPr>
              <w:keepNext w:val="0"/>
              <w:keepLines w:val="0"/>
              <w:pageBreakBefore w:val="0"/>
              <w:widowControl/>
              <w:kinsoku/>
              <w:wordWrap/>
              <w:overflowPunct/>
              <w:topLinePunct w:val="0"/>
              <w:autoSpaceDE/>
              <w:autoSpaceDN/>
              <w:bidi w:val="0"/>
              <w:adjustRightInd w:val="0"/>
              <w:snapToGrid w:val="0"/>
              <w:spacing w:line="360" w:lineRule="exact"/>
              <w:ind w:left="0" w:leftChars="0" w:firstLine="240" w:firstLineChars="100"/>
              <w:jc w:val="both"/>
              <w:textAlignment w:val="auto"/>
              <w:rPr>
                <w:rFonts w:hint="default" w:ascii="Times New Roman" w:hAnsi="Times New Roman" w:eastAsia="方正仿宋_GBK" w:cs="Times New Roman"/>
                <w:color w:val="auto"/>
                <w:kern w:val="0"/>
                <w:sz w:val="24"/>
                <w:szCs w:val="24"/>
                <w:lang w:val="en-US" w:eastAsia="zh-CN"/>
              </w:rPr>
            </w:pP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4</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固体废物：分别堆放</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生活垃圾收集后委托环卫部门处置；建筑垃圾集中收集、回收利用，不可利用的委托有资质的单位运至相关指定地点规范处置；废土石方按照相关要求处置，并采取临时覆盖，后期植被恢复。</w:t>
            </w:r>
          </w:p>
          <w:p w14:paraId="642C0C80">
            <w:pPr>
              <w:keepNext w:val="0"/>
              <w:keepLines w:val="0"/>
              <w:pageBreakBefore w:val="0"/>
              <w:widowControl/>
              <w:kinsoku/>
              <w:wordWrap/>
              <w:overflowPunct/>
              <w:topLinePunct w:val="0"/>
              <w:autoSpaceDE/>
              <w:autoSpaceDN/>
              <w:bidi w:val="0"/>
              <w:adjustRightInd w:val="0"/>
              <w:snapToGrid w:val="0"/>
              <w:spacing w:line="240" w:lineRule="auto"/>
              <w:ind w:left="0" w:leftChars="0" w:firstLine="240" w:firstLineChars="100"/>
              <w:jc w:val="both"/>
              <w:textAlignment w:val="auto"/>
              <w:rPr>
                <w:rFonts w:hint="default" w:ascii="Times New Roman" w:hAnsi="Times New Roman" w:eastAsia="方正仿宋_GBK" w:cs="Times New Roman"/>
                <w:color w:val="auto"/>
                <w:kern w:val="0"/>
                <w:sz w:val="24"/>
                <w:szCs w:val="24"/>
              </w:rPr>
            </w:pPr>
            <w:r>
              <w:rPr>
                <w:rFonts w:hint="eastAsia" w:ascii="Times New Roman" w:hAnsi="Times New Roman" w:cs="Times New Roman"/>
                <w:color w:val="auto"/>
                <w:kern w:val="0"/>
                <w:sz w:val="24"/>
                <w:szCs w:val="24"/>
                <w:lang w:eastAsia="zh-CN"/>
              </w:rPr>
              <w:t>（</w:t>
            </w:r>
            <w:r>
              <w:rPr>
                <w:rFonts w:hint="eastAsia" w:ascii="Times New Roman" w:hAnsi="Times New Roman" w:cs="Times New Roman"/>
                <w:color w:val="auto"/>
                <w:kern w:val="0"/>
                <w:sz w:val="24"/>
                <w:szCs w:val="24"/>
                <w:lang w:val="en-US" w:eastAsia="zh-CN"/>
              </w:rPr>
              <w:t>5</w:t>
            </w:r>
            <w:r>
              <w:rPr>
                <w:rFonts w:hint="eastAsia" w:ascii="Times New Roman" w:hAnsi="Times New Roman"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生态</w:t>
            </w:r>
            <w:r>
              <w:rPr>
                <w:rFonts w:hint="default" w:ascii="Times New Roman" w:hAnsi="Times New Roman" w:eastAsia="方正仿宋_GBK" w:cs="Times New Roman"/>
                <w:color w:val="auto"/>
                <w:kern w:val="0"/>
                <w:sz w:val="24"/>
                <w:szCs w:val="24"/>
                <w:lang w:val="en-US" w:eastAsia="zh-CN"/>
              </w:rPr>
              <w:t>环境</w:t>
            </w:r>
            <w:r>
              <w:rPr>
                <w:rFonts w:hint="default" w:ascii="Times New Roman" w:hAnsi="Times New Roman" w:eastAsia="方正仿宋_GBK" w:cs="Times New Roman"/>
                <w:color w:val="auto"/>
                <w:kern w:val="0"/>
                <w:sz w:val="24"/>
                <w:szCs w:val="24"/>
              </w:rPr>
              <w:t>：严格控制施工范围；严禁引入外来物种，严禁捕猎、捕食野生动物</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剥离的表土装袋集中堆存，后期回用</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采取临时拦挡及覆盖等，</w:t>
            </w:r>
            <w:r>
              <w:rPr>
                <w:rFonts w:hint="default" w:ascii="Times New Roman" w:hAnsi="Times New Roman" w:eastAsia="方正仿宋_GBK" w:cs="Times New Roman"/>
                <w:color w:val="auto"/>
                <w:kern w:val="0"/>
                <w:sz w:val="24"/>
                <w:szCs w:val="24"/>
                <w:lang w:val="en-US" w:eastAsia="zh-CN"/>
              </w:rPr>
              <w:t>减少</w:t>
            </w:r>
            <w:r>
              <w:rPr>
                <w:rFonts w:hint="default" w:ascii="Times New Roman" w:hAnsi="Times New Roman" w:eastAsia="方正仿宋_GBK" w:cs="Times New Roman"/>
                <w:color w:val="auto"/>
                <w:kern w:val="0"/>
                <w:sz w:val="24"/>
                <w:szCs w:val="24"/>
              </w:rPr>
              <w:t>水土流失。施工完成后，应对施工现场进行清理平整并及时进行植被恢复。</w:t>
            </w:r>
          </w:p>
          <w:p w14:paraId="6AD659AC">
            <w:pPr>
              <w:keepNext w:val="0"/>
              <w:keepLines w:val="0"/>
              <w:pageBreakBefore w:val="0"/>
              <w:widowControl/>
              <w:numPr>
                <w:ilvl w:val="0"/>
                <w:numId w:val="1"/>
              </w:numPr>
              <w:kinsoku/>
              <w:wordWrap/>
              <w:overflowPunct/>
              <w:topLinePunct w:val="0"/>
              <w:autoSpaceDE/>
              <w:autoSpaceDN/>
              <w:bidi w:val="0"/>
              <w:adjustRightInd w:val="0"/>
              <w:snapToGrid w:val="0"/>
              <w:spacing w:line="360" w:lineRule="exact"/>
              <w:ind w:leftChars="0" w:firstLine="0" w:firstLineChars="0"/>
              <w:jc w:val="both"/>
              <w:textAlignment w:val="auto"/>
              <w:rPr>
                <w:rFonts w:hint="default" w:ascii="Times New Roman" w:hAnsi="Times New Roman" w:eastAsia="方正仿宋_GBK" w:cs="Times New Roman"/>
                <w:b/>
                <w:color w:val="auto"/>
                <w:kern w:val="0"/>
                <w:sz w:val="24"/>
                <w:szCs w:val="24"/>
              </w:rPr>
            </w:pPr>
            <w:r>
              <w:rPr>
                <w:rFonts w:hint="default" w:ascii="Times New Roman" w:hAnsi="Times New Roman" w:eastAsia="方正仿宋_GBK" w:cs="Times New Roman"/>
                <w:b/>
                <w:color w:val="auto"/>
                <w:kern w:val="0"/>
                <w:sz w:val="24"/>
                <w:szCs w:val="24"/>
              </w:rPr>
              <w:t>运营期对策措施</w:t>
            </w:r>
          </w:p>
          <w:p w14:paraId="0E37BB81">
            <w:pPr>
              <w:keepNext w:val="0"/>
              <w:keepLines w:val="0"/>
              <w:pageBreakBefore w:val="0"/>
              <w:widowControl/>
              <w:numPr>
                <w:ilvl w:val="0"/>
                <w:numId w:val="0"/>
              </w:numPr>
              <w:kinsoku/>
              <w:wordWrap/>
              <w:overflowPunct/>
              <w:topLinePunct w:val="0"/>
              <w:autoSpaceDE/>
              <w:autoSpaceDN/>
              <w:bidi w:val="0"/>
              <w:adjustRightInd/>
              <w:snapToGrid/>
              <w:spacing w:line="360" w:lineRule="exact"/>
              <w:ind w:leftChars="0" w:firstLine="240" w:firstLineChars="100"/>
              <w:jc w:val="left"/>
              <w:textAlignment w:val="auto"/>
              <w:rPr>
                <w:rFonts w:hint="default" w:ascii="Times New Roman" w:hAnsi="Times New Roman" w:eastAsia="方正仿宋_GBK" w:cs="Times New Roman"/>
                <w:color w:val="auto"/>
                <w:kern w:val="0"/>
                <w:sz w:val="24"/>
                <w:szCs w:val="24"/>
                <w:lang w:val="en-US" w:eastAsia="zh-CN"/>
              </w:rPr>
            </w:pPr>
            <w:r>
              <w:rPr>
                <w:rFonts w:hint="eastAsia" w:ascii="Times New Roman" w:hAnsi="Times New Roman" w:cs="Times New Roman"/>
                <w:color w:val="auto"/>
                <w:kern w:val="0"/>
                <w:sz w:val="24"/>
                <w:szCs w:val="24"/>
                <w:lang w:eastAsia="zh-CN"/>
              </w:rPr>
              <w:t>（</w:t>
            </w:r>
            <w:r>
              <w:rPr>
                <w:rFonts w:hint="eastAsia" w:ascii="Times New Roman" w:hAnsi="Times New Roman" w:cs="Times New Roman"/>
                <w:color w:val="auto"/>
                <w:kern w:val="0"/>
                <w:sz w:val="24"/>
                <w:szCs w:val="24"/>
                <w:lang w:val="en-US" w:eastAsia="zh-CN"/>
              </w:rPr>
              <w:t>1</w:t>
            </w:r>
            <w:r>
              <w:rPr>
                <w:rFonts w:hint="eastAsia" w:ascii="Times New Roman" w:hAnsi="Times New Roman"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eastAsia="zh-CN"/>
              </w:rPr>
              <w:t>电磁</w:t>
            </w:r>
            <w:r>
              <w:rPr>
                <w:rFonts w:hint="default" w:ascii="Times New Roman" w:hAnsi="Times New Roman" w:eastAsia="方正仿宋_GBK" w:cs="Times New Roman"/>
                <w:color w:val="auto"/>
                <w:kern w:val="0"/>
                <w:sz w:val="24"/>
                <w:szCs w:val="24"/>
              </w:rPr>
              <w:t>：</w:t>
            </w:r>
            <w:r>
              <w:rPr>
                <w:rFonts w:hint="default" w:ascii="Times New Roman" w:hAnsi="Times New Roman" w:eastAsia="方正仿宋_GBK" w:cs="Times New Roman"/>
                <w:color w:val="auto"/>
                <w:kern w:val="0"/>
                <w:sz w:val="24"/>
                <w:szCs w:val="24"/>
                <w:lang w:val="en-US" w:eastAsia="zh-CN"/>
              </w:rPr>
              <w:t>按照相关要求设计，进行跟踪监测，确保工频电场、工频磁场满足《电磁环境控制限值》（GB8702-2014）中限值要求。</w:t>
            </w:r>
          </w:p>
          <w:p w14:paraId="11744F2A">
            <w:pPr>
              <w:keepNext w:val="0"/>
              <w:keepLines w:val="0"/>
              <w:pageBreakBefore w:val="0"/>
              <w:widowControl/>
              <w:numPr>
                <w:ilvl w:val="0"/>
                <w:numId w:val="0"/>
              </w:numPr>
              <w:kinsoku/>
              <w:wordWrap/>
              <w:overflowPunct/>
              <w:topLinePunct w:val="0"/>
              <w:autoSpaceDE/>
              <w:autoSpaceDN/>
              <w:bidi w:val="0"/>
              <w:adjustRightInd/>
              <w:snapToGrid/>
              <w:spacing w:line="360" w:lineRule="exact"/>
              <w:ind w:leftChars="0" w:firstLine="240" w:firstLineChars="100"/>
              <w:jc w:val="left"/>
              <w:textAlignment w:val="auto"/>
              <w:rPr>
                <w:rFonts w:hint="default" w:ascii="Times New Roman" w:hAnsi="Times New Roman" w:eastAsia="方正仿宋_GBK" w:cs="Times New Roman"/>
                <w:color w:val="auto"/>
                <w:kern w:val="0"/>
                <w:sz w:val="24"/>
                <w:szCs w:val="24"/>
                <w:lang w:val="en-US" w:eastAsia="zh-CN"/>
              </w:rPr>
            </w:pPr>
            <w:r>
              <w:rPr>
                <w:rFonts w:hint="eastAsia" w:ascii="Times New Roman" w:hAnsi="Times New Roman" w:cs="Times New Roman"/>
                <w:color w:val="auto"/>
                <w:kern w:val="0"/>
                <w:sz w:val="24"/>
                <w:szCs w:val="24"/>
                <w:lang w:eastAsia="zh-CN"/>
              </w:rPr>
              <w:t>（</w:t>
            </w:r>
            <w:r>
              <w:rPr>
                <w:rFonts w:hint="eastAsia" w:ascii="Times New Roman" w:hAnsi="Times New Roman" w:cs="Times New Roman"/>
                <w:color w:val="auto"/>
                <w:kern w:val="0"/>
                <w:sz w:val="24"/>
                <w:szCs w:val="24"/>
                <w:lang w:val="en-US" w:eastAsia="zh-CN"/>
              </w:rPr>
              <w:t>2</w:t>
            </w:r>
            <w:r>
              <w:rPr>
                <w:rFonts w:hint="eastAsia" w:ascii="Times New Roman" w:hAnsi="Times New Roman"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噪声：选择低噪</w:t>
            </w:r>
            <w:r>
              <w:rPr>
                <w:rFonts w:hint="default" w:ascii="Times New Roman" w:hAnsi="Times New Roman" w:eastAsia="方正仿宋_GBK" w:cs="Times New Roman"/>
                <w:color w:val="auto"/>
                <w:kern w:val="0"/>
                <w:sz w:val="24"/>
                <w:szCs w:val="24"/>
                <w:lang w:eastAsia="zh-CN"/>
              </w:rPr>
              <w:t>声</w:t>
            </w:r>
            <w:r>
              <w:rPr>
                <w:rFonts w:hint="default" w:ascii="Times New Roman" w:hAnsi="Times New Roman" w:eastAsia="方正仿宋_GBK" w:cs="Times New Roman"/>
                <w:color w:val="auto"/>
                <w:kern w:val="0"/>
                <w:sz w:val="24"/>
                <w:szCs w:val="24"/>
                <w:lang w:val="en-US" w:eastAsia="zh-CN"/>
              </w:rPr>
              <w:t>设备，开展线路噪声监测，保护目标噪声满足《声环境质量标准》（GB3096-2008）相应功能区标准限值要求。</w:t>
            </w:r>
          </w:p>
          <w:p w14:paraId="10C3A3BC">
            <w:pPr>
              <w:keepNext w:val="0"/>
              <w:keepLines w:val="0"/>
              <w:pageBreakBefore w:val="0"/>
              <w:widowControl/>
              <w:numPr>
                <w:ilvl w:val="0"/>
                <w:numId w:val="0"/>
              </w:numPr>
              <w:kinsoku/>
              <w:wordWrap/>
              <w:overflowPunct/>
              <w:topLinePunct w:val="0"/>
              <w:autoSpaceDE/>
              <w:autoSpaceDN/>
              <w:bidi w:val="0"/>
              <w:adjustRightInd/>
              <w:snapToGrid/>
              <w:spacing w:line="360" w:lineRule="exact"/>
              <w:ind w:leftChars="0" w:firstLine="240" w:firstLineChars="100"/>
              <w:jc w:val="left"/>
              <w:textAlignment w:val="auto"/>
              <w:rPr>
                <w:rFonts w:hint="default" w:ascii="Times New Roman" w:hAnsi="Times New Roman" w:eastAsia="方正仿宋_GBK" w:cs="Times New Roman"/>
                <w:color w:val="auto"/>
                <w:kern w:val="0"/>
                <w:sz w:val="24"/>
                <w:szCs w:val="24"/>
              </w:rPr>
            </w:pPr>
            <w:r>
              <w:rPr>
                <w:rFonts w:hint="eastAsia" w:ascii="Times New Roman" w:hAnsi="Times New Roman" w:cs="Times New Roman"/>
                <w:color w:val="auto"/>
                <w:kern w:val="0"/>
                <w:sz w:val="24"/>
                <w:szCs w:val="24"/>
                <w:lang w:eastAsia="zh-CN"/>
              </w:rPr>
              <w:t>（</w:t>
            </w:r>
            <w:r>
              <w:rPr>
                <w:rFonts w:hint="eastAsia" w:ascii="Times New Roman" w:hAnsi="Times New Roman" w:cs="Times New Roman"/>
                <w:color w:val="auto"/>
                <w:kern w:val="0"/>
                <w:sz w:val="24"/>
                <w:szCs w:val="24"/>
                <w:lang w:val="en-US" w:eastAsia="zh-CN"/>
              </w:rPr>
              <w:t>3</w:t>
            </w:r>
            <w:r>
              <w:rPr>
                <w:rFonts w:hint="eastAsia" w:ascii="Times New Roman" w:hAnsi="Times New Roman"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固体废弃物：架空线路运营期间产生的固体废物主要为运行检修维护更换下来的绝缘子等金具，统一回收处理。</w:t>
            </w:r>
          </w:p>
          <w:p w14:paraId="6EC05DB2">
            <w:pPr>
              <w:keepNext w:val="0"/>
              <w:keepLines w:val="0"/>
              <w:pageBreakBefore w:val="0"/>
              <w:widowControl/>
              <w:numPr>
                <w:ilvl w:val="0"/>
                <w:numId w:val="0"/>
              </w:numPr>
              <w:kinsoku/>
              <w:wordWrap/>
              <w:overflowPunct/>
              <w:topLinePunct w:val="0"/>
              <w:autoSpaceDE/>
              <w:autoSpaceDN/>
              <w:bidi w:val="0"/>
              <w:adjustRightInd/>
              <w:snapToGrid/>
              <w:spacing w:line="360" w:lineRule="exact"/>
              <w:ind w:leftChars="0" w:firstLine="240" w:firstLineChars="100"/>
              <w:jc w:val="left"/>
              <w:textAlignment w:val="auto"/>
              <w:rPr>
                <w:rFonts w:hint="default" w:ascii="Times New Roman" w:hAnsi="Times New Roman" w:eastAsia="方正仿宋_GBK" w:cs="Times New Roman"/>
                <w:color w:val="auto"/>
                <w:kern w:val="0"/>
                <w:sz w:val="24"/>
                <w:szCs w:val="24"/>
              </w:rPr>
            </w:pPr>
            <w:r>
              <w:rPr>
                <w:rFonts w:hint="eastAsia" w:ascii="Times New Roman" w:hAnsi="Times New Roman" w:cs="Times New Roman"/>
                <w:color w:val="auto"/>
                <w:kern w:val="0"/>
                <w:sz w:val="24"/>
                <w:szCs w:val="24"/>
                <w:lang w:eastAsia="zh-CN"/>
              </w:rPr>
              <w:t>（</w:t>
            </w:r>
            <w:r>
              <w:rPr>
                <w:rFonts w:hint="eastAsia" w:ascii="Times New Roman" w:hAnsi="Times New Roman" w:cs="Times New Roman"/>
                <w:color w:val="auto"/>
                <w:kern w:val="0"/>
                <w:sz w:val="24"/>
                <w:szCs w:val="24"/>
                <w:lang w:val="en-US" w:eastAsia="zh-CN"/>
              </w:rPr>
              <w:t>4</w:t>
            </w:r>
            <w:r>
              <w:rPr>
                <w:rFonts w:hint="eastAsia" w:ascii="Times New Roman" w:hAnsi="Times New Roman"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环境风险：</w:t>
            </w:r>
            <w:r>
              <w:rPr>
                <w:rFonts w:hint="default" w:ascii="Times New Roman" w:hAnsi="Times New Roman" w:eastAsia="方正仿宋_GBK" w:cs="Times New Roman"/>
                <w:color w:val="auto"/>
                <w:kern w:val="0"/>
                <w:sz w:val="24"/>
                <w:szCs w:val="24"/>
                <w:lang w:val="en-US" w:eastAsia="zh-CN"/>
              </w:rPr>
              <w:t>不新增主变油坑，事故油池、危废暂存间等</w:t>
            </w:r>
            <w:r>
              <w:rPr>
                <w:rFonts w:hint="default" w:ascii="Times New Roman" w:hAnsi="Times New Roman" w:eastAsia="方正仿宋_GBK" w:cs="Times New Roman"/>
                <w:color w:val="auto"/>
                <w:kern w:val="0"/>
                <w:sz w:val="24"/>
                <w:szCs w:val="24"/>
              </w:rPr>
              <w:t>。</w:t>
            </w:r>
          </w:p>
          <w:p w14:paraId="19729788">
            <w:pPr>
              <w:keepNext w:val="0"/>
              <w:keepLines w:val="0"/>
              <w:pageBreakBefore w:val="0"/>
              <w:widowControl/>
              <w:numPr>
                <w:ilvl w:val="0"/>
                <w:numId w:val="0"/>
              </w:numPr>
              <w:kinsoku/>
              <w:wordWrap/>
              <w:overflowPunct/>
              <w:topLinePunct w:val="0"/>
              <w:autoSpaceDE/>
              <w:autoSpaceDN/>
              <w:bidi w:val="0"/>
              <w:adjustRightInd/>
              <w:snapToGrid/>
              <w:spacing w:line="360" w:lineRule="exact"/>
              <w:ind w:leftChars="0" w:firstLine="240" w:firstLineChars="100"/>
              <w:jc w:val="left"/>
              <w:textAlignment w:val="auto"/>
              <w:rPr>
                <w:rFonts w:hint="default" w:ascii="Times New Roman" w:hAnsi="Times New Roman" w:eastAsia="方正仿宋_GBK" w:cs="Times New Roman"/>
                <w:sz w:val="24"/>
                <w:szCs w:val="24"/>
                <w:lang w:val="en-US" w:eastAsia="zh-CN"/>
              </w:rPr>
            </w:pPr>
            <w:r>
              <w:rPr>
                <w:rFonts w:hint="eastAsia" w:ascii="Times New Roman" w:hAnsi="Times New Roman" w:cs="Times New Roman"/>
                <w:color w:val="auto"/>
                <w:kern w:val="0"/>
                <w:sz w:val="24"/>
                <w:szCs w:val="24"/>
                <w:lang w:eastAsia="zh-CN"/>
              </w:rPr>
              <w:t>（</w:t>
            </w:r>
            <w:r>
              <w:rPr>
                <w:rFonts w:hint="eastAsia" w:ascii="Times New Roman" w:hAnsi="Times New Roman" w:cs="Times New Roman"/>
                <w:color w:val="auto"/>
                <w:kern w:val="0"/>
                <w:sz w:val="24"/>
                <w:szCs w:val="24"/>
                <w:lang w:val="en-US" w:eastAsia="zh-CN"/>
              </w:rPr>
              <w:t>5</w:t>
            </w:r>
            <w:r>
              <w:rPr>
                <w:rFonts w:hint="eastAsia" w:ascii="Times New Roman" w:hAnsi="Times New Roman"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生态环境</w:t>
            </w:r>
            <w:r>
              <w:rPr>
                <w:rFonts w:hint="default" w:ascii="Times New Roman" w:hAnsi="Times New Roman" w:eastAsia="方正仿宋_GBK" w:cs="Times New Roman"/>
                <w:color w:val="auto"/>
                <w:kern w:val="0"/>
                <w:sz w:val="24"/>
                <w:szCs w:val="24"/>
              </w:rPr>
              <w:t>：对工作人员加强管理，在项目区周边设置生态保护警示牌，告知工作人员</w:t>
            </w:r>
            <w:r>
              <w:rPr>
                <w:rFonts w:hint="default" w:ascii="Times New Roman" w:hAnsi="Times New Roman" w:eastAsia="方正仿宋_GBK" w:cs="Times New Roman"/>
                <w:color w:val="auto"/>
                <w:kern w:val="0"/>
                <w:sz w:val="24"/>
                <w:szCs w:val="24"/>
                <w:lang w:val="en-US" w:eastAsia="zh-CN"/>
              </w:rPr>
              <w:t>生态保护红线</w:t>
            </w:r>
            <w:r>
              <w:rPr>
                <w:rFonts w:hint="default" w:ascii="Times New Roman" w:hAnsi="Times New Roman" w:eastAsia="方正仿宋_GBK" w:cs="Times New Roman"/>
                <w:color w:val="auto"/>
                <w:kern w:val="0"/>
                <w:sz w:val="24"/>
                <w:szCs w:val="24"/>
              </w:rPr>
              <w:t>区的位置及范围，</w:t>
            </w:r>
            <w:r>
              <w:rPr>
                <w:rFonts w:hint="default" w:ascii="Times New Roman" w:hAnsi="Times New Roman" w:eastAsia="方正仿宋_GBK" w:cs="Times New Roman"/>
                <w:color w:val="auto"/>
                <w:kern w:val="0"/>
                <w:sz w:val="24"/>
                <w:szCs w:val="24"/>
                <w:lang w:val="en-US" w:eastAsia="zh-CN"/>
              </w:rPr>
              <w:t>尽量减少</w:t>
            </w:r>
            <w:r>
              <w:rPr>
                <w:rFonts w:hint="default" w:ascii="Times New Roman" w:hAnsi="Times New Roman" w:eastAsia="方正仿宋_GBK" w:cs="Times New Roman"/>
                <w:color w:val="auto"/>
                <w:kern w:val="0"/>
                <w:sz w:val="24"/>
                <w:szCs w:val="24"/>
              </w:rPr>
              <w:t>工作人员进入</w:t>
            </w:r>
            <w:r>
              <w:rPr>
                <w:rFonts w:hint="default" w:ascii="Times New Roman" w:hAnsi="Times New Roman" w:eastAsia="方正仿宋_GBK" w:cs="Times New Roman"/>
                <w:color w:val="auto"/>
                <w:kern w:val="0"/>
                <w:sz w:val="24"/>
                <w:szCs w:val="24"/>
                <w:lang w:val="en-US" w:eastAsia="zh-CN"/>
              </w:rPr>
              <w:t>生态保护红线</w:t>
            </w:r>
            <w:r>
              <w:rPr>
                <w:rFonts w:hint="default" w:ascii="Times New Roman" w:hAnsi="Times New Roman" w:eastAsia="方正仿宋_GBK" w:cs="Times New Roman"/>
                <w:color w:val="auto"/>
                <w:kern w:val="0"/>
                <w:sz w:val="24"/>
                <w:szCs w:val="24"/>
              </w:rPr>
              <w:t>区内活动</w:t>
            </w:r>
            <w:r>
              <w:rPr>
                <w:rFonts w:hint="default" w:ascii="Times New Roman" w:hAnsi="Times New Roman" w:eastAsia="方正仿宋_GBK" w:cs="Times New Roman"/>
                <w:sz w:val="24"/>
                <w:szCs w:val="24"/>
                <w:lang w:val="en-US" w:eastAsia="zh-CN"/>
              </w:rPr>
              <w:t>。</w:t>
            </w:r>
          </w:p>
        </w:tc>
      </w:tr>
      <w:tr w14:paraId="7F1660CA">
        <w:tblPrEx>
          <w:tblCellMar>
            <w:top w:w="0" w:type="dxa"/>
            <w:left w:w="108" w:type="dxa"/>
            <w:bottom w:w="0" w:type="dxa"/>
            <w:right w:w="108" w:type="dxa"/>
          </w:tblCellMar>
        </w:tblPrEx>
        <w:trPr>
          <w:trHeight w:val="386" w:hRule="atLeast"/>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06646DF2">
            <w:pPr>
              <w:widowControl/>
              <w:spacing w:line="360" w:lineRule="auto"/>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公众参与情况</w:t>
            </w:r>
          </w:p>
        </w:tc>
      </w:tr>
      <w:tr w14:paraId="5330ABFA">
        <w:tblPrEx>
          <w:tblCellMar>
            <w:top w:w="0" w:type="dxa"/>
            <w:left w:w="108" w:type="dxa"/>
            <w:bottom w:w="0" w:type="dxa"/>
            <w:right w:w="108" w:type="dxa"/>
          </w:tblCellMar>
        </w:tblPrEx>
        <w:trPr>
          <w:trHeight w:val="668" w:hRule="atLeast"/>
        </w:trPr>
        <w:tc>
          <w:tcPr>
            <w:tcW w:w="9814" w:type="dxa"/>
            <w:gridSpan w:val="6"/>
            <w:tcBorders>
              <w:top w:val="single" w:color="auto" w:sz="4" w:space="0"/>
              <w:left w:val="single" w:color="auto" w:sz="4" w:space="0"/>
              <w:bottom w:val="single" w:color="auto" w:sz="4" w:space="0"/>
              <w:right w:val="single" w:color="auto" w:sz="4" w:space="0"/>
            </w:tcBorders>
            <w:vAlign w:val="center"/>
          </w:tcPr>
          <w:p w14:paraId="5FEEC31F">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default" w:ascii="Times New Roman" w:hAnsi="Times New Roman" w:cs="Times New Roman"/>
              </w:rPr>
            </w:pPr>
            <w:r>
              <w:rPr>
                <w:rFonts w:hint="eastAsia" w:ascii="Times New Roman" w:hAnsi="Times New Roman" w:cs="Times New Roman"/>
                <w:sz w:val="24"/>
                <w:szCs w:val="24"/>
                <w:lang w:val="en-US" w:eastAsia="zh-CN"/>
              </w:rPr>
              <w:t>无</w:t>
            </w:r>
            <w:r>
              <w:rPr>
                <w:rFonts w:hint="default" w:ascii="Times New Roman" w:hAnsi="Times New Roman" w:cs="Times New Roman"/>
                <w:sz w:val="24"/>
                <w:szCs w:val="24"/>
                <w:lang w:val="en-US" w:eastAsia="zh-CN"/>
              </w:rPr>
              <w:t>。</w:t>
            </w:r>
          </w:p>
        </w:tc>
      </w:tr>
      <w:tr w14:paraId="44773E70">
        <w:tblPrEx>
          <w:tblCellMar>
            <w:top w:w="0" w:type="dxa"/>
            <w:left w:w="108" w:type="dxa"/>
            <w:bottom w:w="0" w:type="dxa"/>
            <w:right w:w="108" w:type="dxa"/>
          </w:tblCellMar>
        </w:tblPrEx>
        <w:trPr>
          <w:trHeight w:val="429" w:hRule="atLeast"/>
        </w:trPr>
        <w:tc>
          <w:tcPr>
            <w:tcW w:w="4002" w:type="dxa"/>
            <w:gridSpan w:val="2"/>
            <w:tcBorders>
              <w:top w:val="single" w:color="auto" w:sz="4" w:space="0"/>
              <w:left w:val="single" w:color="auto" w:sz="4" w:space="0"/>
              <w:bottom w:val="single" w:color="auto" w:sz="4" w:space="0"/>
              <w:right w:val="single" w:color="auto" w:sz="4" w:space="0"/>
            </w:tcBorders>
            <w:shd w:val="clear" w:color="auto" w:fill="C0C0C0"/>
            <w:vAlign w:val="center"/>
          </w:tcPr>
          <w:p w14:paraId="3CDF534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建设单位或地方政府所作出的相关承诺文件</w:t>
            </w:r>
          </w:p>
        </w:tc>
        <w:tc>
          <w:tcPr>
            <w:tcW w:w="5812" w:type="dxa"/>
            <w:gridSpan w:val="4"/>
            <w:tcBorders>
              <w:top w:val="single" w:color="auto" w:sz="4" w:space="0"/>
              <w:left w:val="nil"/>
              <w:bottom w:val="single" w:color="auto" w:sz="4" w:space="0"/>
              <w:right w:val="single" w:color="auto" w:sz="4" w:space="0"/>
            </w:tcBorders>
            <w:vAlign w:val="center"/>
          </w:tcPr>
          <w:p w14:paraId="2EFC629B">
            <w:pPr>
              <w:pStyle w:val="7"/>
              <w:spacing w:line="360" w:lineRule="auto"/>
              <w:rPr>
                <w:rFonts w:hint="eastAsia" w:ascii="Times New Roman" w:hAnsi="Times New Roman" w:eastAsia="方正仿宋_GBK" w:cs="Times New Roman"/>
                <w:lang w:val="en-US" w:eastAsia="zh-CN"/>
              </w:rPr>
            </w:pPr>
            <w:r>
              <w:rPr>
                <w:rFonts w:hint="default" w:ascii="Times New Roman" w:hAnsi="Times New Roman" w:eastAsia="方正仿宋_GBK" w:cs="Times New Roman"/>
                <w:snapToGrid/>
                <w:kern w:val="32"/>
                <w:sz w:val="24"/>
                <w:szCs w:val="24"/>
                <w:lang w:val="en-US" w:eastAsia="zh-CN" w:bidi="ar-SA"/>
              </w:rPr>
              <w:t>信息公开同意函</w:t>
            </w:r>
            <w:r>
              <w:rPr>
                <w:rFonts w:hint="eastAsia" w:ascii="Times New Roman" w:hAnsi="Times New Roman" w:cs="Times New Roman"/>
                <w:snapToGrid/>
                <w:kern w:val="32"/>
                <w:sz w:val="24"/>
                <w:szCs w:val="24"/>
                <w:lang w:val="en-US" w:eastAsia="zh-CN" w:bidi="ar-SA"/>
              </w:rPr>
              <w:t>。</w:t>
            </w:r>
          </w:p>
        </w:tc>
      </w:tr>
      <w:tr w14:paraId="3D890382">
        <w:tblPrEx>
          <w:tblCellMar>
            <w:top w:w="0" w:type="dxa"/>
            <w:left w:w="108" w:type="dxa"/>
            <w:bottom w:w="0" w:type="dxa"/>
            <w:right w:w="108" w:type="dxa"/>
          </w:tblCellMar>
        </w:tblPrEx>
        <w:trPr>
          <w:trHeight w:val="1692" w:hRule="atLeast"/>
        </w:trPr>
        <w:tc>
          <w:tcPr>
            <w:tcW w:w="9814" w:type="dxa"/>
            <w:gridSpan w:val="6"/>
            <w:tcBorders>
              <w:top w:val="single" w:color="auto" w:sz="4" w:space="0"/>
              <w:left w:val="nil"/>
              <w:bottom w:val="nil"/>
              <w:right w:val="nil"/>
            </w:tcBorders>
            <w:vAlign w:val="center"/>
          </w:tcPr>
          <w:p w14:paraId="06A54C2A">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注:项目概况、项目主要环境影响、项目预防及减轻不良环境影响的对策和措施、公众参与情况、建设单位或地方政府所作出的相关承诺文件部分由建设单位填写。公众反馈意见联系方式部分由行政审批机关填写。</w:t>
            </w:r>
          </w:p>
        </w:tc>
      </w:tr>
    </w:tbl>
    <w:p w14:paraId="18BB9136">
      <w:pPr>
        <w:rPr>
          <w:color w:val="FF0000"/>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Arial Unicode MS"/>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小标宋_GBK">
    <w:altName w:val="Arial Unicode MS"/>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KSOF51D5AD36">
    <w:panose1 w:val="020B0604020202020204"/>
    <w:charset w:val="86"/>
    <w:family w:val="auto"/>
    <w:pitch w:val="default"/>
    <w:sig w:usb0="00000001" w:usb1="00000000" w:usb2="00000000" w:usb3="00000000" w:csb0="00040001" w:csb1="00000000"/>
  </w:font>
  <w:font w:name="KSOFABDC8F89">
    <w:panose1 w:val="020B0604020202020204"/>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0F1A07"/>
    <w:multiLevelType w:val="singleLevel"/>
    <w:tmpl w:val="EA0F1A0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iYzQ1NDY1YjQ0MjBjMWNmZDQyYjE1NzJjMWYwMDcifQ=="/>
  </w:docVars>
  <w:rsids>
    <w:rsidRoot w:val="392E2078"/>
    <w:rsid w:val="0007389C"/>
    <w:rsid w:val="00150BE9"/>
    <w:rsid w:val="00156B39"/>
    <w:rsid w:val="001A0782"/>
    <w:rsid w:val="001A6B62"/>
    <w:rsid w:val="001B3A2B"/>
    <w:rsid w:val="001F034E"/>
    <w:rsid w:val="001F679B"/>
    <w:rsid w:val="00294DBA"/>
    <w:rsid w:val="002B6C2D"/>
    <w:rsid w:val="002C62B4"/>
    <w:rsid w:val="00322D57"/>
    <w:rsid w:val="00327286"/>
    <w:rsid w:val="00330F90"/>
    <w:rsid w:val="00335349"/>
    <w:rsid w:val="003C1AD7"/>
    <w:rsid w:val="003C4CF8"/>
    <w:rsid w:val="003C6F96"/>
    <w:rsid w:val="003E6693"/>
    <w:rsid w:val="00473C47"/>
    <w:rsid w:val="00485878"/>
    <w:rsid w:val="004A6061"/>
    <w:rsid w:val="004D701F"/>
    <w:rsid w:val="004E159E"/>
    <w:rsid w:val="005010C4"/>
    <w:rsid w:val="005107E1"/>
    <w:rsid w:val="005370B8"/>
    <w:rsid w:val="00542698"/>
    <w:rsid w:val="005A0DCF"/>
    <w:rsid w:val="005B283A"/>
    <w:rsid w:val="0060088D"/>
    <w:rsid w:val="0061485D"/>
    <w:rsid w:val="0062265A"/>
    <w:rsid w:val="006C6412"/>
    <w:rsid w:val="006D5270"/>
    <w:rsid w:val="006E4B40"/>
    <w:rsid w:val="006E5771"/>
    <w:rsid w:val="00702618"/>
    <w:rsid w:val="00705F2D"/>
    <w:rsid w:val="00773626"/>
    <w:rsid w:val="007A0516"/>
    <w:rsid w:val="007C11E2"/>
    <w:rsid w:val="0081762D"/>
    <w:rsid w:val="00833B43"/>
    <w:rsid w:val="00841044"/>
    <w:rsid w:val="00863CCD"/>
    <w:rsid w:val="00871427"/>
    <w:rsid w:val="00872120"/>
    <w:rsid w:val="00873527"/>
    <w:rsid w:val="008A3643"/>
    <w:rsid w:val="008A7183"/>
    <w:rsid w:val="008C224E"/>
    <w:rsid w:val="008C796D"/>
    <w:rsid w:val="008C7996"/>
    <w:rsid w:val="008C7D47"/>
    <w:rsid w:val="008D6010"/>
    <w:rsid w:val="00906E2D"/>
    <w:rsid w:val="009B5EE1"/>
    <w:rsid w:val="009D1793"/>
    <w:rsid w:val="009D3485"/>
    <w:rsid w:val="009D5CDC"/>
    <w:rsid w:val="00A560A2"/>
    <w:rsid w:val="00A7390A"/>
    <w:rsid w:val="00A752B3"/>
    <w:rsid w:val="00A84CD0"/>
    <w:rsid w:val="00AA08DA"/>
    <w:rsid w:val="00B22E4F"/>
    <w:rsid w:val="00B4670A"/>
    <w:rsid w:val="00B547C9"/>
    <w:rsid w:val="00B55F2A"/>
    <w:rsid w:val="00BA1007"/>
    <w:rsid w:val="00BA59BE"/>
    <w:rsid w:val="00BA7231"/>
    <w:rsid w:val="00BC32D8"/>
    <w:rsid w:val="00BD0857"/>
    <w:rsid w:val="00BD1407"/>
    <w:rsid w:val="00C36231"/>
    <w:rsid w:val="00C71183"/>
    <w:rsid w:val="00C96052"/>
    <w:rsid w:val="00CC1BB9"/>
    <w:rsid w:val="00CD2BAA"/>
    <w:rsid w:val="00CD608E"/>
    <w:rsid w:val="00D233CF"/>
    <w:rsid w:val="00DA65D2"/>
    <w:rsid w:val="00DC4E67"/>
    <w:rsid w:val="00DC7CEE"/>
    <w:rsid w:val="00E46C95"/>
    <w:rsid w:val="00E90C9E"/>
    <w:rsid w:val="00ED0EFF"/>
    <w:rsid w:val="00EE1F18"/>
    <w:rsid w:val="00EE5CE6"/>
    <w:rsid w:val="00F530BA"/>
    <w:rsid w:val="00F86E32"/>
    <w:rsid w:val="00FD24C7"/>
    <w:rsid w:val="00FD5740"/>
    <w:rsid w:val="00FF23D3"/>
    <w:rsid w:val="013830D2"/>
    <w:rsid w:val="01437794"/>
    <w:rsid w:val="03344A05"/>
    <w:rsid w:val="05275651"/>
    <w:rsid w:val="05B86C53"/>
    <w:rsid w:val="081E3E37"/>
    <w:rsid w:val="13B34670"/>
    <w:rsid w:val="1A3C46BC"/>
    <w:rsid w:val="1B020E5E"/>
    <w:rsid w:val="1C8733A0"/>
    <w:rsid w:val="201D4921"/>
    <w:rsid w:val="20547DB6"/>
    <w:rsid w:val="21602F6F"/>
    <w:rsid w:val="22862C6A"/>
    <w:rsid w:val="245D4345"/>
    <w:rsid w:val="24694EB2"/>
    <w:rsid w:val="25502092"/>
    <w:rsid w:val="2B002CE4"/>
    <w:rsid w:val="2CA10B4F"/>
    <w:rsid w:val="2CAD1D69"/>
    <w:rsid w:val="2EE11733"/>
    <w:rsid w:val="2F923676"/>
    <w:rsid w:val="2FC57EA9"/>
    <w:rsid w:val="301D5EC7"/>
    <w:rsid w:val="33682ACB"/>
    <w:rsid w:val="34185686"/>
    <w:rsid w:val="35313D1A"/>
    <w:rsid w:val="38002C65"/>
    <w:rsid w:val="392E2078"/>
    <w:rsid w:val="39984AC7"/>
    <w:rsid w:val="3B020811"/>
    <w:rsid w:val="3B2E26FF"/>
    <w:rsid w:val="3C272C37"/>
    <w:rsid w:val="3EDD372A"/>
    <w:rsid w:val="4155672C"/>
    <w:rsid w:val="43BD5ED1"/>
    <w:rsid w:val="449625B7"/>
    <w:rsid w:val="45BD33BC"/>
    <w:rsid w:val="47F24AD5"/>
    <w:rsid w:val="4866291F"/>
    <w:rsid w:val="4B402719"/>
    <w:rsid w:val="4B9C7ABA"/>
    <w:rsid w:val="4C985FBF"/>
    <w:rsid w:val="4D2F5EED"/>
    <w:rsid w:val="4DC60339"/>
    <w:rsid w:val="4EC40453"/>
    <w:rsid w:val="4F7B2ACC"/>
    <w:rsid w:val="50153BC8"/>
    <w:rsid w:val="51E81108"/>
    <w:rsid w:val="52385E17"/>
    <w:rsid w:val="54752240"/>
    <w:rsid w:val="55367ECE"/>
    <w:rsid w:val="555D267C"/>
    <w:rsid w:val="5653575C"/>
    <w:rsid w:val="577942AD"/>
    <w:rsid w:val="58FF0EBE"/>
    <w:rsid w:val="5998453C"/>
    <w:rsid w:val="5A834766"/>
    <w:rsid w:val="5BED57C7"/>
    <w:rsid w:val="5D2E69AB"/>
    <w:rsid w:val="5DCC4393"/>
    <w:rsid w:val="5F257633"/>
    <w:rsid w:val="60EA0DC0"/>
    <w:rsid w:val="614E3CA3"/>
    <w:rsid w:val="64CE0A00"/>
    <w:rsid w:val="66B00A67"/>
    <w:rsid w:val="6AB93F9D"/>
    <w:rsid w:val="6C044E5F"/>
    <w:rsid w:val="6C781B6E"/>
    <w:rsid w:val="6C8A7DA4"/>
    <w:rsid w:val="714078D6"/>
    <w:rsid w:val="715F713D"/>
    <w:rsid w:val="747E39E9"/>
    <w:rsid w:val="74857523"/>
    <w:rsid w:val="77533B6A"/>
    <w:rsid w:val="78CD4DAD"/>
    <w:rsid w:val="79377A43"/>
    <w:rsid w:val="79CC62C5"/>
    <w:rsid w:val="79EF4D86"/>
    <w:rsid w:val="7E5F22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方正仿宋_GBK" w:cs="Times New Roman"/>
      <w:kern w:val="32"/>
      <w:sz w:val="32"/>
      <w:szCs w:val="32"/>
      <w:lang w:val="en-US" w:eastAsia="zh-CN" w:bidi="ar-SA"/>
    </w:rPr>
  </w:style>
  <w:style w:type="paragraph" w:styleId="2">
    <w:name w:val="heading 2"/>
    <w:basedOn w:val="1"/>
    <w:next w:val="1"/>
    <w:link w:val="24"/>
    <w:qFormat/>
    <w:uiPriority w:val="0"/>
    <w:pPr>
      <w:tabs>
        <w:tab w:val="left" w:pos="5882"/>
      </w:tabs>
      <w:adjustRightInd w:val="0"/>
      <w:snapToGrid w:val="0"/>
      <w:spacing w:beforeLines="50"/>
      <w:jc w:val="left"/>
      <w:outlineLvl w:val="1"/>
    </w:pPr>
    <w:rPr>
      <w:rFonts w:ascii="Times New Roman" w:hAnsi="Times New Roman" w:eastAsia="宋体"/>
      <w:b/>
      <w:kern w:val="0"/>
      <w:sz w:val="24"/>
      <w:szCs w:val="24"/>
    </w:rPr>
  </w:style>
  <w:style w:type="paragraph" w:styleId="3">
    <w:name w:val="heading 3"/>
    <w:basedOn w:val="1"/>
    <w:next w:val="1"/>
    <w:link w:val="19"/>
    <w:qFormat/>
    <w:uiPriority w:val="0"/>
    <w:pPr>
      <w:topLinePunct/>
      <w:spacing w:before="120" w:line="480" w:lineRule="exact"/>
      <w:outlineLvl w:val="2"/>
    </w:pPr>
    <w:rPr>
      <w:rFonts w:ascii="Times New Roman" w:hAnsi="Times New Roman" w:eastAsia="楷体_GB2312"/>
      <w:b/>
      <w:bCs/>
      <w:color w:val="000000"/>
      <w:kern w:val="2"/>
      <w:sz w:val="28"/>
      <w:szCs w:val="28"/>
    </w:rPr>
  </w:style>
  <w:style w:type="paragraph" w:styleId="4">
    <w:name w:val="heading 4"/>
    <w:basedOn w:val="1"/>
    <w:next w:val="1"/>
    <w:link w:val="22"/>
    <w:qFormat/>
    <w:uiPriority w:val="0"/>
    <w:pPr>
      <w:keepNext/>
      <w:keepLines/>
      <w:spacing w:before="280" w:after="290" w:line="376" w:lineRule="auto"/>
      <w:outlineLvl w:val="3"/>
    </w:pPr>
    <w:rPr>
      <w:rFonts w:ascii="Arial" w:hAnsi="Arial" w:eastAsia="黑体"/>
      <w:b/>
      <w:bCs/>
      <w:kern w:val="2"/>
      <w:sz w:val="28"/>
      <w:szCs w:val="28"/>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Body Text"/>
    <w:basedOn w:val="6"/>
    <w:next w:val="6"/>
    <w:qFormat/>
    <w:uiPriority w:val="1"/>
    <w:rPr>
      <w:sz w:val="24"/>
      <w:szCs w:val="24"/>
    </w:rPr>
  </w:style>
  <w:style w:type="paragraph" w:styleId="6">
    <w:name w:val="Title"/>
    <w:basedOn w:val="1"/>
    <w:qFormat/>
    <w:uiPriority w:val="0"/>
    <w:pPr>
      <w:adjustRightInd w:val="0"/>
      <w:snapToGrid w:val="0"/>
      <w:spacing w:before="240" w:after="60" w:line="360" w:lineRule="auto"/>
      <w:ind w:firstLine="200" w:firstLineChars="200"/>
      <w:jc w:val="center"/>
      <w:outlineLvl w:val="0"/>
    </w:pPr>
    <w:rPr>
      <w:rFonts w:ascii="Cambria" w:hAnsi="Cambria"/>
      <w:b/>
      <w:bCs/>
    </w:rPr>
  </w:style>
  <w:style w:type="paragraph" w:styleId="7">
    <w:name w:val="Plain Text"/>
    <w:basedOn w:val="1"/>
    <w:qFormat/>
    <w:uiPriority w:val="0"/>
    <w:rPr>
      <w:rFonts w:ascii="宋体"/>
      <w:snapToGrid w:val="0"/>
      <w:kern w:val="0"/>
      <w:szCs w:val="20"/>
    </w:rPr>
  </w:style>
  <w:style w:type="paragraph" w:styleId="8">
    <w:name w:val="footer"/>
    <w:basedOn w:val="1"/>
    <w:link w:val="23"/>
    <w:qFormat/>
    <w:uiPriority w:val="0"/>
    <w:pPr>
      <w:tabs>
        <w:tab w:val="center" w:pos="4153"/>
        <w:tab w:val="right" w:pos="8306"/>
      </w:tabs>
      <w:snapToGrid w:val="0"/>
      <w:jc w:val="left"/>
    </w:pPr>
    <w:rPr>
      <w:sz w:val="18"/>
      <w:szCs w:val="18"/>
    </w:rPr>
  </w:style>
  <w:style w:type="paragraph" w:styleId="9">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jc w:val="left"/>
    </w:pPr>
    <w:rPr>
      <w:rFonts w:eastAsia="宋体"/>
      <w:kern w:val="0"/>
      <w:sz w:val="24"/>
    </w:rPr>
  </w:style>
  <w:style w:type="character" w:styleId="13">
    <w:name w:val="Strong"/>
    <w:basedOn w:val="12"/>
    <w:qFormat/>
    <w:uiPriority w:val="0"/>
    <w:rPr>
      <w:b/>
    </w:rPr>
  </w:style>
  <w:style w:type="character" w:styleId="14">
    <w:name w:val="annotation reference"/>
    <w:basedOn w:val="12"/>
    <w:qFormat/>
    <w:uiPriority w:val="0"/>
    <w:rPr>
      <w:sz w:val="21"/>
      <w:szCs w:val="21"/>
    </w:rPr>
  </w:style>
  <w:style w:type="paragraph" w:customStyle="1" w:styleId="15">
    <w:name w:val="Normal Indent1"/>
    <w:basedOn w:val="1"/>
    <w:next w:val="1"/>
    <w:qFormat/>
    <w:uiPriority w:val="99"/>
    <w:pPr>
      <w:ind w:firstLine="420"/>
    </w:pPr>
  </w:style>
  <w:style w:type="paragraph" w:customStyle="1" w:styleId="16">
    <w:name w:val="Default"/>
    <w:basedOn w:val="17"/>
    <w:qFormat/>
    <w:uiPriority w:val="99"/>
    <w:pPr>
      <w:widowControl w:val="0"/>
      <w:autoSpaceDE w:val="0"/>
      <w:autoSpaceDN w:val="0"/>
      <w:adjustRightInd w:val="0"/>
    </w:pPr>
    <w:rPr>
      <w:rFonts w:ascii="宋体" w:cs="宋体"/>
      <w:color w:val="000000"/>
      <w:sz w:val="24"/>
      <w:szCs w:val="24"/>
      <w:lang w:val="en-US" w:eastAsia="zh-CN" w:bidi="ar-SA"/>
    </w:rPr>
  </w:style>
  <w:style w:type="paragraph" w:customStyle="1" w:styleId="17">
    <w:name w:val="纯文本1"/>
    <w:basedOn w:val="1"/>
    <w:qFormat/>
    <w:uiPriority w:val="0"/>
    <w:pPr>
      <w:suppressAutoHyphens/>
    </w:pPr>
    <w:rPr>
      <w:rFonts w:ascii="宋体" w:hAnsi="宋体" w:eastAsia="宋体" w:cs="Times New Roman"/>
      <w:kern w:val="1"/>
      <w:sz w:val="28"/>
      <w:lang w:eastAsia="ar-SA"/>
    </w:rPr>
  </w:style>
  <w:style w:type="paragraph" w:customStyle="1" w:styleId="18">
    <w:name w:val="正本文字"/>
    <w:basedOn w:val="1"/>
    <w:autoRedefine/>
    <w:qFormat/>
    <w:uiPriority w:val="0"/>
    <w:pPr>
      <w:adjustRightInd w:val="0"/>
      <w:snapToGrid w:val="0"/>
      <w:spacing w:line="360" w:lineRule="auto"/>
      <w:ind w:firstLine="480" w:firstLineChars="200"/>
      <w:jc w:val="left"/>
    </w:pPr>
    <w:rPr>
      <w:rFonts w:cs="宋体"/>
      <w:kern w:val="18"/>
      <w:sz w:val="24"/>
    </w:rPr>
  </w:style>
  <w:style w:type="character" w:customStyle="1" w:styleId="19">
    <w:name w:val="标题 3 字符"/>
    <w:link w:val="3"/>
    <w:qFormat/>
    <w:uiPriority w:val="0"/>
    <w:rPr>
      <w:rFonts w:eastAsia="楷体_GB2312"/>
      <w:b/>
      <w:bCs/>
      <w:color w:val="000000"/>
      <w:kern w:val="2"/>
      <w:sz w:val="28"/>
      <w:szCs w:val="28"/>
    </w:rPr>
  </w:style>
  <w:style w:type="character" w:customStyle="1" w:styleId="20">
    <w:name w:val="标题 3 Char"/>
    <w:semiHidden/>
    <w:qFormat/>
    <w:uiPriority w:val="0"/>
    <w:rPr>
      <w:rFonts w:ascii="Calibri" w:hAnsi="Calibri" w:eastAsia="方正仿宋_GBK"/>
      <w:b/>
      <w:bCs/>
      <w:kern w:val="32"/>
      <w:sz w:val="32"/>
      <w:szCs w:val="32"/>
    </w:rPr>
  </w:style>
  <w:style w:type="character" w:customStyle="1" w:styleId="21">
    <w:name w:val="页眉 字符"/>
    <w:link w:val="9"/>
    <w:qFormat/>
    <w:uiPriority w:val="0"/>
    <w:rPr>
      <w:rFonts w:ascii="Calibri" w:hAnsi="Calibri" w:eastAsia="方正仿宋_GBK"/>
      <w:kern w:val="32"/>
      <w:sz w:val="18"/>
      <w:szCs w:val="18"/>
    </w:rPr>
  </w:style>
  <w:style w:type="character" w:customStyle="1" w:styleId="22">
    <w:name w:val="标题 4 字符"/>
    <w:link w:val="4"/>
    <w:qFormat/>
    <w:uiPriority w:val="0"/>
    <w:rPr>
      <w:rFonts w:ascii="Arial" w:hAnsi="Arial" w:eastAsia="黑体"/>
      <w:b/>
      <w:bCs/>
      <w:kern w:val="2"/>
      <w:sz w:val="28"/>
      <w:szCs w:val="28"/>
    </w:rPr>
  </w:style>
  <w:style w:type="character" w:customStyle="1" w:styleId="23">
    <w:name w:val="页脚 字符"/>
    <w:link w:val="8"/>
    <w:qFormat/>
    <w:uiPriority w:val="0"/>
    <w:rPr>
      <w:rFonts w:ascii="Calibri" w:hAnsi="Calibri" w:eastAsia="方正仿宋_GBK"/>
      <w:kern w:val="32"/>
      <w:sz w:val="18"/>
      <w:szCs w:val="18"/>
    </w:rPr>
  </w:style>
  <w:style w:type="character" w:customStyle="1" w:styleId="24">
    <w:name w:val="标题 2 字符"/>
    <w:link w:val="2"/>
    <w:qFormat/>
    <w:uiPriority w:val="0"/>
    <w:rPr>
      <w:rFonts w:eastAsia="宋体"/>
      <w:b/>
      <w:sz w:val="24"/>
      <w:szCs w:val="24"/>
    </w:rPr>
  </w:style>
  <w:style w:type="character" w:customStyle="1" w:styleId="25">
    <w:name w:val="标题 4 Char"/>
    <w:semiHidden/>
    <w:qFormat/>
    <w:uiPriority w:val="0"/>
    <w:rPr>
      <w:rFonts w:ascii="Cambria" w:hAnsi="Cambria" w:eastAsia="宋体" w:cs="Times New Roman"/>
      <w:b/>
      <w:bCs/>
      <w:kern w:val="32"/>
      <w:sz w:val="28"/>
      <w:szCs w:val="28"/>
    </w:rPr>
  </w:style>
  <w:style w:type="character" w:customStyle="1" w:styleId="26">
    <w:name w:val="正文 旺源文字段落 Char"/>
    <w:link w:val="27"/>
    <w:qFormat/>
    <w:uiPriority w:val="0"/>
    <w:rPr>
      <w:rFonts w:ascii="宋体" w:hAnsi="宋体" w:cs="宋体"/>
      <w:kern w:val="24"/>
      <w:sz w:val="24"/>
      <w:szCs w:val="24"/>
    </w:rPr>
  </w:style>
  <w:style w:type="paragraph" w:customStyle="1" w:styleId="27">
    <w:name w:val="正文 旺源文字段落"/>
    <w:basedOn w:val="1"/>
    <w:link w:val="26"/>
    <w:qFormat/>
    <w:uiPriority w:val="0"/>
    <w:pPr>
      <w:spacing w:line="500" w:lineRule="exact"/>
      <w:ind w:firstLine="420"/>
    </w:pPr>
    <w:rPr>
      <w:rFonts w:ascii="宋体" w:hAnsi="宋体" w:eastAsia="宋体"/>
      <w:kern w:val="24"/>
      <w:sz w:val="24"/>
      <w:szCs w:val="24"/>
    </w:rPr>
  </w:style>
  <w:style w:type="paragraph" w:customStyle="1" w:styleId="28">
    <w:name w:val="LH样式"/>
    <w:basedOn w:val="1"/>
    <w:qFormat/>
    <w:uiPriority w:val="0"/>
    <w:pPr>
      <w:spacing w:line="480" w:lineRule="exact"/>
      <w:ind w:firstLine="520" w:firstLineChars="200"/>
    </w:pPr>
    <w:rPr>
      <w:rFonts w:ascii="Times New Roman" w:hAnsi="Times New Roman" w:eastAsia="宋体"/>
      <w:color w:val="00B0F0"/>
      <w:kern w:val="2"/>
      <w:sz w:val="26"/>
      <w:szCs w:val="26"/>
    </w:rPr>
  </w:style>
  <w:style w:type="paragraph" w:customStyle="1" w:styleId="29">
    <w:name w:val="正文2"/>
    <w:basedOn w:val="1"/>
    <w:qFormat/>
    <w:uiPriority w:val="0"/>
    <w:pPr>
      <w:spacing w:line="360" w:lineRule="auto"/>
      <w:ind w:firstLine="200" w:firstLineChars="200"/>
    </w:pPr>
    <w:rPr>
      <w:rFonts w:ascii="Times New Roman" w:hAnsi="Times New Roman" w:eastAsia="宋体"/>
      <w:sz w:val="24"/>
      <w:szCs w:val="20"/>
    </w:rPr>
  </w:style>
  <w:style w:type="paragraph" w:customStyle="1" w:styleId="30">
    <w:name w:val="Table Text"/>
    <w:basedOn w:val="1"/>
    <w:semiHidden/>
    <w:qFormat/>
    <w:uiPriority w:val="0"/>
    <w:rPr>
      <w:rFonts w:ascii="宋体" w:hAnsi="宋体" w:eastAsia="宋体" w:cs="宋体"/>
      <w:sz w:val="21"/>
      <w:szCs w:val="21"/>
      <w:lang w:val="en-US" w:eastAsia="en-US" w:bidi="ar-SA"/>
    </w:rPr>
  </w:style>
  <w:style w:type="paragraph" w:customStyle="1" w:styleId="31">
    <w:name w:val="H正文"/>
    <w:basedOn w:val="1"/>
    <w:qFormat/>
    <w:uiPriority w:val="0"/>
    <w:pPr>
      <w:adjustRightInd w:val="0"/>
      <w:spacing w:line="400" w:lineRule="exact"/>
      <w:ind w:firstLine="200" w:firstLineChars="200"/>
      <w:textAlignment w:val="baseline"/>
    </w:pPr>
    <w:rPr>
      <w:rFonts w:ascii="Times New Roman" w:hAnsi="Times New Roman" w:eastAsia="宋体"/>
      <w:snapToGrid w:val="0"/>
      <w:spacing w:val="6"/>
      <w:kern w:val="2"/>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2</Pages>
  <Words>1386</Words>
  <Characters>1474</Characters>
  <Lines>97</Lines>
  <Paragraphs>85</Paragraphs>
  <TotalTime>6</TotalTime>
  <ScaleCrop>false</ScaleCrop>
  <LinksUpToDate>false</LinksUpToDate>
  <CharactersWithSpaces>1476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2019-10-22T01:39:00Z</dcterms:created>
  <dc:creator>lenovo</dc:creator>
  <cp:lastModifiedBy>郭丽娜</cp:lastModifiedBy>
  <cp:lastPrinted>2016-09-13T03:08:00Z</cp:lastPrinted>
  <dcterms:modified xsi:type="dcterms:W3CDTF">2026-08-20T08:44:04Z</dcterms:modified>
  <dc:title>曲靖市环境保护局</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4AF31E55A6014DA488FB12D33EA79CAF_13</vt:lpwstr>
  </property>
  <property fmtid="{D5CDD505-2E9C-101B-9397-08002B2CF9AE}" pid="4" name="KSOTemplateDocerSaveRecord">
    <vt:lpwstr>eyJoZGlkIjoiYTA0OTFiNTllN2E3YTc2MDc5ZTIwYTg0ZjFlZjFlMWQiLCJ1c2VySWQiOiIzNzMyMDUyODEifQ==</vt:lpwstr>
  </property>
</Properties>
</file>